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drawing>
          <wp:inline xmlns:a="http://schemas.openxmlformats.org/drawingml/2006/main" xmlns:pic="http://schemas.openxmlformats.org/drawingml/2006/picture">
            <wp:extent cx="2556000" cy="799969"/>
            <wp:docPr id="1" name="Picture 1"/>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556000" cy="799969"/>
                    </a:xfrm>
                    <a:prstGeom prst="rect"/>
                  </pic:spPr>
                </pic:pic>
              </a:graphicData>
            </a:graphic>
          </wp:inline>
        </w:drawing>
      </w:r>
      <w:r>
        <w:t xml:space="preserve">    </w:t>
      </w:r>
      <w:r>
        <w:drawing>
          <wp:inline xmlns:a="http://schemas.openxmlformats.org/drawingml/2006/main" xmlns:pic="http://schemas.openxmlformats.org/drawingml/2006/picture">
            <wp:extent cx="2160000" cy="893455"/>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2160000" cy="893455"/>
                    </a:xfrm>
                    <a:prstGeom prst="rect"/>
                  </pic:spPr>
                </pic:pic>
              </a:graphicData>
            </a:graphic>
          </wp:inline>
        </w:drawing>
      </w:r>
    </w:p>
    <w:p>
      <w:pPr>
        <w:spacing w:after="480"/>
        <w:jc w:val="center"/>
      </w:pPr>
      <w:r>
        <w:rPr>
          <w:rFonts w:ascii="Arial" w:hAnsi="Arial"/>
          <w:sz w:val="36"/>
        </w:rPr>
        <w:t>Project and Professionalism</w:t>
        <w:br/>
        <w:t>(6CS007)</w:t>
      </w:r>
    </w:p>
    <w:p>
      <w:pPr>
        <w:spacing w:after="160"/>
        <w:jc w:val="center"/>
      </w:pPr>
      <w:r>
        <w:rPr>
          <w:rFonts w:ascii="Arial" w:hAnsi="Arial"/>
          <w:b w:val="0"/>
          <w:sz w:val="44"/>
        </w:rPr>
        <w:t>Project: ZeroShield AI</w:t>
      </w:r>
    </w:p>
    <w:p>
      <w:pPr>
        <w:spacing w:after="160"/>
        <w:jc w:val="center"/>
      </w:pPr>
      <w:r>
        <w:rPr>
          <w:rFonts w:ascii="Arial" w:hAnsi="Arial"/>
          <w:b w:val="0"/>
          <w:sz w:val="42"/>
        </w:rPr>
        <w:t>Document: Advanced Risk Register and</w:t>
        <w:br/>
        <w:t>Ethics / Safety Assumptions</w:t>
      </w:r>
    </w:p>
    <w:p>
      <w:pPr>
        <w:spacing w:after="160"/>
        <w:jc w:val="center"/>
      </w:pPr>
      <w:r>
        <w:rPr>
          <w:rFonts w:ascii="Arial" w:hAnsi="Arial"/>
          <w:b/>
          <w:sz w:val="34"/>
        </w:rPr>
        <w:t>Status: Controlled Project-Governance Document</w:t>
      </w:r>
    </w:p>
    <w:p>
      <w:pPr>
        <w:spacing w:after="160"/>
        <w:jc w:val="center"/>
      </w:pPr>
      <w:r>
        <w:rPr>
          <w:rFonts w:ascii="Arial" w:hAnsi="Arial"/>
          <w:b/>
          <w:sz w:val="30"/>
        </w:rPr>
        <w:t>Version: 2.0</w:t>
      </w:r>
    </w:p>
    <w:p>
      <w:pPr>
        <w:spacing w:after="0"/>
        <w:jc w:val="center"/>
      </w:pPr>
      <w:r>
        <w:rPr>
          <w:rFonts w:ascii="Arial" w:hAnsi="Arial"/>
          <w:b/>
          <w:sz w:val="30"/>
        </w:rPr>
        <w:t>Date: 30-08-2026</w:t>
      </w:r>
    </w:p>
    <w:p>
      <w:r>
        <w:br w:type="page"/>
      </w:r>
    </w:p>
    <w:p>
      <w:pPr>
        <w:pStyle w:val="Heading1"/>
        <w:keepNext/>
      </w:pPr>
      <w:r>
        <w:t>Document Control and Executive Summary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35"/>
        <w:gridCol w:w="5669"/>
      </w:tblGrid>
      <w:tr>
        <w:tc>
          <w:tcPr>
            <w:tcW w:type="dxa" w:w="4989"/>
            <w:vAlign w:val="center"/>
            <w:shd w:fill="EAF2F8"/>
            <w:tcMar>
              <w:top w:w="60" w:type="dxa"/>
              <w:start w:w="70" w:type="dxa"/>
              <w:bottom w:w="60" w:type="dxa"/>
              <w:end w:w="70" w:type="dxa"/>
            </w:tcMar>
          </w:tcPr>
          <w:p>
            <w:r/>
            <w:r>
              <w:rPr>
                <w:rFonts w:ascii="Arial" w:hAnsi="Arial"/>
                <w:b/>
                <w:color w:val="000000"/>
                <w:sz w:val="18"/>
              </w:rPr>
              <w:t>Student ID</w:t>
            </w:r>
          </w:p>
        </w:tc>
        <w:tc>
          <w:tcPr>
            <w:tcW w:type="dxa" w:w="4989"/>
            <w:vAlign w:val="center"/>
            <w:tcMar>
              <w:top w:w="60" w:type="dxa"/>
              <w:start w:w="70" w:type="dxa"/>
              <w:bottom w:w="60" w:type="dxa"/>
              <w:end w:w="70" w:type="dxa"/>
            </w:tcMar>
          </w:tcPr>
          <w:p>
            <w:r/>
            <w:r>
              <w:rPr>
                <w:rFonts w:ascii="Arial" w:hAnsi="Arial"/>
                <w:b w:val="0"/>
                <w:color w:val="000000"/>
                <w:sz w:val="18"/>
              </w:rPr>
              <w:t>2548423</w:t>
            </w:r>
          </w:p>
        </w:tc>
      </w:tr>
      <w:tr>
        <w:tc>
          <w:tcPr>
            <w:tcW w:type="dxa" w:w="4989"/>
            <w:vAlign w:val="center"/>
            <w:shd w:fill="EAF2F8"/>
            <w:tcMar>
              <w:top w:w="60" w:type="dxa"/>
              <w:start w:w="70" w:type="dxa"/>
              <w:bottom w:w="60" w:type="dxa"/>
              <w:end w:w="70" w:type="dxa"/>
            </w:tcMar>
          </w:tcPr>
          <w:p>
            <w:r/>
            <w:r>
              <w:rPr>
                <w:rFonts w:ascii="Arial" w:hAnsi="Arial"/>
                <w:b/>
                <w:color w:val="000000"/>
                <w:sz w:val="18"/>
              </w:rPr>
              <w:t>Student Name</w:t>
            </w:r>
          </w:p>
        </w:tc>
        <w:tc>
          <w:tcPr>
            <w:tcW w:type="dxa" w:w="4989"/>
            <w:vAlign w:val="center"/>
            <w:tcMar>
              <w:top w:w="60" w:type="dxa"/>
              <w:start w:w="70" w:type="dxa"/>
              <w:bottom w:w="60" w:type="dxa"/>
              <w:end w:w="70" w:type="dxa"/>
            </w:tcMar>
          </w:tcPr>
          <w:p>
            <w:r/>
            <w:r>
              <w:rPr>
                <w:rFonts w:ascii="Arial" w:hAnsi="Arial"/>
                <w:b w:val="0"/>
                <w:color w:val="000000"/>
                <w:sz w:val="18"/>
              </w:rPr>
              <w:t>Mayaman Ram</w:t>
            </w:r>
          </w:p>
        </w:tc>
      </w:tr>
      <w:tr>
        <w:tc>
          <w:tcPr>
            <w:tcW w:type="dxa" w:w="4989"/>
            <w:vAlign w:val="center"/>
            <w:shd w:fill="EAF2F8"/>
            <w:tcMar>
              <w:top w:w="60" w:type="dxa"/>
              <w:start w:w="70" w:type="dxa"/>
              <w:bottom w:w="60" w:type="dxa"/>
              <w:end w:w="70" w:type="dxa"/>
            </w:tcMar>
          </w:tcPr>
          <w:p>
            <w:r/>
            <w:r>
              <w:rPr>
                <w:rFonts w:ascii="Arial" w:hAnsi="Arial"/>
                <w:b/>
                <w:color w:val="000000"/>
                <w:sz w:val="18"/>
              </w:rPr>
              <w:t>Group</w:t>
            </w:r>
          </w:p>
        </w:tc>
        <w:tc>
          <w:tcPr>
            <w:tcW w:type="dxa" w:w="4989"/>
            <w:vAlign w:val="center"/>
            <w:tcMar>
              <w:top w:w="60" w:type="dxa"/>
              <w:start w:w="70" w:type="dxa"/>
              <w:bottom w:w="60" w:type="dxa"/>
              <w:end w:w="70" w:type="dxa"/>
            </w:tcMar>
          </w:tcPr>
          <w:p>
            <w:r/>
            <w:r>
              <w:rPr>
                <w:rFonts w:ascii="Arial" w:hAnsi="Arial"/>
                <w:b w:val="0"/>
                <w:color w:val="000000"/>
                <w:sz w:val="18"/>
              </w:rPr>
              <w:t>L6SG4</w:t>
            </w:r>
          </w:p>
        </w:tc>
      </w:tr>
      <w:tr>
        <w:tc>
          <w:tcPr>
            <w:tcW w:type="dxa" w:w="4989"/>
            <w:vAlign w:val="center"/>
            <w:shd w:fill="EAF2F8"/>
            <w:tcMar>
              <w:top w:w="60" w:type="dxa"/>
              <w:start w:w="70" w:type="dxa"/>
              <w:bottom w:w="60" w:type="dxa"/>
              <w:end w:w="70" w:type="dxa"/>
            </w:tcMar>
          </w:tcPr>
          <w:p>
            <w:r/>
            <w:r>
              <w:rPr>
                <w:rFonts w:ascii="Arial" w:hAnsi="Arial"/>
                <w:b/>
                <w:color w:val="000000"/>
                <w:sz w:val="18"/>
              </w:rPr>
              <w:t>Supervisor</w:t>
            </w:r>
          </w:p>
        </w:tc>
        <w:tc>
          <w:tcPr>
            <w:tcW w:type="dxa" w:w="4989"/>
            <w:vAlign w:val="center"/>
            <w:tcMar>
              <w:top w:w="60" w:type="dxa"/>
              <w:start w:w="70" w:type="dxa"/>
              <w:bottom w:w="60" w:type="dxa"/>
              <w:end w:w="70" w:type="dxa"/>
            </w:tcMar>
          </w:tcPr>
          <w:p>
            <w:r/>
            <w:r>
              <w:rPr>
                <w:rFonts w:ascii="Arial" w:hAnsi="Arial"/>
                <w:b w:val="0"/>
                <w:color w:val="000000"/>
                <w:sz w:val="18"/>
              </w:rPr>
              <w:t>[Supervisor Name]</w:t>
            </w:r>
          </w:p>
        </w:tc>
      </w:tr>
      <w:tr>
        <w:tc>
          <w:tcPr>
            <w:tcW w:type="dxa" w:w="4989"/>
            <w:vAlign w:val="center"/>
            <w:shd w:fill="EAF2F8"/>
            <w:tcMar>
              <w:top w:w="60" w:type="dxa"/>
              <w:start w:w="70" w:type="dxa"/>
              <w:bottom w:w="60" w:type="dxa"/>
              <w:end w:w="70" w:type="dxa"/>
            </w:tcMar>
          </w:tcPr>
          <w:p>
            <w:r/>
            <w:r>
              <w:rPr>
                <w:rFonts w:ascii="Arial" w:hAnsi="Arial"/>
                <w:b/>
                <w:color w:val="000000"/>
                <w:sz w:val="18"/>
              </w:rPr>
              <w:t>Reader</w:t>
            </w:r>
          </w:p>
        </w:tc>
        <w:tc>
          <w:tcPr>
            <w:tcW w:type="dxa" w:w="4989"/>
            <w:vAlign w:val="center"/>
            <w:tcMar>
              <w:top w:w="60" w:type="dxa"/>
              <w:start w:w="70" w:type="dxa"/>
              <w:bottom w:w="60" w:type="dxa"/>
              <w:end w:w="70" w:type="dxa"/>
            </w:tcMar>
          </w:tcPr>
          <w:p>
            <w:r/>
            <w:r>
              <w:rPr>
                <w:rFonts w:ascii="Arial" w:hAnsi="Arial"/>
                <w:b w:val="0"/>
                <w:color w:val="000000"/>
                <w:sz w:val="18"/>
              </w:rPr>
              <w:t>[Reader Name]</w:t>
            </w:r>
          </w:p>
        </w:tc>
      </w:tr>
      <w:tr>
        <w:tc>
          <w:tcPr>
            <w:tcW w:type="dxa" w:w="4989"/>
            <w:vAlign w:val="center"/>
            <w:shd w:fill="EAF2F8"/>
            <w:tcMar>
              <w:top w:w="60" w:type="dxa"/>
              <w:start w:w="70" w:type="dxa"/>
              <w:bottom w:w="60" w:type="dxa"/>
              <w:end w:w="70" w:type="dxa"/>
            </w:tcMar>
          </w:tcPr>
          <w:p>
            <w:r/>
            <w:r>
              <w:rPr>
                <w:rFonts w:ascii="Arial" w:hAnsi="Arial"/>
                <w:b/>
                <w:color w:val="000000"/>
                <w:sz w:val="18"/>
              </w:rPr>
              <w:t>Cohort</w:t>
            </w:r>
          </w:p>
        </w:tc>
        <w:tc>
          <w:tcPr>
            <w:tcW w:type="dxa" w:w="4989"/>
            <w:vAlign w:val="center"/>
            <w:tcMar>
              <w:top w:w="60" w:type="dxa"/>
              <w:start w:w="70" w:type="dxa"/>
              <w:bottom w:w="60" w:type="dxa"/>
              <w:end w:w="70" w:type="dxa"/>
            </w:tcMar>
          </w:tcPr>
          <w:p>
            <w:r/>
            <w:r>
              <w:rPr>
                <w:rFonts w:ascii="Arial" w:hAnsi="Arial"/>
                <w:b w:val="0"/>
                <w:color w:val="000000"/>
                <w:sz w:val="18"/>
              </w:rPr>
              <w:t>[Cohort Number]</w:t>
            </w:r>
          </w:p>
        </w:tc>
      </w:tr>
      <w:tr>
        <w:tc>
          <w:tcPr>
            <w:tcW w:type="dxa" w:w="4989"/>
            <w:vAlign w:val="center"/>
            <w:shd w:fill="EAF2F8"/>
            <w:tcMar>
              <w:top w:w="60" w:type="dxa"/>
              <w:start w:w="70" w:type="dxa"/>
              <w:bottom w:w="60" w:type="dxa"/>
              <w:end w:w="70" w:type="dxa"/>
            </w:tcMar>
          </w:tcPr>
          <w:p>
            <w:r/>
            <w:r>
              <w:rPr>
                <w:rFonts w:ascii="Arial" w:hAnsi="Arial"/>
                <w:b/>
                <w:color w:val="000000"/>
                <w:sz w:val="18"/>
              </w:rPr>
              <w:t>Next Review Date</w:t>
            </w:r>
          </w:p>
        </w:tc>
        <w:tc>
          <w:tcPr>
            <w:tcW w:type="dxa" w:w="4989"/>
            <w:vAlign w:val="center"/>
            <w:tcMar>
              <w:top w:w="60" w:type="dxa"/>
              <w:start w:w="70" w:type="dxa"/>
              <w:bottom w:w="60" w:type="dxa"/>
              <w:end w:w="70" w:type="dxa"/>
            </w:tcMar>
          </w:tcPr>
          <w:p>
            <w:r/>
            <w:r>
              <w:rPr>
                <w:rFonts w:ascii="Arial" w:hAnsi="Arial"/>
                <w:b w:val="0"/>
                <w:color w:val="000000"/>
                <w:sz w:val="18"/>
              </w:rPr>
              <w:t>[dd-mm-yy]</w:t>
            </w:r>
          </w:p>
        </w:tc>
      </w:tr>
    </w:tbl>
    <w:p/>
    <w:p>
      <w:pPr>
        <w:spacing w:after="100" w:line="259" w:lineRule="auto"/>
      </w:pPr>
      <w:r>
        <w:t>This document establishes the governance baseline for project risk, ethics and operational safety in ZeroShield AI. It converts the project's research constraints into explicit controls that can be reviewed, evidenced and updated throughout implementation and experimentation.</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2494"/>
        <w:gridCol w:w="2494"/>
        <w:gridCol w:w="2494"/>
        <w:gridCol w:w="2494"/>
      </w:tblGrid>
      <w:tr>
        <w:tc>
          <w:tcPr>
            <w:tcW w:type="dxa" w:w="2494"/>
            <w:vAlign w:val="center"/>
            <w:shd w:fill="EAF2F8"/>
          </w:tcPr>
          <w:p>
            <w:pPr>
              <w:jc w:val="center"/>
            </w:pPr>
            <w:r/>
            <w:r>
              <w:rPr>
                <w:rFonts w:ascii="Arial" w:hAnsi="Arial"/>
                <w:b/>
                <w:color w:val="1F4E78"/>
                <w:sz w:val="32"/>
              </w:rPr>
              <w:t>18</w:t>
            </w:r>
          </w:p>
        </w:tc>
        <w:tc>
          <w:tcPr>
            <w:tcW w:type="dxa" w:w="2494"/>
            <w:vAlign w:val="center"/>
            <w:shd w:fill="EAF2F8"/>
          </w:tcPr>
          <w:p>
            <w:pPr>
              <w:jc w:val="center"/>
            </w:pPr>
            <w:r/>
            <w:r>
              <w:rPr>
                <w:rFonts w:ascii="Arial" w:hAnsi="Arial"/>
                <w:b/>
                <w:color w:val="1F4E78"/>
                <w:sz w:val="32"/>
              </w:rPr>
              <w:t>6</w:t>
            </w:r>
          </w:p>
        </w:tc>
        <w:tc>
          <w:tcPr>
            <w:tcW w:type="dxa" w:w="2494"/>
            <w:vAlign w:val="center"/>
            <w:shd w:fill="EAF2F8"/>
          </w:tcPr>
          <w:p>
            <w:pPr>
              <w:jc w:val="center"/>
            </w:pPr>
            <w:r/>
            <w:r>
              <w:rPr>
                <w:rFonts w:ascii="Arial" w:hAnsi="Arial"/>
                <w:b/>
                <w:color w:val="1F4E78"/>
                <w:sz w:val="32"/>
              </w:rPr>
              <w:t>16</w:t>
            </w:r>
          </w:p>
        </w:tc>
        <w:tc>
          <w:tcPr>
            <w:tcW w:type="dxa" w:w="2494"/>
            <w:vAlign w:val="center"/>
            <w:shd w:fill="EAF2F8"/>
          </w:tcPr>
          <w:p>
            <w:pPr>
              <w:jc w:val="center"/>
            </w:pPr>
            <w:r/>
            <w:r>
              <w:rPr>
                <w:rFonts w:ascii="Arial" w:hAnsi="Arial"/>
                <w:b/>
                <w:color w:val="1F4E78"/>
                <w:sz w:val="32"/>
              </w:rPr>
              <w:t>5</w:t>
            </w:r>
          </w:p>
        </w:tc>
      </w:tr>
      <w:tr>
        <w:tc>
          <w:tcPr>
            <w:tcW w:type="dxa" w:w="2494"/>
            <w:vAlign w:val="center"/>
          </w:tcPr>
          <w:p>
            <w:pPr>
              <w:jc w:val="center"/>
            </w:pPr>
            <w:r/>
            <w:r>
              <w:rPr>
                <w:rFonts w:ascii="Arial" w:hAnsi="Arial"/>
                <w:b/>
                <w:color w:val="000000"/>
                <w:sz w:val="17"/>
              </w:rPr>
              <w:t>Initial risks</w:t>
            </w:r>
          </w:p>
        </w:tc>
        <w:tc>
          <w:tcPr>
            <w:tcW w:type="dxa" w:w="2494"/>
            <w:vAlign w:val="center"/>
          </w:tcPr>
          <w:p>
            <w:pPr>
              <w:jc w:val="center"/>
            </w:pPr>
            <w:r/>
            <w:r>
              <w:rPr>
                <w:rFonts w:ascii="Arial" w:hAnsi="Arial"/>
                <w:b/>
                <w:color w:val="000000"/>
                <w:sz w:val="17"/>
              </w:rPr>
              <w:t>Critical inherent risks</w:t>
            </w:r>
          </w:p>
        </w:tc>
        <w:tc>
          <w:tcPr>
            <w:tcW w:type="dxa" w:w="2494"/>
            <w:vAlign w:val="center"/>
          </w:tcPr>
          <w:p>
            <w:pPr>
              <w:jc w:val="center"/>
            </w:pPr>
            <w:r/>
            <w:r>
              <w:rPr>
                <w:rFonts w:ascii="Arial" w:hAnsi="Arial"/>
                <w:b/>
                <w:color w:val="000000"/>
                <w:sz w:val="17"/>
              </w:rPr>
              <w:t>Ethics/safety assumptions</w:t>
            </w:r>
          </w:p>
        </w:tc>
        <w:tc>
          <w:tcPr>
            <w:tcW w:type="dxa" w:w="2494"/>
            <w:vAlign w:val="center"/>
          </w:tcPr>
          <w:p>
            <w:pPr>
              <w:jc w:val="center"/>
            </w:pPr>
            <w:r/>
            <w:r>
              <w:rPr>
                <w:rFonts w:ascii="Arial" w:hAnsi="Arial"/>
                <w:b/>
                <w:color w:val="000000"/>
                <w:sz w:val="17"/>
              </w:rPr>
              <w:t>Experiment safety gates</w:t>
            </w:r>
          </w:p>
        </w:tc>
      </w:tr>
    </w:tbl>
    <w:p>
      <w:pPr>
        <w:pStyle w:val="Heading1"/>
        <w:keepNext/>
      </w:pPr>
      <w:r>
        <w:t>1. Purpose, Scope and Governance Context</w:t>
      </w:r>
    </w:p>
    <w:p>
      <w:pPr>
        <w:spacing w:after="100" w:line="259" w:lineRule="auto"/>
      </w:pPr>
      <w:r>
        <w:t>ZeroShield AI is a defensive academic research prototype that combines signature-based detection, supervised known-threat classification, novelty detection, evidence correlation, explainability and human-approved temporary containment. The risk and ethics controls in this document apply to the complete research lifecycle: dataset selection, preprocessing, model development, controlled laboratory testing, integration, evaluation, public-repository management and response experiments.</w:t>
      </w:r>
    </w:p>
    <w:p>
      <w:pPr>
        <w:spacing w:after="100" w:line="259" w:lineRule="auto"/>
      </w:pPr>
      <w:r>
        <w:t>The document is a living project-control artefact. Completion of the WBS task means the baseline has been created and version-controlled; it does not mean risks stop being reviewed. New risks, changed scores, mitigation evidence and scope changes should be recorded throughout the FYP.</w:t>
      </w:r>
    </w:p>
    <w:p>
      <w:pPr>
        <w:pStyle w:val="Heading2"/>
        <w:keepNext/>
      </w:pPr>
      <w:r>
        <w:t>1.1 Governance Principles</w:t>
      </w:r>
    </w:p>
    <w:p>
      <w:pPr>
        <w:pStyle w:val="ListBullet"/>
        <w:spacing w:after="40"/>
      </w:pPr>
      <w:r>
        <w:t>Risk decisions should be evidence-led and linked to the research question, project plan or experimental results.</w:t>
      </w:r>
    </w:p>
    <w:p>
      <w:pPr>
        <w:pStyle w:val="ListBullet"/>
        <w:spacing w:after="40"/>
      </w:pPr>
      <w:r>
        <w:t>Critical or safety-sensitive risks are not accepted merely because their numerical score is known; active treatment or stop-work may be required.</w:t>
      </w:r>
    </w:p>
    <w:p>
      <w:pPr>
        <w:pStyle w:val="ListBullet"/>
        <w:spacing w:after="40"/>
      </w:pPr>
      <w:r>
        <w:t>Authorisation boundaries override schedule pressure. If the legitimacy of a target, route, dataset or response action is uncertain, the affected activity must pause.</w:t>
      </w:r>
    </w:p>
    <w:p>
      <w:pPr>
        <w:pStyle w:val="ListBullet"/>
        <w:spacing w:after="40"/>
      </w:pPr>
      <w:r>
        <w:t>Risk history should be preserved. When a decision changes, update or supersede the entry rather than deleting evidence of the earlier state.</w:t>
      </w:r>
    </w:p>
    <w:p>
      <w:pPr>
        <w:pStyle w:val="ListBullet"/>
        <w:spacing w:after="40"/>
      </w:pPr>
      <w:r>
        <w:t>Residual risk is reviewed after planned controls are applied; mitigation does not imply that uncertainty has disappeared.</w:t>
      </w:r>
    </w:p>
    <w:p>
      <w:pPr>
        <w:pStyle w:val="Heading1"/>
        <w:keepNext/>
      </w:pPr>
      <w:r>
        <w:t>2. Risk Assessment Method</w:t>
      </w:r>
    </w:p>
    <w:p>
      <w:pPr>
        <w:spacing w:after="100" w:line="259" w:lineRule="auto"/>
      </w:pPr>
      <w:r>
        <w:t>Each risk is assessed using a five-point Probability (P) scale and a five-point Impact (I) scale. The inherent risk score is P x I before additional treatment. A residual score is then estimated after the planned controls are applied. Scores support prioritisation, but professional judgement and ethics constraints remain decisive.</w:t>
      </w:r>
    </w:p>
    <w:p>
      <w:pPr>
        <w:pStyle w:val="Heading2"/>
        <w:keepNext/>
      </w:pPr>
      <w:r>
        <w:t>2.1 Probability and Impact Scale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326"/>
            <w:vAlign w:val="center"/>
            <w:shd w:fill="1F4E78"/>
          </w:tcPr>
          <w:p>
            <w:pPr>
              <w:jc w:val="center"/>
            </w:pPr>
            <w:r/>
            <w:r>
              <w:rPr>
                <w:rFonts w:ascii="Arial" w:hAnsi="Arial"/>
                <w:b/>
                <w:color w:val="FFFFFF"/>
                <w:sz w:val="17"/>
              </w:rPr>
              <w:t>Score</w:t>
            </w:r>
          </w:p>
        </w:tc>
        <w:tc>
          <w:tcPr>
            <w:tcW w:type="dxa" w:w="3326"/>
            <w:vAlign w:val="center"/>
            <w:shd w:fill="1F4E78"/>
          </w:tcPr>
          <w:p>
            <w:pPr>
              <w:jc w:val="center"/>
            </w:pPr>
            <w:r/>
            <w:r>
              <w:rPr>
                <w:rFonts w:ascii="Arial" w:hAnsi="Arial"/>
                <w:b/>
                <w:color w:val="FFFFFF"/>
                <w:sz w:val="17"/>
              </w:rPr>
              <w:t>Probability</w:t>
            </w:r>
          </w:p>
        </w:tc>
        <w:tc>
          <w:tcPr>
            <w:tcW w:type="dxa" w:w="3326"/>
            <w:vAlign w:val="center"/>
            <w:shd w:fill="1F4E78"/>
          </w:tcPr>
          <w:p>
            <w:pPr>
              <w:jc w:val="center"/>
            </w:pPr>
            <w:r/>
            <w:r>
              <w:rPr>
                <w:rFonts w:ascii="Arial" w:hAnsi="Arial"/>
                <w:b/>
                <w:color w:val="FFFFFF"/>
                <w:sz w:val="17"/>
              </w:rPr>
              <w:t>Impact</w:t>
            </w:r>
          </w:p>
        </w:tc>
      </w:tr>
      <w:tr>
        <w:tc>
          <w:tcPr>
            <w:tcW w:type="dxa" w:w="3326"/>
            <w:vAlign w:val="center"/>
            <w:tcMar>
              <w:top w:w="60" w:type="dxa"/>
              <w:start w:w="70" w:type="dxa"/>
              <w:bottom w:w="60" w:type="dxa"/>
              <w:end w:w="70" w:type="dxa"/>
            </w:tcMar>
          </w:tcPr>
          <w:p>
            <w:pPr>
              <w:jc w:val="center"/>
            </w:pPr>
            <w:r/>
            <w:r>
              <w:rPr>
                <w:rFonts w:ascii="Arial" w:hAnsi="Arial"/>
                <w:b w:val="0"/>
                <w:color w:val="000000"/>
                <w:sz w:val="16"/>
              </w:rPr>
              <w:t>1</w:t>
            </w:r>
          </w:p>
        </w:tc>
        <w:tc>
          <w:tcPr>
            <w:tcW w:type="dxa" w:w="3326"/>
            <w:vAlign w:val="center"/>
            <w:tcMar>
              <w:top w:w="60" w:type="dxa"/>
              <w:start w:w="70" w:type="dxa"/>
              <w:bottom w:w="60" w:type="dxa"/>
              <w:end w:w="70" w:type="dxa"/>
            </w:tcMar>
          </w:tcPr>
          <w:p>
            <w:r/>
            <w:r>
              <w:rPr>
                <w:rFonts w:ascii="Arial" w:hAnsi="Arial"/>
                <w:b w:val="0"/>
                <w:color w:val="000000"/>
                <w:sz w:val="16"/>
              </w:rPr>
              <w:t>Rare / unlikely</w:t>
            </w:r>
          </w:p>
        </w:tc>
        <w:tc>
          <w:tcPr>
            <w:tcW w:type="dxa" w:w="3326"/>
            <w:vAlign w:val="center"/>
            <w:tcMar>
              <w:top w:w="60" w:type="dxa"/>
              <w:start w:w="70" w:type="dxa"/>
              <w:bottom w:w="60" w:type="dxa"/>
              <w:end w:w="70" w:type="dxa"/>
            </w:tcMar>
          </w:tcPr>
          <w:p>
            <w:r/>
            <w:r>
              <w:rPr>
                <w:rFonts w:ascii="Arial" w:hAnsi="Arial"/>
                <w:b w:val="0"/>
                <w:color w:val="000000"/>
                <w:sz w:val="16"/>
              </w:rPr>
              <w:t>Negligible effect on project</w:t>
            </w:r>
          </w:p>
        </w:tc>
      </w:tr>
      <w:tr>
        <w:tc>
          <w:tcPr>
            <w:tcW w:type="dxa" w:w="3326"/>
            <w:vAlign w:val="center"/>
            <w:tcMar>
              <w:top w:w="60" w:type="dxa"/>
              <w:start w:w="70" w:type="dxa"/>
              <w:bottom w:w="60" w:type="dxa"/>
              <w:end w:w="70" w:type="dxa"/>
            </w:tcMar>
          </w:tcPr>
          <w:p>
            <w:pPr>
              <w:jc w:val="center"/>
            </w:pPr>
            <w:r/>
            <w:r>
              <w:rPr>
                <w:rFonts w:ascii="Arial" w:hAnsi="Arial"/>
                <w:b w:val="0"/>
                <w:color w:val="000000"/>
                <w:sz w:val="16"/>
              </w:rPr>
              <w:t>2</w:t>
            </w:r>
          </w:p>
        </w:tc>
        <w:tc>
          <w:tcPr>
            <w:tcW w:type="dxa" w:w="3326"/>
            <w:vAlign w:val="center"/>
            <w:tcMar>
              <w:top w:w="60" w:type="dxa"/>
              <w:start w:w="70" w:type="dxa"/>
              <w:bottom w:w="60" w:type="dxa"/>
              <w:end w:w="70" w:type="dxa"/>
            </w:tcMar>
          </w:tcPr>
          <w:p>
            <w:r/>
            <w:r>
              <w:rPr>
                <w:rFonts w:ascii="Arial" w:hAnsi="Arial"/>
                <w:b w:val="0"/>
                <w:color w:val="000000"/>
                <w:sz w:val="16"/>
              </w:rPr>
              <w:t>Unlikely</w:t>
            </w:r>
          </w:p>
        </w:tc>
        <w:tc>
          <w:tcPr>
            <w:tcW w:type="dxa" w:w="3326"/>
            <w:vAlign w:val="center"/>
            <w:tcMar>
              <w:top w:w="60" w:type="dxa"/>
              <w:start w:w="70" w:type="dxa"/>
              <w:bottom w:w="60" w:type="dxa"/>
              <w:end w:w="70" w:type="dxa"/>
            </w:tcMar>
          </w:tcPr>
          <w:p>
            <w:r/>
            <w:r>
              <w:rPr>
                <w:rFonts w:ascii="Arial" w:hAnsi="Arial"/>
                <w:b w:val="0"/>
                <w:color w:val="000000"/>
                <w:sz w:val="16"/>
              </w:rPr>
              <w:t>Minor rework or short delay</w:t>
            </w:r>
          </w:p>
        </w:tc>
      </w:tr>
      <w:tr>
        <w:tc>
          <w:tcPr>
            <w:tcW w:type="dxa" w:w="3326"/>
            <w:vAlign w:val="center"/>
            <w:tcMar>
              <w:top w:w="60" w:type="dxa"/>
              <w:start w:w="70" w:type="dxa"/>
              <w:bottom w:w="60" w:type="dxa"/>
              <w:end w:w="70" w:type="dxa"/>
            </w:tcMar>
          </w:tcPr>
          <w:p>
            <w:pPr>
              <w:jc w:val="center"/>
            </w:pPr>
            <w:r/>
            <w:r>
              <w:rPr>
                <w:rFonts w:ascii="Arial" w:hAnsi="Arial"/>
                <w:b w:val="0"/>
                <w:color w:val="000000"/>
                <w:sz w:val="16"/>
              </w:rPr>
              <w:t>3</w:t>
            </w:r>
          </w:p>
        </w:tc>
        <w:tc>
          <w:tcPr>
            <w:tcW w:type="dxa" w:w="3326"/>
            <w:vAlign w:val="center"/>
            <w:tcMar>
              <w:top w:w="60" w:type="dxa"/>
              <w:start w:w="70" w:type="dxa"/>
              <w:bottom w:w="60" w:type="dxa"/>
              <w:end w:w="70" w:type="dxa"/>
            </w:tcMar>
          </w:tcPr>
          <w:p>
            <w:r/>
            <w:r>
              <w:rPr>
                <w:rFonts w:ascii="Arial" w:hAnsi="Arial"/>
                <w:b w:val="0"/>
                <w:color w:val="000000"/>
                <w:sz w:val="16"/>
              </w:rPr>
              <w:t>Possible</w:t>
            </w:r>
          </w:p>
        </w:tc>
        <w:tc>
          <w:tcPr>
            <w:tcW w:type="dxa" w:w="3326"/>
            <w:vAlign w:val="center"/>
            <w:tcMar>
              <w:top w:w="60" w:type="dxa"/>
              <w:start w:w="70" w:type="dxa"/>
              <w:bottom w:w="60" w:type="dxa"/>
              <w:end w:w="70" w:type="dxa"/>
            </w:tcMar>
          </w:tcPr>
          <w:p>
            <w:r/>
            <w:r>
              <w:rPr>
                <w:rFonts w:ascii="Arial" w:hAnsi="Arial"/>
                <w:b w:val="0"/>
                <w:color w:val="000000"/>
                <w:sz w:val="16"/>
              </w:rPr>
              <w:t>Moderate effect requiring planned response</w:t>
            </w:r>
          </w:p>
        </w:tc>
      </w:tr>
      <w:tr>
        <w:tc>
          <w:tcPr>
            <w:tcW w:type="dxa" w:w="3326"/>
            <w:vAlign w:val="center"/>
            <w:tcMar>
              <w:top w:w="60" w:type="dxa"/>
              <w:start w:w="70" w:type="dxa"/>
              <w:bottom w:w="60" w:type="dxa"/>
              <w:end w:w="70" w:type="dxa"/>
            </w:tcMar>
          </w:tcPr>
          <w:p>
            <w:pPr>
              <w:jc w:val="center"/>
            </w:pPr>
            <w:r/>
            <w:r>
              <w:rPr>
                <w:rFonts w:ascii="Arial" w:hAnsi="Arial"/>
                <w:b w:val="0"/>
                <w:color w:val="000000"/>
                <w:sz w:val="16"/>
              </w:rPr>
              <w:t>4</w:t>
            </w:r>
          </w:p>
        </w:tc>
        <w:tc>
          <w:tcPr>
            <w:tcW w:type="dxa" w:w="3326"/>
            <w:vAlign w:val="center"/>
            <w:tcMar>
              <w:top w:w="60" w:type="dxa"/>
              <w:start w:w="70" w:type="dxa"/>
              <w:bottom w:w="60" w:type="dxa"/>
              <w:end w:w="70" w:type="dxa"/>
            </w:tcMar>
          </w:tcPr>
          <w:p>
            <w:r/>
            <w:r>
              <w:rPr>
                <w:rFonts w:ascii="Arial" w:hAnsi="Arial"/>
                <w:b w:val="0"/>
                <w:color w:val="000000"/>
                <w:sz w:val="16"/>
              </w:rPr>
              <w:t>Likely</w:t>
            </w:r>
          </w:p>
        </w:tc>
        <w:tc>
          <w:tcPr>
            <w:tcW w:type="dxa" w:w="3326"/>
            <w:vAlign w:val="center"/>
            <w:tcMar>
              <w:top w:w="60" w:type="dxa"/>
              <w:start w:w="70" w:type="dxa"/>
              <w:bottom w:w="60" w:type="dxa"/>
              <w:end w:w="70" w:type="dxa"/>
            </w:tcMar>
          </w:tcPr>
          <w:p>
            <w:r/>
            <w:r>
              <w:rPr>
                <w:rFonts w:ascii="Arial" w:hAnsi="Arial"/>
                <w:b w:val="0"/>
                <w:color w:val="000000"/>
                <w:sz w:val="16"/>
              </w:rPr>
              <w:t>Major effect on quality, schedule, validity or safety</w:t>
            </w:r>
          </w:p>
        </w:tc>
      </w:tr>
      <w:tr>
        <w:tc>
          <w:tcPr>
            <w:tcW w:type="dxa" w:w="3326"/>
            <w:vAlign w:val="center"/>
            <w:tcMar>
              <w:top w:w="60" w:type="dxa"/>
              <w:start w:w="70" w:type="dxa"/>
              <w:bottom w:w="60" w:type="dxa"/>
              <w:end w:w="70" w:type="dxa"/>
            </w:tcMar>
          </w:tcPr>
          <w:p>
            <w:pPr>
              <w:jc w:val="center"/>
            </w:pPr>
            <w:r/>
            <w:r>
              <w:rPr>
                <w:rFonts w:ascii="Arial" w:hAnsi="Arial"/>
                <w:b w:val="0"/>
                <w:color w:val="000000"/>
                <w:sz w:val="16"/>
              </w:rPr>
              <w:t>5</w:t>
            </w:r>
          </w:p>
        </w:tc>
        <w:tc>
          <w:tcPr>
            <w:tcW w:type="dxa" w:w="3326"/>
            <w:vAlign w:val="center"/>
            <w:tcMar>
              <w:top w:w="60" w:type="dxa"/>
              <w:start w:w="70" w:type="dxa"/>
              <w:bottom w:w="60" w:type="dxa"/>
              <w:end w:w="70" w:type="dxa"/>
            </w:tcMar>
          </w:tcPr>
          <w:p>
            <w:r/>
            <w:r>
              <w:rPr>
                <w:rFonts w:ascii="Arial" w:hAnsi="Arial"/>
                <w:b w:val="0"/>
                <w:color w:val="000000"/>
                <w:sz w:val="16"/>
              </w:rPr>
              <w:t>Very likely</w:t>
            </w:r>
          </w:p>
        </w:tc>
        <w:tc>
          <w:tcPr>
            <w:tcW w:type="dxa" w:w="3326"/>
            <w:vAlign w:val="center"/>
            <w:tcMar>
              <w:top w:w="60" w:type="dxa"/>
              <w:start w:w="70" w:type="dxa"/>
              <w:bottom w:w="60" w:type="dxa"/>
              <w:end w:w="70" w:type="dxa"/>
            </w:tcMar>
          </w:tcPr>
          <w:p>
            <w:r/>
            <w:r>
              <w:rPr>
                <w:rFonts w:ascii="Arial" w:hAnsi="Arial"/>
                <w:b w:val="0"/>
                <w:color w:val="000000"/>
                <w:sz w:val="16"/>
              </w:rPr>
              <w:t>Severe effect threatening validity, completion, authorisation or safety</w:t>
            </w:r>
          </w:p>
        </w:tc>
      </w:tr>
    </w:tbl>
    <w:p>
      <w:pPr>
        <w:pStyle w:val="Heading2"/>
        <w:keepNext/>
      </w:pPr>
      <w:r>
        <w:t>2.2 Severity and Required Treatment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326"/>
            <w:vAlign w:val="center"/>
            <w:shd w:fill="1F4E78"/>
          </w:tcPr>
          <w:p>
            <w:pPr>
              <w:jc w:val="center"/>
            </w:pPr>
            <w:r/>
            <w:r>
              <w:rPr>
                <w:rFonts w:ascii="Arial" w:hAnsi="Arial"/>
                <w:b/>
                <w:color w:val="FFFFFF"/>
                <w:sz w:val="17"/>
              </w:rPr>
              <w:t>Score</w:t>
            </w:r>
          </w:p>
        </w:tc>
        <w:tc>
          <w:tcPr>
            <w:tcW w:type="dxa" w:w="3326"/>
            <w:vAlign w:val="center"/>
            <w:shd w:fill="1F4E78"/>
          </w:tcPr>
          <w:p>
            <w:pPr>
              <w:jc w:val="center"/>
            </w:pPr>
            <w:r/>
            <w:r>
              <w:rPr>
                <w:rFonts w:ascii="Arial" w:hAnsi="Arial"/>
                <w:b/>
                <w:color w:val="FFFFFF"/>
                <w:sz w:val="17"/>
              </w:rPr>
              <w:t>Severity</w:t>
            </w:r>
          </w:p>
        </w:tc>
        <w:tc>
          <w:tcPr>
            <w:tcW w:type="dxa" w:w="3326"/>
            <w:vAlign w:val="center"/>
            <w:shd w:fill="1F4E78"/>
          </w:tcPr>
          <w:p>
            <w:pPr>
              <w:jc w:val="center"/>
            </w:pPr>
            <w:r/>
            <w:r>
              <w:rPr>
                <w:rFonts w:ascii="Arial" w:hAnsi="Arial"/>
                <w:b/>
                <w:color w:val="FFFFFF"/>
                <w:sz w:val="17"/>
              </w:rPr>
              <w:t>Required Treatment</w:t>
            </w:r>
          </w:p>
        </w:tc>
      </w:tr>
      <w:tr>
        <w:tc>
          <w:tcPr>
            <w:tcW w:type="dxa" w:w="3326"/>
            <w:vAlign w:val="center"/>
          </w:tcPr>
          <w:p>
            <w:pPr>
              <w:jc w:val="center"/>
            </w:pPr>
            <w:r/>
            <w:r>
              <w:rPr>
                <w:rFonts w:ascii="Arial" w:hAnsi="Arial"/>
                <w:b/>
                <w:color w:val="000000"/>
                <w:sz w:val="17"/>
              </w:rPr>
              <w:t>1-4</w:t>
            </w:r>
          </w:p>
        </w:tc>
        <w:tc>
          <w:tcPr>
            <w:tcW w:type="dxa" w:w="3326"/>
            <w:vAlign w:val="center"/>
            <w:shd w:fill="E2F0D9"/>
          </w:tcPr>
          <w:p>
            <w:pPr>
              <w:jc w:val="center"/>
            </w:pPr>
            <w:r/>
            <w:r>
              <w:rPr>
                <w:rFonts w:ascii="Arial" w:hAnsi="Arial"/>
                <w:b/>
                <w:color w:val="000000"/>
                <w:sz w:val="17"/>
              </w:rPr>
              <w:t>Low</w:t>
            </w:r>
          </w:p>
        </w:tc>
        <w:tc>
          <w:tcPr>
            <w:tcW w:type="dxa" w:w="3326"/>
            <w:vAlign w:val="center"/>
          </w:tcPr>
          <w:p>
            <w:r/>
            <w:r>
              <w:rPr>
                <w:rFonts w:ascii="Arial" w:hAnsi="Arial"/>
                <w:b w:val="0"/>
                <w:color w:val="000000"/>
                <w:sz w:val="16"/>
              </w:rPr>
              <w:t>Monitor through normal project controls.</w:t>
            </w:r>
          </w:p>
        </w:tc>
      </w:tr>
      <w:tr>
        <w:tc>
          <w:tcPr>
            <w:tcW w:type="dxa" w:w="3326"/>
            <w:vAlign w:val="center"/>
          </w:tcPr>
          <w:p>
            <w:pPr>
              <w:jc w:val="center"/>
            </w:pPr>
            <w:r/>
            <w:r>
              <w:rPr>
                <w:rFonts w:ascii="Arial" w:hAnsi="Arial"/>
                <w:b/>
                <w:color w:val="000000"/>
                <w:sz w:val="17"/>
              </w:rPr>
              <w:t>5-9</w:t>
            </w:r>
          </w:p>
        </w:tc>
        <w:tc>
          <w:tcPr>
            <w:tcW w:type="dxa" w:w="3326"/>
            <w:vAlign w:val="center"/>
            <w:shd w:fill="FFF2CC"/>
          </w:tcPr>
          <w:p>
            <w:pPr>
              <w:jc w:val="center"/>
            </w:pPr>
            <w:r/>
            <w:r>
              <w:rPr>
                <w:rFonts w:ascii="Arial" w:hAnsi="Arial"/>
                <w:b/>
                <w:color w:val="000000"/>
                <w:sz w:val="17"/>
              </w:rPr>
              <w:t>Medium</w:t>
            </w:r>
          </w:p>
        </w:tc>
        <w:tc>
          <w:tcPr>
            <w:tcW w:type="dxa" w:w="3326"/>
            <w:vAlign w:val="center"/>
          </w:tcPr>
          <w:p>
            <w:r/>
            <w:r>
              <w:rPr>
                <w:rFonts w:ascii="Arial" w:hAnsi="Arial"/>
                <w:b w:val="0"/>
                <w:color w:val="000000"/>
                <w:sz w:val="16"/>
              </w:rPr>
              <w:t>Assign treatment and review periodically.</w:t>
            </w:r>
          </w:p>
        </w:tc>
      </w:tr>
      <w:tr>
        <w:tc>
          <w:tcPr>
            <w:tcW w:type="dxa" w:w="3326"/>
            <w:vAlign w:val="center"/>
          </w:tcPr>
          <w:p>
            <w:pPr>
              <w:jc w:val="center"/>
            </w:pPr>
            <w:r/>
            <w:r>
              <w:rPr>
                <w:rFonts w:ascii="Arial" w:hAnsi="Arial"/>
                <w:b/>
                <w:color w:val="000000"/>
                <w:sz w:val="17"/>
              </w:rPr>
              <w:t>10-15</w:t>
            </w:r>
          </w:p>
        </w:tc>
        <w:tc>
          <w:tcPr>
            <w:tcW w:type="dxa" w:w="3326"/>
            <w:vAlign w:val="center"/>
            <w:shd w:fill="FCE4D6"/>
          </w:tcPr>
          <w:p>
            <w:pPr>
              <w:jc w:val="center"/>
            </w:pPr>
            <w:r/>
            <w:r>
              <w:rPr>
                <w:rFonts w:ascii="Arial" w:hAnsi="Arial"/>
                <w:b/>
                <w:color w:val="000000"/>
                <w:sz w:val="17"/>
              </w:rPr>
              <w:t>High</w:t>
            </w:r>
          </w:p>
        </w:tc>
        <w:tc>
          <w:tcPr>
            <w:tcW w:type="dxa" w:w="3326"/>
            <w:vAlign w:val="center"/>
          </w:tcPr>
          <w:p>
            <w:r/>
            <w:r>
              <w:rPr>
                <w:rFonts w:ascii="Arial" w:hAnsi="Arial"/>
                <w:b w:val="0"/>
                <w:color w:val="000000"/>
                <w:sz w:val="16"/>
              </w:rPr>
              <w:t>Actively mitigate, retain evidence and review at milestones.</w:t>
            </w:r>
          </w:p>
        </w:tc>
      </w:tr>
      <w:tr>
        <w:tc>
          <w:tcPr>
            <w:tcW w:type="dxa" w:w="3326"/>
            <w:vAlign w:val="center"/>
          </w:tcPr>
          <w:p>
            <w:pPr>
              <w:jc w:val="center"/>
            </w:pPr>
            <w:r/>
            <w:r>
              <w:rPr>
                <w:rFonts w:ascii="Arial" w:hAnsi="Arial"/>
                <w:b/>
                <w:color w:val="000000"/>
                <w:sz w:val="17"/>
              </w:rPr>
              <w:t>16-25</w:t>
            </w:r>
          </w:p>
        </w:tc>
        <w:tc>
          <w:tcPr>
            <w:tcW w:type="dxa" w:w="3326"/>
            <w:vAlign w:val="center"/>
            <w:shd w:fill="F4CCCC"/>
          </w:tcPr>
          <w:p>
            <w:pPr>
              <w:jc w:val="center"/>
            </w:pPr>
            <w:r/>
            <w:r>
              <w:rPr>
                <w:rFonts w:ascii="Arial" w:hAnsi="Arial"/>
                <w:b/>
                <w:color w:val="000000"/>
                <w:sz w:val="17"/>
              </w:rPr>
              <w:t>Critical</w:t>
            </w:r>
          </w:p>
        </w:tc>
        <w:tc>
          <w:tcPr>
            <w:tcW w:type="dxa" w:w="3326"/>
            <w:vAlign w:val="center"/>
          </w:tcPr>
          <w:p>
            <w:r/>
            <w:r>
              <w:rPr>
                <w:rFonts w:ascii="Arial" w:hAnsi="Arial"/>
                <w:b w:val="0"/>
                <w:color w:val="000000"/>
                <w:sz w:val="16"/>
              </w:rPr>
              <w:t>Prioritise treatment; reduce scope or stop the affected activity if validity/safety is at risk.</w:t>
            </w:r>
          </w:p>
        </w:tc>
      </w:tr>
    </w:tbl>
    <w:p>
      <w:pPr>
        <w:pStyle w:val="Heading2"/>
        <w:keepNext/>
      </w:pPr>
      <w:r>
        <w:t>2.3 5 x 5 Risk Matrix</w:t>
      </w:r>
    </w:p>
    <w:tbl>
      <w:tblPr>
        <w:tblW w:type="auto" w:w="0"/>
        <w:jc w:val="center"/>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1663"/>
        <w:gridCol w:w="1663"/>
        <w:gridCol w:w="1663"/>
        <w:gridCol w:w="1663"/>
        <w:gridCol w:w="1663"/>
        <w:gridCol w:w="1663"/>
      </w:tblGrid>
      <w:tr>
        <w:tc>
          <w:tcPr>
            <w:tcW w:type="dxa" w:w="1663"/>
            <w:vAlign w:val="center"/>
            <w:shd w:fill="1F4E78"/>
          </w:tcPr>
          <w:p>
            <w:pPr>
              <w:jc w:val="center"/>
            </w:pPr>
            <w:r/>
            <w:r>
              <w:rPr>
                <w:rFonts w:ascii="Arial" w:hAnsi="Arial"/>
                <w:b/>
                <w:color w:val="FFFFFF"/>
                <w:sz w:val="16"/>
              </w:rPr>
              <w:t>P \ I</w:t>
            </w:r>
          </w:p>
        </w:tc>
        <w:tc>
          <w:tcPr>
            <w:tcW w:type="dxa" w:w="1663"/>
            <w:vAlign w:val="center"/>
            <w:shd w:fill="1F4E78"/>
          </w:tcPr>
          <w:p>
            <w:pPr>
              <w:jc w:val="center"/>
            </w:pPr>
            <w:r/>
            <w:r>
              <w:rPr>
                <w:rFonts w:ascii="Arial" w:hAnsi="Arial"/>
                <w:b/>
                <w:color w:val="FFFFFF"/>
                <w:sz w:val="16"/>
              </w:rPr>
              <w:t>1</w:t>
            </w:r>
          </w:p>
        </w:tc>
        <w:tc>
          <w:tcPr>
            <w:tcW w:type="dxa" w:w="1663"/>
            <w:vAlign w:val="center"/>
            <w:shd w:fill="1F4E78"/>
          </w:tcPr>
          <w:p>
            <w:pPr>
              <w:jc w:val="center"/>
            </w:pPr>
            <w:r/>
            <w:r>
              <w:rPr>
                <w:rFonts w:ascii="Arial" w:hAnsi="Arial"/>
                <w:b/>
                <w:color w:val="FFFFFF"/>
                <w:sz w:val="16"/>
              </w:rPr>
              <w:t>2</w:t>
            </w:r>
          </w:p>
        </w:tc>
        <w:tc>
          <w:tcPr>
            <w:tcW w:type="dxa" w:w="1663"/>
            <w:vAlign w:val="center"/>
            <w:shd w:fill="1F4E78"/>
          </w:tcPr>
          <w:p>
            <w:pPr>
              <w:jc w:val="center"/>
            </w:pPr>
            <w:r/>
            <w:r>
              <w:rPr>
                <w:rFonts w:ascii="Arial" w:hAnsi="Arial"/>
                <w:b/>
                <w:color w:val="FFFFFF"/>
                <w:sz w:val="16"/>
              </w:rPr>
              <w:t>3</w:t>
            </w:r>
          </w:p>
        </w:tc>
        <w:tc>
          <w:tcPr>
            <w:tcW w:type="dxa" w:w="1663"/>
            <w:vAlign w:val="center"/>
            <w:shd w:fill="1F4E78"/>
          </w:tcPr>
          <w:p>
            <w:pPr>
              <w:jc w:val="center"/>
            </w:pPr>
            <w:r/>
            <w:r>
              <w:rPr>
                <w:rFonts w:ascii="Arial" w:hAnsi="Arial"/>
                <w:b/>
                <w:color w:val="FFFFFF"/>
                <w:sz w:val="16"/>
              </w:rPr>
              <w:t>4</w:t>
            </w:r>
          </w:p>
        </w:tc>
        <w:tc>
          <w:tcPr>
            <w:tcW w:type="dxa" w:w="1663"/>
            <w:vAlign w:val="center"/>
            <w:shd w:fill="1F4E78"/>
          </w:tcPr>
          <w:p>
            <w:pPr>
              <w:jc w:val="center"/>
            </w:pPr>
            <w:r/>
            <w:r>
              <w:rPr>
                <w:rFonts w:ascii="Arial" w:hAnsi="Arial"/>
                <w:b/>
                <w:color w:val="FFFFFF"/>
                <w:sz w:val="16"/>
              </w:rPr>
              <w:t>5</w:t>
            </w:r>
          </w:p>
        </w:tc>
      </w:tr>
      <w:tr>
        <w:tc>
          <w:tcPr>
            <w:tcW w:type="dxa" w:w="1663"/>
            <w:vAlign w:val="center"/>
            <w:shd w:fill="1F4E78"/>
          </w:tcPr>
          <w:p>
            <w:pPr>
              <w:jc w:val="center"/>
            </w:pPr>
            <w:r/>
            <w:r>
              <w:rPr>
                <w:rFonts w:ascii="Arial" w:hAnsi="Arial"/>
                <w:b/>
                <w:color w:val="FFFFFF"/>
                <w:sz w:val="16"/>
              </w:rPr>
              <w:t>5</w:t>
            </w:r>
          </w:p>
        </w:tc>
        <w:tc>
          <w:tcPr>
            <w:tcW w:type="dxa" w:w="1663"/>
            <w:vAlign w:val="center"/>
            <w:shd w:fill="FFF2CC"/>
          </w:tcPr>
          <w:p>
            <w:pPr>
              <w:jc w:val="center"/>
            </w:pPr>
            <w:r/>
            <w:r>
              <w:rPr>
                <w:rFonts w:ascii="Arial" w:hAnsi="Arial"/>
                <w:b/>
                <w:color w:val="000000"/>
                <w:sz w:val="14"/>
              </w:rPr>
              <w:t>5</w:t>
              <w:br/>
              <w:t>Medium</w:t>
            </w:r>
          </w:p>
        </w:tc>
        <w:tc>
          <w:tcPr>
            <w:tcW w:type="dxa" w:w="1663"/>
            <w:vAlign w:val="center"/>
            <w:shd w:fill="FCE4D6"/>
          </w:tcPr>
          <w:p>
            <w:pPr>
              <w:jc w:val="center"/>
            </w:pPr>
            <w:r/>
            <w:r>
              <w:rPr>
                <w:rFonts w:ascii="Arial" w:hAnsi="Arial"/>
                <w:b/>
                <w:color w:val="000000"/>
                <w:sz w:val="14"/>
              </w:rPr>
              <w:t>10</w:t>
              <w:br/>
              <w:t>High</w:t>
            </w:r>
          </w:p>
        </w:tc>
        <w:tc>
          <w:tcPr>
            <w:tcW w:type="dxa" w:w="1663"/>
            <w:vAlign w:val="center"/>
            <w:shd w:fill="FCE4D6"/>
          </w:tcPr>
          <w:p>
            <w:pPr>
              <w:jc w:val="center"/>
            </w:pPr>
            <w:r/>
            <w:r>
              <w:rPr>
                <w:rFonts w:ascii="Arial" w:hAnsi="Arial"/>
                <w:b/>
                <w:color w:val="000000"/>
                <w:sz w:val="14"/>
              </w:rPr>
              <w:t>15</w:t>
              <w:br/>
              <w:t>High</w:t>
            </w:r>
          </w:p>
        </w:tc>
        <w:tc>
          <w:tcPr>
            <w:tcW w:type="dxa" w:w="1663"/>
            <w:vAlign w:val="center"/>
            <w:shd w:fill="F4CCCC"/>
          </w:tcPr>
          <w:p>
            <w:pPr>
              <w:jc w:val="center"/>
            </w:pPr>
            <w:r/>
            <w:r>
              <w:rPr>
                <w:rFonts w:ascii="Arial" w:hAnsi="Arial"/>
                <w:b/>
                <w:color w:val="000000"/>
                <w:sz w:val="14"/>
              </w:rPr>
              <w:t>20</w:t>
              <w:br/>
              <w:t>Critical</w:t>
            </w:r>
          </w:p>
        </w:tc>
        <w:tc>
          <w:tcPr>
            <w:tcW w:type="dxa" w:w="1663"/>
            <w:vAlign w:val="center"/>
            <w:shd w:fill="F4CCCC"/>
          </w:tcPr>
          <w:p>
            <w:pPr>
              <w:jc w:val="center"/>
            </w:pPr>
            <w:r/>
            <w:r>
              <w:rPr>
                <w:rFonts w:ascii="Arial" w:hAnsi="Arial"/>
                <w:b/>
                <w:color w:val="000000"/>
                <w:sz w:val="14"/>
              </w:rPr>
              <w:t>25</w:t>
              <w:br/>
              <w:t>Critical</w:t>
            </w:r>
          </w:p>
        </w:tc>
      </w:tr>
      <w:tr>
        <w:tc>
          <w:tcPr>
            <w:tcW w:type="dxa" w:w="1663"/>
            <w:vAlign w:val="center"/>
            <w:shd w:fill="1F4E78"/>
          </w:tcPr>
          <w:p>
            <w:pPr>
              <w:jc w:val="center"/>
            </w:pPr>
            <w:r/>
            <w:r>
              <w:rPr>
                <w:rFonts w:ascii="Arial" w:hAnsi="Arial"/>
                <w:b/>
                <w:color w:val="FFFFFF"/>
                <w:sz w:val="16"/>
              </w:rPr>
              <w:t>4</w:t>
            </w:r>
          </w:p>
        </w:tc>
        <w:tc>
          <w:tcPr>
            <w:tcW w:type="dxa" w:w="1663"/>
            <w:vAlign w:val="center"/>
            <w:shd w:fill="E2F0D9"/>
          </w:tcPr>
          <w:p>
            <w:pPr>
              <w:jc w:val="center"/>
            </w:pPr>
            <w:r/>
            <w:r>
              <w:rPr>
                <w:rFonts w:ascii="Arial" w:hAnsi="Arial"/>
                <w:b/>
                <w:color w:val="000000"/>
                <w:sz w:val="14"/>
              </w:rPr>
              <w:t>4</w:t>
              <w:br/>
              <w:t>Low</w:t>
            </w:r>
          </w:p>
        </w:tc>
        <w:tc>
          <w:tcPr>
            <w:tcW w:type="dxa" w:w="1663"/>
            <w:vAlign w:val="center"/>
            <w:shd w:fill="FFF2CC"/>
          </w:tcPr>
          <w:p>
            <w:pPr>
              <w:jc w:val="center"/>
            </w:pPr>
            <w:r/>
            <w:r>
              <w:rPr>
                <w:rFonts w:ascii="Arial" w:hAnsi="Arial"/>
                <w:b/>
                <w:color w:val="000000"/>
                <w:sz w:val="14"/>
              </w:rPr>
              <w:t>8</w:t>
              <w:br/>
              <w:t>Medium</w:t>
            </w:r>
          </w:p>
        </w:tc>
        <w:tc>
          <w:tcPr>
            <w:tcW w:type="dxa" w:w="1663"/>
            <w:vAlign w:val="center"/>
            <w:shd w:fill="FCE4D6"/>
          </w:tcPr>
          <w:p>
            <w:pPr>
              <w:jc w:val="center"/>
            </w:pPr>
            <w:r/>
            <w:r>
              <w:rPr>
                <w:rFonts w:ascii="Arial" w:hAnsi="Arial"/>
                <w:b/>
                <w:color w:val="000000"/>
                <w:sz w:val="14"/>
              </w:rPr>
              <w:t>12</w:t>
              <w:br/>
              <w:t>High</w:t>
            </w:r>
          </w:p>
        </w:tc>
        <w:tc>
          <w:tcPr>
            <w:tcW w:type="dxa" w:w="1663"/>
            <w:vAlign w:val="center"/>
            <w:shd w:fill="F4CCCC"/>
          </w:tcPr>
          <w:p>
            <w:pPr>
              <w:jc w:val="center"/>
            </w:pPr>
            <w:r/>
            <w:r>
              <w:rPr>
                <w:rFonts w:ascii="Arial" w:hAnsi="Arial"/>
                <w:b/>
                <w:color w:val="000000"/>
                <w:sz w:val="14"/>
              </w:rPr>
              <w:t>16</w:t>
              <w:br/>
              <w:t>Critical</w:t>
            </w:r>
          </w:p>
        </w:tc>
        <w:tc>
          <w:tcPr>
            <w:tcW w:type="dxa" w:w="1663"/>
            <w:vAlign w:val="center"/>
            <w:shd w:fill="F4CCCC"/>
          </w:tcPr>
          <w:p>
            <w:pPr>
              <w:jc w:val="center"/>
            </w:pPr>
            <w:r/>
            <w:r>
              <w:rPr>
                <w:rFonts w:ascii="Arial" w:hAnsi="Arial"/>
                <w:b/>
                <w:color w:val="000000"/>
                <w:sz w:val="14"/>
              </w:rPr>
              <w:t>20</w:t>
              <w:br/>
              <w:t>Critical</w:t>
            </w:r>
          </w:p>
        </w:tc>
      </w:tr>
      <w:tr>
        <w:tc>
          <w:tcPr>
            <w:tcW w:type="dxa" w:w="1663"/>
            <w:vAlign w:val="center"/>
            <w:shd w:fill="1F4E78"/>
          </w:tcPr>
          <w:p>
            <w:pPr>
              <w:jc w:val="center"/>
            </w:pPr>
            <w:r/>
            <w:r>
              <w:rPr>
                <w:rFonts w:ascii="Arial" w:hAnsi="Arial"/>
                <w:b/>
                <w:color w:val="FFFFFF"/>
                <w:sz w:val="16"/>
              </w:rPr>
              <w:t>3</w:t>
            </w:r>
          </w:p>
        </w:tc>
        <w:tc>
          <w:tcPr>
            <w:tcW w:type="dxa" w:w="1663"/>
            <w:vAlign w:val="center"/>
            <w:shd w:fill="E2F0D9"/>
          </w:tcPr>
          <w:p>
            <w:pPr>
              <w:jc w:val="center"/>
            </w:pPr>
            <w:r/>
            <w:r>
              <w:rPr>
                <w:rFonts w:ascii="Arial" w:hAnsi="Arial"/>
                <w:b/>
                <w:color w:val="000000"/>
                <w:sz w:val="14"/>
              </w:rPr>
              <w:t>3</w:t>
              <w:br/>
              <w:t>Low</w:t>
            </w:r>
          </w:p>
        </w:tc>
        <w:tc>
          <w:tcPr>
            <w:tcW w:type="dxa" w:w="1663"/>
            <w:vAlign w:val="center"/>
            <w:shd w:fill="FFF2CC"/>
          </w:tcPr>
          <w:p>
            <w:pPr>
              <w:jc w:val="center"/>
            </w:pPr>
            <w:r/>
            <w:r>
              <w:rPr>
                <w:rFonts w:ascii="Arial" w:hAnsi="Arial"/>
                <w:b/>
                <w:color w:val="000000"/>
                <w:sz w:val="14"/>
              </w:rPr>
              <w:t>6</w:t>
              <w:br/>
              <w:t>Medium</w:t>
            </w:r>
          </w:p>
        </w:tc>
        <w:tc>
          <w:tcPr>
            <w:tcW w:type="dxa" w:w="1663"/>
            <w:vAlign w:val="center"/>
            <w:shd w:fill="FFF2CC"/>
          </w:tcPr>
          <w:p>
            <w:pPr>
              <w:jc w:val="center"/>
            </w:pPr>
            <w:r/>
            <w:r>
              <w:rPr>
                <w:rFonts w:ascii="Arial" w:hAnsi="Arial"/>
                <w:b/>
                <w:color w:val="000000"/>
                <w:sz w:val="14"/>
              </w:rPr>
              <w:t>9</w:t>
              <w:br/>
              <w:t>Medium</w:t>
            </w:r>
          </w:p>
        </w:tc>
        <w:tc>
          <w:tcPr>
            <w:tcW w:type="dxa" w:w="1663"/>
            <w:vAlign w:val="center"/>
            <w:shd w:fill="FCE4D6"/>
          </w:tcPr>
          <w:p>
            <w:pPr>
              <w:jc w:val="center"/>
            </w:pPr>
            <w:r/>
            <w:r>
              <w:rPr>
                <w:rFonts w:ascii="Arial" w:hAnsi="Arial"/>
                <w:b/>
                <w:color w:val="000000"/>
                <w:sz w:val="14"/>
              </w:rPr>
              <w:t>12</w:t>
              <w:br/>
              <w:t>High</w:t>
            </w:r>
          </w:p>
        </w:tc>
        <w:tc>
          <w:tcPr>
            <w:tcW w:type="dxa" w:w="1663"/>
            <w:vAlign w:val="center"/>
            <w:shd w:fill="FCE4D6"/>
          </w:tcPr>
          <w:p>
            <w:pPr>
              <w:jc w:val="center"/>
            </w:pPr>
            <w:r/>
            <w:r>
              <w:rPr>
                <w:rFonts w:ascii="Arial" w:hAnsi="Arial"/>
                <w:b/>
                <w:color w:val="000000"/>
                <w:sz w:val="14"/>
              </w:rPr>
              <w:t>15</w:t>
              <w:br/>
              <w:t>High</w:t>
            </w:r>
          </w:p>
        </w:tc>
      </w:tr>
      <w:tr>
        <w:tc>
          <w:tcPr>
            <w:tcW w:type="dxa" w:w="1663"/>
            <w:vAlign w:val="center"/>
            <w:shd w:fill="1F4E78"/>
          </w:tcPr>
          <w:p>
            <w:pPr>
              <w:jc w:val="center"/>
            </w:pPr>
            <w:r/>
            <w:r>
              <w:rPr>
                <w:rFonts w:ascii="Arial" w:hAnsi="Arial"/>
                <w:b/>
                <w:color w:val="FFFFFF"/>
                <w:sz w:val="16"/>
              </w:rPr>
              <w:t>2</w:t>
            </w:r>
          </w:p>
        </w:tc>
        <w:tc>
          <w:tcPr>
            <w:tcW w:type="dxa" w:w="1663"/>
            <w:vAlign w:val="center"/>
            <w:shd w:fill="E2F0D9"/>
          </w:tcPr>
          <w:p>
            <w:pPr>
              <w:jc w:val="center"/>
            </w:pPr>
            <w:r/>
            <w:r>
              <w:rPr>
                <w:rFonts w:ascii="Arial" w:hAnsi="Arial"/>
                <w:b/>
                <w:color w:val="000000"/>
                <w:sz w:val="14"/>
              </w:rPr>
              <w:t>2</w:t>
              <w:br/>
              <w:t>Low</w:t>
            </w:r>
          </w:p>
        </w:tc>
        <w:tc>
          <w:tcPr>
            <w:tcW w:type="dxa" w:w="1663"/>
            <w:vAlign w:val="center"/>
            <w:shd w:fill="E2F0D9"/>
          </w:tcPr>
          <w:p>
            <w:pPr>
              <w:jc w:val="center"/>
            </w:pPr>
            <w:r/>
            <w:r>
              <w:rPr>
                <w:rFonts w:ascii="Arial" w:hAnsi="Arial"/>
                <w:b/>
                <w:color w:val="000000"/>
                <w:sz w:val="14"/>
              </w:rPr>
              <w:t>4</w:t>
              <w:br/>
              <w:t>Low</w:t>
            </w:r>
          </w:p>
        </w:tc>
        <w:tc>
          <w:tcPr>
            <w:tcW w:type="dxa" w:w="1663"/>
            <w:vAlign w:val="center"/>
            <w:shd w:fill="FFF2CC"/>
          </w:tcPr>
          <w:p>
            <w:pPr>
              <w:jc w:val="center"/>
            </w:pPr>
            <w:r/>
            <w:r>
              <w:rPr>
                <w:rFonts w:ascii="Arial" w:hAnsi="Arial"/>
                <w:b/>
                <w:color w:val="000000"/>
                <w:sz w:val="14"/>
              </w:rPr>
              <w:t>6</w:t>
              <w:br/>
              <w:t>Medium</w:t>
            </w:r>
          </w:p>
        </w:tc>
        <w:tc>
          <w:tcPr>
            <w:tcW w:type="dxa" w:w="1663"/>
            <w:vAlign w:val="center"/>
            <w:shd w:fill="FFF2CC"/>
          </w:tcPr>
          <w:p>
            <w:pPr>
              <w:jc w:val="center"/>
            </w:pPr>
            <w:r/>
            <w:r>
              <w:rPr>
                <w:rFonts w:ascii="Arial" w:hAnsi="Arial"/>
                <w:b/>
                <w:color w:val="000000"/>
                <w:sz w:val="14"/>
              </w:rPr>
              <w:t>8</w:t>
              <w:br/>
              <w:t>Medium</w:t>
            </w:r>
          </w:p>
        </w:tc>
        <w:tc>
          <w:tcPr>
            <w:tcW w:type="dxa" w:w="1663"/>
            <w:vAlign w:val="center"/>
            <w:shd w:fill="FCE4D6"/>
          </w:tcPr>
          <w:p>
            <w:pPr>
              <w:jc w:val="center"/>
            </w:pPr>
            <w:r/>
            <w:r>
              <w:rPr>
                <w:rFonts w:ascii="Arial" w:hAnsi="Arial"/>
                <w:b/>
                <w:color w:val="000000"/>
                <w:sz w:val="14"/>
              </w:rPr>
              <w:t>10</w:t>
              <w:br/>
              <w:t>High</w:t>
            </w:r>
          </w:p>
        </w:tc>
      </w:tr>
      <w:tr>
        <w:tc>
          <w:tcPr>
            <w:tcW w:type="dxa" w:w="1663"/>
            <w:vAlign w:val="center"/>
            <w:shd w:fill="1F4E78"/>
          </w:tcPr>
          <w:p>
            <w:pPr>
              <w:jc w:val="center"/>
            </w:pPr>
            <w:r/>
            <w:r>
              <w:rPr>
                <w:rFonts w:ascii="Arial" w:hAnsi="Arial"/>
                <w:b/>
                <w:color w:val="FFFFFF"/>
                <w:sz w:val="16"/>
              </w:rPr>
              <w:t>1</w:t>
            </w:r>
          </w:p>
        </w:tc>
        <w:tc>
          <w:tcPr>
            <w:tcW w:type="dxa" w:w="1663"/>
            <w:vAlign w:val="center"/>
            <w:shd w:fill="E2F0D9"/>
          </w:tcPr>
          <w:p>
            <w:pPr>
              <w:jc w:val="center"/>
            </w:pPr>
            <w:r/>
            <w:r>
              <w:rPr>
                <w:rFonts w:ascii="Arial" w:hAnsi="Arial"/>
                <w:b/>
                <w:color w:val="000000"/>
                <w:sz w:val="14"/>
              </w:rPr>
              <w:t>1</w:t>
              <w:br/>
              <w:t>Low</w:t>
            </w:r>
          </w:p>
        </w:tc>
        <w:tc>
          <w:tcPr>
            <w:tcW w:type="dxa" w:w="1663"/>
            <w:vAlign w:val="center"/>
            <w:shd w:fill="E2F0D9"/>
          </w:tcPr>
          <w:p>
            <w:pPr>
              <w:jc w:val="center"/>
            </w:pPr>
            <w:r/>
            <w:r>
              <w:rPr>
                <w:rFonts w:ascii="Arial" w:hAnsi="Arial"/>
                <w:b/>
                <w:color w:val="000000"/>
                <w:sz w:val="14"/>
              </w:rPr>
              <w:t>2</w:t>
              <w:br/>
              <w:t>Low</w:t>
            </w:r>
          </w:p>
        </w:tc>
        <w:tc>
          <w:tcPr>
            <w:tcW w:type="dxa" w:w="1663"/>
            <w:vAlign w:val="center"/>
            <w:shd w:fill="E2F0D9"/>
          </w:tcPr>
          <w:p>
            <w:pPr>
              <w:jc w:val="center"/>
            </w:pPr>
            <w:r/>
            <w:r>
              <w:rPr>
                <w:rFonts w:ascii="Arial" w:hAnsi="Arial"/>
                <w:b/>
                <w:color w:val="000000"/>
                <w:sz w:val="14"/>
              </w:rPr>
              <w:t>3</w:t>
              <w:br/>
              <w:t>Low</w:t>
            </w:r>
          </w:p>
        </w:tc>
        <w:tc>
          <w:tcPr>
            <w:tcW w:type="dxa" w:w="1663"/>
            <w:vAlign w:val="center"/>
            <w:shd w:fill="E2F0D9"/>
          </w:tcPr>
          <w:p>
            <w:pPr>
              <w:jc w:val="center"/>
            </w:pPr>
            <w:r/>
            <w:r>
              <w:rPr>
                <w:rFonts w:ascii="Arial" w:hAnsi="Arial"/>
                <w:b/>
                <w:color w:val="000000"/>
                <w:sz w:val="14"/>
              </w:rPr>
              <w:t>4</w:t>
              <w:br/>
              <w:t>Low</w:t>
            </w:r>
          </w:p>
        </w:tc>
        <w:tc>
          <w:tcPr>
            <w:tcW w:type="dxa" w:w="1663"/>
            <w:vAlign w:val="center"/>
            <w:shd w:fill="FFF2CC"/>
          </w:tcPr>
          <w:p>
            <w:pPr>
              <w:jc w:val="center"/>
            </w:pPr>
            <w:r/>
            <w:r>
              <w:rPr>
                <w:rFonts w:ascii="Arial" w:hAnsi="Arial"/>
                <w:b/>
                <w:color w:val="000000"/>
                <w:sz w:val="14"/>
              </w:rPr>
              <w:t>5</w:t>
              <w:br/>
              <w:t>Medium</w:t>
            </w:r>
          </w:p>
        </w:tc>
      </w:tr>
    </w:tbl>
    <w:p>
      <w:pPr>
        <w:pStyle w:val="Heading2"/>
        <w:keepNext/>
      </w:pPr>
      <w:r>
        <w:t>2.4 Risk Appetite and Escalation Rules</w:t>
      </w:r>
    </w:p>
    <w:p>
      <w:pPr>
        <w:pStyle w:val="ListBullet"/>
        <w:spacing w:after="40"/>
      </w:pPr>
      <w:r>
        <w:t>Critical inherent risks require an explicit treatment plan before the affected stage proceeds.</w:t>
      </w:r>
    </w:p>
    <w:p>
      <w:pPr>
        <w:pStyle w:val="ListBullet"/>
        <w:spacing w:after="40"/>
      </w:pPr>
      <w:r>
        <w:t>High risks require an owner, mitigation evidence and milestone review.</w:t>
      </w:r>
    </w:p>
    <w:p>
      <w:pPr>
        <w:pStyle w:val="ListBullet"/>
        <w:spacing w:after="40"/>
      </w:pPr>
      <w:r>
        <w:t>Medium and Low risks remain monitored and may be escalated if evidence changes.</w:t>
      </w:r>
    </w:p>
    <w:p>
      <w:pPr>
        <w:pStyle w:val="ListBullet"/>
        <w:spacing w:after="40"/>
      </w:pPr>
      <w:r>
        <w:t>Any uncertainty involving authorisation, unintended external impact, sensitive data exposure or uncontrolled containment triggers stop-work regardless of the numerical score.</w:t>
      </w:r>
    </w:p>
    <w:p>
      <w:pPr>
        <w:pStyle w:val="ListBullet"/>
        <w:spacing w:after="40"/>
      </w:pPr>
      <w:r>
        <w:t>Material scope changes involving live participants, new sensitive data, external organisations or autonomous disruptive response require supervisor/ethics re-review before implementation.</w:t>
      </w:r>
    </w:p>
    <w:p>
      <w:pPr>
        <w:pStyle w:val="Heading1"/>
        <w:keepNext/>
      </w:pPr>
      <w:r>
        <w:t>3. Risk Profile Summary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326"/>
            <w:vAlign w:val="center"/>
            <w:shd w:fill="1F4E78"/>
          </w:tcPr>
          <w:p>
            <w:pPr>
              <w:jc w:val="center"/>
            </w:pPr>
            <w:r/>
            <w:r>
              <w:rPr>
                <w:rFonts w:ascii="Arial" w:hAnsi="Arial"/>
                <w:b/>
                <w:color w:val="FFFFFF"/>
                <w:sz w:val="18"/>
              </w:rPr>
              <w:t>Severity</w:t>
            </w:r>
          </w:p>
        </w:tc>
        <w:tc>
          <w:tcPr>
            <w:tcW w:type="dxa" w:w="3326"/>
            <w:vAlign w:val="center"/>
            <w:shd w:fill="1F4E78"/>
          </w:tcPr>
          <w:p>
            <w:pPr>
              <w:jc w:val="center"/>
            </w:pPr>
            <w:r/>
            <w:r>
              <w:rPr>
                <w:rFonts w:ascii="Arial" w:hAnsi="Arial"/>
                <w:b/>
                <w:color w:val="FFFFFF"/>
                <w:sz w:val="18"/>
              </w:rPr>
              <w:t>Inherent Risks</w:t>
            </w:r>
          </w:p>
        </w:tc>
        <w:tc>
          <w:tcPr>
            <w:tcW w:type="dxa" w:w="3326"/>
            <w:vAlign w:val="center"/>
            <w:shd w:fill="1F4E78"/>
          </w:tcPr>
          <w:p>
            <w:pPr>
              <w:jc w:val="center"/>
            </w:pPr>
            <w:r/>
            <w:r>
              <w:rPr>
                <w:rFonts w:ascii="Arial" w:hAnsi="Arial"/>
                <w:b/>
                <w:color w:val="FFFFFF"/>
                <w:sz w:val="18"/>
              </w:rPr>
              <w:t>Residual Risks</w:t>
            </w:r>
          </w:p>
        </w:tc>
      </w:tr>
      <w:tr>
        <w:tc>
          <w:tcPr>
            <w:tcW w:type="dxa" w:w="3326"/>
            <w:vAlign w:val="center"/>
            <w:shd w:fill="F4CCCC"/>
          </w:tcPr>
          <w:p>
            <w:pPr>
              <w:jc w:val="center"/>
            </w:pPr>
            <w:r/>
            <w:r>
              <w:rPr>
                <w:rFonts w:ascii="Arial" w:hAnsi="Arial"/>
                <w:b/>
                <w:color w:val="000000"/>
                <w:sz w:val="18"/>
              </w:rPr>
              <w:t>Critical</w:t>
            </w:r>
          </w:p>
        </w:tc>
        <w:tc>
          <w:tcPr>
            <w:tcW w:type="dxa" w:w="3326"/>
            <w:vAlign w:val="center"/>
          </w:tcPr>
          <w:p>
            <w:pPr>
              <w:jc w:val="center"/>
            </w:pPr>
            <w:r/>
            <w:r>
              <w:rPr>
                <w:rFonts w:ascii="Arial" w:hAnsi="Arial"/>
                <w:b/>
                <w:color w:val="000000"/>
                <w:sz w:val="20"/>
              </w:rPr>
              <w:t>6</w:t>
            </w:r>
          </w:p>
        </w:tc>
        <w:tc>
          <w:tcPr>
            <w:tcW w:type="dxa" w:w="3326"/>
            <w:vAlign w:val="center"/>
          </w:tcPr>
          <w:p>
            <w:pPr>
              <w:jc w:val="center"/>
            </w:pPr>
            <w:r/>
            <w:r>
              <w:rPr>
                <w:rFonts w:ascii="Arial" w:hAnsi="Arial"/>
                <w:b/>
                <w:color w:val="000000"/>
                <w:sz w:val="20"/>
              </w:rPr>
              <w:t>0</w:t>
            </w:r>
          </w:p>
        </w:tc>
      </w:tr>
      <w:tr>
        <w:tc>
          <w:tcPr>
            <w:tcW w:type="dxa" w:w="3326"/>
            <w:vAlign w:val="center"/>
            <w:shd w:fill="FCE4D6"/>
          </w:tcPr>
          <w:p>
            <w:pPr>
              <w:jc w:val="center"/>
            </w:pPr>
            <w:r/>
            <w:r>
              <w:rPr>
                <w:rFonts w:ascii="Arial" w:hAnsi="Arial"/>
                <w:b/>
                <w:color w:val="000000"/>
                <w:sz w:val="18"/>
              </w:rPr>
              <w:t>High</w:t>
            </w:r>
          </w:p>
        </w:tc>
        <w:tc>
          <w:tcPr>
            <w:tcW w:type="dxa" w:w="3326"/>
            <w:vAlign w:val="center"/>
          </w:tcPr>
          <w:p>
            <w:pPr>
              <w:jc w:val="center"/>
            </w:pPr>
            <w:r/>
            <w:r>
              <w:rPr>
                <w:rFonts w:ascii="Arial" w:hAnsi="Arial"/>
                <w:b/>
                <w:color w:val="000000"/>
                <w:sz w:val="20"/>
              </w:rPr>
              <w:t>9</w:t>
            </w:r>
          </w:p>
        </w:tc>
        <w:tc>
          <w:tcPr>
            <w:tcW w:type="dxa" w:w="3326"/>
            <w:vAlign w:val="center"/>
          </w:tcPr>
          <w:p>
            <w:pPr>
              <w:jc w:val="center"/>
            </w:pPr>
            <w:r/>
            <w:r>
              <w:rPr>
                <w:rFonts w:ascii="Arial" w:hAnsi="Arial"/>
                <w:b/>
                <w:color w:val="000000"/>
                <w:sz w:val="20"/>
              </w:rPr>
              <w:t>1</w:t>
            </w:r>
          </w:p>
        </w:tc>
      </w:tr>
      <w:tr>
        <w:tc>
          <w:tcPr>
            <w:tcW w:type="dxa" w:w="3326"/>
            <w:vAlign w:val="center"/>
            <w:shd w:fill="FFF2CC"/>
          </w:tcPr>
          <w:p>
            <w:pPr>
              <w:jc w:val="center"/>
            </w:pPr>
            <w:r/>
            <w:r>
              <w:rPr>
                <w:rFonts w:ascii="Arial" w:hAnsi="Arial"/>
                <w:b/>
                <w:color w:val="000000"/>
                <w:sz w:val="18"/>
              </w:rPr>
              <w:t>Medium</w:t>
            </w:r>
          </w:p>
        </w:tc>
        <w:tc>
          <w:tcPr>
            <w:tcW w:type="dxa" w:w="3326"/>
            <w:vAlign w:val="center"/>
          </w:tcPr>
          <w:p>
            <w:pPr>
              <w:jc w:val="center"/>
            </w:pPr>
            <w:r/>
            <w:r>
              <w:rPr>
                <w:rFonts w:ascii="Arial" w:hAnsi="Arial"/>
                <w:b/>
                <w:color w:val="000000"/>
                <w:sz w:val="20"/>
              </w:rPr>
              <w:t>3</w:t>
            </w:r>
          </w:p>
        </w:tc>
        <w:tc>
          <w:tcPr>
            <w:tcW w:type="dxa" w:w="3326"/>
            <w:vAlign w:val="center"/>
          </w:tcPr>
          <w:p>
            <w:pPr>
              <w:jc w:val="center"/>
            </w:pPr>
            <w:r/>
            <w:r>
              <w:rPr>
                <w:rFonts w:ascii="Arial" w:hAnsi="Arial"/>
                <w:b/>
                <w:color w:val="000000"/>
                <w:sz w:val="20"/>
              </w:rPr>
              <w:t>13</w:t>
            </w:r>
          </w:p>
        </w:tc>
      </w:tr>
      <w:tr>
        <w:tc>
          <w:tcPr>
            <w:tcW w:type="dxa" w:w="3326"/>
            <w:vAlign w:val="center"/>
            <w:shd w:fill="E2F0D9"/>
          </w:tcPr>
          <w:p>
            <w:pPr>
              <w:jc w:val="center"/>
            </w:pPr>
            <w:r/>
            <w:r>
              <w:rPr>
                <w:rFonts w:ascii="Arial" w:hAnsi="Arial"/>
                <w:b/>
                <w:color w:val="000000"/>
                <w:sz w:val="18"/>
              </w:rPr>
              <w:t>Low</w:t>
            </w:r>
          </w:p>
        </w:tc>
        <w:tc>
          <w:tcPr>
            <w:tcW w:type="dxa" w:w="3326"/>
            <w:vAlign w:val="center"/>
          </w:tcPr>
          <w:p>
            <w:pPr>
              <w:jc w:val="center"/>
            </w:pPr>
            <w:r/>
            <w:r>
              <w:rPr>
                <w:rFonts w:ascii="Arial" w:hAnsi="Arial"/>
                <w:b/>
                <w:color w:val="000000"/>
                <w:sz w:val="20"/>
              </w:rPr>
              <w:t>0</w:t>
            </w:r>
          </w:p>
        </w:tc>
        <w:tc>
          <w:tcPr>
            <w:tcW w:type="dxa" w:w="3326"/>
            <w:vAlign w:val="center"/>
          </w:tcPr>
          <w:p>
            <w:pPr>
              <w:jc w:val="center"/>
            </w:pPr>
            <w:r/>
            <w:r>
              <w:rPr>
                <w:rFonts w:ascii="Arial" w:hAnsi="Arial"/>
                <w:b/>
                <w:color w:val="000000"/>
                <w:sz w:val="20"/>
              </w:rPr>
              <w:t>4</w:t>
            </w:r>
          </w:p>
        </w:tc>
      </w:tr>
    </w:tbl>
    <w:p>
      <w:pPr>
        <w:spacing w:after="100" w:line="259" w:lineRule="auto"/>
      </w:pPr>
      <w:r>
        <w:t>The baseline contains several high/critical inherent risks because the research intentionally combines dataset validity, open-world ML evaluation, multi-component integration and response capability. The treatment objective is not to claim that risk disappears, but to reduce avoidable failure modes and make residual uncertainty explicit.</w:t>
      </w:r>
    </w:p>
    <w:p>
      <w:pPr>
        <w:pStyle w:val="Heading2"/>
        <w:keepNext/>
      </w:pPr>
      <w:r>
        <w:t>3.1 Priority Risks for Early Treatment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326"/>
            <w:vAlign w:val="center"/>
            <w:shd w:fill="1F4E78"/>
          </w:tcPr>
          <w:p>
            <w:r/>
            <w:r>
              <w:rPr>
                <w:rFonts w:ascii="Arial" w:hAnsi="Arial"/>
                <w:b/>
                <w:color w:val="FFFFFF"/>
                <w:sz w:val="17"/>
              </w:rPr>
              <w:t>Risk</w:t>
            </w:r>
          </w:p>
        </w:tc>
        <w:tc>
          <w:tcPr>
            <w:tcW w:type="dxa" w:w="3326"/>
            <w:vAlign w:val="center"/>
            <w:shd w:fill="1F4E78"/>
          </w:tcPr>
          <w:p>
            <w:r/>
            <w:r>
              <w:rPr>
                <w:rFonts w:ascii="Arial" w:hAnsi="Arial"/>
                <w:b/>
                <w:color w:val="FFFFFF"/>
                <w:sz w:val="17"/>
              </w:rPr>
              <w:t>Priority Theme</w:t>
            </w:r>
          </w:p>
        </w:tc>
        <w:tc>
          <w:tcPr>
            <w:tcW w:type="dxa" w:w="3326"/>
            <w:vAlign w:val="center"/>
            <w:shd w:fill="1F4E78"/>
          </w:tcPr>
          <w:p>
            <w:r/>
            <w:r>
              <w:rPr>
                <w:rFonts w:ascii="Arial" w:hAnsi="Arial"/>
                <w:b/>
                <w:color w:val="FFFFFF"/>
                <w:sz w:val="17"/>
              </w:rPr>
              <w:t>Immediate Control</w:t>
            </w:r>
          </w:p>
        </w:tc>
      </w:tr>
      <w:tr>
        <w:tc>
          <w:tcPr>
            <w:tcW w:type="dxa" w:w="3326"/>
            <w:vAlign w:val="center"/>
          </w:tcPr>
          <w:p>
            <w:r/>
            <w:r>
              <w:rPr>
                <w:rFonts w:ascii="Arial" w:hAnsi="Arial"/>
                <w:b w:val="0"/>
                <w:color w:val="000000"/>
                <w:sz w:val="17"/>
              </w:rPr>
              <w:t>R02</w:t>
            </w:r>
          </w:p>
        </w:tc>
        <w:tc>
          <w:tcPr>
            <w:tcW w:type="dxa" w:w="3326"/>
            <w:vAlign w:val="center"/>
          </w:tcPr>
          <w:p>
            <w:r/>
            <w:r>
              <w:rPr>
                <w:rFonts w:ascii="Arial" w:hAnsi="Arial"/>
                <w:b w:val="0"/>
                <w:color w:val="000000"/>
                <w:sz w:val="17"/>
              </w:rPr>
              <w:t>Dataset validity</w:t>
            </w:r>
          </w:p>
        </w:tc>
        <w:tc>
          <w:tcPr>
            <w:tcW w:type="dxa" w:w="3326"/>
            <w:vAlign w:val="center"/>
          </w:tcPr>
          <w:p>
            <w:r/>
            <w:r>
              <w:rPr>
                <w:rFonts w:ascii="Arial" w:hAnsi="Arial"/>
                <w:b w:val="0"/>
                <w:color w:val="000000"/>
                <w:sz w:val="17"/>
              </w:rPr>
              <w:t>Complete data-quality and provenance pilot before modelling.</w:t>
            </w:r>
          </w:p>
        </w:tc>
      </w:tr>
      <w:tr>
        <w:tc>
          <w:tcPr>
            <w:tcW w:type="dxa" w:w="3326"/>
            <w:vAlign w:val="center"/>
          </w:tcPr>
          <w:p>
            <w:r/>
            <w:r>
              <w:rPr>
                <w:rFonts w:ascii="Arial" w:hAnsi="Arial"/>
                <w:b w:val="0"/>
                <w:color w:val="000000"/>
                <w:sz w:val="17"/>
              </w:rPr>
              <w:t>R05</w:t>
            </w:r>
          </w:p>
        </w:tc>
        <w:tc>
          <w:tcPr>
            <w:tcW w:type="dxa" w:w="3326"/>
            <w:vAlign w:val="center"/>
          </w:tcPr>
          <w:p>
            <w:r/>
            <w:r>
              <w:rPr>
                <w:rFonts w:ascii="Arial" w:hAnsi="Arial"/>
                <w:b w:val="0"/>
                <w:color w:val="000000"/>
                <w:sz w:val="17"/>
              </w:rPr>
              <w:t>Novelty false positives</w:t>
            </w:r>
          </w:p>
        </w:tc>
        <w:tc>
          <w:tcPr>
            <w:tcW w:type="dxa" w:w="3326"/>
            <w:vAlign w:val="center"/>
          </w:tcPr>
          <w:p>
            <w:r/>
            <w:r>
              <w:rPr>
                <w:rFonts w:ascii="Arial" w:hAnsi="Arial"/>
                <w:b w:val="0"/>
                <w:color w:val="000000"/>
                <w:sz w:val="17"/>
              </w:rPr>
              <w:t>Establish threshold/FPR evaluation before response integration.</w:t>
            </w:r>
          </w:p>
        </w:tc>
      </w:tr>
      <w:tr>
        <w:tc>
          <w:tcPr>
            <w:tcW w:type="dxa" w:w="3326"/>
            <w:vAlign w:val="center"/>
          </w:tcPr>
          <w:p>
            <w:r/>
            <w:r>
              <w:rPr>
                <w:rFonts w:ascii="Arial" w:hAnsi="Arial"/>
                <w:b w:val="0"/>
                <w:color w:val="000000"/>
                <w:sz w:val="17"/>
              </w:rPr>
              <w:t>R06</w:t>
            </w:r>
          </w:p>
        </w:tc>
        <w:tc>
          <w:tcPr>
            <w:tcW w:type="dxa" w:w="3326"/>
            <w:vAlign w:val="center"/>
          </w:tcPr>
          <w:p>
            <w:r/>
            <w:r>
              <w:rPr>
                <w:rFonts w:ascii="Arial" w:hAnsi="Arial"/>
                <w:b w:val="0"/>
                <w:color w:val="000000"/>
                <w:sz w:val="17"/>
              </w:rPr>
              <w:t>Suricata feasibility</w:t>
            </w:r>
          </w:p>
        </w:tc>
        <w:tc>
          <w:tcPr>
            <w:tcW w:type="dxa" w:w="3326"/>
            <w:vAlign w:val="center"/>
          </w:tcPr>
          <w:p>
            <w:r/>
            <w:r>
              <w:rPr>
                <w:rFonts w:ascii="Arial" w:hAnsi="Arial"/>
                <w:b w:val="0"/>
                <w:color w:val="000000"/>
                <w:sz w:val="17"/>
              </w:rPr>
              <w:t>Confirm compatible network evidence/replay path before fixing the final experiment design.</w:t>
            </w:r>
          </w:p>
        </w:tc>
      </w:tr>
      <w:tr>
        <w:tc>
          <w:tcPr>
            <w:tcW w:type="dxa" w:w="3326"/>
            <w:vAlign w:val="center"/>
          </w:tcPr>
          <w:p>
            <w:r/>
            <w:r>
              <w:rPr>
                <w:rFonts w:ascii="Arial" w:hAnsi="Arial"/>
                <w:b w:val="0"/>
                <w:color w:val="000000"/>
                <w:sz w:val="17"/>
              </w:rPr>
              <w:t>R09</w:t>
            </w:r>
          </w:p>
        </w:tc>
        <w:tc>
          <w:tcPr>
            <w:tcW w:type="dxa" w:w="3326"/>
            <w:vAlign w:val="center"/>
          </w:tcPr>
          <w:p>
            <w:r/>
            <w:r>
              <w:rPr>
                <w:rFonts w:ascii="Arial" w:hAnsi="Arial"/>
                <w:b w:val="0"/>
                <w:color w:val="000000"/>
                <w:sz w:val="17"/>
              </w:rPr>
              <w:t>Scope creep</w:t>
            </w:r>
          </w:p>
        </w:tc>
        <w:tc>
          <w:tcPr>
            <w:tcW w:type="dxa" w:w="3326"/>
            <w:vAlign w:val="center"/>
          </w:tcPr>
          <w:p>
            <w:r/>
            <w:r>
              <w:rPr>
                <w:rFonts w:ascii="Arial" w:hAnsi="Arial"/>
                <w:b w:val="0"/>
                <w:color w:val="000000"/>
                <w:sz w:val="17"/>
              </w:rPr>
              <w:t>Protect the core baseline and require evidence before adding advanced models/features.</w:t>
            </w:r>
          </w:p>
        </w:tc>
      </w:tr>
      <w:tr>
        <w:tc>
          <w:tcPr>
            <w:tcW w:type="dxa" w:w="3326"/>
            <w:vAlign w:val="center"/>
          </w:tcPr>
          <w:p>
            <w:r/>
            <w:r>
              <w:rPr>
                <w:rFonts w:ascii="Arial" w:hAnsi="Arial"/>
                <w:b w:val="0"/>
                <w:color w:val="000000"/>
                <w:sz w:val="17"/>
              </w:rPr>
              <w:t>R17</w:t>
            </w:r>
          </w:p>
        </w:tc>
        <w:tc>
          <w:tcPr>
            <w:tcW w:type="dxa" w:w="3326"/>
            <w:vAlign w:val="center"/>
          </w:tcPr>
          <w:p>
            <w:r/>
            <w:r>
              <w:rPr>
                <w:rFonts w:ascii="Arial" w:hAnsi="Arial"/>
                <w:b w:val="0"/>
                <w:color w:val="000000"/>
                <w:sz w:val="17"/>
              </w:rPr>
              <w:t>External validity</w:t>
            </w:r>
          </w:p>
        </w:tc>
        <w:tc>
          <w:tcPr>
            <w:tcW w:type="dxa" w:w="3326"/>
            <w:vAlign w:val="center"/>
          </w:tcPr>
          <w:p>
            <w:r/>
            <w:r>
              <w:rPr>
                <w:rFonts w:ascii="Arial" w:hAnsi="Arial"/>
                <w:b w:val="0"/>
                <w:color w:val="000000"/>
                <w:sz w:val="17"/>
              </w:rPr>
              <w:t>Keep claims bounded to the evaluated data/lab conditions and measure operational cost.</w:t>
            </w:r>
          </w:p>
        </w:tc>
      </w:tr>
    </w:tbl>
    <w:p>
      <w:pPr>
        <w:sectPr>
          <w:headerReference w:type="default" r:id="rId9"/>
          <w:footerReference w:type="default" r:id="rId10"/>
          <w:pgSz w:w="11906" w:h="16838"/>
          <w:pgMar w:top="907" w:right="964" w:bottom="850" w:left="964" w:header="720" w:footer="720" w:gutter="0"/>
          <w:cols w:space="720"/>
          <w:docGrid w:linePitch="360"/>
        </w:sectPr>
      </w:pPr>
    </w:p>
    <w:p>
      <w:pPr>
        <w:pStyle w:val="Heading1"/>
        <w:keepNext/>
      </w:pPr>
      <w:r>
        <w:t>4. Detailed Project Risk Register</w:t>
      </w:r>
    </w:p>
    <w:p>
      <w:pPr>
        <w:spacing w:after="100" w:line="259" w:lineRule="auto"/>
      </w:pPr>
      <w:r>
        <w:t>The register records the risk event, its cause/trigger, potential consequence, inherent rating, planned treatment, expected residual rating and review trigger. Residual scores are planning estimates and should be updated when empirical evidence becomes available.</w:t>
      </w:r>
    </w:p>
    <w:tbl>
      <w:tblPr>
        <w:tblW w:type="auto" w:w="0"/>
        <w:jc w:val="center"/>
        <w:tblLook w:firstColumn="1" w:firstRow="1" w:lastColumn="0" w:lastRow="0" w:noHBand="0" w:noVBand="1" w:val="04A0"/>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Pr>
      <w:tblGrid>
        <w:gridCol w:w="1290"/>
        <w:gridCol w:w="1290"/>
        <w:gridCol w:w="1290"/>
        <w:gridCol w:w="1290"/>
        <w:gridCol w:w="1290"/>
        <w:gridCol w:w="1290"/>
        <w:gridCol w:w="1290"/>
        <w:gridCol w:w="1290"/>
        <w:gridCol w:w="1290"/>
        <w:gridCol w:w="1290"/>
        <w:gridCol w:w="1290"/>
        <w:gridCol w:w="1290"/>
      </w:tblGrid>
      <w:tr>
        <w:trPr>
          <w:tblHeader w:val="true"/>
        </w:trPr>
        <w:tc>
          <w:tcPr>
            <w:tcW w:type="dxa" w:w="567"/>
            <w:vAlign w:val="center"/>
            <w:shd w:fill="1F4E78"/>
            <w:tcMar>
              <w:top w:w="40" w:type="dxa"/>
              <w:start w:w="45" w:type="dxa"/>
              <w:bottom w:w="40" w:type="dxa"/>
              <w:end w:w="45" w:type="dxa"/>
            </w:tcMar>
          </w:tcPr>
          <w:p>
            <w:pPr>
              <w:jc w:val="center"/>
            </w:pPr>
            <w:r/>
            <w:r>
              <w:rPr>
                <w:rFonts w:ascii="Arial" w:hAnsi="Arial"/>
                <w:b/>
                <w:color w:val="FFFFFF"/>
                <w:sz w:val="14"/>
              </w:rPr>
              <w:t>ID</w:t>
            </w:r>
          </w:p>
        </w:tc>
        <w:tc>
          <w:tcPr>
            <w:tcW w:type="dxa" w:w="1134"/>
            <w:vAlign w:val="center"/>
            <w:shd w:fill="1F4E78"/>
            <w:tcMar>
              <w:top w:w="40" w:type="dxa"/>
              <w:start w:w="45" w:type="dxa"/>
              <w:bottom w:w="40" w:type="dxa"/>
              <w:end w:w="45" w:type="dxa"/>
            </w:tcMar>
          </w:tcPr>
          <w:p>
            <w:pPr>
              <w:jc w:val="center"/>
            </w:pPr>
            <w:r/>
            <w:r>
              <w:rPr>
                <w:rFonts w:ascii="Arial" w:hAnsi="Arial"/>
                <w:b/>
                <w:color w:val="FFFFFF"/>
                <w:sz w:val="14"/>
              </w:rPr>
              <w:t>Category</w:t>
            </w:r>
          </w:p>
        </w:tc>
        <w:tc>
          <w:tcPr>
            <w:tcW w:type="dxa" w:w="2438"/>
            <w:vAlign w:val="center"/>
            <w:shd w:fill="1F4E78"/>
            <w:tcMar>
              <w:top w:w="40" w:type="dxa"/>
              <w:start w:w="45" w:type="dxa"/>
              <w:bottom w:w="40" w:type="dxa"/>
              <w:end w:w="45" w:type="dxa"/>
            </w:tcMar>
          </w:tcPr>
          <w:p>
            <w:pPr>
              <w:jc w:val="center"/>
            </w:pPr>
            <w:r/>
            <w:r>
              <w:rPr>
                <w:rFonts w:ascii="Arial" w:hAnsi="Arial"/>
                <w:b/>
                <w:color w:val="FFFFFF"/>
                <w:sz w:val="14"/>
              </w:rPr>
              <w:t>Risk Event / Cause</w:t>
            </w:r>
          </w:p>
        </w:tc>
        <w:tc>
          <w:tcPr>
            <w:tcW w:type="dxa" w:w="1757"/>
            <w:vAlign w:val="center"/>
            <w:shd w:fill="1F4E78"/>
            <w:tcMar>
              <w:top w:w="40" w:type="dxa"/>
              <w:start w:w="45" w:type="dxa"/>
              <w:bottom w:w="40" w:type="dxa"/>
              <w:end w:w="45" w:type="dxa"/>
            </w:tcMar>
          </w:tcPr>
          <w:p>
            <w:pPr>
              <w:jc w:val="center"/>
            </w:pPr>
            <w:r/>
            <w:r>
              <w:rPr>
                <w:rFonts w:ascii="Arial" w:hAnsi="Arial"/>
                <w:b/>
                <w:color w:val="FFFFFF"/>
                <w:sz w:val="14"/>
              </w:rPr>
              <w:t>Potential Consequence</w:t>
            </w:r>
          </w:p>
        </w:tc>
        <w:tc>
          <w:tcPr>
            <w:tcW w:type="dxa" w:w="397"/>
            <w:vAlign w:val="center"/>
            <w:shd w:fill="1F4E78"/>
            <w:tcMar>
              <w:top w:w="40" w:type="dxa"/>
              <w:start w:w="45" w:type="dxa"/>
              <w:bottom w:w="40" w:type="dxa"/>
              <w:end w:w="45" w:type="dxa"/>
            </w:tcMar>
          </w:tcPr>
          <w:p>
            <w:pPr>
              <w:jc w:val="center"/>
            </w:pPr>
            <w:r/>
            <w:r>
              <w:rPr>
                <w:rFonts w:ascii="Arial" w:hAnsi="Arial"/>
                <w:b/>
                <w:color w:val="FFFFFF"/>
                <w:sz w:val="14"/>
              </w:rPr>
              <w:t>P</w:t>
            </w:r>
          </w:p>
        </w:tc>
        <w:tc>
          <w:tcPr>
            <w:tcW w:type="dxa" w:w="397"/>
            <w:vAlign w:val="center"/>
            <w:shd w:fill="1F4E78"/>
            <w:tcMar>
              <w:top w:w="40" w:type="dxa"/>
              <w:start w:w="45" w:type="dxa"/>
              <w:bottom w:w="40" w:type="dxa"/>
              <w:end w:w="45" w:type="dxa"/>
            </w:tcMar>
          </w:tcPr>
          <w:p>
            <w:pPr>
              <w:jc w:val="center"/>
            </w:pPr>
            <w:r/>
            <w:r>
              <w:rPr>
                <w:rFonts w:ascii="Arial" w:hAnsi="Arial"/>
                <w:b/>
                <w:color w:val="FFFFFF"/>
                <w:sz w:val="14"/>
              </w:rPr>
              <w:t>I</w:t>
            </w:r>
          </w:p>
        </w:tc>
        <w:tc>
          <w:tcPr>
            <w:tcW w:type="dxa" w:w="737"/>
            <w:vAlign w:val="center"/>
            <w:shd w:fill="1F4E78"/>
            <w:tcMar>
              <w:top w:w="40" w:type="dxa"/>
              <w:start w:w="45" w:type="dxa"/>
              <w:bottom w:w="40" w:type="dxa"/>
              <w:end w:w="45" w:type="dxa"/>
            </w:tcMar>
          </w:tcPr>
          <w:p>
            <w:pPr>
              <w:jc w:val="center"/>
            </w:pPr>
            <w:r/>
            <w:r>
              <w:rPr>
                <w:rFonts w:ascii="Arial" w:hAnsi="Arial"/>
                <w:b/>
                <w:color w:val="FFFFFF"/>
                <w:sz w:val="14"/>
              </w:rPr>
              <w:t>Inherent</w:t>
            </w:r>
          </w:p>
        </w:tc>
        <w:tc>
          <w:tcPr>
            <w:tcW w:type="dxa" w:w="2608"/>
            <w:vAlign w:val="center"/>
            <w:shd w:fill="1F4E78"/>
            <w:tcMar>
              <w:top w:w="40" w:type="dxa"/>
              <w:start w:w="45" w:type="dxa"/>
              <w:bottom w:w="40" w:type="dxa"/>
              <w:end w:w="45" w:type="dxa"/>
            </w:tcMar>
          </w:tcPr>
          <w:p>
            <w:pPr>
              <w:jc w:val="center"/>
            </w:pPr>
            <w:r/>
            <w:r>
              <w:rPr>
                <w:rFonts w:ascii="Arial" w:hAnsi="Arial"/>
                <w:b/>
                <w:color w:val="FFFFFF"/>
                <w:sz w:val="14"/>
              </w:rPr>
              <w:t>Treatment / Control</w:t>
            </w:r>
          </w:p>
        </w:tc>
        <w:tc>
          <w:tcPr>
            <w:tcW w:type="dxa" w:w="850"/>
            <w:vAlign w:val="center"/>
            <w:shd w:fill="1F4E78"/>
            <w:tcMar>
              <w:top w:w="40" w:type="dxa"/>
              <w:start w:w="45" w:type="dxa"/>
              <w:bottom w:w="40" w:type="dxa"/>
              <w:end w:w="45" w:type="dxa"/>
            </w:tcMar>
          </w:tcPr>
          <w:p>
            <w:pPr>
              <w:jc w:val="center"/>
            </w:pPr>
            <w:r/>
            <w:r>
              <w:rPr>
                <w:rFonts w:ascii="Arial" w:hAnsi="Arial"/>
                <w:b/>
                <w:color w:val="FFFFFF"/>
                <w:sz w:val="14"/>
              </w:rPr>
              <w:t>Residual</w:t>
            </w:r>
          </w:p>
        </w:tc>
        <w:tc>
          <w:tcPr>
            <w:tcW w:type="dxa" w:w="1928"/>
            <w:vAlign w:val="center"/>
            <w:shd w:fill="1F4E78"/>
            <w:tcMar>
              <w:top w:w="40" w:type="dxa"/>
              <w:start w:w="45" w:type="dxa"/>
              <w:bottom w:w="40" w:type="dxa"/>
              <w:end w:w="45" w:type="dxa"/>
            </w:tcMar>
          </w:tcPr>
          <w:p>
            <w:pPr>
              <w:jc w:val="center"/>
            </w:pPr>
            <w:r/>
            <w:r>
              <w:rPr>
                <w:rFonts w:ascii="Arial" w:hAnsi="Arial"/>
                <w:b/>
                <w:color w:val="FFFFFF"/>
                <w:sz w:val="14"/>
              </w:rPr>
              <w:t>Trigger / Review Evidence</w:t>
            </w:r>
          </w:p>
        </w:tc>
        <w:tc>
          <w:tcPr>
            <w:tcW w:type="dxa" w:w="850"/>
            <w:vAlign w:val="center"/>
            <w:shd w:fill="1F4E78"/>
            <w:tcMar>
              <w:top w:w="40" w:type="dxa"/>
              <w:start w:w="45" w:type="dxa"/>
              <w:bottom w:w="40" w:type="dxa"/>
              <w:end w:w="45" w:type="dxa"/>
            </w:tcMar>
          </w:tcPr>
          <w:p>
            <w:pPr>
              <w:jc w:val="center"/>
            </w:pPr>
            <w:r/>
            <w:r>
              <w:rPr>
                <w:rFonts w:ascii="Arial" w:hAnsi="Arial"/>
                <w:b/>
                <w:color w:val="FFFFFF"/>
                <w:sz w:val="14"/>
              </w:rPr>
              <w:t>Owner</w:t>
            </w:r>
          </w:p>
        </w:tc>
        <w:tc>
          <w:tcPr>
            <w:tcW w:type="dxa" w:w="680"/>
            <w:vAlign w:val="center"/>
            <w:shd w:fill="1F4E78"/>
            <w:tcMar>
              <w:top w:w="40" w:type="dxa"/>
              <w:start w:w="45" w:type="dxa"/>
              <w:bottom w:w="40" w:type="dxa"/>
              <w:end w:w="45" w:type="dxa"/>
            </w:tcMar>
          </w:tcPr>
          <w:p>
            <w:pPr>
              <w:jc w:val="center"/>
            </w:pPr>
            <w:r/>
            <w:r>
              <w:rPr>
                <w:rFonts w:ascii="Arial" w:hAnsi="Arial"/>
                <w:b/>
                <w:color w:val="FFFFFF"/>
                <w:sz w:val="14"/>
              </w:rPr>
              <w:t>Status</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R01</w:t>
            </w:r>
          </w:p>
        </w:tc>
        <w:tc>
          <w:tcPr>
            <w:tcW w:type="dxa" w:w="1134"/>
            <w:vAlign w:val="center"/>
            <w:tcMar>
              <w:top w:w="30" w:type="dxa"/>
              <w:start w:w="35" w:type="dxa"/>
              <w:bottom w:w="30" w:type="dxa"/>
              <w:end w:w="35" w:type="dxa"/>
            </w:tcMar>
          </w:tcPr>
          <w:p>
            <w:r/>
            <w:r>
              <w:rPr>
                <w:rFonts w:ascii="Arial" w:hAnsi="Arial"/>
                <w:b w:val="0"/>
                <w:color w:val="000000"/>
                <w:sz w:val="13"/>
              </w:rPr>
              <w:t>Data Feasibility</w:t>
            </w:r>
          </w:p>
        </w:tc>
        <w:tc>
          <w:tcPr>
            <w:tcW w:type="dxa" w:w="2438"/>
            <w:vAlign w:val="center"/>
            <w:tcMar>
              <w:top w:w="30" w:type="dxa"/>
              <w:start w:w="35" w:type="dxa"/>
              <w:bottom w:w="30" w:type="dxa"/>
              <w:end w:w="35" w:type="dxa"/>
            </w:tcMar>
          </w:tcPr>
          <w:p>
            <w:r/>
            <w:r>
              <w:rPr>
                <w:rFonts w:ascii="Arial" w:hAnsi="Arial"/>
                <w:b w:val="0"/>
                <w:color w:val="000000"/>
                <w:sz w:val="12"/>
              </w:rPr>
              <w:t>Primary dataset is inaccessible, incomplete, poorly structured or computationally impractical.</w:t>
              <w:br/>
              <w:t>Cause/indicator: Dataset pilot fails or consumes excessive time/compute.</w:t>
            </w:r>
          </w:p>
        </w:tc>
        <w:tc>
          <w:tcPr>
            <w:tcW w:type="dxa" w:w="1757"/>
            <w:vAlign w:val="center"/>
            <w:tcMar>
              <w:top w:w="30" w:type="dxa"/>
              <w:start w:w="35" w:type="dxa"/>
              <w:bottom w:w="30" w:type="dxa"/>
              <w:end w:w="35" w:type="dxa"/>
            </w:tcMar>
          </w:tcPr>
          <w:p>
            <w:r/>
            <w:r>
              <w:rPr>
                <w:rFonts w:ascii="Arial" w:hAnsi="Arial"/>
                <w:b w:val="0"/>
                <w:color w:val="000000"/>
                <w:sz w:val="13"/>
              </w:rPr>
              <w:t>Project delay; invalid dataset choice; reduced experiment coverage.</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12</w:t>
              <w:br/>
              <w:t>High</w:t>
            </w:r>
          </w:p>
        </w:tc>
        <w:tc>
          <w:tcPr>
            <w:tcW w:type="dxa" w:w="2608"/>
            <w:vAlign w:val="center"/>
            <w:tcMar>
              <w:top w:w="30" w:type="dxa"/>
              <w:start w:w="35" w:type="dxa"/>
              <w:bottom w:w="30" w:type="dxa"/>
              <w:end w:w="35" w:type="dxa"/>
            </w:tcMar>
          </w:tcPr>
          <w:p>
            <w:r/>
            <w:r>
              <w:rPr>
                <w:rFonts w:ascii="Arial" w:hAnsi="Arial"/>
                <w:b w:val="0"/>
                <w:color w:val="000000"/>
                <w:sz w:val="12"/>
              </w:rPr>
              <w:t>Pilot file access, size, labels, formats and class structure early; retain TabularIoTAttack-2024 as a documented fallback.</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2x3=6</w:t>
              <w:br/>
              <w:t>Medium</w:t>
            </w:r>
          </w:p>
        </w:tc>
        <w:tc>
          <w:tcPr>
            <w:tcW w:type="dxa" w:w="1928"/>
            <w:vAlign w:val="center"/>
            <w:tcMar>
              <w:top w:w="30" w:type="dxa"/>
              <w:start w:w="35" w:type="dxa"/>
              <w:bottom w:w="30" w:type="dxa"/>
              <w:end w:w="35" w:type="dxa"/>
            </w:tcMar>
          </w:tcPr>
          <w:p>
            <w:r/>
            <w:r>
              <w:rPr>
                <w:rFonts w:ascii="Arial" w:hAnsi="Arial"/>
                <w:b w:val="0"/>
                <w:color w:val="000000"/>
                <w:sz w:val="12"/>
              </w:rPr>
              <w:t>Pilot cannot be loaded reliably or exceeds practical RAM/storage limits.</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R02</w:t>
            </w:r>
          </w:p>
        </w:tc>
        <w:tc>
          <w:tcPr>
            <w:tcW w:type="dxa" w:w="1134"/>
            <w:vAlign w:val="center"/>
            <w:tcMar>
              <w:top w:w="30" w:type="dxa"/>
              <w:start w:w="35" w:type="dxa"/>
              <w:bottom w:w="30" w:type="dxa"/>
              <w:end w:w="35" w:type="dxa"/>
            </w:tcMar>
          </w:tcPr>
          <w:p>
            <w:r/>
            <w:r>
              <w:rPr>
                <w:rFonts w:ascii="Arial" w:hAnsi="Arial"/>
                <w:b w:val="0"/>
                <w:color w:val="000000"/>
                <w:sz w:val="13"/>
              </w:rPr>
              <w:t>Data Validity</w:t>
            </w:r>
          </w:p>
        </w:tc>
        <w:tc>
          <w:tcPr>
            <w:tcW w:type="dxa" w:w="2438"/>
            <w:vAlign w:val="center"/>
            <w:tcMar>
              <w:top w:w="30" w:type="dxa"/>
              <w:start w:w="35" w:type="dxa"/>
              <w:bottom w:w="30" w:type="dxa"/>
              <w:end w:w="35" w:type="dxa"/>
            </w:tcMar>
          </w:tcPr>
          <w:p>
            <w:r/>
            <w:r>
              <w:rPr>
                <w:rFonts w:ascii="Arial" w:hAnsi="Arial"/>
                <w:b w:val="0"/>
                <w:color w:val="000000"/>
                <w:sz w:val="12"/>
              </w:rPr>
              <w:t>Incorrect labels, duplicates, benchmark artefacts or undocumented preprocessing distort results.</w:t>
              <w:br/>
              <w:t>Cause/indicator: Quality checks reveal inconsistent labels, duplicated flows or suspiciously easy separation.</w:t>
            </w:r>
          </w:p>
        </w:tc>
        <w:tc>
          <w:tcPr>
            <w:tcW w:type="dxa" w:w="1757"/>
            <w:vAlign w:val="center"/>
            <w:tcMar>
              <w:top w:w="30" w:type="dxa"/>
              <w:start w:w="35" w:type="dxa"/>
              <w:bottom w:w="30" w:type="dxa"/>
              <w:end w:w="35" w:type="dxa"/>
            </w:tcMar>
          </w:tcPr>
          <w:p>
            <w:r/>
            <w:r>
              <w:rPr>
                <w:rFonts w:ascii="Arial" w:hAnsi="Arial"/>
                <w:b w:val="0"/>
                <w:color w:val="000000"/>
                <w:sz w:val="13"/>
              </w:rPr>
              <w:t>Inflated metrics and weak scientific validity.</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4CCCC"/>
          </w:tcPr>
          <w:p>
            <w:pPr>
              <w:jc w:val="center"/>
            </w:pPr>
            <w:r/>
            <w:r>
              <w:rPr>
                <w:rFonts w:ascii="Arial" w:hAnsi="Arial"/>
                <w:b w:val="0"/>
                <w:color w:val="000000"/>
                <w:sz w:val="13"/>
              </w:rPr>
              <w:t>20</w:t>
              <w:br/>
              <w:t>Critical</w:t>
            </w:r>
          </w:p>
        </w:tc>
        <w:tc>
          <w:tcPr>
            <w:tcW w:type="dxa" w:w="2608"/>
            <w:vAlign w:val="center"/>
            <w:tcMar>
              <w:top w:w="30" w:type="dxa"/>
              <w:start w:w="35" w:type="dxa"/>
              <w:bottom w:w="30" w:type="dxa"/>
              <w:end w:w="35" w:type="dxa"/>
            </w:tcMar>
          </w:tcPr>
          <w:p>
            <w:r/>
            <w:r>
              <w:rPr>
                <w:rFonts w:ascii="Arial" w:hAnsi="Arial"/>
                <w:b w:val="0"/>
                <w:color w:val="000000"/>
                <w:sz w:val="12"/>
              </w:rPr>
              <w:t>Perform provenance, label, duplicate, missing-value and feature sanity checks; record limitations before modelling.</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2x4=8</w:t>
              <w:br/>
              <w:t>Medium</w:t>
            </w:r>
          </w:p>
        </w:tc>
        <w:tc>
          <w:tcPr>
            <w:tcW w:type="dxa" w:w="1928"/>
            <w:vAlign w:val="center"/>
            <w:tcMar>
              <w:top w:w="30" w:type="dxa"/>
              <w:start w:w="35" w:type="dxa"/>
              <w:bottom w:w="30" w:type="dxa"/>
              <w:end w:w="35" w:type="dxa"/>
            </w:tcMar>
          </w:tcPr>
          <w:p>
            <w:r/>
            <w:r>
              <w:rPr>
                <w:rFonts w:ascii="Arial" w:hAnsi="Arial"/>
                <w:b w:val="0"/>
                <w:color w:val="000000"/>
                <w:sz w:val="12"/>
              </w:rPr>
              <w:t>Material inconsistencies remain after cleaning or cannot be explained from dataset documentation.</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R03</w:t>
            </w:r>
          </w:p>
        </w:tc>
        <w:tc>
          <w:tcPr>
            <w:tcW w:type="dxa" w:w="1134"/>
            <w:vAlign w:val="center"/>
            <w:tcMar>
              <w:top w:w="30" w:type="dxa"/>
              <w:start w:w="35" w:type="dxa"/>
              <w:bottom w:w="30" w:type="dxa"/>
              <w:end w:w="35" w:type="dxa"/>
            </w:tcMar>
          </w:tcPr>
          <w:p>
            <w:r/>
            <w:r>
              <w:rPr>
                <w:rFonts w:ascii="Arial" w:hAnsi="Arial"/>
                <w:b w:val="0"/>
                <w:color w:val="000000"/>
                <w:sz w:val="13"/>
              </w:rPr>
              <w:t>Research Validity</w:t>
            </w:r>
          </w:p>
        </w:tc>
        <w:tc>
          <w:tcPr>
            <w:tcW w:type="dxa" w:w="2438"/>
            <w:vAlign w:val="center"/>
            <w:tcMar>
              <w:top w:w="30" w:type="dxa"/>
              <w:start w:w="35" w:type="dxa"/>
              <w:bottom w:w="30" w:type="dxa"/>
              <w:end w:w="35" w:type="dxa"/>
            </w:tcMar>
          </w:tcPr>
          <w:p>
            <w:r/>
            <w:r>
              <w:rPr>
                <w:rFonts w:ascii="Arial" w:hAnsi="Arial"/>
                <w:b w:val="0"/>
                <w:color w:val="000000"/>
                <w:sz w:val="12"/>
              </w:rPr>
              <w:t>Withheld-class information leaks into training, validation, feature selection or threshold calibration.</w:t>
              <w:br/>
              <w:t>Cause/indicator: The unknown class is referenced during any model-development decision.</w:t>
            </w:r>
          </w:p>
        </w:tc>
        <w:tc>
          <w:tcPr>
            <w:tcW w:type="dxa" w:w="1757"/>
            <w:vAlign w:val="center"/>
            <w:tcMar>
              <w:top w:w="30" w:type="dxa"/>
              <w:start w:w="35" w:type="dxa"/>
              <w:bottom w:w="30" w:type="dxa"/>
              <w:end w:w="35" w:type="dxa"/>
            </w:tcMar>
          </w:tcPr>
          <w:p>
            <w:r/>
            <w:r>
              <w:rPr>
                <w:rFonts w:ascii="Arial" w:hAnsi="Arial"/>
                <w:b w:val="0"/>
                <w:color w:val="000000"/>
                <w:sz w:val="13"/>
              </w:rPr>
              <w:t>Invalid open-world claim and unusable novelty results.</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15</w:t>
              <w:br/>
              <w:t>High</w:t>
            </w:r>
          </w:p>
        </w:tc>
        <w:tc>
          <w:tcPr>
            <w:tcW w:type="dxa" w:w="2608"/>
            <w:vAlign w:val="center"/>
            <w:tcMar>
              <w:top w:w="30" w:type="dxa"/>
              <w:start w:w="35" w:type="dxa"/>
              <w:bottom w:w="30" w:type="dxa"/>
              <w:end w:w="35" w:type="dxa"/>
            </w:tcMar>
          </w:tcPr>
          <w:p>
            <w:r/>
            <w:r>
              <w:rPr>
                <w:rFonts w:ascii="Arial" w:hAnsi="Arial"/>
                <w:b w:val="0"/>
                <w:color w:val="000000"/>
                <w:sz w:val="12"/>
              </w:rPr>
              <w:t>Choose withheld class before fitting; exclude it from training, validation, feature selection, threshold calibration and fusion tuning; record split logic.</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1x5=5</w:t>
              <w:br/>
              <w:t>Medium</w:t>
            </w:r>
          </w:p>
        </w:tc>
        <w:tc>
          <w:tcPr>
            <w:tcW w:type="dxa" w:w="1928"/>
            <w:vAlign w:val="center"/>
            <w:tcMar>
              <w:top w:w="30" w:type="dxa"/>
              <w:start w:w="35" w:type="dxa"/>
              <w:bottom w:w="30" w:type="dxa"/>
              <w:end w:w="35" w:type="dxa"/>
            </w:tcMar>
          </w:tcPr>
          <w:p>
            <w:r/>
            <w:r>
              <w:rPr>
                <w:rFonts w:ascii="Arial" w:hAnsi="Arial"/>
                <w:b w:val="0"/>
                <w:color w:val="000000"/>
                <w:sz w:val="12"/>
              </w:rPr>
              <w:t>Any withheld-class sample or label is found in the development pipeline.</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R04</w:t>
            </w:r>
          </w:p>
        </w:tc>
        <w:tc>
          <w:tcPr>
            <w:tcW w:type="dxa" w:w="1134"/>
            <w:vAlign w:val="center"/>
            <w:tcMar>
              <w:top w:w="30" w:type="dxa"/>
              <w:start w:w="35" w:type="dxa"/>
              <w:bottom w:w="30" w:type="dxa"/>
              <w:end w:w="35" w:type="dxa"/>
            </w:tcMar>
          </w:tcPr>
          <w:p>
            <w:r/>
            <w:r>
              <w:rPr>
                <w:rFonts w:ascii="Arial" w:hAnsi="Arial"/>
                <w:b w:val="0"/>
                <w:color w:val="000000"/>
                <w:sz w:val="13"/>
              </w:rPr>
              <w:t>ML / Class Balance</w:t>
            </w:r>
          </w:p>
        </w:tc>
        <w:tc>
          <w:tcPr>
            <w:tcW w:type="dxa" w:w="2438"/>
            <w:vAlign w:val="center"/>
            <w:tcMar>
              <w:top w:w="30" w:type="dxa"/>
              <w:start w:w="35" w:type="dxa"/>
              <w:bottom w:w="30" w:type="dxa"/>
              <w:end w:w="35" w:type="dxa"/>
            </w:tcMar>
          </w:tcPr>
          <w:p>
            <w:r/>
            <w:r>
              <w:rPr>
                <w:rFonts w:ascii="Arial" w:hAnsi="Arial"/>
                <w:b w:val="0"/>
                <w:color w:val="000000"/>
                <w:sz w:val="12"/>
              </w:rPr>
              <w:t>Class imbalance hides weak detection of minority attacks.</w:t>
              <w:br/>
              <w:t>Cause/indicator: High overall accuracy but low per-class recall or unstable minority performance.</w:t>
            </w:r>
          </w:p>
        </w:tc>
        <w:tc>
          <w:tcPr>
            <w:tcW w:type="dxa" w:w="1757"/>
            <w:vAlign w:val="center"/>
            <w:tcMar>
              <w:top w:w="30" w:type="dxa"/>
              <w:start w:w="35" w:type="dxa"/>
              <w:bottom w:w="30" w:type="dxa"/>
              <w:end w:w="35" w:type="dxa"/>
            </w:tcMar>
          </w:tcPr>
          <w:p>
            <w:r/>
            <w:r>
              <w:rPr>
                <w:rFonts w:ascii="Arial" w:hAnsi="Arial"/>
                <w:b w:val="0"/>
                <w:color w:val="000000"/>
                <w:sz w:val="13"/>
              </w:rPr>
              <w:t>Misleading evaluation and poor detection coverage.</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4CCCC"/>
          </w:tcPr>
          <w:p>
            <w:pPr>
              <w:jc w:val="center"/>
            </w:pPr>
            <w:r/>
            <w:r>
              <w:rPr>
                <w:rFonts w:ascii="Arial" w:hAnsi="Arial"/>
                <w:b w:val="0"/>
                <w:color w:val="000000"/>
                <w:sz w:val="13"/>
              </w:rPr>
              <w:t>16</w:t>
              <w:br/>
              <w:t>Critical</w:t>
            </w:r>
          </w:p>
        </w:tc>
        <w:tc>
          <w:tcPr>
            <w:tcW w:type="dxa" w:w="2608"/>
            <w:vAlign w:val="center"/>
            <w:tcMar>
              <w:top w:w="30" w:type="dxa"/>
              <w:start w:w="35" w:type="dxa"/>
              <w:bottom w:w="30" w:type="dxa"/>
              <w:end w:w="35" w:type="dxa"/>
            </w:tcMar>
          </w:tcPr>
          <w:p>
            <w:r/>
            <w:r>
              <w:rPr>
                <w:rFonts w:ascii="Arial" w:hAnsi="Arial"/>
                <w:b w:val="0"/>
                <w:color w:val="000000"/>
                <w:sz w:val="12"/>
              </w:rPr>
              <w:t>Report macro metrics, per-class precision/recall/F1, confusion matrices and FPR; avoid accuracy-only conclusions.</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2x3=6</w:t>
              <w:br/>
              <w:t>Medium</w:t>
            </w:r>
          </w:p>
        </w:tc>
        <w:tc>
          <w:tcPr>
            <w:tcW w:type="dxa" w:w="1928"/>
            <w:vAlign w:val="center"/>
            <w:tcMar>
              <w:top w:w="30" w:type="dxa"/>
              <w:start w:w="35" w:type="dxa"/>
              <w:bottom w:w="30" w:type="dxa"/>
              <w:end w:w="35" w:type="dxa"/>
            </w:tcMar>
          </w:tcPr>
          <w:p>
            <w:r/>
            <w:r>
              <w:rPr>
                <w:rFonts w:ascii="Arial" w:hAnsi="Arial"/>
                <w:b w:val="0"/>
                <w:color w:val="000000"/>
                <w:sz w:val="12"/>
              </w:rPr>
              <w:t>Minority-class recall remains materially below majority classes after justified handling.</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R05</w:t>
            </w:r>
          </w:p>
        </w:tc>
        <w:tc>
          <w:tcPr>
            <w:tcW w:type="dxa" w:w="1134"/>
            <w:vAlign w:val="center"/>
            <w:tcMar>
              <w:top w:w="30" w:type="dxa"/>
              <w:start w:w="35" w:type="dxa"/>
              <w:bottom w:w="30" w:type="dxa"/>
              <w:end w:w="35" w:type="dxa"/>
            </w:tcMar>
          </w:tcPr>
          <w:p>
            <w:r/>
            <w:r>
              <w:rPr>
                <w:rFonts w:ascii="Arial" w:hAnsi="Arial"/>
                <w:b w:val="0"/>
                <w:color w:val="000000"/>
                <w:sz w:val="13"/>
              </w:rPr>
              <w:t>ML / Safety</w:t>
            </w:r>
          </w:p>
        </w:tc>
        <w:tc>
          <w:tcPr>
            <w:tcW w:type="dxa" w:w="2438"/>
            <w:vAlign w:val="center"/>
            <w:tcMar>
              <w:top w:w="30" w:type="dxa"/>
              <w:start w:w="35" w:type="dxa"/>
              <w:bottom w:w="30" w:type="dxa"/>
              <w:end w:w="35" w:type="dxa"/>
            </w:tcMar>
          </w:tcPr>
          <w:p>
            <w:r/>
            <w:r>
              <w:rPr>
                <w:rFonts w:ascii="Arial" w:hAnsi="Arial"/>
                <w:b w:val="0"/>
                <w:color w:val="000000"/>
                <w:sz w:val="12"/>
              </w:rPr>
              <w:t>Novelty detector produces excessive false positives on benign unusual behaviour.</w:t>
              <w:br/>
              <w:t>Cause/indicator: Threshold tuning raises unknown recall but benign rejection also rises sharply.</w:t>
            </w:r>
          </w:p>
        </w:tc>
        <w:tc>
          <w:tcPr>
            <w:tcW w:type="dxa" w:w="1757"/>
            <w:vAlign w:val="center"/>
            <w:tcMar>
              <w:top w:w="30" w:type="dxa"/>
              <w:start w:w="35" w:type="dxa"/>
              <w:bottom w:w="30" w:type="dxa"/>
              <w:end w:w="35" w:type="dxa"/>
            </w:tcMar>
          </w:tcPr>
          <w:p>
            <w:r/>
            <w:r>
              <w:rPr>
                <w:rFonts w:ascii="Arial" w:hAnsi="Arial"/>
                <w:b w:val="0"/>
                <w:color w:val="000000"/>
                <w:sz w:val="13"/>
              </w:rPr>
              <w:t>Alert fatigue and unsafe containment recommendations.</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4CCCC"/>
          </w:tcPr>
          <w:p>
            <w:pPr>
              <w:jc w:val="center"/>
            </w:pPr>
            <w:r/>
            <w:r>
              <w:rPr>
                <w:rFonts w:ascii="Arial" w:hAnsi="Arial"/>
                <w:b w:val="0"/>
                <w:color w:val="000000"/>
                <w:sz w:val="13"/>
              </w:rPr>
              <w:t>20</w:t>
              <w:br/>
              <w:t>Critical</w:t>
            </w:r>
          </w:p>
        </w:tc>
        <w:tc>
          <w:tcPr>
            <w:tcW w:type="dxa" w:w="2608"/>
            <w:vAlign w:val="center"/>
            <w:tcMar>
              <w:top w:w="30" w:type="dxa"/>
              <w:start w:w="35" w:type="dxa"/>
              <w:bottom w:w="30" w:type="dxa"/>
              <w:end w:w="35" w:type="dxa"/>
            </w:tcMar>
          </w:tcPr>
          <w:p>
            <w:r/>
            <w:r>
              <w:rPr>
                <w:rFonts w:ascii="Arial" w:hAnsi="Arial"/>
                <w:b w:val="0"/>
                <w:color w:val="000000"/>
                <w:sz w:val="12"/>
              </w:rPr>
              <w:t>Validate threshold trade-offs; report operating points; preserve uncertainty; require analyst review before disruptive action.</w:t>
            </w:r>
          </w:p>
        </w:tc>
        <w:tc>
          <w:tcPr>
            <w:tcW w:type="dxa" w:w="850"/>
            <w:vAlign w:val="center"/>
            <w:tcMar>
              <w:top w:w="30" w:type="dxa"/>
              <w:start w:w="35" w:type="dxa"/>
              <w:bottom w:w="30" w:type="dxa"/>
              <w:end w:w="35" w:type="dxa"/>
            </w:tcMar>
            <w:shd w:fill="FCE4D6"/>
          </w:tcPr>
          <w:p>
            <w:pPr>
              <w:jc w:val="center"/>
            </w:pPr>
            <w:r/>
            <w:r>
              <w:rPr>
                <w:rFonts w:ascii="Arial" w:hAnsi="Arial"/>
                <w:b w:val="0"/>
                <w:color w:val="000000"/>
                <w:sz w:val="13"/>
              </w:rPr>
              <w:t>3x4=12</w:t>
              <w:br/>
              <w:t>High</w:t>
            </w:r>
          </w:p>
        </w:tc>
        <w:tc>
          <w:tcPr>
            <w:tcW w:type="dxa" w:w="1928"/>
            <w:vAlign w:val="center"/>
            <w:tcMar>
              <w:top w:w="30" w:type="dxa"/>
              <w:start w:w="35" w:type="dxa"/>
              <w:bottom w:w="30" w:type="dxa"/>
              <w:end w:w="35" w:type="dxa"/>
            </w:tcMar>
          </w:tcPr>
          <w:p>
            <w:r/>
            <w:r>
              <w:rPr>
                <w:rFonts w:ascii="Arial" w:hAnsi="Arial"/>
                <w:b w:val="0"/>
                <w:color w:val="000000"/>
                <w:sz w:val="12"/>
              </w:rPr>
              <w:t>Residual FPR remains operationally high at the selected unknown-recall operating point.</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R06</w:t>
            </w:r>
          </w:p>
        </w:tc>
        <w:tc>
          <w:tcPr>
            <w:tcW w:type="dxa" w:w="1134"/>
            <w:vAlign w:val="center"/>
            <w:tcMar>
              <w:top w:w="30" w:type="dxa"/>
              <w:start w:w="35" w:type="dxa"/>
              <w:bottom w:w="30" w:type="dxa"/>
              <w:end w:w="35" w:type="dxa"/>
            </w:tcMar>
          </w:tcPr>
          <w:p>
            <w:r/>
            <w:r>
              <w:rPr>
                <w:rFonts w:ascii="Arial" w:hAnsi="Arial"/>
                <w:b w:val="0"/>
                <w:color w:val="000000"/>
                <w:sz w:val="13"/>
              </w:rPr>
              <w:t>Technical Feasibility</w:t>
            </w:r>
          </w:p>
        </w:tc>
        <w:tc>
          <w:tcPr>
            <w:tcW w:type="dxa" w:w="2438"/>
            <w:vAlign w:val="center"/>
            <w:tcMar>
              <w:top w:w="30" w:type="dxa"/>
              <w:start w:w="35" w:type="dxa"/>
              <w:bottom w:w="30" w:type="dxa"/>
              <w:end w:w="35" w:type="dxa"/>
            </w:tcMar>
          </w:tcPr>
          <w:p>
            <w:r/>
            <w:r>
              <w:rPr>
                <w:rFonts w:ascii="Arial" w:hAnsi="Arial"/>
                <w:b w:val="0"/>
                <w:color w:val="000000"/>
                <w:sz w:val="12"/>
              </w:rPr>
              <w:t>Selected data cannot support a genuine Suricata signature baseline or suitable traffic replay.</w:t>
              <w:br/>
              <w:t>Cause/indicator: Dataset contains only tabular flows with no compatible packet/replay path.</w:t>
            </w:r>
          </w:p>
        </w:tc>
        <w:tc>
          <w:tcPr>
            <w:tcW w:type="dxa" w:w="1757"/>
            <w:vAlign w:val="center"/>
            <w:tcMar>
              <w:top w:w="30" w:type="dxa"/>
              <w:start w:w="35" w:type="dxa"/>
              <w:bottom w:w="30" w:type="dxa"/>
              <w:end w:w="35" w:type="dxa"/>
            </w:tcMar>
          </w:tcPr>
          <w:p>
            <w:r/>
            <w:r>
              <w:rPr>
                <w:rFonts w:ascii="Arial" w:hAnsi="Arial"/>
                <w:b w:val="0"/>
                <w:color w:val="000000"/>
                <w:sz w:val="13"/>
              </w:rPr>
              <w:t>Signature baseline becomes incomparable or must be redesigned.</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4CCCC"/>
          </w:tcPr>
          <w:p>
            <w:pPr>
              <w:jc w:val="center"/>
            </w:pPr>
            <w:r/>
            <w:r>
              <w:rPr>
                <w:rFonts w:ascii="Arial" w:hAnsi="Arial"/>
                <w:b w:val="0"/>
                <w:color w:val="000000"/>
                <w:sz w:val="13"/>
              </w:rPr>
              <w:t>16</w:t>
              <w:br/>
              <w:t>Critical</w:t>
            </w:r>
          </w:p>
        </w:tc>
        <w:tc>
          <w:tcPr>
            <w:tcW w:type="dxa" w:w="2608"/>
            <w:vAlign w:val="center"/>
            <w:tcMar>
              <w:top w:w="30" w:type="dxa"/>
              <w:start w:w="35" w:type="dxa"/>
              <w:bottom w:w="30" w:type="dxa"/>
              <w:end w:w="35" w:type="dxa"/>
            </w:tcMar>
          </w:tcPr>
          <w:p>
            <w:r/>
            <w:r>
              <w:rPr>
                <w:rFonts w:ascii="Arial" w:hAnsi="Arial"/>
                <w:b w:val="0"/>
                <w:color w:val="000000"/>
                <w:sz w:val="12"/>
              </w:rPr>
              <w:t>Verify PCAP/replay compatibility early; use controlled lab traffic or a justified equivalent rule-based path while documenting limitations.</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2x3=6</w:t>
              <w:br/>
              <w:t>Medium</w:t>
            </w:r>
          </w:p>
        </w:tc>
        <w:tc>
          <w:tcPr>
            <w:tcW w:type="dxa" w:w="1928"/>
            <w:vAlign w:val="center"/>
            <w:tcMar>
              <w:top w:w="30" w:type="dxa"/>
              <w:start w:w="35" w:type="dxa"/>
              <w:bottom w:w="30" w:type="dxa"/>
              <w:end w:w="35" w:type="dxa"/>
            </w:tcMar>
          </w:tcPr>
          <w:p>
            <w:r/>
            <w:r>
              <w:rPr>
                <w:rFonts w:ascii="Arial" w:hAnsi="Arial"/>
                <w:b w:val="0"/>
                <w:color w:val="000000"/>
                <w:sz w:val="12"/>
              </w:rPr>
              <w:t>No reproducible route exists for aligning rule evidence with the experimental stream.</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R07</w:t>
            </w:r>
          </w:p>
        </w:tc>
        <w:tc>
          <w:tcPr>
            <w:tcW w:type="dxa" w:w="1134"/>
            <w:vAlign w:val="center"/>
            <w:tcMar>
              <w:top w:w="30" w:type="dxa"/>
              <w:start w:w="35" w:type="dxa"/>
              <w:bottom w:w="30" w:type="dxa"/>
              <w:end w:w="35" w:type="dxa"/>
            </w:tcMar>
          </w:tcPr>
          <w:p>
            <w:r/>
            <w:r>
              <w:rPr>
                <w:rFonts w:ascii="Arial" w:hAnsi="Arial"/>
                <w:b w:val="0"/>
                <w:color w:val="000000"/>
                <w:sz w:val="13"/>
              </w:rPr>
              <w:t>Integration</w:t>
            </w:r>
          </w:p>
        </w:tc>
        <w:tc>
          <w:tcPr>
            <w:tcW w:type="dxa" w:w="2438"/>
            <w:vAlign w:val="center"/>
            <w:tcMar>
              <w:top w:w="30" w:type="dxa"/>
              <w:start w:w="35" w:type="dxa"/>
              <w:bottom w:w="30" w:type="dxa"/>
              <w:end w:w="35" w:type="dxa"/>
            </w:tcMar>
          </w:tcPr>
          <w:p>
            <w:r/>
            <w:r>
              <w:rPr>
                <w:rFonts w:ascii="Arial" w:hAnsi="Arial"/>
                <w:b w:val="0"/>
                <w:color w:val="000000"/>
                <w:sz w:val="12"/>
              </w:rPr>
              <w:t>Suricata, ML, evidence correlation, dashboard and response components take longer to integrate than planned.</w:t>
              <w:br/>
              <w:t>Cause/indicator: Interfaces or event schemas change repeatedly across components.</w:t>
            </w:r>
          </w:p>
        </w:tc>
        <w:tc>
          <w:tcPr>
            <w:tcW w:type="dxa" w:w="1757"/>
            <w:vAlign w:val="center"/>
            <w:tcMar>
              <w:top w:w="30" w:type="dxa"/>
              <w:start w:w="35" w:type="dxa"/>
              <w:bottom w:w="30" w:type="dxa"/>
              <w:end w:w="35" w:type="dxa"/>
            </w:tcMar>
          </w:tcPr>
          <w:p>
            <w:r/>
            <w:r>
              <w:rPr>
                <w:rFonts w:ascii="Arial" w:hAnsi="Arial"/>
                <w:b w:val="0"/>
                <w:color w:val="000000"/>
                <w:sz w:val="13"/>
              </w:rPr>
              <w:t>Schedule slippage and reduced evaluation time.</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12</w:t>
              <w:br/>
              <w:t>High</w:t>
            </w:r>
          </w:p>
        </w:tc>
        <w:tc>
          <w:tcPr>
            <w:tcW w:type="dxa" w:w="2608"/>
            <w:vAlign w:val="center"/>
            <w:tcMar>
              <w:top w:w="30" w:type="dxa"/>
              <w:start w:w="35" w:type="dxa"/>
              <w:bottom w:w="30" w:type="dxa"/>
              <w:end w:w="35" w:type="dxa"/>
            </w:tcMar>
          </w:tcPr>
          <w:p>
            <w:r/>
            <w:r>
              <w:rPr>
                <w:rFonts w:ascii="Arial" w:hAnsi="Arial"/>
                <w:b w:val="0"/>
                <w:color w:val="000000"/>
                <w:sz w:val="12"/>
              </w:rPr>
              <w:t>Integrate incrementally; define stable event schemas; complete baselines before advanced features; version interfaces.</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2x3=6</w:t>
              <w:br/>
              <w:t>Medium</w:t>
            </w:r>
          </w:p>
        </w:tc>
        <w:tc>
          <w:tcPr>
            <w:tcW w:type="dxa" w:w="1928"/>
            <w:vAlign w:val="center"/>
            <w:tcMar>
              <w:top w:w="30" w:type="dxa"/>
              <w:start w:w="35" w:type="dxa"/>
              <w:bottom w:w="30" w:type="dxa"/>
              <w:end w:w="35" w:type="dxa"/>
            </w:tcMar>
          </w:tcPr>
          <w:p>
            <w:r/>
            <w:r>
              <w:rPr>
                <w:rFonts w:ascii="Arial" w:hAnsi="Arial"/>
                <w:b w:val="0"/>
                <w:color w:val="000000"/>
                <w:sz w:val="12"/>
              </w:rPr>
              <w:t>Integration defects block an experiment milestone for more than one planned work period.</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R08</w:t>
            </w:r>
          </w:p>
        </w:tc>
        <w:tc>
          <w:tcPr>
            <w:tcW w:type="dxa" w:w="1134"/>
            <w:vAlign w:val="center"/>
            <w:tcMar>
              <w:top w:w="30" w:type="dxa"/>
              <w:start w:w="35" w:type="dxa"/>
              <w:bottom w:w="30" w:type="dxa"/>
              <w:end w:w="35" w:type="dxa"/>
            </w:tcMar>
          </w:tcPr>
          <w:p>
            <w:r/>
            <w:r>
              <w:rPr>
                <w:rFonts w:ascii="Arial" w:hAnsi="Arial"/>
                <w:b w:val="0"/>
                <w:color w:val="000000"/>
                <w:sz w:val="13"/>
              </w:rPr>
              <w:t>Hardware / Resources</w:t>
            </w:r>
          </w:p>
        </w:tc>
        <w:tc>
          <w:tcPr>
            <w:tcW w:type="dxa" w:w="2438"/>
            <w:vAlign w:val="center"/>
            <w:tcMar>
              <w:top w:w="30" w:type="dxa"/>
              <w:start w:w="35" w:type="dxa"/>
              <w:bottom w:w="30" w:type="dxa"/>
              <w:end w:w="35" w:type="dxa"/>
            </w:tcMar>
          </w:tcPr>
          <w:p>
            <w:r/>
            <w:r>
              <w:rPr>
                <w:rFonts w:ascii="Arial" w:hAnsi="Arial"/>
                <w:b w:val="0"/>
                <w:color w:val="000000"/>
                <w:sz w:val="12"/>
              </w:rPr>
              <w:t>VMs, datasets or model training exceed available CPU, RAM or storage.</w:t>
              <w:br/>
              <w:t>Cause/indicator: Memory pressure, long training time or repeated VM instability.</w:t>
            </w:r>
          </w:p>
        </w:tc>
        <w:tc>
          <w:tcPr>
            <w:tcW w:type="dxa" w:w="1757"/>
            <w:vAlign w:val="center"/>
            <w:tcMar>
              <w:top w:w="30" w:type="dxa"/>
              <w:start w:w="35" w:type="dxa"/>
              <w:bottom w:w="30" w:type="dxa"/>
              <w:end w:w="35" w:type="dxa"/>
            </w:tcMar>
          </w:tcPr>
          <w:p>
            <w:r/>
            <w:r>
              <w:rPr>
                <w:rFonts w:ascii="Arial" w:hAnsi="Arial"/>
                <w:b w:val="0"/>
                <w:color w:val="000000"/>
                <w:sz w:val="13"/>
              </w:rPr>
              <w:t>Interrupted experiments and reduced reproducibility.</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737"/>
            <w:vAlign w:val="center"/>
            <w:tcMar>
              <w:top w:w="30" w:type="dxa"/>
              <w:start w:w="35" w:type="dxa"/>
              <w:bottom w:w="30" w:type="dxa"/>
              <w:end w:w="35" w:type="dxa"/>
            </w:tcMar>
            <w:shd w:fill="FFF2CC"/>
          </w:tcPr>
          <w:p>
            <w:pPr>
              <w:jc w:val="center"/>
            </w:pPr>
            <w:r/>
            <w:r>
              <w:rPr>
                <w:rFonts w:ascii="Arial" w:hAnsi="Arial"/>
                <w:b w:val="0"/>
                <w:color w:val="000000"/>
                <w:sz w:val="13"/>
              </w:rPr>
              <w:t>9</w:t>
              <w:br/>
              <w:t>Medium</w:t>
            </w:r>
          </w:p>
        </w:tc>
        <w:tc>
          <w:tcPr>
            <w:tcW w:type="dxa" w:w="2608"/>
            <w:vAlign w:val="center"/>
            <w:tcMar>
              <w:top w:w="30" w:type="dxa"/>
              <w:start w:w="35" w:type="dxa"/>
              <w:bottom w:w="30" w:type="dxa"/>
              <w:end w:w="35" w:type="dxa"/>
            </w:tcMar>
          </w:tcPr>
          <w:p>
            <w:r/>
            <w:r>
              <w:rPr>
                <w:rFonts w:ascii="Arial" w:hAnsi="Arial"/>
                <w:b w:val="0"/>
                <w:color w:val="000000"/>
                <w:sz w:val="12"/>
              </w:rPr>
              <w:t>Profile resources; use lightweight baselines; stop unused VMs/services; document any sampling; avoid unnecessary GPU-dependent methods.</w:t>
            </w:r>
          </w:p>
        </w:tc>
        <w:tc>
          <w:tcPr>
            <w:tcW w:type="dxa" w:w="850"/>
            <w:vAlign w:val="center"/>
            <w:tcMar>
              <w:top w:w="30" w:type="dxa"/>
              <w:start w:w="35" w:type="dxa"/>
              <w:bottom w:w="30" w:type="dxa"/>
              <w:end w:w="35" w:type="dxa"/>
            </w:tcMar>
            <w:shd w:fill="E2F0D9"/>
          </w:tcPr>
          <w:p>
            <w:pPr>
              <w:jc w:val="center"/>
            </w:pPr>
            <w:r/>
            <w:r>
              <w:rPr>
                <w:rFonts w:ascii="Arial" w:hAnsi="Arial"/>
                <w:b w:val="0"/>
                <w:color w:val="000000"/>
                <w:sz w:val="13"/>
              </w:rPr>
              <w:t>2x2=4</w:t>
              <w:br/>
              <w:t>Low</w:t>
            </w:r>
          </w:p>
        </w:tc>
        <w:tc>
          <w:tcPr>
            <w:tcW w:type="dxa" w:w="1928"/>
            <w:vAlign w:val="center"/>
            <w:tcMar>
              <w:top w:w="30" w:type="dxa"/>
              <w:start w:w="35" w:type="dxa"/>
              <w:bottom w:w="30" w:type="dxa"/>
              <w:end w:w="35" w:type="dxa"/>
            </w:tcMar>
          </w:tcPr>
          <w:p>
            <w:r/>
            <w:r>
              <w:rPr>
                <w:rFonts w:ascii="Arial" w:hAnsi="Arial"/>
                <w:b w:val="0"/>
                <w:color w:val="000000"/>
                <w:sz w:val="12"/>
              </w:rPr>
              <w:t>Core experiment cannot complete within practical resource limits.</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R09</w:t>
            </w:r>
          </w:p>
        </w:tc>
        <w:tc>
          <w:tcPr>
            <w:tcW w:type="dxa" w:w="1134"/>
            <w:vAlign w:val="center"/>
            <w:tcMar>
              <w:top w:w="30" w:type="dxa"/>
              <w:start w:w="35" w:type="dxa"/>
              <w:bottom w:w="30" w:type="dxa"/>
              <w:end w:w="35" w:type="dxa"/>
            </w:tcMar>
          </w:tcPr>
          <w:p>
            <w:r/>
            <w:r>
              <w:rPr>
                <w:rFonts w:ascii="Arial" w:hAnsi="Arial"/>
                <w:b w:val="0"/>
                <w:color w:val="000000"/>
                <w:sz w:val="13"/>
              </w:rPr>
              <w:t>Scope</w:t>
            </w:r>
          </w:p>
        </w:tc>
        <w:tc>
          <w:tcPr>
            <w:tcW w:type="dxa" w:w="2438"/>
            <w:vAlign w:val="center"/>
            <w:tcMar>
              <w:top w:w="30" w:type="dxa"/>
              <w:start w:w="35" w:type="dxa"/>
              <w:bottom w:w="30" w:type="dxa"/>
              <w:end w:w="35" w:type="dxa"/>
            </w:tcMar>
          </w:tcPr>
          <w:p>
            <w:r/>
            <w:r>
              <w:rPr>
                <w:rFonts w:ascii="Arial" w:hAnsi="Arial"/>
                <w:b w:val="0"/>
                <w:color w:val="000000"/>
                <w:sz w:val="12"/>
              </w:rPr>
              <w:t>Additional AI models, dashboards or response features cause scope creep.</w:t>
              <w:br/>
              <w:t>Cause/indicator: New features are added without direct linkage to the research question or baseline evidence.</w:t>
            </w:r>
          </w:p>
        </w:tc>
        <w:tc>
          <w:tcPr>
            <w:tcW w:type="dxa" w:w="1757"/>
            <w:vAlign w:val="center"/>
            <w:tcMar>
              <w:top w:w="30" w:type="dxa"/>
              <w:start w:w="35" w:type="dxa"/>
              <w:bottom w:w="30" w:type="dxa"/>
              <w:end w:w="35" w:type="dxa"/>
            </w:tcMar>
          </w:tcPr>
          <w:p>
            <w:r/>
            <w:r>
              <w:rPr>
                <w:rFonts w:ascii="Arial" w:hAnsi="Arial"/>
                <w:b w:val="0"/>
                <w:color w:val="000000"/>
                <w:sz w:val="13"/>
              </w:rPr>
              <w:t>Core artefact/testing delayed; incomplete FYP.</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4CCCC"/>
          </w:tcPr>
          <w:p>
            <w:pPr>
              <w:jc w:val="center"/>
            </w:pPr>
            <w:r/>
            <w:r>
              <w:rPr>
                <w:rFonts w:ascii="Arial" w:hAnsi="Arial"/>
                <w:b w:val="0"/>
                <w:color w:val="000000"/>
                <w:sz w:val="13"/>
              </w:rPr>
              <w:t>20</w:t>
              <w:br/>
              <w:t>Critical</w:t>
            </w:r>
          </w:p>
        </w:tc>
        <w:tc>
          <w:tcPr>
            <w:tcW w:type="dxa" w:w="2608"/>
            <w:vAlign w:val="center"/>
            <w:tcMar>
              <w:top w:w="30" w:type="dxa"/>
              <w:start w:w="35" w:type="dxa"/>
              <w:bottom w:w="30" w:type="dxa"/>
              <w:end w:w="35" w:type="dxa"/>
            </w:tcMar>
          </w:tcPr>
          <w:p>
            <w:r/>
            <w:r>
              <w:rPr>
                <w:rFonts w:ascii="Arial" w:hAnsi="Arial"/>
                <w:b w:val="0"/>
                <w:color w:val="000000"/>
                <w:sz w:val="12"/>
              </w:rPr>
              <w:t>Freeze core scope around Suricata, XGBoost, Isolation Forest, evidence correlation, XAI and human-approved containment; extensions require evidence and schedule capacity.</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2x4=8</w:t>
              <w:br/>
              <w:t>Medium</w:t>
            </w:r>
          </w:p>
        </w:tc>
        <w:tc>
          <w:tcPr>
            <w:tcW w:type="dxa" w:w="1928"/>
            <w:vAlign w:val="center"/>
            <w:tcMar>
              <w:top w:w="30" w:type="dxa"/>
              <w:start w:w="35" w:type="dxa"/>
              <w:bottom w:w="30" w:type="dxa"/>
              <w:end w:w="35" w:type="dxa"/>
            </w:tcMar>
          </w:tcPr>
          <w:p>
            <w:r/>
            <w:r>
              <w:rPr>
                <w:rFonts w:ascii="Arial" w:hAnsi="Arial"/>
                <w:b w:val="0"/>
                <w:color w:val="000000"/>
                <w:sz w:val="12"/>
              </w:rPr>
              <w:t>A proposed feature threatens a milestone or does not answer a documented limitation.</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R10</w:t>
            </w:r>
          </w:p>
        </w:tc>
        <w:tc>
          <w:tcPr>
            <w:tcW w:type="dxa" w:w="1134"/>
            <w:vAlign w:val="center"/>
            <w:tcMar>
              <w:top w:w="30" w:type="dxa"/>
              <w:start w:w="35" w:type="dxa"/>
              <w:bottom w:w="30" w:type="dxa"/>
              <w:end w:w="35" w:type="dxa"/>
            </w:tcMar>
          </w:tcPr>
          <w:p>
            <w:r/>
            <w:r>
              <w:rPr>
                <w:rFonts w:ascii="Arial" w:hAnsi="Arial"/>
                <w:b w:val="0"/>
                <w:color w:val="000000"/>
                <w:sz w:val="13"/>
              </w:rPr>
              <w:t>Schedule</w:t>
            </w:r>
          </w:p>
        </w:tc>
        <w:tc>
          <w:tcPr>
            <w:tcW w:type="dxa" w:w="2438"/>
            <w:vAlign w:val="center"/>
            <w:tcMar>
              <w:top w:w="30" w:type="dxa"/>
              <w:start w:w="35" w:type="dxa"/>
              <w:bottom w:w="30" w:type="dxa"/>
              <w:end w:w="35" w:type="dxa"/>
            </w:tcMar>
          </w:tcPr>
          <w:p>
            <w:r/>
            <w:r>
              <w:rPr>
                <w:rFonts w:ascii="Arial" w:hAnsi="Arial"/>
                <w:b w:val="0"/>
                <w:color w:val="000000"/>
                <w:sz w:val="12"/>
              </w:rPr>
              <w:t>Milestone slippage reduces time for integration, testing, evaluation or final report writing.</w:t>
              <w:br/>
              <w:t>Cause/indicator: Weekly plan shows repeated carry-over or critical tasks moving past milestone windows.</w:t>
            </w:r>
          </w:p>
        </w:tc>
        <w:tc>
          <w:tcPr>
            <w:tcW w:type="dxa" w:w="1757"/>
            <w:vAlign w:val="center"/>
            <w:tcMar>
              <w:top w:w="30" w:type="dxa"/>
              <w:start w:w="35" w:type="dxa"/>
              <w:bottom w:w="30" w:type="dxa"/>
              <w:end w:w="35" w:type="dxa"/>
            </w:tcMar>
          </w:tcPr>
          <w:p>
            <w:r/>
            <w:r>
              <w:rPr>
                <w:rFonts w:ascii="Arial" w:hAnsi="Arial"/>
                <w:b w:val="0"/>
                <w:color w:val="000000"/>
                <w:sz w:val="13"/>
              </w:rPr>
              <w:t>Insufficient testing and weaker final submission.</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12</w:t>
              <w:br/>
              <w:t>High</w:t>
            </w:r>
          </w:p>
        </w:tc>
        <w:tc>
          <w:tcPr>
            <w:tcW w:type="dxa" w:w="2608"/>
            <w:vAlign w:val="center"/>
            <w:tcMar>
              <w:top w:w="30" w:type="dxa"/>
              <w:start w:w="35" w:type="dxa"/>
              <w:bottom w:w="30" w:type="dxa"/>
              <w:end w:w="35" w:type="dxa"/>
            </w:tcMar>
          </w:tcPr>
          <w:p>
            <w:r/>
            <w:r>
              <w:rPr>
                <w:rFonts w:ascii="Arial" w:hAnsi="Arial"/>
                <w:b w:val="0"/>
                <w:color w:val="000000"/>
                <w:sz w:val="12"/>
              </w:rPr>
              <w:t>Review WBS weekly; prioritise research-question-critical deliverables; time-box optional work; maintain buffer before final milestones.</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2x3=6</w:t>
              <w:br/>
              <w:t>Medium</w:t>
            </w:r>
          </w:p>
        </w:tc>
        <w:tc>
          <w:tcPr>
            <w:tcW w:type="dxa" w:w="1928"/>
            <w:vAlign w:val="center"/>
            <w:tcMar>
              <w:top w:w="30" w:type="dxa"/>
              <w:start w:w="35" w:type="dxa"/>
              <w:bottom w:w="30" w:type="dxa"/>
              <w:end w:w="35" w:type="dxa"/>
            </w:tcMar>
          </w:tcPr>
          <w:p>
            <w:r/>
            <w:r>
              <w:rPr>
                <w:rFonts w:ascii="Arial" w:hAnsi="Arial"/>
                <w:b w:val="0"/>
                <w:color w:val="000000"/>
                <w:sz w:val="12"/>
              </w:rPr>
              <w:t>Two consecutive weekly reviews show critical-path slippage.</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R11</w:t>
            </w:r>
          </w:p>
        </w:tc>
        <w:tc>
          <w:tcPr>
            <w:tcW w:type="dxa" w:w="1134"/>
            <w:vAlign w:val="center"/>
            <w:tcMar>
              <w:top w:w="30" w:type="dxa"/>
              <w:start w:w="35" w:type="dxa"/>
              <w:bottom w:w="30" w:type="dxa"/>
              <w:end w:w="35" w:type="dxa"/>
            </w:tcMar>
          </w:tcPr>
          <w:p>
            <w:r/>
            <w:r>
              <w:rPr>
                <w:rFonts w:ascii="Arial" w:hAnsi="Arial"/>
                <w:b w:val="0"/>
                <w:color w:val="000000"/>
                <w:sz w:val="13"/>
              </w:rPr>
              <w:t>Ethics / Authorisation</w:t>
            </w:r>
          </w:p>
        </w:tc>
        <w:tc>
          <w:tcPr>
            <w:tcW w:type="dxa" w:w="2438"/>
            <w:vAlign w:val="center"/>
            <w:tcMar>
              <w:top w:w="30" w:type="dxa"/>
              <w:start w:w="35" w:type="dxa"/>
              <w:bottom w:w="30" w:type="dxa"/>
              <w:end w:w="35" w:type="dxa"/>
            </w:tcMar>
          </w:tcPr>
          <w:p>
            <w:r/>
            <w:r>
              <w:rPr>
                <w:rFonts w:ascii="Arial" w:hAnsi="Arial"/>
                <w:b w:val="0"/>
                <w:color w:val="000000"/>
                <w:sz w:val="12"/>
              </w:rPr>
              <w:t>Testing unintentionally reaches an unauthorised, public, university or third-party system.</w:t>
              <w:br/>
              <w:t>Cause/indicator: Network route, target or interface is uncertain or outside the documented lab boundary.</w:t>
            </w:r>
          </w:p>
        </w:tc>
        <w:tc>
          <w:tcPr>
            <w:tcW w:type="dxa" w:w="1757"/>
            <w:vAlign w:val="center"/>
            <w:tcMar>
              <w:top w:w="30" w:type="dxa"/>
              <w:start w:w="35" w:type="dxa"/>
              <w:bottom w:w="30" w:type="dxa"/>
              <w:end w:w="35" w:type="dxa"/>
            </w:tcMar>
          </w:tcPr>
          <w:p>
            <w:r/>
            <w:r>
              <w:rPr>
                <w:rFonts w:ascii="Arial" w:hAnsi="Arial"/>
                <w:b w:val="0"/>
                <w:color w:val="000000"/>
                <w:sz w:val="13"/>
              </w:rPr>
              <w:t>Ethical breach, unintended disruption and project suspension.</w:t>
            </w:r>
          </w:p>
        </w:tc>
        <w:tc>
          <w:tcPr>
            <w:tcW w:type="dxa" w:w="397"/>
            <w:vAlign w:val="center"/>
            <w:tcMar>
              <w:top w:w="30" w:type="dxa"/>
              <w:start w:w="35" w:type="dxa"/>
              <w:bottom w:w="30" w:type="dxa"/>
              <w:end w:w="35" w:type="dxa"/>
            </w:tcMar>
          </w:tcPr>
          <w:p>
            <w:pPr>
              <w:jc w:val="center"/>
            </w:pPr>
            <w:r/>
            <w:r>
              <w:rPr>
                <w:rFonts w:ascii="Arial" w:hAnsi="Arial"/>
                <w:b w:val="0"/>
                <w:color w:val="000000"/>
                <w:sz w:val="13"/>
              </w:rPr>
              <w:t>2</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10</w:t>
              <w:br/>
              <w:t>High</w:t>
            </w:r>
          </w:p>
        </w:tc>
        <w:tc>
          <w:tcPr>
            <w:tcW w:type="dxa" w:w="2608"/>
            <w:vAlign w:val="center"/>
            <w:tcMar>
              <w:top w:w="30" w:type="dxa"/>
              <w:start w:w="35" w:type="dxa"/>
              <w:bottom w:w="30" w:type="dxa"/>
              <w:end w:w="35" w:type="dxa"/>
            </w:tcMar>
          </w:tcPr>
          <w:p>
            <w:r/>
            <w:r>
              <w:rPr>
                <w:rFonts w:ascii="Arial" w:hAnsi="Arial"/>
                <w:b w:val="0"/>
                <w:color w:val="000000"/>
                <w:sz w:val="12"/>
              </w:rPr>
              <w:t>Use isolated/authorised environments only; verify network configuration before tests; apply stop-work rule whenever authorisation or boundary is uncertain.</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1x5=5</w:t>
              <w:br/>
              <w:t>Medium</w:t>
            </w:r>
          </w:p>
        </w:tc>
        <w:tc>
          <w:tcPr>
            <w:tcW w:type="dxa" w:w="1928"/>
            <w:vAlign w:val="center"/>
            <w:tcMar>
              <w:top w:w="30" w:type="dxa"/>
              <w:start w:w="35" w:type="dxa"/>
              <w:bottom w:w="30" w:type="dxa"/>
              <w:end w:w="35" w:type="dxa"/>
            </w:tcMar>
          </w:tcPr>
          <w:p>
            <w:r/>
            <w:r>
              <w:rPr>
                <w:rFonts w:ascii="Arial" w:hAnsi="Arial"/>
                <w:b w:val="0"/>
                <w:color w:val="000000"/>
                <w:sz w:val="12"/>
              </w:rPr>
              <w:t>Any test packet, scan, replay or containment action may leave the authorised environment.</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 (escalate)</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R12</w:t>
            </w:r>
          </w:p>
        </w:tc>
        <w:tc>
          <w:tcPr>
            <w:tcW w:type="dxa" w:w="1134"/>
            <w:vAlign w:val="center"/>
            <w:tcMar>
              <w:top w:w="30" w:type="dxa"/>
              <w:start w:w="35" w:type="dxa"/>
              <w:bottom w:w="30" w:type="dxa"/>
              <w:end w:w="35" w:type="dxa"/>
            </w:tcMar>
          </w:tcPr>
          <w:p>
            <w:r/>
            <w:r>
              <w:rPr>
                <w:rFonts w:ascii="Arial" w:hAnsi="Arial"/>
                <w:b w:val="0"/>
                <w:color w:val="000000"/>
                <w:sz w:val="13"/>
              </w:rPr>
              <w:t>Response Safety</w:t>
            </w:r>
          </w:p>
        </w:tc>
        <w:tc>
          <w:tcPr>
            <w:tcW w:type="dxa" w:w="2438"/>
            <w:vAlign w:val="center"/>
            <w:tcMar>
              <w:top w:w="30" w:type="dxa"/>
              <w:start w:w="35" w:type="dxa"/>
              <w:bottom w:w="30" w:type="dxa"/>
              <w:end w:w="35" w:type="dxa"/>
            </w:tcMar>
          </w:tcPr>
          <w:p>
            <w:r/>
            <w:r>
              <w:rPr>
                <w:rFonts w:ascii="Arial" w:hAnsi="Arial"/>
                <w:b w:val="0"/>
                <w:color w:val="000000"/>
                <w:sz w:val="12"/>
              </w:rPr>
              <w:t>A false positive leads to containment of legitimate laboratory traffic or service.</w:t>
              <w:br/>
              <w:t>Cause/indicator: Novelty evidence is treated as sufficient for automatic action.</w:t>
            </w:r>
          </w:p>
        </w:tc>
        <w:tc>
          <w:tcPr>
            <w:tcW w:type="dxa" w:w="1757"/>
            <w:vAlign w:val="center"/>
            <w:tcMar>
              <w:top w:w="30" w:type="dxa"/>
              <w:start w:w="35" w:type="dxa"/>
              <w:bottom w:w="30" w:type="dxa"/>
              <w:end w:w="35" w:type="dxa"/>
            </w:tcMar>
          </w:tcPr>
          <w:p>
            <w:r/>
            <w:r>
              <w:rPr>
                <w:rFonts w:ascii="Arial" w:hAnsi="Arial"/>
                <w:b w:val="0"/>
                <w:color w:val="000000"/>
                <w:sz w:val="13"/>
              </w:rPr>
              <w:t>Loss of availability and invalid response evaluation.</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15</w:t>
              <w:br/>
              <w:t>High</w:t>
            </w:r>
          </w:p>
        </w:tc>
        <w:tc>
          <w:tcPr>
            <w:tcW w:type="dxa" w:w="2608"/>
            <w:vAlign w:val="center"/>
            <w:tcMar>
              <w:top w:w="30" w:type="dxa"/>
              <w:start w:w="35" w:type="dxa"/>
              <w:bottom w:w="30" w:type="dxa"/>
              <w:end w:w="35" w:type="dxa"/>
            </w:tcMar>
          </w:tcPr>
          <w:p>
            <w:r/>
            <w:r>
              <w:rPr>
                <w:rFonts w:ascii="Arial" w:hAnsi="Arial"/>
                <w:b w:val="0"/>
                <w:color w:val="000000"/>
                <w:sz w:val="12"/>
              </w:rPr>
              <w:t>Require explicit human approval; use lab-scoped, time-limited, logged containment with timeout and rollback; test rollback before response experiments.</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2x4=8</w:t>
              <w:br/>
              <w:t>Medium</w:t>
            </w:r>
          </w:p>
        </w:tc>
        <w:tc>
          <w:tcPr>
            <w:tcW w:type="dxa" w:w="1928"/>
            <w:vAlign w:val="center"/>
            <w:tcMar>
              <w:top w:w="30" w:type="dxa"/>
              <w:start w:w="35" w:type="dxa"/>
              <w:bottom w:w="30" w:type="dxa"/>
              <w:end w:w="35" w:type="dxa"/>
            </w:tcMar>
          </w:tcPr>
          <w:p>
            <w:r/>
            <w:r>
              <w:rPr>
                <w:rFonts w:ascii="Arial" w:hAnsi="Arial"/>
                <w:b w:val="0"/>
                <w:color w:val="000000"/>
                <w:sz w:val="12"/>
              </w:rPr>
              <w:t>Containment cannot be safely reversed or approval is bypassed.</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R13</w:t>
            </w:r>
          </w:p>
        </w:tc>
        <w:tc>
          <w:tcPr>
            <w:tcW w:type="dxa" w:w="1134"/>
            <w:vAlign w:val="center"/>
            <w:tcMar>
              <w:top w:w="30" w:type="dxa"/>
              <w:start w:w="35" w:type="dxa"/>
              <w:bottom w:w="30" w:type="dxa"/>
              <w:end w:w="35" w:type="dxa"/>
            </w:tcMar>
          </w:tcPr>
          <w:p>
            <w:r/>
            <w:r>
              <w:rPr>
                <w:rFonts w:ascii="Arial" w:hAnsi="Arial"/>
                <w:b w:val="0"/>
                <w:color w:val="000000"/>
                <w:sz w:val="13"/>
              </w:rPr>
              <w:t>Repository / Privacy</w:t>
            </w:r>
          </w:p>
        </w:tc>
        <w:tc>
          <w:tcPr>
            <w:tcW w:type="dxa" w:w="2438"/>
            <w:vAlign w:val="center"/>
            <w:tcMar>
              <w:top w:w="30" w:type="dxa"/>
              <w:start w:w="35" w:type="dxa"/>
              <w:bottom w:w="30" w:type="dxa"/>
              <w:end w:w="35" w:type="dxa"/>
            </w:tcMar>
          </w:tcPr>
          <w:p>
            <w:r/>
            <w:r>
              <w:rPr>
                <w:rFonts w:ascii="Arial" w:hAnsi="Arial"/>
                <w:b w:val="0"/>
                <w:color w:val="000000"/>
                <w:sz w:val="12"/>
              </w:rPr>
              <w:t>Credentials, sensitive files, datasets or third-party materials are accidentally committed to the public repository.</w:t>
              <w:br/>
              <w:t>Cause/indicator: git status shows secrets, large data, logs, keys or restricted artefacts staged for commit.</w:t>
            </w:r>
          </w:p>
        </w:tc>
        <w:tc>
          <w:tcPr>
            <w:tcW w:type="dxa" w:w="1757"/>
            <w:vAlign w:val="center"/>
            <w:tcMar>
              <w:top w:w="30" w:type="dxa"/>
              <w:start w:w="35" w:type="dxa"/>
              <w:bottom w:w="30" w:type="dxa"/>
              <w:end w:w="35" w:type="dxa"/>
            </w:tcMar>
          </w:tcPr>
          <w:p>
            <w:r/>
            <w:r>
              <w:rPr>
                <w:rFonts w:ascii="Arial" w:hAnsi="Arial"/>
                <w:b w:val="0"/>
                <w:color w:val="000000"/>
                <w:sz w:val="13"/>
              </w:rPr>
              <w:t>Privacy/licence exposure and irreversible public disclosure risk.</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15</w:t>
              <w:br/>
              <w:t>High</w:t>
            </w:r>
          </w:p>
        </w:tc>
        <w:tc>
          <w:tcPr>
            <w:tcW w:type="dxa" w:w="2608"/>
            <w:vAlign w:val="center"/>
            <w:tcMar>
              <w:top w:w="30" w:type="dxa"/>
              <w:start w:w="35" w:type="dxa"/>
              <w:bottom w:w="30" w:type="dxa"/>
              <w:end w:w="35" w:type="dxa"/>
            </w:tcMar>
          </w:tcPr>
          <w:p>
            <w:r/>
            <w:r>
              <w:rPr>
                <w:rFonts w:ascii="Arial" w:hAnsi="Arial"/>
                <w:b w:val="0"/>
                <w:color w:val="000000"/>
                <w:sz w:val="12"/>
              </w:rPr>
              <w:t>Maintain project-specific .gitignore; review staged changes; never commit secrets; use dataset links/metadata instead of redistribution unless permitted.</w:t>
            </w:r>
          </w:p>
        </w:tc>
        <w:tc>
          <w:tcPr>
            <w:tcW w:type="dxa" w:w="850"/>
            <w:vAlign w:val="center"/>
            <w:tcMar>
              <w:top w:w="30" w:type="dxa"/>
              <w:start w:w="35" w:type="dxa"/>
              <w:bottom w:w="30" w:type="dxa"/>
              <w:end w:w="35" w:type="dxa"/>
            </w:tcMar>
            <w:shd w:fill="E2F0D9"/>
          </w:tcPr>
          <w:p>
            <w:pPr>
              <w:jc w:val="center"/>
            </w:pPr>
            <w:r/>
            <w:r>
              <w:rPr>
                <w:rFonts w:ascii="Arial" w:hAnsi="Arial"/>
                <w:b w:val="0"/>
                <w:color w:val="000000"/>
                <w:sz w:val="13"/>
              </w:rPr>
              <w:t>1x4=4</w:t>
              <w:br/>
              <w:t>Low</w:t>
            </w:r>
          </w:p>
        </w:tc>
        <w:tc>
          <w:tcPr>
            <w:tcW w:type="dxa" w:w="1928"/>
            <w:vAlign w:val="center"/>
            <w:tcMar>
              <w:top w:w="30" w:type="dxa"/>
              <w:start w:w="35" w:type="dxa"/>
              <w:bottom w:w="30" w:type="dxa"/>
              <w:end w:w="35" w:type="dxa"/>
            </w:tcMar>
          </w:tcPr>
          <w:p>
            <w:r/>
            <w:r>
              <w:rPr>
                <w:rFonts w:ascii="Arial" w:hAnsi="Arial"/>
                <w:b w:val="0"/>
                <w:color w:val="000000"/>
                <w:sz w:val="12"/>
              </w:rPr>
              <w:t>A secret/restricted file is staged or repository history contains sensitive material.</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R14</w:t>
            </w:r>
          </w:p>
        </w:tc>
        <w:tc>
          <w:tcPr>
            <w:tcW w:type="dxa" w:w="1134"/>
            <w:vAlign w:val="center"/>
            <w:tcMar>
              <w:top w:w="30" w:type="dxa"/>
              <w:start w:w="35" w:type="dxa"/>
              <w:bottom w:w="30" w:type="dxa"/>
              <w:end w:w="35" w:type="dxa"/>
            </w:tcMar>
          </w:tcPr>
          <w:p>
            <w:r/>
            <w:r>
              <w:rPr>
                <w:rFonts w:ascii="Arial" w:hAnsi="Arial"/>
                <w:b w:val="0"/>
                <w:color w:val="000000"/>
                <w:sz w:val="13"/>
              </w:rPr>
              <w:t>Version Control / Reproducibility</w:t>
            </w:r>
          </w:p>
        </w:tc>
        <w:tc>
          <w:tcPr>
            <w:tcW w:type="dxa" w:w="2438"/>
            <w:vAlign w:val="center"/>
            <w:tcMar>
              <w:top w:w="30" w:type="dxa"/>
              <w:start w:w="35" w:type="dxa"/>
              <w:bottom w:w="30" w:type="dxa"/>
              <w:end w:w="35" w:type="dxa"/>
            </w:tcMar>
          </w:tcPr>
          <w:p>
            <w:r/>
            <w:r>
              <w:rPr>
                <w:rFonts w:ascii="Arial" w:hAnsi="Arial"/>
                <w:b w:val="0"/>
                <w:color w:val="000000"/>
                <w:sz w:val="12"/>
              </w:rPr>
              <w:t>Project files, experiment settings or evidence are lost or become unreproducible.</w:t>
              <w:br/>
              <w:t>Cause/indicator: Results cannot be tied to code/configuration/model version.</w:t>
            </w:r>
          </w:p>
        </w:tc>
        <w:tc>
          <w:tcPr>
            <w:tcW w:type="dxa" w:w="1757"/>
            <w:vAlign w:val="center"/>
            <w:tcMar>
              <w:top w:w="30" w:type="dxa"/>
              <w:start w:w="35" w:type="dxa"/>
              <w:bottom w:w="30" w:type="dxa"/>
              <w:end w:w="35" w:type="dxa"/>
            </w:tcMar>
          </w:tcPr>
          <w:p>
            <w:r/>
            <w:r>
              <w:rPr>
                <w:rFonts w:ascii="Arial" w:hAnsi="Arial"/>
                <w:b w:val="0"/>
                <w:color w:val="000000"/>
                <w:sz w:val="13"/>
              </w:rPr>
              <w:t>Experiments cannot be independently repeated or defended.</w:t>
            </w:r>
          </w:p>
        </w:tc>
        <w:tc>
          <w:tcPr>
            <w:tcW w:type="dxa" w:w="397"/>
            <w:vAlign w:val="center"/>
            <w:tcMar>
              <w:top w:w="30" w:type="dxa"/>
              <w:start w:w="35" w:type="dxa"/>
              <w:bottom w:w="30" w:type="dxa"/>
              <w:end w:w="35" w:type="dxa"/>
            </w:tcMar>
          </w:tcPr>
          <w:p>
            <w:pPr>
              <w:jc w:val="center"/>
            </w:pPr>
            <w:r/>
            <w:r>
              <w:rPr>
                <w:rFonts w:ascii="Arial" w:hAnsi="Arial"/>
                <w:b w:val="0"/>
                <w:color w:val="000000"/>
                <w:sz w:val="13"/>
              </w:rPr>
              <w:t>2</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FF2CC"/>
          </w:tcPr>
          <w:p>
            <w:pPr>
              <w:jc w:val="center"/>
            </w:pPr>
            <w:r/>
            <w:r>
              <w:rPr>
                <w:rFonts w:ascii="Arial" w:hAnsi="Arial"/>
                <w:b w:val="0"/>
                <w:color w:val="000000"/>
                <w:sz w:val="13"/>
              </w:rPr>
              <w:t>8</w:t>
              <w:br/>
              <w:t>Medium</w:t>
            </w:r>
          </w:p>
        </w:tc>
        <w:tc>
          <w:tcPr>
            <w:tcW w:type="dxa" w:w="2608"/>
            <w:vAlign w:val="center"/>
            <w:tcMar>
              <w:top w:w="30" w:type="dxa"/>
              <w:start w:w="35" w:type="dxa"/>
              <w:bottom w:w="30" w:type="dxa"/>
              <w:end w:w="35" w:type="dxa"/>
            </w:tcMar>
          </w:tcPr>
          <w:p>
            <w:r/>
            <w:r>
              <w:rPr>
                <w:rFonts w:ascii="Arial" w:hAnsi="Arial"/>
                <w:b w:val="0"/>
                <w:color w:val="000000"/>
                <w:sz w:val="12"/>
              </w:rPr>
              <w:t>Use Git branches, descriptive commits, experiment registry, config snapshots, model/version IDs and periodic tags/backups.</w:t>
            </w:r>
          </w:p>
        </w:tc>
        <w:tc>
          <w:tcPr>
            <w:tcW w:type="dxa" w:w="850"/>
            <w:vAlign w:val="center"/>
            <w:tcMar>
              <w:top w:w="30" w:type="dxa"/>
              <w:start w:w="35" w:type="dxa"/>
              <w:bottom w:w="30" w:type="dxa"/>
              <w:end w:w="35" w:type="dxa"/>
            </w:tcMar>
            <w:shd w:fill="E2F0D9"/>
          </w:tcPr>
          <w:p>
            <w:pPr>
              <w:jc w:val="center"/>
            </w:pPr>
            <w:r/>
            <w:r>
              <w:rPr>
                <w:rFonts w:ascii="Arial" w:hAnsi="Arial"/>
                <w:b w:val="0"/>
                <w:color w:val="000000"/>
                <w:sz w:val="13"/>
              </w:rPr>
              <w:t>1x3=3</w:t>
              <w:br/>
              <w:t>Low</w:t>
            </w:r>
          </w:p>
        </w:tc>
        <w:tc>
          <w:tcPr>
            <w:tcW w:type="dxa" w:w="1928"/>
            <w:vAlign w:val="center"/>
            <w:tcMar>
              <w:top w:w="30" w:type="dxa"/>
              <w:start w:w="35" w:type="dxa"/>
              <w:bottom w:w="30" w:type="dxa"/>
              <w:end w:w="35" w:type="dxa"/>
            </w:tcMar>
          </w:tcPr>
          <w:p>
            <w:r/>
            <w:r>
              <w:rPr>
                <w:rFonts w:ascii="Arial" w:hAnsi="Arial"/>
                <w:b w:val="0"/>
                <w:color w:val="000000"/>
                <w:sz w:val="12"/>
              </w:rPr>
              <w:t>An important result lacks a reproducible commit/configuration reference.</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R15</w:t>
            </w:r>
          </w:p>
        </w:tc>
        <w:tc>
          <w:tcPr>
            <w:tcW w:type="dxa" w:w="1134"/>
            <w:vAlign w:val="center"/>
            <w:tcMar>
              <w:top w:w="30" w:type="dxa"/>
              <w:start w:w="35" w:type="dxa"/>
              <w:bottom w:w="30" w:type="dxa"/>
              <w:end w:w="35" w:type="dxa"/>
            </w:tcMar>
          </w:tcPr>
          <w:p>
            <w:r/>
            <w:r>
              <w:rPr>
                <w:rFonts w:ascii="Arial" w:hAnsi="Arial"/>
                <w:b w:val="0"/>
                <w:color w:val="000000"/>
                <w:sz w:val="13"/>
              </w:rPr>
              <w:t>Explainability</w:t>
            </w:r>
          </w:p>
        </w:tc>
        <w:tc>
          <w:tcPr>
            <w:tcW w:type="dxa" w:w="2438"/>
            <w:vAlign w:val="center"/>
            <w:tcMar>
              <w:top w:w="30" w:type="dxa"/>
              <w:start w:w="35" w:type="dxa"/>
              <w:bottom w:w="30" w:type="dxa"/>
              <w:end w:w="35" w:type="dxa"/>
            </w:tcMar>
          </w:tcPr>
          <w:p>
            <w:r/>
            <w:r>
              <w:rPr>
                <w:rFonts w:ascii="Arial" w:hAnsi="Arial"/>
                <w:b w:val="0"/>
                <w:color w:val="000000"/>
                <w:sz w:val="12"/>
              </w:rPr>
              <w:t>SHAP or anomaly evidence is presented as proof of correctness or causality.</w:t>
              <w:br/>
              <w:t>Cause/indicator: Dashboard/report wording overstates what an explanation demonstrates.</w:t>
            </w:r>
          </w:p>
        </w:tc>
        <w:tc>
          <w:tcPr>
            <w:tcW w:type="dxa" w:w="1757"/>
            <w:vAlign w:val="center"/>
            <w:tcMar>
              <w:top w:w="30" w:type="dxa"/>
              <w:start w:w="35" w:type="dxa"/>
              <w:bottom w:w="30" w:type="dxa"/>
              <w:end w:w="35" w:type="dxa"/>
            </w:tcMar>
          </w:tcPr>
          <w:p>
            <w:r/>
            <w:r>
              <w:rPr>
                <w:rFonts w:ascii="Arial" w:hAnsi="Arial"/>
                <w:b w:val="0"/>
                <w:color w:val="000000"/>
                <w:sz w:val="13"/>
              </w:rPr>
              <w:t>Misleading analyst interpretation and invalid claims.</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12</w:t>
              <w:br/>
              <w:t>High</w:t>
            </w:r>
          </w:p>
        </w:tc>
        <w:tc>
          <w:tcPr>
            <w:tcW w:type="dxa" w:w="2608"/>
            <w:vAlign w:val="center"/>
            <w:tcMar>
              <w:top w:w="30" w:type="dxa"/>
              <w:start w:w="35" w:type="dxa"/>
              <w:bottom w:w="30" w:type="dxa"/>
              <w:end w:w="35" w:type="dxa"/>
            </w:tcMar>
          </w:tcPr>
          <w:p>
            <w:r/>
            <w:r>
              <w:rPr>
                <w:rFonts w:ascii="Arial" w:hAnsi="Arial"/>
                <w:b w:val="0"/>
                <w:color w:val="000000"/>
                <w:sz w:val="12"/>
              </w:rPr>
              <w:t>Label explanations as model evidence; distinguish supervised confidence from novelty score; document explanation limitations.</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2x3=6</w:t>
              <w:br/>
              <w:t>Medium</w:t>
            </w:r>
          </w:p>
        </w:tc>
        <w:tc>
          <w:tcPr>
            <w:tcW w:type="dxa" w:w="1928"/>
            <w:vAlign w:val="center"/>
            <w:tcMar>
              <w:top w:w="30" w:type="dxa"/>
              <w:start w:w="35" w:type="dxa"/>
              <w:bottom w:w="30" w:type="dxa"/>
              <w:end w:w="35" w:type="dxa"/>
            </w:tcMar>
          </w:tcPr>
          <w:p>
            <w:r/>
            <w:r>
              <w:rPr>
                <w:rFonts w:ascii="Arial" w:hAnsi="Arial"/>
                <w:b w:val="0"/>
                <w:color w:val="000000"/>
                <w:sz w:val="12"/>
              </w:rPr>
              <w:t>Explanation wording implies certainty, causality or maliciousness without supporting evidence.</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R16</w:t>
            </w:r>
          </w:p>
        </w:tc>
        <w:tc>
          <w:tcPr>
            <w:tcW w:type="dxa" w:w="1134"/>
            <w:vAlign w:val="center"/>
            <w:tcMar>
              <w:top w:w="30" w:type="dxa"/>
              <w:start w:w="35" w:type="dxa"/>
              <w:bottom w:w="30" w:type="dxa"/>
              <w:end w:w="35" w:type="dxa"/>
            </w:tcMar>
          </w:tcPr>
          <w:p>
            <w:r/>
            <w:r>
              <w:rPr>
                <w:rFonts w:ascii="Arial" w:hAnsi="Arial"/>
                <w:b w:val="0"/>
                <w:color w:val="000000"/>
                <w:sz w:val="13"/>
              </w:rPr>
              <w:t>Dependencies / Tooling</w:t>
            </w:r>
          </w:p>
        </w:tc>
        <w:tc>
          <w:tcPr>
            <w:tcW w:type="dxa" w:w="2438"/>
            <w:vAlign w:val="center"/>
            <w:tcMar>
              <w:top w:w="30" w:type="dxa"/>
              <w:start w:w="35" w:type="dxa"/>
              <w:bottom w:w="30" w:type="dxa"/>
              <w:end w:w="35" w:type="dxa"/>
            </w:tcMar>
          </w:tcPr>
          <w:p>
            <w:r/>
            <w:r>
              <w:rPr>
                <w:rFonts w:ascii="Arial" w:hAnsi="Arial"/>
                <w:b w:val="0"/>
                <w:color w:val="000000"/>
                <w:sz w:val="12"/>
              </w:rPr>
              <w:t>Tool, package, ruleset or API version drift breaks reproducibility.</w:t>
              <w:br/>
              <w:t>Cause/indicator: A later environment produces materially different behaviour or cannot recreate an earlier run.</w:t>
            </w:r>
          </w:p>
        </w:tc>
        <w:tc>
          <w:tcPr>
            <w:tcW w:type="dxa" w:w="1757"/>
            <w:vAlign w:val="center"/>
            <w:tcMar>
              <w:top w:w="30" w:type="dxa"/>
              <w:start w:w="35" w:type="dxa"/>
              <w:bottom w:w="30" w:type="dxa"/>
              <w:end w:w="35" w:type="dxa"/>
            </w:tcMar>
          </w:tcPr>
          <w:p>
            <w:r/>
            <w:r>
              <w:rPr>
                <w:rFonts w:ascii="Arial" w:hAnsi="Arial"/>
                <w:b w:val="0"/>
                <w:color w:val="000000"/>
                <w:sz w:val="13"/>
              </w:rPr>
              <w:t>Integration failures and inconsistent results.</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397"/>
            <w:vAlign w:val="center"/>
            <w:tcMar>
              <w:top w:w="30" w:type="dxa"/>
              <w:start w:w="35" w:type="dxa"/>
              <w:bottom w:w="30" w:type="dxa"/>
              <w:end w:w="35" w:type="dxa"/>
            </w:tcMar>
          </w:tcPr>
          <w:p>
            <w:pPr>
              <w:jc w:val="center"/>
            </w:pPr>
            <w:r/>
            <w:r>
              <w:rPr>
                <w:rFonts w:ascii="Arial" w:hAnsi="Arial"/>
                <w:b w:val="0"/>
                <w:color w:val="000000"/>
                <w:sz w:val="13"/>
              </w:rPr>
              <w:t>3</w:t>
            </w:r>
          </w:p>
        </w:tc>
        <w:tc>
          <w:tcPr>
            <w:tcW w:type="dxa" w:w="737"/>
            <w:vAlign w:val="center"/>
            <w:tcMar>
              <w:top w:w="30" w:type="dxa"/>
              <w:start w:w="35" w:type="dxa"/>
              <w:bottom w:w="30" w:type="dxa"/>
              <w:end w:w="35" w:type="dxa"/>
            </w:tcMar>
            <w:shd w:fill="FFF2CC"/>
          </w:tcPr>
          <w:p>
            <w:pPr>
              <w:jc w:val="center"/>
            </w:pPr>
            <w:r/>
            <w:r>
              <w:rPr>
                <w:rFonts w:ascii="Arial" w:hAnsi="Arial"/>
                <w:b w:val="0"/>
                <w:color w:val="000000"/>
                <w:sz w:val="13"/>
              </w:rPr>
              <w:t>9</w:t>
              <w:br/>
              <w:t>Medium</w:t>
            </w:r>
          </w:p>
        </w:tc>
        <w:tc>
          <w:tcPr>
            <w:tcW w:type="dxa" w:w="2608"/>
            <w:vAlign w:val="center"/>
            <w:tcMar>
              <w:top w:w="30" w:type="dxa"/>
              <w:start w:w="35" w:type="dxa"/>
              <w:bottom w:w="30" w:type="dxa"/>
              <w:end w:w="35" w:type="dxa"/>
            </w:tcMar>
          </w:tcPr>
          <w:p>
            <w:r/>
            <w:r>
              <w:rPr>
                <w:rFonts w:ascii="Arial" w:hAnsi="Arial"/>
                <w:b w:val="0"/>
                <w:color w:val="000000"/>
                <w:sz w:val="12"/>
              </w:rPr>
              <w:t>Pin versions where practical; record Python/package versions, Suricata ruleset/version and configuration hashes; update deliberately.</w:t>
            </w:r>
          </w:p>
        </w:tc>
        <w:tc>
          <w:tcPr>
            <w:tcW w:type="dxa" w:w="850"/>
            <w:vAlign w:val="center"/>
            <w:tcMar>
              <w:top w:w="30" w:type="dxa"/>
              <w:start w:w="35" w:type="dxa"/>
              <w:bottom w:w="30" w:type="dxa"/>
              <w:end w:w="35" w:type="dxa"/>
            </w:tcMar>
            <w:shd w:fill="E2F0D9"/>
          </w:tcPr>
          <w:p>
            <w:pPr>
              <w:jc w:val="center"/>
            </w:pPr>
            <w:r/>
            <w:r>
              <w:rPr>
                <w:rFonts w:ascii="Arial" w:hAnsi="Arial"/>
                <w:b w:val="0"/>
                <w:color w:val="000000"/>
                <w:sz w:val="13"/>
              </w:rPr>
              <w:t>2x2=4</w:t>
              <w:br/>
              <w:t>Low</w:t>
            </w:r>
          </w:p>
        </w:tc>
        <w:tc>
          <w:tcPr>
            <w:tcW w:type="dxa" w:w="1928"/>
            <w:vAlign w:val="center"/>
            <w:tcMar>
              <w:top w:w="30" w:type="dxa"/>
              <w:start w:w="35" w:type="dxa"/>
              <w:bottom w:w="30" w:type="dxa"/>
              <w:end w:w="35" w:type="dxa"/>
            </w:tcMar>
          </w:tcPr>
          <w:p>
            <w:r/>
            <w:r>
              <w:rPr>
                <w:rFonts w:ascii="Arial" w:hAnsi="Arial"/>
                <w:b w:val="0"/>
                <w:color w:val="000000"/>
                <w:sz w:val="12"/>
              </w:rPr>
              <w:t>A dependency update changes results without a recorded migration decision.</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R17</w:t>
            </w:r>
          </w:p>
        </w:tc>
        <w:tc>
          <w:tcPr>
            <w:tcW w:type="dxa" w:w="1134"/>
            <w:vAlign w:val="center"/>
            <w:tcMar>
              <w:top w:w="30" w:type="dxa"/>
              <w:start w:w="35" w:type="dxa"/>
              <w:bottom w:w="30" w:type="dxa"/>
              <w:end w:w="35" w:type="dxa"/>
            </w:tcMar>
          </w:tcPr>
          <w:p>
            <w:r/>
            <w:r>
              <w:rPr>
                <w:rFonts w:ascii="Arial" w:hAnsi="Arial"/>
                <w:b w:val="0"/>
                <w:color w:val="000000"/>
                <w:sz w:val="13"/>
              </w:rPr>
              <w:t>External Validity</w:t>
            </w:r>
          </w:p>
        </w:tc>
        <w:tc>
          <w:tcPr>
            <w:tcW w:type="dxa" w:w="2438"/>
            <w:vAlign w:val="center"/>
            <w:tcMar>
              <w:top w:w="30" w:type="dxa"/>
              <w:start w:w="35" w:type="dxa"/>
              <w:bottom w:w="30" w:type="dxa"/>
              <w:end w:w="35" w:type="dxa"/>
            </w:tcMar>
          </w:tcPr>
          <w:p>
            <w:r/>
            <w:r>
              <w:rPr>
                <w:rFonts w:ascii="Arial" w:hAnsi="Arial"/>
                <w:b w:val="0"/>
                <w:color w:val="000000"/>
                <w:sz w:val="12"/>
              </w:rPr>
              <w:t>Strong offline/lab results are over-generalised to production environments.</w:t>
              <w:br/>
              <w:t>Cause/indicator: Claims extend beyond the dataset, replay or isolated lab conditions actually evaluated.</w:t>
            </w:r>
          </w:p>
        </w:tc>
        <w:tc>
          <w:tcPr>
            <w:tcW w:type="dxa" w:w="1757"/>
            <w:vAlign w:val="center"/>
            <w:tcMar>
              <w:top w:w="30" w:type="dxa"/>
              <w:start w:w="35" w:type="dxa"/>
              <w:bottom w:w="30" w:type="dxa"/>
              <w:end w:w="35" w:type="dxa"/>
            </w:tcMar>
          </w:tcPr>
          <w:p>
            <w:r/>
            <w:r>
              <w:rPr>
                <w:rFonts w:ascii="Arial" w:hAnsi="Arial"/>
                <w:b w:val="0"/>
                <w:color w:val="000000"/>
                <w:sz w:val="13"/>
              </w:rPr>
              <w:t>Overstated contribution and weak critical evaluation.</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397"/>
            <w:vAlign w:val="center"/>
            <w:tcMar>
              <w:top w:w="30" w:type="dxa"/>
              <w:start w:w="35" w:type="dxa"/>
              <w:bottom w:w="30" w:type="dxa"/>
              <w:end w:w="35" w:type="dxa"/>
            </w:tcMar>
          </w:tcPr>
          <w:p>
            <w:pPr>
              <w:jc w:val="center"/>
            </w:pPr>
            <w:r/>
            <w:r>
              <w:rPr>
                <w:rFonts w:ascii="Arial" w:hAnsi="Arial"/>
                <w:b w:val="0"/>
                <w:color w:val="000000"/>
                <w:sz w:val="13"/>
              </w:rPr>
              <w:t>4</w:t>
            </w:r>
          </w:p>
        </w:tc>
        <w:tc>
          <w:tcPr>
            <w:tcW w:type="dxa" w:w="737"/>
            <w:vAlign w:val="center"/>
            <w:tcMar>
              <w:top w:w="30" w:type="dxa"/>
              <w:start w:w="35" w:type="dxa"/>
              <w:bottom w:w="30" w:type="dxa"/>
              <w:end w:w="35" w:type="dxa"/>
            </w:tcMar>
            <w:shd w:fill="F4CCCC"/>
          </w:tcPr>
          <w:p>
            <w:pPr>
              <w:jc w:val="center"/>
            </w:pPr>
            <w:r/>
            <w:r>
              <w:rPr>
                <w:rFonts w:ascii="Arial" w:hAnsi="Arial"/>
                <w:b w:val="0"/>
                <w:color w:val="000000"/>
                <w:sz w:val="13"/>
              </w:rPr>
              <w:t>16</w:t>
              <w:br/>
              <w:t>Critical</w:t>
            </w:r>
          </w:p>
        </w:tc>
        <w:tc>
          <w:tcPr>
            <w:tcW w:type="dxa" w:w="2608"/>
            <w:vAlign w:val="center"/>
            <w:tcMar>
              <w:top w:w="30" w:type="dxa"/>
              <w:start w:w="35" w:type="dxa"/>
              <w:bottom w:w="30" w:type="dxa"/>
              <w:end w:w="35" w:type="dxa"/>
            </w:tcMar>
          </w:tcPr>
          <w:p>
            <w:r/>
            <w:r>
              <w:rPr>
                <w:rFonts w:ascii="Arial" w:hAnsi="Arial"/>
                <w:b w:val="0"/>
                <w:color w:val="000000"/>
                <w:sz w:val="12"/>
              </w:rPr>
              <w:t>State deployment limits; measure latency/resource cost; use controlled replay/lab validation where feasible; report residual uncertainty.</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3x3=9</w:t>
              <w:br/>
              <w:t>Medium</w:t>
            </w:r>
          </w:p>
        </w:tc>
        <w:tc>
          <w:tcPr>
            <w:tcW w:type="dxa" w:w="1928"/>
            <w:vAlign w:val="center"/>
            <w:tcMar>
              <w:top w:w="30" w:type="dxa"/>
              <w:start w:w="35" w:type="dxa"/>
              <w:bottom w:w="30" w:type="dxa"/>
              <w:end w:w="35" w:type="dxa"/>
            </w:tcMar>
          </w:tcPr>
          <w:p>
            <w:r/>
            <w:r>
              <w:rPr>
                <w:rFonts w:ascii="Arial" w:hAnsi="Arial"/>
                <w:b w:val="0"/>
                <w:color w:val="000000"/>
                <w:sz w:val="12"/>
              </w:rPr>
              <w:t>Final claims imply production effectiveness not supported by experiments.</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r>
        <w:trPr>
          <w:cantSplit/>
        </w:trPr>
        <w:tc>
          <w:tcPr>
            <w:tcW w:type="dxa" w:w="567"/>
            <w:vAlign w:val="center"/>
            <w:tcMar>
              <w:top w:w="30" w:type="dxa"/>
              <w:start w:w="35" w:type="dxa"/>
              <w:bottom w:w="30" w:type="dxa"/>
              <w:end w:w="35" w:type="dxa"/>
            </w:tcMar>
          </w:tcPr>
          <w:p>
            <w:pPr>
              <w:jc w:val="center"/>
            </w:pPr>
            <w:r/>
            <w:r>
              <w:rPr>
                <w:rFonts w:ascii="Arial" w:hAnsi="Arial"/>
                <w:b/>
                <w:color w:val="000000"/>
                <w:sz w:val="13"/>
              </w:rPr>
              <w:t>R18</w:t>
            </w:r>
          </w:p>
        </w:tc>
        <w:tc>
          <w:tcPr>
            <w:tcW w:type="dxa" w:w="1134"/>
            <w:vAlign w:val="center"/>
            <w:tcMar>
              <w:top w:w="30" w:type="dxa"/>
              <w:start w:w="35" w:type="dxa"/>
              <w:bottom w:w="30" w:type="dxa"/>
              <w:end w:w="35" w:type="dxa"/>
            </w:tcMar>
          </w:tcPr>
          <w:p>
            <w:r/>
            <w:r>
              <w:rPr>
                <w:rFonts w:ascii="Arial" w:hAnsi="Arial"/>
                <w:b w:val="0"/>
                <w:color w:val="000000"/>
                <w:sz w:val="13"/>
              </w:rPr>
              <w:t>Ethics / Scope Change</w:t>
            </w:r>
          </w:p>
        </w:tc>
        <w:tc>
          <w:tcPr>
            <w:tcW w:type="dxa" w:w="2438"/>
            <w:vAlign w:val="center"/>
            <w:tcMar>
              <w:top w:w="30" w:type="dxa"/>
              <w:start w:w="35" w:type="dxa"/>
              <w:bottom w:w="30" w:type="dxa"/>
              <w:end w:w="35" w:type="dxa"/>
            </w:tcMar>
          </w:tcPr>
          <w:p>
            <w:r/>
            <w:r>
              <w:rPr>
                <w:rFonts w:ascii="Arial" w:hAnsi="Arial"/>
                <w:b w:val="0"/>
                <w:color w:val="000000"/>
                <w:sz w:val="12"/>
              </w:rPr>
              <w:t>A later scope change introduces live users, sensitive data, external organisations or autonomous disruptive response without re-review.</w:t>
              <w:br/>
              <w:t>Cause/indicator: New requirement falls outside the approved assumptions.</w:t>
            </w:r>
          </w:p>
        </w:tc>
        <w:tc>
          <w:tcPr>
            <w:tcW w:type="dxa" w:w="1757"/>
            <w:vAlign w:val="center"/>
            <w:tcMar>
              <w:top w:w="30" w:type="dxa"/>
              <w:start w:w="35" w:type="dxa"/>
              <w:bottom w:w="30" w:type="dxa"/>
              <w:end w:w="35" w:type="dxa"/>
            </w:tcMar>
          </w:tcPr>
          <w:p>
            <w:r/>
            <w:r>
              <w:rPr>
                <w:rFonts w:ascii="Arial" w:hAnsi="Arial"/>
                <w:b w:val="0"/>
                <w:color w:val="000000"/>
                <w:sz w:val="13"/>
              </w:rPr>
              <w:t>Ethics non-compliance and unsafe project expansion.</w:t>
            </w:r>
          </w:p>
        </w:tc>
        <w:tc>
          <w:tcPr>
            <w:tcW w:type="dxa" w:w="397"/>
            <w:vAlign w:val="center"/>
            <w:tcMar>
              <w:top w:w="30" w:type="dxa"/>
              <w:start w:w="35" w:type="dxa"/>
              <w:bottom w:w="30" w:type="dxa"/>
              <w:end w:w="35" w:type="dxa"/>
            </w:tcMar>
          </w:tcPr>
          <w:p>
            <w:pPr>
              <w:jc w:val="center"/>
            </w:pPr>
            <w:r/>
            <w:r>
              <w:rPr>
                <w:rFonts w:ascii="Arial" w:hAnsi="Arial"/>
                <w:b w:val="0"/>
                <w:color w:val="000000"/>
                <w:sz w:val="13"/>
              </w:rPr>
              <w:t>2</w:t>
            </w:r>
          </w:p>
        </w:tc>
        <w:tc>
          <w:tcPr>
            <w:tcW w:type="dxa" w:w="397"/>
            <w:vAlign w:val="center"/>
            <w:tcMar>
              <w:top w:w="30" w:type="dxa"/>
              <w:start w:w="35" w:type="dxa"/>
              <w:bottom w:w="30" w:type="dxa"/>
              <w:end w:w="35" w:type="dxa"/>
            </w:tcMar>
          </w:tcPr>
          <w:p>
            <w:pPr>
              <w:jc w:val="center"/>
            </w:pPr>
            <w:r/>
            <w:r>
              <w:rPr>
                <w:rFonts w:ascii="Arial" w:hAnsi="Arial"/>
                <w:b w:val="0"/>
                <w:color w:val="000000"/>
                <w:sz w:val="13"/>
              </w:rPr>
              <w:t>5</w:t>
            </w:r>
          </w:p>
        </w:tc>
        <w:tc>
          <w:tcPr>
            <w:tcW w:type="dxa" w:w="737"/>
            <w:vAlign w:val="center"/>
            <w:tcMar>
              <w:top w:w="30" w:type="dxa"/>
              <w:start w:w="35" w:type="dxa"/>
              <w:bottom w:w="30" w:type="dxa"/>
              <w:end w:w="35" w:type="dxa"/>
            </w:tcMar>
            <w:shd w:fill="FCE4D6"/>
          </w:tcPr>
          <w:p>
            <w:pPr>
              <w:jc w:val="center"/>
            </w:pPr>
            <w:r/>
            <w:r>
              <w:rPr>
                <w:rFonts w:ascii="Arial" w:hAnsi="Arial"/>
                <w:b w:val="0"/>
                <w:color w:val="000000"/>
                <w:sz w:val="13"/>
              </w:rPr>
              <w:t>10</w:t>
              <w:br/>
              <w:t>High</w:t>
            </w:r>
          </w:p>
        </w:tc>
        <w:tc>
          <w:tcPr>
            <w:tcW w:type="dxa" w:w="2608"/>
            <w:vAlign w:val="center"/>
            <w:tcMar>
              <w:top w:w="30" w:type="dxa"/>
              <w:start w:w="35" w:type="dxa"/>
              <w:bottom w:w="30" w:type="dxa"/>
              <w:end w:w="35" w:type="dxa"/>
            </w:tcMar>
          </w:tcPr>
          <w:p>
            <w:r/>
            <w:r>
              <w:rPr>
                <w:rFonts w:ascii="Arial" w:hAnsi="Arial"/>
                <w:b w:val="0"/>
                <w:color w:val="000000"/>
                <w:sz w:val="12"/>
              </w:rPr>
              <w:t>Apply formal scope-change gate; pause affected activity; consult supervisor/ethics process before proceeding.</w:t>
            </w:r>
          </w:p>
        </w:tc>
        <w:tc>
          <w:tcPr>
            <w:tcW w:type="dxa" w:w="850"/>
            <w:vAlign w:val="center"/>
            <w:tcMar>
              <w:top w:w="30" w:type="dxa"/>
              <w:start w:w="35" w:type="dxa"/>
              <w:bottom w:w="30" w:type="dxa"/>
              <w:end w:w="35" w:type="dxa"/>
            </w:tcMar>
            <w:shd w:fill="FFF2CC"/>
          </w:tcPr>
          <w:p>
            <w:pPr>
              <w:jc w:val="center"/>
            </w:pPr>
            <w:r/>
            <w:r>
              <w:rPr>
                <w:rFonts w:ascii="Arial" w:hAnsi="Arial"/>
                <w:b w:val="0"/>
                <w:color w:val="000000"/>
                <w:sz w:val="13"/>
              </w:rPr>
              <w:t>1x5=5</w:t>
              <w:br/>
              <w:t>Medium</w:t>
            </w:r>
          </w:p>
        </w:tc>
        <w:tc>
          <w:tcPr>
            <w:tcW w:type="dxa" w:w="1928"/>
            <w:vAlign w:val="center"/>
            <w:tcMar>
              <w:top w:w="30" w:type="dxa"/>
              <w:start w:w="35" w:type="dxa"/>
              <w:bottom w:w="30" w:type="dxa"/>
              <w:end w:w="35" w:type="dxa"/>
            </w:tcMar>
          </w:tcPr>
          <w:p>
            <w:r/>
            <w:r>
              <w:rPr>
                <w:rFonts w:ascii="Arial" w:hAnsi="Arial"/>
                <w:b w:val="0"/>
                <w:color w:val="000000"/>
                <w:sz w:val="12"/>
              </w:rPr>
              <w:t>Any proposed change introduces new participants, personal data, external targets or autonomous disruption.</w:t>
            </w:r>
          </w:p>
        </w:tc>
        <w:tc>
          <w:tcPr>
            <w:tcW w:type="dxa" w:w="850"/>
            <w:vAlign w:val="center"/>
            <w:tcMar>
              <w:top w:w="30" w:type="dxa"/>
              <w:start w:w="35" w:type="dxa"/>
              <w:bottom w:w="30" w:type="dxa"/>
              <w:end w:w="35" w:type="dxa"/>
            </w:tcMar>
          </w:tcPr>
          <w:p>
            <w:pPr>
              <w:jc w:val="center"/>
            </w:pPr>
            <w:r/>
            <w:r>
              <w:rPr>
                <w:rFonts w:ascii="Arial" w:hAnsi="Arial"/>
                <w:b w:val="0"/>
                <w:color w:val="000000"/>
                <w:sz w:val="13"/>
              </w:rPr>
              <w:t>Student (escalate)</w:t>
            </w:r>
          </w:p>
        </w:tc>
        <w:tc>
          <w:tcPr>
            <w:tcW w:type="dxa" w:w="680"/>
            <w:vAlign w:val="center"/>
            <w:tcMar>
              <w:top w:w="30" w:type="dxa"/>
              <w:start w:w="35" w:type="dxa"/>
              <w:bottom w:w="30" w:type="dxa"/>
              <w:end w:w="35" w:type="dxa"/>
            </w:tcMar>
          </w:tcPr>
          <w:p>
            <w:pPr>
              <w:jc w:val="center"/>
            </w:pPr>
            <w:r/>
            <w:r>
              <w:rPr>
                <w:rFonts w:ascii="Arial" w:hAnsi="Arial"/>
                <w:b w:val="0"/>
                <w:color w:val="000000"/>
                <w:sz w:val="13"/>
              </w:rPr>
              <w:t>Open</w:t>
            </w:r>
          </w:p>
        </w:tc>
      </w:tr>
    </w:tbl>
    <w:p>
      <w:pPr>
        <w:sectPr>
          <w:headerReference w:type="default" r:id="rId13"/>
          <w:footerReference w:type="default" r:id="rId14"/>
          <w:pgSz w:w="16838" w:h="11906" w:orient="landscape"/>
          <w:pgMar w:top="709" w:right="680" w:bottom="709" w:left="680" w:header="720" w:footer="720" w:gutter="0"/>
          <w:cols w:space="720"/>
          <w:docGrid w:linePitch="360"/>
        </w:sectPr>
      </w:pPr>
    </w:p>
    <w:p>
      <w:pPr>
        <w:pStyle w:val="Heading1"/>
        <w:keepNext/>
      </w:pPr>
      <w:r>
        <w:t>5. Ethics and Safety Governance</w:t>
      </w:r>
    </w:p>
    <w:p>
      <w:pPr>
        <w:spacing w:after="100" w:line="259" w:lineRule="auto"/>
      </w:pPr>
      <w:r>
        <w:t>Ethics and safety controls are treated as system requirements. The project is designed for authorised defensive research, not live unauthorised testing. The most significant ethical concerns are authorisation boundaries, research-data governance, false-positive consequences, explainability/claim accuracy, public-repository hygiene and the safety of response actions.</w:t>
      </w:r>
    </w:p>
    <w:p>
      <w:pPr>
        <w:pStyle w:val="Heading2"/>
        <w:keepNext/>
      </w:pPr>
      <w:r>
        <w:t>5.1 Current Ethics Scope Position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326"/>
            <w:vAlign w:val="center"/>
            <w:shd w:fill="1F4E78"/>
          </w:tcPr>
          <w:p>
            <w:r/>
            <w:r>
              <w:rPr>
                <w:rFonts w:ascii="Arial" w:hAnsi="Arial"/>
                <w:b/>
                <w:color w:val="FFFFFF"/>
                <w:sz w:val="17"/>
              </w:rPr>
              <w:t>Ethics Question</w:t>
            </w:r>
          </w:p>
        </w:tc>
        <w:tc>
          <w:tcPr>
            <w:tcW w:type="dxa" w:w="3326"/>
            <w:vAlign w:val="center"/>
            <w:shd w:fill="1F4E78"/>
          </w:tcPr>
          <w:p>
            <w:r/>
            <w:r>
              <w:rPr>
                <w:rFonts w:ascii="Arial" w:hAnsi="Arial"/>
                <w:b/>
                <w:color w:val="FFFFFF"/>
                <w:sz w:val="17"/>
              </w:rPr>
              <w:t>Current Position</w:t>
            </w:r>
          </w:p>
        </w:tc>
        <w:tc>
          <w:tcPr>
            <w:tcW w:type="dxa" w:w="3326"/>
            <w:vAlign w:val="center"/>
            <w:shd w:fill="1F4E78"/>
          </w:tcPr>
          <w:p>
            <w:r/>
            <w:r>
              <w:rPr>
                <w:rFonts w:ascii="Arial" w:hAnsi="Arial"/>
                <w:b/>
                <w:color w:val="FFFFFF"/>
                <w:sz w:val="17"/>
              </w:rPr>
              <w:t>Control / Note</w:t>
            </w:r>
          </w:p>
        </w:tc>
      </w:tr>
      <w:tr>
        <w:tc>
          <w:tcPr>
            <w:tcW w:type="dxa" w:w="3326"/>
            <w:vAlign w:val="center"/>
          </w:tcPr>
          <w:p>
            <w:r/>
            <w:r>
              <w:rPr>
                <w:rFonts w:ascii="Arial" w:hAnsi="Arial"/>
                <w:b w:val="0"/>
                <w:color w:val="000000"/>
                <w:sz w:val="16"/>
              </w:rPr>
              <w:t>Human participants</w:t>
            </w:r>
          </w:p>
        </w:tc>
        <w:tc>
          <w:tcPr>
            <w:tcW w:type="dxa" w:w="3326"/>
            <w:vAlign w:val="center"/>
          </w:tcPr>
          <w:p>
            <w:r/>
            <w:r>
              <w:rPr>
                <w:rFonts w:ascii="Arial" w:hAnsi="Arial"/>
                <w:b w:val="0"/>
                <w:color w:val="000000"/>
                <w:sz w:val="16"/>
              </w:rPr>
              <w:t>No intended participants</w:t>
            </w:r>
          </w:p>
        </w:tc>
        <w:tc>
          <w:tcPr>
            <w:tcW w:type="dxa" w:w="3326"/>
            <w:vAlign w:val="center"/>
          </w:tcPr>
          <w:p>
            <w:r/>
            <w:r>
              <w:rPr>
                <w:rFonts w:ascii="Arial" w:hAnsi="Arial"/>
                <w:b w:val="0"/>
                <w:color w:val="000000"/>
                <w:sz w:val="16"/>
              </w:rPr>
              <w:t>Re-review before any user study, interview or participant data collection.</w:t>
            </w:r>
          </w:p>
        </w:tc>
      </w:tr>
      <w:tr>
        <w:tc>
          <w:tcPr>
            <w:tcW w:type="dxa" w:w="3326"/>
            <w:vAlign w:val="center"/>
          </w:tcPr>
          <w:p>
            <w:r/>
            <w:r>
              <w:rPr>
                <w:rFonts w:ascii="Arial" w:hAnsi="Arial"/>
                <w:b w:val="0"/>
                <w:color w:val="000000"/>
                <w:sz w:val="16"/>
              </w:rPr>
              <w:t>Personal/sensitive data</w:t>
            </w:r>
          </w:p>
        </w:tc>
        <w:tc>
          <w:tcPr>
            <w:tcW w:type="dxa" w:w="3326"/>
            <w:vAlign w:val="center"/>
          </w:tcPr>
          <w:p>
            <w:r/>
            <w:r>
              <w:rPr>
                <w:rFonts w:ascii="Arial" w:hAnsi="Arial"/>
                <w:b w:val="0"/>
                <w:color w:val="000000"/>
                <w:sz w:val="16"/>
              </w:rPr>
              <w:t>No intended requirement</w:t>
            </w:r>
          </w:p>
        </w:tc>
        <w:tc>
          <w:tcPr>
            <w:tcW w:type="dxa" w:w="3326"/>
            <w:vAlign w:val="center"/>
          </w:tcPr>
          <w:p>
            <w:r/>
            <w:r>
              <w:rPr>
                <w:rFonts w:ascii="Arial" w:hAnsi="Arial"/>
                <w:b w:val="0"/>
                <w:color w:val="000000"/>
                <w:sz w:val="16"/>
              </w:rPr>
              <w:t>Minimise, redact and avoid public exposure if identifiers appear incidentally.</w:t>
            </w:r>
          </w:p>
        </w:tc>
      </w:tr>
      <w:tr>
        <w:tc>
          <w:tcPr>
            <w:tcW w:type="dxa" w:w="3326"/>
            <w:vAlign w:val="center"/>
          </w:tcPr>
          <w:p>
            <w:r/>
            <w:r>
              <w:rPr>
                <w:rFonts w:ascii="Arial" w:hAnsi="Arial"/>
                <w:b w:val="0"/>
                <w:color w:val="000000"/>
                <w:sz w:val="16"/>
              </w:rPr>
              <w:t>Live third-party testing</w:t>
            </w:r>
          </w:p>
        </w:tc>
        <w:tc>
          <w:tcPr>
            <w:tcW w:type="dxa" w:w="3326"/>
            <w:vAlign w:val="center"/>
          </w:tcPr>
          <w:p>
            <w:r/>
            <w:r>
              <w:rPr>
                <w:rFonts w:ascii="Arial" w:hAnsi="Arial"/>
                <w:b w:val="0"/>
                <w:color w:val="000000"/>
                <w:sz w:val="16"/>
              </w:rPr>
              <w:t>Not permitted within current scope</w:t>
            </w:r>
          </w:p>
        </w:tc>
        <w:tc>
          <w:tcPr>
            <w:tcW w:type="dxa" w:w="3326"/>
            <w:vAlign w:val="center"/>
          </w:tcPr>
          <w:p>
            <w:r/>
            <w:r>
              <w:rPr>
                <w:rFonts w:ascii="Arial" w:hAnsi="Arial"/>
                <w:b w:val="0"/>
                <w:color w:val="000000"/>
                <w:sz w:val="16"/>
              </w:rPr>
              <w:t>Use isolated/authorised lab environments only.</w:t>
            </w:r>
          </w:p>
        </w:tc>
      </w:tr>
      <w:tr>
        <w:tc>
          <w:tcPr>
            <w:tcW w:type="dxa" w:w="3326"/>
            <w:vAlign w:val="center"/>
          </w:tcPr>
          <w:p>
            <w:r/>
            <w:r>
              <w:rPr>
                <w:rFonts w:ascii="Arial" w:hAnsi="Arial"/>
                <w:b w:val="0"/>
                <w:color w:val="000000"/>
                <w:sz w:val="16"/>
              </w:rPr>
              <w:t>Public research datasets</w:t>
            </w:r>
          </w:p>
        </w:tc>
        <w:tc>
          <w:tcPr>
            <w:tcW w:type="dxa" w:w="3326"/>
            <w:vAlign w:val="center"/>
          </w:tcPr>
          <w:p>
            <w:r/>
            <w:r>
              <w:rPr>
                <w:rFonts w:ascii="Arial" w:hAnsi="Arial"/>
                <w:b w:val="0"/>
                <w:color w:val="000000"/>
                <w:sz w:val="16"/>
              </w:rPr>
              <w:t>Permitted subject to terms</w:t>
            </w:r>
          </w:p>
        </w:tc>
        <w:tc>
          <w:tcPr>
            <w:tcW w:type="dxa" w:w="3326"/>
            <w:vAlign w:val="center"/>
          </w:tcPr>
          <w:p>
            <w:r/>
            <w:r>
              <w:rPr>
                <w:rFonts w:ascii="Arial" w:hAnsi="Arial"/>
                <w:b w:val="0"/>
                <w:color w:val="000000"/>
                <w:sz w:val="16"/>
              </w:rPr>
              <w:t>Record provenance, licence/terms and redistribution restrictions.</w:t>
            </w:r>
          </w:p>
        </w:tc>
      </w:tr>
      <w:tr>
        <w:tc>
          <w:tcPr>
            <w:tcW w:type="dxa" w:w="3326"/>
            <w:vAlign w:val="center"/>
          </w:tcPr>
          <w:p>
            <w:r/>
            <w:r>
              <w:rPr>
                <w:rFonts w:ascii="Arial" w:hAnsi="Arial"/>
                <w:b w:val="0"/>
                <w:color w:val="000000"/>
                <w:sz w:val="16"/>
              </w:rPr>
              <w:t>Disruptive response</w:t>
            </w:r>
          </w:p>
        </w:tc>
        <w:tc>
          <w:tcPr>
            <w:tcW w:type="dxa" w:w="3326"/>
            <w:vAlign w:val="center"/>
          </w:tcPr>
          <w:p>
            <w:r/>
            <w:r>
              <w:rPr>
                <w:rFonts w:ascii="Arial" w:hAnsi="Arial"/>
                <w:b w:val="0"/>
                <w:color w:val="000000"/>
                <w:sz w:val="16"/>
              </w:rPr>
              <w:t>Lab-only and human-approved</w:t>
            </w:r>
          </w:p>
        </w:tc>
        <w:tc>
          <w:tcPr>
            <w:tcW w:type="dxa" w:w="3326"/>
            <w:vAlign w:val="center"/>
          </w:tcPr>
          <w:p>
            <w:r/>
            <w:r>
              <w:rPr>
                <w:rFonts w:ascii="Arial" w:hAnsi="Arial"/>
                <w:b w:val="0"/>
                <w:color w:val="000000"/>
                <w:sz w:val="16"/>
              </w:rPr>
              <w:t>Time-limited, logged, reversible and monitored.</w:t>
            </w:r>
          </w:p>
        </w:tc>
      </w:tr>
      <w:tr>
        <w:tc>
          <w:tcPr>
            <w:tcW w:type="dxa" w:w="3326"/>
            <w:vAlign w:val="center"/>
          </w:tcPr>
          <w:p>
            <w:r/>
            <w:r>
              <w:rPr>
                <w:rFonts w:ascii="Arial" w:hAnsi="Arial"/>
                <w:b w:val="0"/>
                <w:color w:val="000000"/>
                <w:sz w:val="16"/>
              </w:rPr>
              <w:t>Public GitHub repository</w:t>
            </w:r>
          </w:p>
        </w:tc>
        <w:tc>
          <w:tcPr>
            <w:tcW w:type="dxa" w:w="3326"/>
            <w:vAlign w:val="center"/>
          </w:tcPr>
          <w:p>
            <w:r/>
            <w:r>
              <w:rPr>
                <w:rFonts w:ascii="Arial" w:hAnsi="Arial"/>
                <w:b w:val="0"/>
                <w:color w:val="000000"/>
                <w:sz w:val="16"/>
              </w:rPr>
              <w:t>Permitted with controls</w:t>
            </w:r>
          </w:p>
        </w:tc>
        <w:tc>
          <w:tcPr>
            <w:tcW w:type="dxa" w:w="3326"/>
            <w:vAlign w:val="center"/>
          </w:tcPr>
          <w:p>
            <w:r/>
            <w:r>
              <w:rPr>
                <w:rFonts w:ascii="Arial" w:hAnsi="Arial"/>
                <w:b w:val="0"/>
                <w:color w:val="000000"/>
                <w:sz w:val="16"/>
              </w:rPr>
              <w:t>No secrets, restricted datasets or unsafe artefacts; review staged files.</w:t>
            </w:r>
          </w:p>
        </w:tc>
      </w:tr>
      <w:tr>
        <w:tc>
          <w:tcPr>
            <w:tcW w:type="dxa" w:w="3326"/>
            <w:vAlign w:val="center"/>
          </w:tcPr>
          <w:p>
            <w:r/>
            <w:r>
              <w:rPr>
                <w:rFonts w:ascii="Arial" w:hAnsi="Arial"/>
                <w:b w:val="0"/>
                <w:color w:val="000000"/>
                <w:sz w:val="16"/>
              </w:rPr>
              <w:t>Autonomous containment</w:t>
            </w:r>
          </w:p>
        </w:tc>
        <w:tc>
          <w:tcPr>
            <w:tcW w:type="dxa" w:w="3326"/>
            <w:vAlign w:val="center"/>
          </w:tcPr>
          <w:p>
            <w:r/>
            <w:r>
              <w:rPr>
                <w:rFonts w:ascii="Arial" w:hAnsi="Arial"/>
                <w:b w:val="0"/>
                <w:color w:val="000000"/>
                <w:sz w:val="16"/>
              </w:rPr>
              <w:t>Outside current scope</w:t>
            </w:r>
          </w:p>
        </w:tc>
        <w:tc>
          <w:tcPr>
            <w:tcW w:type="dxa" w:w="3326"/>
            <w:vAlign w:val="center"/>
          </w:tcPr>
          <w:p>
            <w:r/>
            <w:r>
              <w:rPr>
                <w:rFonts w:ascii="Arial" w:hAnsi="Arial"/>
                <w:b w:val="0"/>
                <w:color w:val="000000"/>
                <w:sz w:val="16"/>
              </w:rPr>
              <w:t>Material change would require design/ethics re-review.</w:t>
            </w:r>
          </w:p>
        </w:tc>
      </w:tr>
    </w:tbl>
    <w:p>
      <w:pPr>
        <w:pStyle w:val="Heading1"/>
        <w:keepNext/>
      </w:pPr>
      <w:r>
        <w:t>6. Ethics and Safety Assumptions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2494"/>
            <w:vAlign w:val="center"/>
            <w:shd w:fill="1F4E78"/>
          </w:tcPr>
          <w:p>
            <w:r/>
            <w:r>
              <w:rPr>
                <w:rFonts w:ascii="Arial" w:hAnsi="Arial"/>
                <w:b/>
                <w:color w:val="FFFFFF"/>
                <w:sz w:val="16"/>
              </w:rPr>
              <w:t>ID</w:t>
            </w:r>
          </w:p>
        </w:tc>
        <w:tc>
          <w:tcPr>
            <w:tcW w:type="dxa" w:w="2494"/>
            <w:vAlign w:val="center"/>
            <w:shd w:fill="1F4E78"/>
          </w:tcPr>
          <w:p>
            <w:r/>
            <w:r>
              <w:rPr>
                <w:rFonts w:ascii="Arial" w:hAnsi="Arial"/>
                <w:b/>
                <w:color w:val="FFFFFF"/>
                <w:sz w:val="16"/>
              </w:rPr>
              <w:t>Principle</w:t>
            </w:r>
          </w:p>
        </w:tc>
        <w:tc>
          <w:tcPr>
            <w:tcW w:type="dxa" w:w="2494"/>
            <w:vAlign w:val="center"/>
            <w:shd w:fill="1F4E78"/>
          </w:tcPr>
          <w:p>
            <w:r/>
            <w:r>
              <w:rPr>
                <w:rFonts w:ascii="Arial" w:hAnsi="Arial"/>
                <w:b/>
                <w:color w:val="FFFFFF"/>
                <w:sz w:val="16"/>
              </w:rPr>
              <w:t>ZeroShield Requirement</w:t>
            </w:r>
          </w:p>
        </w:tc>
        <w:tc>
          <w:tcPr>
            <w:tcW w:type="dxa" w:w="2494"/>
            <w:vAlign w:val="center"/>
            <w:shd w:fill="1F4E78"/>
          </w:tcPr>
          <w:p>
            <w:r/>
            <w:r>
              <w:rPr>
                <w:rFonts w:ascii="Arial" w:hAnsi="Arial"/>
                <w:b/>
                <w:color w:val="FFFFFF"/>
                <w:sz w:val="16"/>
              </w:rPr>
              <w:t>Operational Evidence / Gate</w:t>
            </w:r>
          </w:p>
        </w:tc>
      </w:tr>
      <w:tr>
        <w:trPr>
          <w:cantSplit/>
        </w:trPr>
        <w:tc>
          <w:tcPr>
            <w:tcW w:type="dxa" w:w="2494"/>
            <w:vAlign w:val="center"/>
            <w:tcMar>
              <w:top w:w="40" w:type="dxa"/>
              <w:start w:w="50" w:type="dxa"/>
              <w:bottom w:w="40" w:type="dxa"/>
              <w:end w:w="50" w:type="dxa"/>
            </w:tcMar>
            <w:shd w:fill="FFF2CC"/>
          </w:tcPr>
          <w:p>
            <w:r/>
            <w:r>
              <w:rPr>
                <w:rFonts w:ascii="Arial" w:hAnsi="Arial"/>
                <w:b/>
                <w:color w:val="000000"/>
                <w:sz w:val="15"/>
              </w:rPr>
              <w:t>E01</w:t>
            </w:r>
          </w:p>
        </w:tc>
        <w:tc>
          <w:tcPr>
            <w:tcW w:type="dxa" w:w="2494"/>
            <w:vAlign w:val="center"/>
            <w:tcMar>
              <w:top w:w="40" w:type="dxa"/>
              <w:start w:w="50" w:type="dxa"/>
              <w:bottom w:w="40" w:type="dxa"/>
              <w:end w:w="50" w:type="dxa"/>
            </w:tcMar>
          </w:tcPr>
          <w:p>
            <w:r/>
            <w:r>
              <w:rPr>
                <w:rFonts w:ascii="Arial" w:hAnsi="Arial"/>
                <w:b w:val="0"/>
                <w:color w:val="000000"/>
                <w:sz w:val="15"/>
              </w:rPr>
              <w:t>Authorised laboratory only</w:t>
            </w:r>
          </w:p>
        </w:tc>
        <w:tc>
          <w:tcPr>
            <w:tcW w:type="dxa" w:w="2494"/>
            <w:vAlign w:val="center"/>
            <w:tcMar>
              <w:top w:w="40" w:type="dxa"/>
              <w:start w:w="50" w:type="dxa"/>
              <w:bottom w:w="40" w:type="dxa"/>
              <w:end w:w="50" w:type="dxa"/>
            </w:tcMar>
          </w:tcPr>
          <w:p>
            <w:r/>
            <w:r>
              <w:rPr>
                <w:rFonts w:ascii="Arial" w:hAnsi="Arial"/>
                <w:b w:val="0"/>
                <w:color w:val="000000"/>
                <w:sz w:val="15"/>
              </w:rPr>
              <w:t>All practical testing, replay, detection and containment must remain inside an isolated or otherwise explicitly authorised research environment.</w:t>
            </w:r>
          </w:p>
        </w:tc>
        <w:tc>
          <w:tcPr>
            <w:tcW w:type="dxa" w:w="2494"/>
            <w:vAlign w:val="center"/>
            <w:tcMar>
              <w:top w:w="40" w:type="dxa"/>
              <w:start w:w="50" w:type="dxa"/>
              <w:bottom w:w="40" w:type="dxa"/>
              <w:end w:w="50" w:type="dxa"/>
            </w:tcMar>
          </w:tcPr>
          <w:p>
            <w:r/>
            <w:r>
              <w:rPr>
                <w:rFonts w:ascii="Arial" w:hAnsi="Arial"/>
                <w:b w:val="0"/>
                <w:color w:val="000000"/>
                <w:sz w:val="15"/>
              </w:rPr>
              <w:t>Stop-work if the boundary or authorisation is uncertain.</w:t>
            </w:r>
          </w:p>
        </w:tc>
      </w:tr>
      <w:tr>
        <w:trPr>
          <w:cantSplit/>
        </w:trPr>
        <w:tc>
          <w:tcPr>
            <w:tcW w:type="dxa" w:w="2494"/>
            <w:vAlign w:val="center"/>
            <w:tcMar>
              <w:top w:w="40" w:type="dxa"/>
              <w:start w:w="50" w:type="dxa"/>
              <w:bottom w:w="40" w:type="dxa"/>
              <w:end w:w="50" w:type="dxa"/>
            </w:tcMar>
            <w:shd w:fill="FFF2CC"/>
          </w:tcPr>
          <w:p>
            <w:r/>
            <w:r>
              <w:rPr>
                <w:rFonts w:ascii="Arial" w:hAnsi="Arial"/>
                <w:b/>
                <w:color w:val="000000"/>
                <w:sz w:val="15"/>
              </w:rPr>
              <w:t>E02</w:t>
            </w:r>
          </w:p>
        </w:tc>
        <w:tc>
          <w:tcPr>
            <w:tcW w:type="dxa" w:w="2494"/>
            <w:vAlign w:val="center"/>
            <w:tcMar>
              <w:top w:w="40" w:type="dxa"/>
              <w:start w:w="50" w:type="dxa"/>
              <w:bottom w:w="40" w:type="dxa"/>
              <w:end w:w="50" w:type="dxa"/>
            </w:tcMar>
          </w:tcPr>
          <w:p>
            <w:r/>
            <w:r>
              <w:rPr>
                <w:rFonts w:ascii="Arial" w:hAnsi="Arial"/>
                <w:b w:val="0"/>
                <w:color w:val="000000"/>
                <w:sz w:val="15"/>
              </w:rPr>
              <w:t>No third-party targeting</w:t>
            </w:r>
          </w:p>
        </w:tc>
        <w:tc>
          <w:tcPr>
            <w:tcW w:type="dxa" w:w="2494"/>
            <w:vAlign w:val="center"/>
            <w:tcMar>
              <w:top w:w="40" w:type="dxa"/>
              <w:start w:w="50" w:type="dxa"/>
              <w:bottom w:w="40" w:type="dxa"/>
              <w:end w:w="50" w:type="dxa"/>
            </w:tcMar>
          </w:tcPr>
          <w:p>
            <w:r/>
            <w:r>
              <w:rPr>
                <w:rFonts w:ascii="Arial" w:hAnsi="Arial"/>
                <w:b w:val="0"/>
                <w:color w:val="000000"/>
                <w:sz w:val="15"/>
              </w:rPr>
              <w:t>No scanning, attacking, disrupting or testing of public, university or third-party systems without explicit written authorisation.</w:t>
            </w:r>
          </w:p>
        </w:tc>
        <w:tc>
          <w:tcPr>
            <w:tcW w:type="dxa" w:w="2494"/>
            <w:vAlign w:val="center"/>
            <w:tcMar>
              <w:top w:w="40" w:type="dxa"/>
              <w:start w:w="50" w:type="dxa"/>
              <w:bottom w:w="40" w:type="dxa"/>
              <w:end w:w="50" w:type="dxa"/>
            </w:tcMar>
          </w:tcPr>
          <w:p>
            <w:r/>
            <w:r>
              <w:rPr>
                <w:rFonts w:ascii="Arial" w:hAnsi="Arial"/>
                <w:b w:val="0"/>
                <w:color w:val="000000"/>
                <w:sz w:val="15"/>
              </w:rPr>
              <w:t>Use only approved targets and routes.</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E03</w:t>
            </w:r>
          </w:p>
        </w:tc>
        <w:tc>
          <w:tcPr>
            <w:tcW w:type="dxa" w:w="2494"/>
            <w:vAlign w:val="center"/>
            <w:tcMar>
              <w:top w:w="40" w:type="dxa"/>
              <w:start w:w="50" w:type="dxa"/>
              <w:bottom w:w="40" w:type="dxa"/>
              <w:end w:w="50" w:type="dxa"/>
            </w:tcMar>
          </w:tcPr>
          <w:p>
            <w:r/>
            <w:r>
              <w:rPr>
                <w:rFonts w:ascii="Arial" w:hAnsi="Arial"/>
                <w:b w:val="0"/>
                <w:color w:val="000000"/>
                <w:sz w:val="15"/>
              </w:rPr>
              <w:t>Public research data and licence compliance</w:t>
            </w:r>
          </w:p>
        </w:tc>
        <w:tc>
          <w:tcPr>
            <w:tcW w:type="dxa" w:w="2494"/>
            <w:vAlign w:val="center"/>
            <w:tcMar>
              <w:top w:w="40" w:type="dxa"/>
              <w:start w:w="50" w:type="dxa"/>
              <w:bottom w:w="40" w:type="dxa"/>
              <w:end w:w="50" w:type="dxa"/>
            </w:tcMar>
          </w:tcPr>
          <w:p>
            <w:r/>
            <w:r>
              <w:rPr>
                <w:rFonts w:ascii="Arial" w:hAnsi="Arial"/>
                <w:b w:val="0"/>
                <w:color w:val="000000"/>
                <w:sz w:val="15"/>
              </w:rPr>
              <w:t>Datasets and tools must come from legitimate sources and their licences/terms must be checked before use or redistribution.</w:t>
            </w:r>
          </w:p>
        </w:tc>
        <w:tc>
          <w:tcPr>
            <w:tcW w:type="dxa" w:w="2494"/>
            <w:vAlign w:val="center"/>
            <w:tcMar>
              <w:top w:w="40" w:type="dxa"/>
              <w:start w:w="50" w:type="dxa"/>
              <w:bottom w:w="40" w:type="dxa"/>
              <w:end w:w="50" w:type="dxa"/>
            </w:tcMar>
          </w:tcPr>
          <w:p>
            <w:r/>
            <w:r>
              <w:rPr>
                <w:rFonts w:ascii="Arial" w:hAnsi="Arial"/>
                <w:b w:val="0"/>
                <w:color w:val="000000"/>
                <w:sz w:val="15"/>
              </w:rPr>
              <w:t>Store provenance and link to official sources rather than redistributing restricted data.</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E04</w:t>
            </w:r>
          </w:p>
        </w:tc>
        <w:tc>
          <w:tcPr>
            <w:tcW w:type="dxa" w:w="2494"/>
            <w:vAlign w:val="center"/>
            <w:tcMar>
              <w:top w:w="40" w:type="dxa"/>
              <w:start w:w="50" w:type="dxa"/>
              <w:bottom w:w="40" w:type="dxa"/>
              <w:end w:w="50" w:type="dxa"/>
            </w:tcMar>
          </w:tcPr>
          <w:p>
            <w:r/>
            <w:r>
              <w:rPr>
                <w:rFonts w:ascii="Arial" w:hAnsi="Arial"/>
                <w:b w:val="0"/>
                <w:color w:val="000000"/>
                <w:sz w:val="15"/>
              </w:rPr>
              <w:t>No intended human-participant research</w:t>
            </w:r>
          </w:p>
        </w:tc>
        <w:tc>
          <w:tcPr>
            <w:tcW w:type="dxa" w:w="2494"/>
            <w:vAlign w:val="center"/>
            <w:tcMar>
              <w:top w:w="40" w:type="dxa"/>
              <w:start w:w="50" w:type="dxa"/>
              <w:bottom w:w="40" w:type="dxa"/>
              <w:end w:w="50" w:type="dxa"/>
            </w:tcMar>
          </w:tcPr>
          <w:p>
            <w:r/>
            <w:r>
              <w:rPr>
                <w:rFonts w:ascii="Arial" w:hAnsi="Arial"/>
                <w:b w:val="0"/>
                <w:color w:val="000000"/>
                <w:sz w:val="15"/>
              </w:rPr>
              <w:t>The core study does not require recruitment of human participants.</w:t>
            </w:r>
          </w:p>
        </w:tc>
        <w:tc>
          <w:tcPr>
            <w:tcW w:type="dxa" w:w="2494"/>
            <w:vAlign w:val="center"/>
            <w:tcMar>
              <w:top w:w="40" w:type="dxa"/>
              <w:start w:w="50" w:type="dxa"/>
              <w:bottom w:w="40" w:type="dxa"/>
              <w:end w:w="50" w:type="dxa"/>
            </w:tcMar>
          </w:tcPr>
          <w:p>
            <w:r/>
            <w:r>
              <w:rPr>
                <w:rFonts w:ascii="Arial" w:hAnsi="Arial"/>
                <w:b w:val="0"/>
                <w:color w:val="000000"/>
                <w:sz w:val="15"/>
              </w:rPr>
              <w:t>Re-review ethics before collecting participant data or conducting user studies.</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E05</w:t>
            </w:r>
          </w:p>
        </w:tc>
        <w:tc>
          <w:tcPr>
            <w:tcW w:type="dxa" w:w="2494"/>
            <w:vAlign w:val="center"/>
            <w:tcMar>
              <w:top w:w="40" w:type="dxa"/>
              <w:start w:w="50" w:type="dxa"/>
              <w:bottom w:w="40" w:type="dxa"/>
              <w:end w:w="50" w:type="dxa"/>
            </w:tcMar>
          </w:tcPr>
          <w:p>
            <w:r/>
            <w:r>
              <w:rPr>
                <w:rFonts w:ascii="Arial" w:hAnsi="Arial"/>
                <w:b w:val="0"/>
                <w:color w:val="000000"/>
                <w:sz w:val="15"/>
              </w:rPr>
              <w:t>Data minimisation</w:t>
            </w:r>
          </w:p>
        </w:tc>
        <w:tc>
          <w:tcPr>
            <w:tcW w:type="dxa" w:w="2494"/>
            <w:vAlign w:val="center"/>
            <w:tcMar>
              <w:top w:w="40" w:type="dxa"/>
              <w:start w:w="50" w:type="dxa"/>
              <w:bottom w:w="40" w:type="dxa"/>
              <w:end w:w="50" w:type="dxa"/>
            </w:tcMar>
          </w:tcPr>
          <w:p>
            <w:r/>
            <w:r>
              <w:rPr>
                <w:rFonts w:ascii="Arial" w:hAnsi="Arial"/>
                <w:b w:val="0"/>
                <w:color w:val="000000"/>
                <w:sz w:val="15"/>
              </w:rPr>
              <w:t>The project is not intended to collect personal or sensitive information; only the minimum necessary data should be retained.</w:t>
            </w:r>
          </w:p>
        </w:tc>
        <w:tc>
          <w:tcPr>
            <w:tcW w:type="dxa" w:w="2494"/>
            <w:vAlign w:val="center"/>
            <w:tcMar>
              <w:top w:w="40" w:type="dxa"/>
              <w:start w:w="50" w:type="dxa"/>
              <w:bottom w:w="40" w:type="dxa"/>
              <w:end w:w="50" w:type="dxa"/>
            </w:tcMar>
          </w:tcPr>
          <w:p>
            <w:r/>
            <w:r>
              <w:rPr>
                <w:rFonts w:ascii="Arial" w:hAnsi="Arial"/>
                <w:b w:val="0"/>
                <w:color w:val="000000"/>
                <w:sz w:val="15"/>
              </w:rPr>
              <w:t>Remove or redact identifiers from public artefacts where relevant.</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E06</w:t>
            </w:r>
          </w:p>
        </w:tc>
        <w:tc>
          <w:tcPr>
            <w:tcW w:type="dxa" w:w="2494"/>
            <w:vAlign w:val="center"/>
            <w:tcMar>
              <w:top w:w="40" w:type="dxa"/>
              <w:start w:w="50" w:type="dxa"/>
              <w:bottom w:w="40" w:type="dxa"/>
              <w:end w:w="50" w:type="dxa"/>
            </w:tcMar>
          </w:tcPr>
          <w:p>
            <w:r/>
            <w:r>
              <w:rPr>
                <w:rFonts w:ascii="Arial" w:hAnsi="Arial"/>
                <w:b w:val="0"/>
                <w:color w:val="000000"/>
                <w:sz w:val="15"/>
              </w:rPr>
              <w:t>Novelty is evidence, not proof</w:t>
            </w:r>
          </w:p>
        </w:tc>
        <w:tc>
          <w:tcPr>
            <w:tcW w:type="dxa" w:w="2494"/>
            <w:vAlign w:val="center"/>
            <w:tcMar>
              <w:top w:w="40" w:type="dxa"/>
              <w:start w:w="50" w:type="dxa"/>
              <w:bottom w:w="40" w:type="dxa"/>
              <w:end w:w="50" w:type="dxa"/>
            </w:tcMar>
          </w:tcPr>
          <w:p>
            <w:r/>
            <w:r>
              <w:rPr>
                <w:rFonts w:ascii="Arial" w:hAnsi="Arial"/>
                <w:b w:val="0"/>
                <w:color w:val="000000"/>
                <w:sz w:val="15"/>
              </w:rPr>
              <w:t>Isolation Forest or other anomaly/novelty scores must not be described as proof of maliciousness.</w:t>
            </w:r>
          </w:p>
        </w:tc>
        <w:tc>
          <w:tcPr>
            <w:tcW w:type="dxa" w:w="2494"/>
            <w:vAlign w:val="center"/>
            <w:tcMar>
              <w:top w:w="40" w:type="dxa"/>
              <w:start w:w="50" w:type="dxa"/>
              <w:bottom w:w="40" w:type="dxa"/>
              <w:end w:w="50" w:type="dxa"/>
            </w:tcMar>
          </w:tcPr>
          <w:p>
            <w:r/>
            <w:r>
              <w:rPr>
                <w:rFonts w:ascii="Arial" w:hAnsi="Arial"/>
                <w:b w:val="0"/>
                <w:color w:val="000000"/>
                <w:sz w:val="15"/>
              </w:rPr>
              <w:t>Present anomaly score, threshold and uncertainty separately.</w:t>
            </w:r>
          </w:p>
        </w:tc>
      </w:tr>
      <w:tr>
        <w:trPr>
          <w:cantSplit/>
        </w:trPr>
        <w:tc>
          <w:tcPr>
            <w:tcW w:type="dxa" w:w="2494"/>
            <w:vAlign w:val="center"/>
            <w:tcMar>
              <w:top w:w="40" w:type="dxa"/>
              <w:start w:w="50" w:type="dxa"/>
              <w:bottom w:w="40" w:type="dxa"/>
              <w:end w:w="50" w:type="dxa"/>
            </w:tcMar>
            <w:shd w:fill="FFF2CC"/>
          </w:tcPr>
          <w:p>
            <w:r/>
            <w:r>
              <w:rPr>
                <w:rFonts w:ascii="Arial" w:hAnsi="Arial"/>
                <w:b/>
                <w:color w:val="000000"/>
                <w:sz w:val="15"/>
              </w:rPr>
              <w:t>E07</w:t>
            </w:r>
          </w:p>
        </w:tc>
        <w:tc>
          <w:tcPr>
            <w:tcW w:type="dxa" w:w="2494"/>
            <w:vAlign w:val="center"/>
            <w:tcMar>
              <w:top w:w="40" w:type="dxa"/>
              <w:start w:w="50" w:type="dxa"/>
              <w:bottom w:w="40" w:type="dxa"/>
              <w:end w:w="50" w:type="dxa"/>
            </w:tcMar>
          </w:tcPr>
          <w:p>
            <w:r/>
            <w:r>
              <w:rPr>
                <w:rFonts w:ascii="Arial" w:hAnsi="Arial"/>
                <w:b w:val="0"/>
                <w:color w:val="000000"/>
                <w:sz w:val="15"/>
              </w:rPr>
              <w:t>Human approval before disruptive response</w:t>
            </w:r>
          </w:p>
        </w:tc>
        <w:tc>
          <w:tcPr>
            <w:tcW w:type="dxa" w:w="2494"/>
            <w:vAlign w:val="center"/>
            <w:tcMar>
              <w:top w:w="40" w:type="dxa"/>
              <w:start w:w="50" w:type="dxa"/>
              <w:bottom w:w="40" w:type="dxa"/>
              <w:end w:w="50" w:type="dxa"/>
            </w:tcMar>
          </w:tcPr>
          <w:p>
            <w:r/>
            <w:r>
              <w:rPr>
                <w:rFonts w:ascii="Arial" w:hAnsi="Arial"/>
                <w:b w:val="0"/>
                <w:color w:val="000000"/>
                <w:sz w:val="15"/>
              </w:rPr>
              <w:t>Potentially disruptive containment must require explicit analyst approval.</w:t>
            </w:r>
          </w:p>
        </w:tc>
        <w:tc>
          <w:tcPr>
            <w:tcW w:type="dxa" w:w="2494"/>
            <w:vAlign w:val="center"/>
            <w:tcMar>
              <w:top w:w="40" w:type="dxa"/>
              <w:start w:w="50" w:type="dxa"/>
              <w:bottom w:w="40" w:type="dxa"/>
              <w:end w:w="50" w:type="dxa"/>
            </w:tcMar>
          </w:tcPr>
          <w:p>
            <w:r/>
            <w:r>
              <w:rPr>
                <w:rFonts w:ascii="Arial" w:hAnsi="Arial"/>
                <w:b w:val="0"/>
                <w:color w:val="000000"/>
                <w:sz w:val="15"/>
              </w:rPr>
              <w:t>Detection/recommendation is separated from execution.</w:t>
            </w:r>
          </w:p>
        </w:tc>
      </w:tr>
      <w:tr>
        <w:trPr>
          <w:cantSplit/>
        </w:trPr>
        <w:tc>
          <w:tcPr>
            <w:tcW w:type="dxa" w:w="2494"/>
            <w:vAlign w:val="center"/>
            <w:tcMar>
              <w:top w:w="40" w:type="dxa"/>
              <w:start w:w="50" w:type="dxa"/>
              <w:bottom w:w="40" w:type="dxa"/>
              <w:end w:w="50" w:type="dxa"/>
            </w:tcMar>
            <w:shd w:fill="FFF2CC"/>
          </w:tcPr>
          <w:p>
            <w:r/>
            <w:r>
              <w:rPr>
                <w:rFonts w:ascii="Arial" w:hAnsi="Arial"/>
                <w:b/>
                <w:color w:val="000000"/>
                <w:sz w:val="15"/>
              </w:rPr>
              <w:t>E08</w:t>
            </w:r>
          </w:p>
        </w:tc>
        <w:tc>
          <w:tcPr>
            <w:tcW w:type="dxa" w:w="2494"/>
            <w:vAlign w:val="center"/>
            <w:tcMar>
              <w:top w:w="40" w:type="dxa"/>
              <w:start w:w="50" w:type="dxa"/>
              <w:bottom w:w="40" w:type="dxa"/>
              <w:end w:w="50" w:type="dxa"/>
            </w:tcMar>
          </w:tcPr>
          <w:p>
            <w:r/>
            <w:r>
              <w:rPr>
                <w:rFonts w:ascii="Arial" w:hAnsi="Arial"/>
                <w:b w:val="0"/>
                <w:color w:val="000000"/>
                <w:sz w:val="15"/>
              </w:rPr>
              <w:t>Temporary and reversible containment</w:t>
            </w:r>
          </w:p>
        </w:tc>
        <w:tc>
          <w:tcPr>
            <w:tcW w:type="dxa" w:w="2494"/>
            <w:vAlign w:val="center"/>
            <w:tcMar>
              <w:top w:w="40" w:type="dxa"/>
              <w:start w:w="50" w:type="dxa"/>
              <w:bottom w:w="40" w:type="dxa"/>
              <w:end w:w="50" w:type="dxa"/>
            </w:tcMar>
          </w:tcPr>
          <w:p>
            <w:r/>
            <w:r>
              <w:rPr>
                <w:rFonts w:ascii="Arial" w:hAnsi="Arial"/>
                <w:b w:val="0"/>
                <w:color w:val="000000"/>
                <w:sz w:val="15"/>
              </w:rPr>
              <w:t>Approved actions must be time-limited, logged, monitored and capable of rollback.</w:t>
            </w:r>
          </w:p>
        </w:tc>
        <w:tc>
          <w:tcPr>
            <w:tcW w:type="dxa" w:w="2494"/>
            <w:vAlign w:val="center"/>
            <w:tcMar>
              <w:top w:w="40" w:type="dxa"/>
              <w:start w:w="50" w:type="dxa"/>
              <w:bottom w:w="40" w:type="dxa"/>
              <w:end w:w="50" w:type="dxa"/>
            </w:tcMar>
          </w:tcPr>
          <w:p>
            <w:r/>
            <w:r>
              <w:rPr>
                <w:rFonts w:ascii="Arial" w:hAnsi="Arial"/>
                <w:b w:val="0"/>
                <w:color w:val="000000"/>
                <w:sz w:val="15"/>
              </w:rPr>
              <w:t>Rollback path must be tested before response evaluation.</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E09</w:t>
            </w:r>
          </w:p>
        </w:tc>
        <w:tc>
          <w:tcPr>
            <w:tcW w:type="dxa" w:w="2494"/>
            <w:vAlign w:val="center"/>
            <w:tcMar>
              <w:top w:w="40" w:type="dxa"/>
              <w:start w:w="50" w:type="dxa"/>
              <w:bottom w:w="40" w:type="dxa"/>
              <w:end w:w="50" w:type="dxa"/>
            </w:tcMar>
          </w:tcPr>
          <w:p>
            <w:r/>
            <w:r>
              <w:rPr>
                <w:rFonts w:ascii="Arial" w:hAnsi="Arial"/>
                <w:b w:val="0"/>
                <w:color w:val="000000"/>
                <w:sz w:val="15"/>
              </w:rPr>
              <w:t>Accountability and traceability</w:t>
            </w:r>
          </w:p>
        </w:tc>
        <w:tc>
          <w:tcPr>
            <w:tcW w:type="dxa" w:w="2494"/>
            <w:vAlign w:val="center"/>
            <w:tcMar>
              <w:top w:w="40" w:type="dxa"/>
              <w:start w:w="50" w:type="dxa"/>
              <w:bottom w:w="40" w:type="dxa"/>
              <w:end w:w="50" w:type="dxa"/>
            </w:tcMar>
          </w:tcPr>
          <w:p>
            <w:r/>
            <w:r>
              <w:rPr>
                <w:rFonts w:ascii="Arial" w:hAnsi="Arial"/>
                <w:b w:val="0"/>
                <w:color w:val="000000"/>
                <w:sz w:val="15"/>
              </w:rPr>
              <w:t>Incident records should preserve detector source, evidence, uncertainty, recommendation, analyst decision, action, timeout and closure/rollback state.</w:t>
            </w:r>
          </w:p>
        </w:tc>
        <w:tc>
          <w:tcPr>
            <w:tcW w:type="dxa" w:w="2494"/>
            <w:vAlign w:val="center"/>
            <w:tcMar>
              <w:top w:w="40" w:type="dxa"/>
              <w:start w:w="50" w:type="dxa"/>
              <w:bottom w:w="40" w:type="dxa"/>
              <w:end w:w="50" w:type="dxa"/>
            </w:tcMar>
          </w:tcPr>
          <w:p>
            <w:r/>
            <w:r>
              <w:rPr>
                <w:rFonts w:ascii="Arial" w:hAnsi="Arial"/>
                <w:b w:val="0"/>
                <w:color w:val="000000"/>
                <w:sz w:val="15"/>
              </w:rPr>
              <w:t>Audit records must link to experiment/configuration evidence.</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E10</w:t>
            </w:r>
          </w:p>
        </w:tc>
        <w:tc>
          <w:tcPr>
            <w:tcW w:type="dxa" w:w="2494"/>
            <w:vAlign w:val="center"/>
            <w:tcMar>
              <w:top w:w="40" w:type="dxa"/>
              <w:start w:w="50" w:type="dxa"/>
              <w:bottom w:w="40" w:type="dxa"/>
              <w:end w:w="50" w:type="dxa"/>
            </w:tcMar>
          </w:tcPr>
          <w:p>
            <w:r/>
            <w:r>
              <w:rPr>
                <w:rFonts w:ascii="Arial" w:hAnsi="Arial"/>
                <w:b w:val="0"/>
                <w:color w:val="000000"/>
                <w:sz w:val="15"/>
              </w:rPr>
              <w:t>Leakage-safe and reproducible evaluation</w:t>
            </w:r>
          </w:p>
        </w:tc>
        <w:tc>
          <w:tcPr>
            <w:tcW w:type="dxa" w:w="2494"/>
            <w:vAlign w:val="center"/>
            <w:tcMar>
              <w:top w:w="40" w:type="dxa"/>
              <w:start w:w="50" w:type="dxa"/>
              <w:bottom w:w="40" w:type="dxa"/>
              <w:end w:w="50" w:type="dxa"/>
            </w:tcMar>
          </w:tcPr>
          <w:p>
            <w:r/>
            <w:r>
              <w:rPr>
                <w:rFonts w:ascii="Arial" w:hAnsi="Arial"/>
                <w:b w:val="0"/>
                <w:color w:val="000000"/>
                <w:sz w:val="15"/>
              </w:rPr>
              <w:t>Preprocessing, splits, thresholds, random seeds, versions and experiment conditions must be recorded.</w:t>
            </w:r>
          </w:p>
        </w:tc>
        <w:tc>
          <w:tcPr>
            <w:tcW w:type="dxa" w:w="2494"/>
            <w:vAlign w:val="center"/>
            <w:tcMar>
              <w:top w:w="40" w:type="dxa"/>
              <w:start w:w="50" w:type="dxa"/>
              <w:bottom w:w="40" w:type="dxa"/>
              <w:end w:w="50" w:type="dxa"/>
            </w:tcMar>
          </w:tcPr>
          <w:p>
            <w:r/>
            <w:r>
              <w:rPr>
                <w:rFonts w:ascii="Arial" w:hAnsi="Arial"/>
                <w:b w:val="0"/>
                <w:color w:val="000000"/>
                <w:sz w:val="15"/>
              </w:rPr>
              <w:t>Withheld attack class remains outside training and calibration.</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E11</w:t>
            </w:r>
          </w:p>
        </w:tc>
        <w:tc>
          <w:tcPr>
            <w:tcW w:type="dxa" w:w="2494"/>
            <w:vAlign w:val="center"/>
            <w:tcMar>
              <w:top w:w="40" w:type="dxa"/>
              <w:start w:w="50" w:type="dxa"/>
              <w:bottom w:w="40" w:type="dxa"/>
              <w:end w:w="50" w:type="dxa"/>
            </w:tcMar>
          </w:tcPr>
          <w:p>
            <w:r/>
            <w:r>
              <w:rPr>
                <w:rFonts w:ascii="Arial" w:hAnsi="Arial"/>
                <w:b w:val="0"/>
                <w:color w:val="000000"/>
                <w:sz w:val="15"/>
              </w:rPr>
              <w:t>Safe public repository</w:t>
            </w:r>
          </w:p>
        </w:tc>
        <w:tc>
          <w:tcPr>
            <w:tcW w:type="dxa" w:w="2494"/>
            <w:vAlign w:val="center"/>
            <w:tcMar>
              <w:top w:w="40" w:type="dxa"/>
              <w:start w:w="50" w:type="dxa"/>
              <w:bottom w:w="40" w:type="dxa"/>
              <w:end w:w="50" w:type="dxa"/>
            </w:tcMar>
          </w:tcPr>
          <w:p>
            <w:r/>
            <w:r>
              <w:rPr>
                <w:rFonts w:ascii="Arial" w:hAnsi="Arial"/>
                <w:b w:val="0"/>
                <w:color w:val="000000"/>
                <w:sz w:val="15"/>
              </w:rPr>
              <w:t>No passwords, API keys, private keys, credentials or prohibited third-party content may be committed.</w:t>
            </w:r>
          </w:p>
        </w:tc>
        <w:tc>
          <w:tcPr>
            <w:tcW w:type="dxa" w:w="2494"/>
            <w:vAlign w:val="center"/>
            <w:tcMar>
              <w:top w:w="40" w:type="dxa"/>
              <w:start w:w="50" w:type="dxa"/>
              <w:bottom w:w="40" w:type="dxa"/>
              <w:end w:w="50" w:type="dxa"/>
            </w:tcMar>
          </w:tcPr>
          <w:p>
            <w:r/>
            <w:r>
              <w:rPr>
                <w:rFonts w:ascii="Arial" w:hAnsi="Arial"/>
                <w:b w:val="0"/>
                <w:color w:val="000000"/>
                <w:sz w:val="15"/>
              </w:rPr>
              <w:t>Use .gitignore, staged-file review and secret revocation if exposure occurs.</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E12</w:t>
            </w:r>
          </w:p>
        </w:tc>
        <w:tc>
          <w:tcPr>
            <w:tcW w:type="dxa" w:w="2494"/>
            <w:vAlign w:val="center"/>
            <w:tcMar>
              <w:top w:w="40" w:type="dxa"/>
              <w:start w:w="50" w:type="dxa"/>
              <w:bottom w:w="40" w:type="dxa"/>
              <w:end w:w="50" w:type="dxa"/>
            </w:tcMar>
          </w:tcPr>
          <w:p>
            <w:r/>
            <w:r>
              <w:rPr>
                <w:rFonts w:ascii="Arial" w:hAnsi="Arial"/>
                <w:b w:val="0"/>
                <w:color w:val="000000"/>
                <w:sz w:val="15"/>
              </w:rPr>
              <w:t>Responsible claims and explainability</w:t>
            </w:r>
          </w:p>
        </w:tc>
        <w:tc>
          <w:tcPr>
            <w:tcW w:type="dxa" w:w="2494"/>
            <w:vAlign w:val="center"/>
            <w:tcMar>
              <w:top w:w="40" w:type="dxa"/>
              <w:start w:w="50" w:type="dxa"/>
              <w:bottom w:w="40" w:type="dxa"/>
              <w:end w:w="50" w:type="dxa"/>
            </w:tcMar>
          </w:tcPr>
          <w:p>
            <w:r/>
            <w:r>
              <w:rPr>
                <w:rFonts w:ascii="Arial" w:hAnsi="Arial"/>
                <w:b w:val="0"/>
                <w:color w:val="000000"/>
                <w:sz w:val="15"/>
              </w:rPr>
              <w:t>Model confidence, anomaly scores and XAI outputs must be described according to their actual meaning and limitations.</w:t>
            </w:r>
          </w:p>
        </w:tc>
        <w:tc>
          <w:tcPr>
            <w:tcW w:type="dxa" w:w="2494"/>
            <w:vAlign w:val="center"/>
            <w:tcMar>
              <w:top w:w="40" w:type="dxa"/>
              <w:start w:w="50" w:type="dxa"/>
              <w:bottom w:w="40" w:type="dxa"/>
              <w:end w:w="50" w:type="dxa"/>
            </w:tcMar>
          </w:tcPr>
          <w:p>
            <w:r/>
            <w:r>
              <w:rPr>
                <w:rFonts w:ascii="Arial" w:hAnsi="Arial"/>
                <w:b w:val="0"/>
                <w:color w:val="000000"/>
                <w:sz w:val="15"/>
              </w:rPr>
              <w:t>Avoid universal zero-day, causal or certainty claims.</w:t>
            </w:r>
          </w:p>
        </w:tc>
      </w:tr>
      <w:tr>
        <w:trPr>
          <w:cantSplit/>
        </w:trPr>
        <w:tc>
          <w:tcPr>
            <w:tcW w:type="dxa" w:w="2494"/>
            <w:vAlign w:val="center"/>
            <w:tcMar>
              <w:top w:w="40" w:type="dxa"/>
              <w:start w:w="50" w:type="dxa"/>
              <w:bottom w:w="40" w:type="dxa"/>
              <w:end w:w="50" w:type="dxa"/>
            </w:tcMar>
          </w:tcPr>
          <w:p>
            <w:r/>
            <w:r>
              <w:rPr>
                <w:rFonts w:ascii="Arial" w:hAnsi="Arial"/>
                <w:b/>
                <w:color w:val="000000"/>
                <w:sz w:val="15"/>
              </w:rPr>
              <w:t>E13</w:t>
            </w:r>
          </w:p>
        </w:tc>
        <w:tc>
          <w:tcPr>
            <w:tcW w:type="dxa" w:w="2494"/>
            <w:vAlign w:val="center"/>
            <w:tcMar>
              <w:top w:w="40" w:type="dxa"/>
              <w:start w:w="50" w:type="dxa"/>
              <w:bottom w:w="40" w:type="dxa"/>
              <w:end w:w="50" w:type="dxa"/>
            </w:tcMar>
          </w:tcPr>
          <w:p>
            <w:r/>
            <w:r>
              <w:rPr>
                <w:rFonts w:ascii="Arial" w:hAnsi="Arial"/>
                <w:b w:val="0"/>
                <w:color w:val="000000"/>
                <w:sz w:val="15"/>
              </w:rPr>
              <w:t>Defensive dissemination</w:t>
            </w:r>
          </w:p>
        </w:tc>
        <w:tc>
          <w:tcPr>
            <w:tcW w:type="dxa" w:w="2494"/>
            <w:vAlign w:val="center"/>
            <w:tcMar>
              <w:top w:w="40" w:type="dxa"/>
              <w:start w:w="50" w:type="dxa"/>
              <w:bottom w:w="40" w:type="dxa"/>
              <w:end w:w="50" w:type="dxa"/>
            </w:tcMar>
          </w:tcPr>
          <w:p>
            <w:r/>
            <w:r>
              <w:rPr>
                <w:rFonts w:ascii="Arial" w:hAnsi="Arial"/>
                <w:b w:val="0"/>
                <w:color w:val="000000"/>
                <w:sz w:val="15"/>
              </w:rPr>
              <w:t>Documentation and code remain framed for authorised defensive research and controlled experimentation.</w:t>
            </w:r>
          </w:p>
        </w:tc>
        <w:tc>
          <w:tcPr>
            <w:tcW w:type="dxa" w:w="2494"/>
            <w:vAlign w:val="center"/>
            <w:tcMar>
              <w:top w:w="40" w:type="dxa"/>
              <w:start w:w="50" w:type="dxa"/>
              <w:bottom w:w="40" w:type="dxa"/>
              <w:end w:w="50" w:type="dxa"/>
            </w:tcMar>
          </w:tcPr>
          <w:p>
            <w:r/>
            <w:r>
              <w:rPr>
                <w:rFonts w:ascii="Arial" w:hAnsi="Arial"/>
                <w:b w:val="0"/>
                <w:color w:val="000000"/>
                <w:sz w:val="15"/>
              </w:rPr>
              <w:t>Do not package the FYP as an unauthorised offensive toolkit.</w:t>
            </w:r>
          </w:p>
        </w:tc>
      </w:tr>
      <w:tr>
        <w:trPr>
          <w:cantSplit/>
        </w:trPr>
        <w:tc>
          <w:tcPr>
            <w:tcW w:type="dxa" w:w="2494"/>
            <w:vAlign w:val="center"/>
            <w:tcMar>
              <w:top w:w="40" w:type="dxa"/>
              <w:start w:w="50" w:type="dxa"/>
              <w:bottom w:w="40" w:type="dxa"/>
              <w:end w:w="50" w:type="dxa"/>
            </w:tcMar>
            <w:shd w:fill="FFF2CC"/>
          </w:tcPr>
          <w:p>
            <w:r/>
            <w:r>
              <w:rPr>
                <w:rFonts w:ascii="Arial" w:hAnsi="Arial"/>
                <w:b/>
                <w:color w:val="000000"/>
                <w:sz w:val="15"/>
              </w:rPr>
              <w:t>E14</w:t>
            </w:r>
          </w:p>
        </w:tc>
        <w:tc>
          <w:tcPr>
            <w:tcW w:type="dxa" w:w="2494"/>
            <w:vAlign w:val="center"/>
            <w:tcMar>
              <w:top w:w="40" w:type="dxa"/>
              <w:start w:w="50" w:type="dxa"/>
              <w:bottom w:w="40" w:type="dxa"/>
              <w:end w:w="50" w:type="dxa"/>
            </w:tcMar>
          </w:tcPr>
          <w:p>
            <w:r/>
            <w:r>
              <w:rPr>
                <w:rFonts w:ascii="Arial" w:hAnsi="Arial"/>
                <w:b w:val="0"/>
                <w:color w:val="000000"/>
                <w:sz w:val="15"/>
              </w:rPr>
              <w:t>Stop-work rule</w:t>
            </w:r>
          </w:p>
        </w:tc>
        <w:tc>
          <w:tcPr>
            <w:tcW w:type="dxa" w:w="2494"/>
            <w:vAlign w:val="center"/>
            <w:tcMar>
              <w:top w:w="40" w:type="dxa"/>
              <w:start w:w="50" w:type="dxa"/>
              <w:bottom w:w="40" w:type="dxa"/>
              <w:end w:w="50" w:type="dxa"/>
            </w:tcMar>
          </w:tcPr>
          <w:p>
            <w:r/>
            <w:r>
              <w:rPr>
                <w:rFonts w:ascii="Arial" w:hAnsi="Arial"/>
                <w:b w:val="0"/>
                <w:color w:val="000000"/>
                <w:sz w:val="15"/>
              </w:rPr>
              <w:t>If an experiment crosses the approved boundary, affects a non-lab service, exposes sensitive information or creates uncontrolled response, stop the affected activity.</w:t>
            </w:r>
          </w:p>
        </w:tc>
        <w:tc>
          <w:tcPr>
            <w:tcW w:type="dxa" w:w="2494"/>
            <w:vAlign w:val="center"/>
            <w:tcMar>
              <w:top w:w="40" w:type="dxa"/>
              <w:start w:w="50" w:type="dxa"/>
              <w:bottom w:w="40" w:type="dxa"/>
              <w:end w:w="50" w:type="dxa"/>
            </w:tcMar>
          </w:tcPr>
          <w:p>
            <w:r/>
            <w:r>
              <w:rPr>
                <w:rFonts w:ascii="Arial" w:hAnsi="Arial"/>
                <w:b w:val="0"/>
                <w:color w:val="000000"/>
                <w:sz w:val="15"/>
              </w:rPr>
              <w:t>Record the event and review configuration/authorisation before restart.</w:t>
            </w:r>
          </w:p>
        </w:tc>
      </w:tr>
      <w:tr>
        <w:trPr>
          <w:cantSplit/>
        </w:trPr>
        <w:tc>
          <w:tcPr>
            <w:tcW w:type="dxa" w:w="2494"/>
            <w:vAlign w:val="center"/>
            <w:tcMar>
              <w:top w:w="40" w:type="dxa"/>
              <w:start w:w="50" w:type="dxa"/>
              <w:bottom w:w="40" w:type="dxa"/>
              <w:end w:w="50" w:type="dxa"/>
            </w:tcMar>
            <w:shd w:fill="FFF2CC"/>
          </w:tcPr>
          <w:p>
            <w:r/>
            <w:r>
              <w:rPr>
                <w:rFonts w:ascii="Arial" w:hAnsi="Arial"/>
                <w:b/>
                <w:color w:val="000000"/>
                <w:sz w:val="15"/>
              </w:rPr>
              <w:t>E15</w:t>
            </w:r>
          </w:p>
        </w:tc>
        <w:tc>
          <w:tcPr>
            <w:tcW w:type="dxa" w:w="2494"/>
            <w:vAlign w:val="center"/>
            <w:tcMar>
              <w:top w:w="40" w:type="dxa"/>
              <w:start w:w="50" w:type="dxa"/>
              <w:bottom w:w="40" w:type="dxa"/>
              <w:end w:w="50" w:type="dxa"/>
            </w:tcMar>
          </w:tcPr>
          <w:p>
            <w:r/>
            <w:r>
              <w:rPr>
                <w:rFonts w:ascii="Arial" w:hAnsi="Arial"/>
                <w:b w:val="0"/>
                <w:color w:val="000000"/>
                <w:sz w:val="15"/>
              </w:rPr>
              <w:t>Ethics re-review on material scope change</w:t>
            </w:r>
          </w:p>
        </w:tc>
        <w:tc>
          <w:tcPr>
            <w:tcW w:type="dxa" w:w="2494"/>
            <w:vAlign w:val="center"/>
            <w:tcMar>
              <w:top w:w="40" w:type="dxa"/>
              <w:start w:w="50" w:type="dxa"/>
              <w:bottom w:w="40" w:type="dxa"/>
              <w:end w:w="50" w:type="dxa"/>
            </w:tcMar>
          </w:tcPr>
          <w:p>
            <w:r/>
            <w:r>
              <w:rPr>
                <w:rFonts w:ascii="Arial" w:hAnsi="Arial"/>
                <w:b w:val="0"/>
                <w:color w:val="000000"/>
                <w:sz w:val="15"/>
              </w:rPr>
              <w:t>Changes involving live users, new sensitive data, external organisations, autonomous disruptive response or materially different testing environments require review before proceeding.</w:t>
            </w:r>
          </w:p>
        </w:tc>
        <w:tc>
          <w:tcPr>
            <w:tcW w:type="dxa" w:w="2494"/>
            <w:vAlign w:val="center"/>
            <w:tcMar>
              <w:top w:w="40" w:type="dxa"/>
              <w:start w:w="50" w:type="dxa"/>
              <w:bottom w:w="40" w:type="dxa"/>
              <w:end w:w="50" w:type="dxa"/>
            </w:tcMar>
          </w:tcPr>
          <w:p>
            <w:r/>
            <w:r>
              <w:rPr>
                <w:rFonts w:ascii="Arial" w:hAnsi="Arial"/>
                <w:b w:val="0"/>
                <w:color w:val="000000"/>
                <w:sz w:val="15"/>
              </w:rPr>
              <w:t>Escalate to supervisor and relevant ethics process.</w:t>
            </w:r>
          </w:p>
        </w:tc>
      </w:tr>
      <w:tr>
        <w:trPr>
          <w:cantSplit/>
        </w:trPr>
        <w:tc>
          <w:tcPr>
            <w:tcW w:type="dxa" w:w="2494"/>
            <w:vAlign w:val="center"/>
            <w:tcMar>
              <w:top w:w="40" w:type="dxa"/>
              <w:start w:w="50" w:type="dxa"/>
              <w:bottom w:w="40" w:type="dxa"/>
              <w:end w:w="50" w:type="dxa"/>
            </w:tcMar>
            <w:shd w:fill="FFF2CC"/>
          </w:tcPr>
          <w:p>
            <w:r/>
            <w:r>
              <w:rPr>
                <w:rFonts w:ascii="Arial" w:hAnsi="Arial"/>
                <w:b/>
                <w:color w:val="000000"/>
                <w:sz w:val="15"/>
              </w:rPr>
              <w:t>E16</w:t>
            </w:r>
          </w:p>
        </w:tc>
        <w:tc>
          <w:tcPr>
            <w:tcW w:type="dxa" w:w="2494"/>
            <w:vAlign w:val="center"/>
            <w:tcMar>
              <w:top w:w="40" w:type="dxa"/>
              <w:start w:w="50" w:type="dxa"/>
              <w:bottom w:w="40" w:type="dxa"/>
              <w:end w:w="50" w:type="dxa"/>
            </w:tcMar>
          </w:tcPr>
          <w:p>
            <w:r/>
            <w:r>
              <w:rPr>
                <w:rFonts w:ascii="Arial" w:hAnsi="Arial"/>
                <w:b w:val="0"/>
                <w:color w:val="000000"/>
                <w:sz w:val="15"/>
              </w:rPr>
              <w:t>No silent automation of containment</w:t>
            </w:r>
          </w:p>
        </w:tc>
        <w:tc>
          <w:tcPr>
            <w:tcW w:type="dxa" w:w="2494"/>
            <w:vAlign w:val="center"/>
            <w:tcMar>
              <w:top w:w="40" w:type="dxa"/>
              <w:start w:w="50" w:type="dxa"/>
              <w:bottom w:w="40" w:type="dxa"/>
              <w:end w:w="50" w:type="dxa"/>
            </w:tcMar>
          </w:tcPr>
          <w:p>
            <w:r/>
            <w:r>
              <w:rPr>
                <w:rFonts w:ascii="Arial" w:hAnsi="Arial"/>
                <w:b w:val="0"/>
                <w:color w:val="000000"/>
                <w:sz w:val="15"/>
              </w:rPr>
              <w:t>A detector disagreement or high novelty score must not silently become a disruptive action.</w:t>
            </w:r>
          </w:p>
        </w:tc>
        <w:tc>
          <w:tcPr>
            <w:tcW w:type="dxa" w:w="2494"/>
            <w:vAlign w:val="center"/>
            <w:tcMar>
              <w:top w:w="40" w:type="dxa"/>
              <w:start w:w="50" w:type="dxa"/>
              <w:bottom w:w="40" w:type="dxa"/>
              <w:end w:w="50" w:type="dxa"/>
            </w:tcMar>
          </w:tcPr>
          <w:p>
            <w:r/>
            <w:r>
              <w:rPr>
                <w:rFonts w:ascii="Arial" w:hAnsi="Arial"/>
                <w:b w:val="0"/>
                <w:color w:val="000000"/>
                <w:sz w:val="15"/>
              </w:rPr>
              <w:t>Dashboard must surface evidence and approval state before execution.</w:t>
            </w:r>
          </w:p>
        </w:tc>
      </w:tr>
    </w:tbl>
    <w:p>
      <w:pPr>
        <w:pStyle w:val="Heading1"/>
        <w:keepNext/>
      </w:pPr>
      <w:r>
        <w:t>7. Experiment Safety Gates</w:t>
      </w:r>
    </w:p>
    <w:p>
      <w:pPr>
        <w:spacing w:after="100" w:line="259" w:lineRule="auto"/>
      </w:pPr>
      <w:r>
        <w:t>Before an experiment progresses to a more consequential stage, the corresponding gate should be satisfied and recorded in the experiment registry, project log or decision log.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326"/>
            <w:vAlign w:val="center"/>
            <w:shd w:fill="1F4E78"/>
          </w:tcPr>
          <w:p>
            <w:r/>
            <w:r>
              <w:rPr>
                <w:rFonts w:ascii="Arial" w:hAnsi="Arial"/>
                <w:b/>
                <w:color w:val="FFFFFF"/>
                <w:sz w:val="17"/>
              </w:rPr>
              <w:t>Gate</w:t>
            </w:r>
          </w:p>
        </w:tc>
        <w:tc>
          <w:tcPr>
            <w:tcW w:type="dxa" w:w="3326"/>
            <w:vAlign w:val="center"/>
            <w:shd w:fill="1F4E78"/>
          </w:tcPr>
          <w:p>
            <w:r/>
            <w:r>
              <w:rPr>
                <w:rFonts w:ascii="Arial" w:hAnsi="Arial"/>
                <w:b/>
                <w:color w:val="FFFFFF"/>
                <w:sz w:val="17"/>
              </w:rPr>
              <w:t>When Applied</w:t>
            </w:r>
          </w:p>
        </w:tc>
        <w:tc>
          <w:tcPr>
            <w:tcW w:type="dxa" w:w="3326"/>
            <w:vAlign w:val="center"/>
            <w:shd w:fill="1F4E78"/>
          </w:tcPr>
          <w:p>
            <w:r/>
            <w:r>
              <w:rPr>
                <w:rFonts w:ascii="Arial" w:hAnsi="Arial"/>
                <w:b/>
                <w:color w:val="FFFFFF"/>
                <w:sz w:val="17"/>
              </w:rPr>
              <w:t>Pass Criteria</w:t>
            </w:r>
          </w:p>
        </w:tc>
      </w:tr>
      <w:tr>
        <w:tc>
          <w:tcPr>
            <w:tcW w:type="dxa" w:w="3326"/>
            <w:vAlign w:val="center"/>
            <w:shd w:fill="EAF2F8"/>
          </w:tcPr>
          <w:p>
            <w:r/>
            <w:r>
              <w:rPr>
                <w:rFonts w:ascii="Arial" w:hAnsi="Arial"/>
                <w:b/>
                <w:color w:val="000000"/>
                <w:sz w:val="16"/>
              </w:rPr>
              <w:t>Gate A - Data</w:t>
            </w:r>
          </w:p>
        </w:tc>
        <w:tc>
          <w:tcPr>
            <w:tcW w:type="dxa" w:w="3326"/>
            <w:vAlign w:val="center"/>
          </w:tcPr>
          <w:p>
            <w:r/>
            <w:r>
              <w:rPr>
                <w:rFonts w:ascii="Arial" w:hAnsi="Arial"/>
                <w:b w:val="0"/>
                <w:color w:val="000000"/>
                <w:sz w:val="16"/>
              </w:rPr>
              <w:t>Before preprocessing/model training</w:t>
            </w:r>
          </w:p>
        </w:tc>
        <w:tc>
          <w:tcPr>
            <w:tcW w:type="dxa" w:w="3326"/>
            <w:vAlign w:val="center"/>
          </w:tcPr>
          <w:p>
            <w:r/>
            <w:r>
              <w:rPr>
                <w:rFonts w:ascii="Arial" w:hAnsi="Arial"/>
                <w:b w:val="0"/>
                <w:color w:val="000000"/>
                <w:sz w:val="16"/>
              </w:rPr>
              <w:t>Source and licence recorded; labels/features inspected; withheld-class feasibility confirmed; no restricted data planned for public commit.</w:t>
            </w:r>
          </w:p>
        </w:tc>
      </w:tr>
      <w:tr>
        <w:tc>
          <w:tcPr>
            <w:tcW w:type="dxa" w:w="3326"/>
            <w:vAlign w:val="center"/>
            <w:shd w:fill="EAF2F8"/>
          </w:tcPr>
          <w:p>
            <w:r/>
            <w:r>
              <w:rPr>
                <w:rFonts w:ascii="Arial" w:hAnsi="Arial"/>
                <w:b/>
                <w:color w:val="000000"/>
                <w:sz w:val="16"/>
              </w:rPr>
              <w:t>Gate B - Environment</w:t>
            </w:r>
          </w:p>
        </w:tc>
        <w:tc>
          <w:tcPr>
            <w:tcW w:type="dxa" w:w="3326"/>
            <w:vAlign w:val="center"/>
          </w:tcPr>
          <w:p>
            <w:r/>
            <w:r>
              <w:rPr>
                <w:rFonts w:ascii="Arial" w:hAnsi="Arial"/>
                <w:b w:val="0"/>
                <w:color w:val="000000"/>
                <w:sz w:val="16"/>
              </w:rPr>
              <w:t>Before traffic replay or security-tool testing</w:t>
            </w:r>
          </w:p>
        </w:tc>
        <w:tc>
          <w:tcPr>
            <w:tcW w:type="dxa" w:w="3326"/>
            <w:vAlign w:val="center"/>
          </w:tcPr>
          <w:p>
            <w:r/>
            <w:r>
              <w:rPr>
                <w:rFonts w:ascii="Arial" w:hAnsi="Arial"/>
                <w:b w:val="0"/>
                <w:color w:val="000000"/>
                <w:sz w:val="16"/>
              </w:rPr>
              <w:t>Targets/routes/interfaces verified as authorised; isolated lab boundary confirmed; rollback/snapshot available where relevant.</w:t>
            </w:r>
          </w:p>
        </w:tc>
      </w:tr>
      <w:tr>
        <w:tc>
          <w:tcPr>
            <w:tcW w:type="dxa" w:w="3326"/>
            <w:vAlign w:val="center"/>
            <w:shd w:fill="EAF2F8"/>
          </w:tcPr>
          <w:p>
            <w:r/>
            <w:r>
              <w:rPr>
                <w:rFonts w:ascii="Arial" w:hAnsi="Arial"/>
                <w:b/>
                <w:color w:val="000000"/>
                <w:sz w:val="16"/>
              </w:rPr>
              <w:t>Gate C - Model / Evaluation</w:t>
            </w:r>
          </w:p>
        </w:tc>
        <w:tc>
          <w:tcPr>
            <w:tcW w:type="dxa" w:w="3326"/>
            <w:vAlign w:val="center"/>
          </w:tcPr>
          <w:p>
            <w:r/>
            <w:r>
              <w:rPr>
                <w:rFonts w:ascii="Arial" w:hAnsi="Arial"/>
                <w:b w:val="0"/>
                <w:color w:val="000000"/>
                <w:sz w:val="16"/>
              </w:rPr>
              <w:t>Before reporting known/unknown results</w:t>
            </w:r>
          </w:p>
        </w:tc>
        <w:tc>
          <w:tcPr>
            <w:tcW w:type="dxa" w:w="3326"/>
            <w:vAlign w:val="center"/>
          </w:tcPr>
          <w:p>
            <w:r/>
            <w:r>
              <w:rPr>
                <w:rFonts w:ascii="Arial" w:hAnsi="Arial"/>
                <w:b w:val="0"/>
                <w:color w:val="000000"/>
                <w:sz w:val="16"/>
              </w:rPr>
              <w:t>Split logic, random seed, feature schema, threshold method and leakage controls recorded; metrics include FPR and per-class/unknown performance.</w:t>
            </w:r>
          </w:p>
        </w:tc>
      </w:tr>
      <w:tr>
        <w:tc>
          <w:tcPr>
            <w:tcW w:type="dxa" w:w="3326"/>
            <w:vAlign w:val="center"/>
            <w:shd w:fill="EAF2F8"/>
          </w:tcPr>
          <w:p>
            <w:r/>
            <w:r>
              <w:rPr>
                <w:rFonts w:ascii="Arial" w:hAnsi="Arial"/>
                <w:b/>
                <w:color w:val="000000"/>
                <w:sz w:val="16"/>
              </w:rPr>
              <w:t>Gate D - Containment</w:t>
            </w:r>
          </w:p>
        </w:tc>
        <w:tc>
          <w:tcPr>
            <w:tcW w:type="dxa" w:w="3326"/>
            <w:vAlign w:val="center"/>
          </w:tcPr>
          <w:p>
            <w:r/>
            <w:r>
              <w:rPr>
                <w:rFonts w:ascii="Arial" w:hAnsi="Arial"/>
                <w:b w:val="0"/>
                <w:color w:val="000000"/>
                <w:sz w:val="16"/>
              </w:rPr>
              <w:t>Before any disruptive response test</w:t>
            </w:r>
          </w:p>
        </w:tc>
        <w:tc>
          <w:tcPr>
            <w:tcW w:type="dxa" w:w="3326"/>
            <w:vAlign w:val="center"/>
          </w:tcPr>
          <w:p>
            <w:r/>
            <w:r>
              <w:rPr>
                <w:rFonts w:ascii="Arial" w:hAnsi="Arial"/>
                <w:b w:val="0"/>
                <w:color w:val="000000"/>
                <w:sz w:val="16"/>
              </w:rPr>
              <w:t>Human approval path works; action is lab-scoped, time-limited and reversible; logging and rollback tested.</w:t>
            </w:r>
          </w:p>
        </w:tc>
      </w:tr>
      <w:tr>
        <w:tc>
          <w:tcPr>
            <w:tcW w:type="dxa" w:w="3326"/>
            <w:vAlign w:val="center"/>
            <w:shd w:fill="EAF2F8"/>
          </w:tcPr>
          <w:p>
            <w:r/>
            <w:r>
              <w:rPr>
                <w:rFonts w:ascii="Arial" w:hAnsi="Arial"/>
                <w:b/>
                <w:color w:val="000000"/>
                <w:sz w:val="16"/>
              </w:rPr>
              <w:t>Gate E - Public Release</w:t>
            </w:r>
          </w:p>
        </w:tc>
        <w:tc>
          <w:tcPr>
            <w:tcW w:type="dxa" w:w="3326"/>
            <w:vAlign w:val="center"/>
          </w:tcPr>
          <w:p>
            <w:r/>
            <w:r>
              <w:rPr>
                <w:rFonts w:ascii="Arial" w:hAnsi="Arial"/>
                <w:b w:val="0"/>
                <w:color w:val="000000"/>
                <w:sz w:val="16"/>
              </w:rPr>
              <w:t>Before GitHub push/report evidence publication</w:t>
            </w:r>
          </w:p>
        </w:tc>
        <w:tc>
          <w:tcPr>
            <w:tcW w:type="dxa" w:w="3326"/>
            <w:vAlign w:val="center"/>
          </w:tcPr>
          <w:p>
            <w:r/>
            <w:r>
              <w:rPr>
                <w:rFonts w:ascii="Arial" w:hAnsi="Arial"/>
                <w:b w:val="0"/>
                <w:color w:val="000000"/>
                <w:sz w:val="16"/>
              </w:rPr>
              <w:t>Staged files reviewed for secrets, private/sensitive data, third-party licences, large artefacts and unsafe or misleading claims.</w:t>
            </w:r>
          </w:p>
        </w:tc>
      </w:tr>
    </w:tbl>
    <w:p>
      <w:pPr>
        <w:pStyle w:val="Heading1"/>
        <w:keepNext/>
      </w:pPr>
      <w:r>
        <w:t>8. Pre-Experiment Safety Checklist</w:t>
      </w:r>
    </w:p>
    <w:p>
      <w:pPr>
        <w:pStyle w:val="ListBullet"/>
        <w:spacing w:after="40"/>
      </w:pPr>
      <w:r>
        <w:t>[ ] Experiment ID, purpose and expected evidence are defined and linked to the research question.</w:t>
      </w:r>
    </w:p>
    <w:p>
      <w:pPr>
        <w:pStyle w:val="ListBullet"/>
        <w:spacing w:after="40"/>
      </w:pPr>
      <w:r>
        <w:t>[ ] The dataset/traffic source, licence/provenance and relevant preprocessing version are recorded.</w:t>
      </w:r>
    </w:p>
    <w:p>
      <w:pPr>
        <w:pStyle w:val="ListBullet"/>
        <w:spacing w:after="40"/>
      </w:pPr>
      <w:r>
        <w:t>[ ] The environment, target assets, routes and interfaces are confirmed as authorised and within the documented boundary.</w:t>
      </w:r>
    </w:p>
    <w:p>
      <w:pPr>
        <w:pStyle w:val="ListBullet"/>
        <w:spacing w:after="40"/>
      </w:pPr>
      <w:r>
        <w:t>[ ] No real credentials, secrets or unnecessary personal/sensitive information are embedded in scripts, notebooks, configs or screenshots.</w:t>
      </w:r>
    </w:p>
    <w:p>
      <w:pPr>
        <w:pStyle w:val="ListBullet"/>
        <w:spacing w:after="40"/>
      </w:pPr>
      <w:r>
        <w:t>[ ] Withheld-class and train/validation/test controls are configured as intended and can be independently checked.</w:t>
      </w:r>
    </w:p>
    <w:p>
      <w:pPr>
        <w:pStyle w:val="ListBullet"/>
        <w:spacing w:after="40"/>
      </w:pPr>
      <w:r>
        <w:t>[ ] Logging is enabled so detector evidence, decisions and relevant actions can be traced.</w:t>
      </w:r>
    </w:p>
    <w:p>
      <w:pPr>
        <w:pStyle w:val="ListBullet"/>
        <w:spacing w:after="40"/>
      </w:pPr>
      <w:r>
        <w:t>[ ] Resource requirements are reasonable for the available machine/VM environment.</w:t>
      </w:r>
    </w:p>
    <w:p>
      <w:pPr>
        <w:pStyle w:val="ListBullet"/>
        <w:spacing w:after="40"/>
      </w:pPr>
      <w:r>
        <w:t>[ ] Any containment experiment has explicit human approval, a defined timeout and a verified rollback path.</w:t>
      </w:r>
    </w:p>
    <w:p>
      <w:pPr>
        <w:pStyle w:val="ListBullet"/>
        <w:spacing w:after="40"/>
      </w:pPr>
      <w:r>
        <w:t>[ ] The experiment can be stopped safely if unexpected behaviour occurs.</w:t>
      </w:r>
    </w:p>
    <w:p>
      <w:pPr>
        <w:pStyle w:val="ListBullet"/>
        <w:spacing w:after="40"/>
      </w:pPr>
      <w:r>
        <w:t>[ ] GitHub outputs are reviewed for secrets, licences, privacy, sensitive content and unnecessary large generated artefacts.</w:t>
      </w:r>
    </w:p>
    <w:p>
      <w:pPr>
        <w:pStyle w:val="Heading1"/>
        <w:keepNext/>
      </w:pPr>
      <w:r>
        <w:t>9. Stop-Work and Escalation Procedure</w:t>
      </w:r>
    </w:p>
    <w:p>
      <w:pPr>
        <w:spacing w:after="100" w:line="259" w:lineRule="auto"/>
      </w:pPr>
      <w:r>
        <w:t>The following conditions override normal schedule pressure. The affected activity must stop until the boundary, safety control or authorisation issue is resolved.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326"/>
            <w:vAlign w:val="center"/>
            <w:shd w:fill="C00000"/>
          </w:tcPr>
          <w:p>
            <w:r/>
            <w:r>
              <w:rPr>
                <w:rFonts w:ascii="Arial" w:hAnsi="Arial"/>
                <w:b/>
                <w:color w:val="FFFFFF"/>
                <w:sz w:val="17"/>
              </w:rPr>
              <w:t>Stop Condition</w:t>
            </w:r>
          </w:p>
        </w:tc>
        <w:tc>
          <w:tcPr>
            <w:tcW w:type="dxa" w:w="3326"/>
            <w:vAlign w:val="center"/>
            <w:shd w:fill="C00000"/>
          </w:tcPr>
          <w:p>
            <w:r/>
            <w:r>
              <w:rPr>
                <w:rFonts w:ascii="Arial" w:hAnsi="Arial"/>
                <w:b/>
                <w:color w:val="FFFFFF"/>
                <w:sz w:val="17"/>
              </w:rPr>
              <w:t>Example Trigger</w:t>
            </w:r>
          </w:p>
        </w:tc>
        <w:tc>
          <w:tcPr>
            <w:tcW w:type="dxa" w:w="3326"/>
            <w:vAlign w:val="center"/>
            <w:shd w:fill="C00000"/>
          </w:tcPr>
          <w:p>
            <w:r/>
            <w:r>
              <w:rPr>
                <w:rFonts w:ascii="Arial" w:hAnsi="Arial"/>
                <w:b/>
                <w:color w:val="FFFFFF"/>
                <w:sz w:val="17"/>
              </w:rPr>
              <w:t>Required Action</w:t>
            </w:r>
          </w:p>
        </w:tc>
      </w:tr>
      <w:tr>
        <w:tc>
          <w:tcPr>
            <w:tcW w:type="dxa" w:w="3326"/>
            <w:vAlign w:val="center"/>
            <w:shd w:fill="FCE4D6"/>
          </w:tcPr>
          <w:p>
            <w:r/>
            <w:r>
              <w:rPr>
                <w:rFonts w:ascii="Arial" w:hAnsi="Arial"/>
                <w:b/>
                <w:color w:val="000000"/>
                <w:sz w:val="16"/>
              </w:rPr>
              <w:t>Authorisation uncertainty</w:t>
            </w:r>
          </w:p>
        </w:tc>
        <w:tc>
          <w:tcPr>
            <w:tcW w:type="dxa" w:w="3326"/>
            <w:vAlign w:val="center"/>
          </w:tcPr>
          <w:p>
            <w:r/>
            <w:r>
              <w:rPr>
                <w:rFonts w:ascii="Arial" w:hAnsi="Arial"/>
                <w:b w:val="0"/>
                <w:color w:val="000000"/>
                <w:sz w:val="16"/>
              </w:rPr>
              <w:t>A target, route, interface or system may be outside the approved environment.</w:t>
            </w:r>
          </w:p>
        </w:tc>
        <w:tc>
          <w:tcPr>
            <w:tcW w:type="dxa" w:w="3326"/>
            <w:vAlign w:val="center"/>
          </w:tcPr>
          <w:p>
            <w:r/>
            <w:r>
              <w:rPr>
                <w:rFonts w:ascii="Arial" w:hAnsi="Arial"/>
                <w:b w:val="0"/>
                <w:color w:val="000000"/>
                <w:sz w:val="16"/>
              </w:rPr>
              <w:t>Stop affected activity; isolate environment; verify authorisation and configuration; record decision before restart.</w:t>
            </w:r>
          </w:p>
        </w:tc>
      </w:tr>
      <w:tr>
        <w:tc>
          <w:tcPr>
            <w:tcW w:type="dxa" w:w="3326"/>
            <w:vAlign w:val="center"/>
            <w:shd w:fill="FCE4D6"/>
          </w:tcPr>
          <w:p>
            <w:r/>
            <w:r>
              <w:rPr>
                <w:rFonts w:ascii="Arial" w:hAnsi="Arial"/>
                <w:b/>
                <w:color w:val="000000"/>
                <w:sz w:val="16"/>
              </w:rPr>
              <w:t>Sensitive information exposure</w:t>
            </w:r>
          </w:p>
        </w:tc>
        <w:tc>
          <w:tcPr>
            <w:tcW w:type="dxa" w:w="3326"/>
            <w:vAlign w:val="center"/>
          </w:tcPr>
          <w:p>
            <w:r/>
            <w:r>
              <w:rPr>
                <w:rFonts w:ascii="Arial" w:hAnsi="Arial"/>
                <w:b w:val="0"/>
                <w:color w:val="000000"/>
                <w:sz w:val="16"/>
              </w:rPr>
              <w:t>Credentials, keys, personal data or restricted artefacts are discovered in outputs or repository staging.</w:t>
            </w:r>
          </w:p>
        </w:tc>
        <w:tc>
          <w:tcPr>
            <w:tcW w:type="dxa" w:w="3326"/>
            <w:vAlign w:val="center"/>
          </w:tcPr>
          <w:p>
            <w:r/>
            <w:r>
              <w:rPr>
                <w:rFonts w:ascii="Arial" w:hAnsi="Arial"/>
                <w:b w:val="0"/>
                <w:color w:val="000000"/>
                <w:sz w:val="16"/>
              </w:rPr>
              <w:t>Do not push/publish; remove from staging; rotate/revoke exposed secrets if necessary; review history and controls.</w:t>
            </w:r>
          </w:p>
        </w:tc>
      </w:tr>
      <w:tr>
        <w:tc>
          <w:tcPr>
            <w:tcW w:type="dxa" w:w="3326"/>
            <w:vAlign w:val="center"/>
            <w:shd w:fill="FCE4D6"/>
          </w:tcPr>
          <w:p>
            <w:r/>
            <w:r>
              <w:rPr>
                <w:rFonts w:ascii="Arial" w:hAnsi="Arial"/>
                <w:b/>
                <w:color w:val="000000"/>
                <w:sz w:val="16"/>
              </w:rPr>
              <w:t>Uncontrolled containment</w:t>
            </w:r>
          </w:p>
        </w:tc>
        <w:tc>
          <w:tcPr>
            <w:tcW w:type="dxa" w:w="3326"/>
            <w:vAlign w:val="center"/>
          </w:tcPr>
          <w:p>
            <w:r/>
            <w:r>
              <w:rPr>
                <w:rFonts w:ascii="Arial" w:hAnsi="Arial"/>
                <w:b w:val="0"/>
                <w:color w:val="000000"/>
                <w:sz w:val="16"/>
              </w:rPr>
              <w:t>A response action cannot be reliably time-limited, monitored or rolled back.</w:t>
            </w:r>
          </w:p>
        </w:tc>
        <w:tc>
          <w:tcPr>
            <w:tcW w:type="dxa" w:w="3326"/>
            <w:vAlign w:val="center"/>
          </w:tcPr>
          <w:p>
            <w:r/>
            <w:r>
              <w:rPr>
                <w:rFonts w:ascii="Arial" w:hAnsi="Arial"/>
                <w:b w:val="0"/>
                <w:color w:val="000000"/>
                <w:sz w:val="16"/>
              </w:rPr>
              <w:t>Disable containment path; restore safe state; fix and retest rollback before proceeding.</w:t>
            </w:r>
          </w:p>
        </w:tc>
      </w:tr>
      <w:tr>
        <w:tc>
          <w:tcPr>
            <w:tcW w:type="dxa" w:w="3326"/>
            <w:vAlign w:val="center"/>
            <w:shd w:fill="FCE4D6"/>
          </w:tcPr>
          <w:p>
            <w:r/>
            <w:r>
              <w:rPr>
                <w:rFonts w:ascii="Arial" w:hAnsi="Arial"/>
                <w:b/>
                <w:color w:val="000000"/>
                <w:sz w:val="16"/>
              </w:rPr>
              <w:t>Unexpected external effect</w:t>
            </w:r>
          </w:p>
        </w:tc>
        <w:tc>
          <w:tcPr>
            <w:tcW w:type="dxa" w:w="3326"/>
            <w:vAlign w:val="center"/>
          </w:tcPr>
          <w:p>
            <w:r/>
            <w:r>
              <w:rPr>
                <w:rFonts w:ascii="Arial" w:hAnsi="Arial"/>
                <w:b w:val="0"/>
                <w:color w:val="000000"/>
                <w:sz w:val="16"/>
              </w:rPr>
              <w:t>An experiment affects a non-lab service or unrelated system.</w:t>
            </w:r>
          </w:p>
        </w:tc>
        <w:tc>
          <w:tcPr>
            <w:tcW w:type="dxa" w:w="3326"/>
            <w:vAlign w:val="center"/>
          </w:tcPr>
          <w:p>
            <w:r/>
            <w:r>
              <w:rPr>
                <w:rFonts w:ascii="Arial" w:hAnsi="Arial"/>
                <w:b w:val="0"/>
                <w:color w:val="000000"/>
                <w:sz w:val="16"/>
              </w:rPr>
              <w:t>Terminate test; preserve logs; notify supervisor as appropriate; review boundary and ethics position.</w:t>
            </w:r>
          </w:p>
        </w:tc>
      </w:tr>
      <w:tr>
        <w:tc>
          <w:tcPr>
            <w:tcW w:type="dxa" w:w="3326"/>
            <w:vAlign w:val="center"/>
            <w:shd w:fill="FCE4D6"/>
          </w:tcPr>
          <w:p>
            <w:r/>
            <w:r>
              <w:rPr>
                <w:rFonts w:ascii="Arial" w:hAnsi="Arial"/>
                <w:b/>
                <w:color w:val="000000"/>
                <w:sz w:val="16"/>
              </w:rPr>
              <w:t>Material scope change</w:t>
            </w:r>
          </w:p>
        </w:tc>
        <w:tc>
          <w:tcPr>
            <w:tcW w:type="dxa" w:w="3326"/>
            <w:vAlign w:val="center"/>
          </w:tcPr>
          <w:p>
            <w:r/>
            <w:r>
              <w:rPr>
                <w:rFonts w:ascii="Arial" w:hAnsi="Arial"/>
                <w:b w:val="0"/>
                <w:color w:val="000000"/>
                <w:sz w:val="16"/>
              </w:rPr>
              <w:t>Live users, new sensitive data, external organisations or autonomous disruptive response become necessary.</w:t>
            </w:r>
          </w:p>
        </w:tc>
        <w:tc>
          <w:tcPr>
            <w:tcW w:type="dxa" w:w="3326"/>
            <w:vAlign w:val="center"/>
          </w:tcPr>
          <w:p>
            <w:r/>
            <w:r>
              <w:rPr>
                <w:rFonts w:ascii="Arial" w:hAnsi="Arial"/>
                <w:b w:val="0"/>
                <w:color w:val="000000"/>
                <w:sz w:val="16"/>
              </w:rPr>
              <w:t>Pause the new activity and obtain supervisor/ethics review before implementation.</w:t>
            </w:r>
          </w:p>
        </w:tc>
      </w:tr>
    </w:tbl>
    <w:p>
      <w:pPr>
        <w:pStyle w:val="Heading1"/>
        <w:keepNext/>
      </w:pPr>
      <w:r>
        <w:t>10. Data, Repository and Evidence Governance</w:t>
      </w:r>
    </w:p>
    <w:p>
      <w:pPr>
        <w:pStyle w:val="ListBullet"/>
        <w:spacing w:after="40"/>
      </w:pPr>
      <w:r>
        <w:t>Data provenance: record the official source, version/date, licence/terms, file inventory and any known limitations before modelling.</w:t>
      </w:r>
    </w:p>
    <w:p>
      <w:pPr>
        <w:pStyle w:val="ListBullet"/>
        <w:spacing w:after="40"/>
      </w:pPr>
      <w:r>
        <w:t>Redistribution: do not upload third-party datasets merely because the repository is public; prefer official links and a local data inventory README.</w:t>
      </w:r>
    </w:p>
    <w:p>
      <w:pPr>
        <w:pStyle w:val="ListBullet"/>
        <w:spacing w:after="40"/>
      </w:pPr>
      <w:r>
        <w:t>Secrets: .env files, keys, tokens, credentials and private configuration remain outside version control; if a secret is exposed, revoke/rotate it rather than relying only on deletion.</w:t>
      </w:r>
    </w:p>
    <w:p>
      <w:pPr>
        <w:pStyle w:val="ListBullet"/>
        <w:spacing w:after="40"/>
      </w:pPr>
      <w:r>
        <w:t>Experiment evidence: link important results to an experiment ID, code/configuration version and Git commit/tag.</w:t>
      </w:r>
    </w:p>
    <w:p>
      <w:pPr>
        <w:pStyle w:val="ListBullet"/>
        <w:spacing w:after="40"/>
      </w:pPr>
      <w:r>
        <w:t>Generated artefacts: large models, logs and processed data follow the repository .gitignore and are stored or referenced in a way that preserves reproducibility without unnecessary publication.</w:t>
      </w:r>
    </w:p>
    <w:p>
      <w:pPr>
        <w:pStyle w:val="ListBullet"/>
        <w:spacing w:after="40"/>
      </w:pPr>
      <w:r>
        <w:t>Claims: dashboard labels, reports and README text must distinguish deterministic rule evidence, supervised confidence and novelty/anomaly evidence.</w:t>
      </w:r>
    </w:p>
    <w:p>
      <w:pPr>
        <w:pStyle w:val="Heading1"/>
        <w:keepNext/>
      </w:pPr>
      <w:r>
        <w:t>11. Risk Review and Maintenance</w:t>
      </w:r>
    </w:p>
    <w:p>
      <w:pPr>
        <w:spacing w:after="100" w:line="259" w:lineRule="auto"/>
      </w:pPr>
      <w:r>
        <w:t>The register should be reviewed at least at major FYP milestones, before containment testing, after significant architecture/dataset changes and whenever a trigger condition is observed. Probability, impact, treatment evidence, residual score and status should be updated when new evidence becomes available.</w:t>
      </w:r>
    </w:p>
    <w:p>
      <w:pPr>
        <w:pStyle w:val="Heading2"/>
        <w:keepNext/>
      </w:pPr>
      <w:r>
        <w:t>11.1 Status Definitions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c>
          <w:tcPr>
            <w:tcW w:type="dxa" w:w="4989"/>
            <w:vAlign w:val="center"/>
            <w:shd w:fill="1F4E78"/>
          </w:tcPr>
          <w:p>
            <w:r/>
            <w:r>
              <w:rPr>
                <w:rFonts w:ascii="Arial" w:hAnsi="Arial"/>
                <w:b/>
                <w:color w:val="FFFFFF"/>
                <w:sz w:val="17"/>
              </w:rPr>
              <w:t>Status</w:t>
            </w:r>
          </w:p>
        </w:tc>
        <w:tc>
          <w:tcPr>
            <w:tcW w:type="dxa" w:w="4989"/>
            <w:vAlign w:val="center"/>
            <w:shd w:fill="1F4E78"/>
          </w:tcPr>
          <w:p>
            <w:r/>
            <w:r>
              <w:rPr>
                <w:rFonts w:ascii="Arial" w:hAnsi="Arial"/>
                <w:b/>
                <w:color w:val="FFFFFF"/>
                <w:sz w:val="17"/>
              </w:rPr>
              <w:t>Meaning</w:t>
            </w:r>
          </w:p>
        </w:tc>
      </w:tr>
      <w:tr>
        <w:tc>
          <w:tcPr>
            <w:tcW w:type="dxa" w:w="4989"/>
            <w:vAlign w:val="center"/>
          </w:tcPr>
          <w:p>
            <w:r/>
            <w:r>
              <w:rPr>
                <w:rFonts w:ascii="Arial" w:hAnsi="Arial"/>
                <w:b/>
                <w:color w:val="000000"/>
                <w:sz w:val="16"/>
              </w:rPr>
              <w:t>Open</w:t>
            </w:r>
          </w:p>
        </w:tc>
        <w:tc>
          <w:tcPr>
            <w:tcW w:type="dxa" w:w="4989"/>
            <w:vAlign w:val="center"/>
          </w:tcPr>
          <w:p>
            <w:r/>
            <w:r>
              <w:rPr>
                <w:rFonts w:ascii="Arial" w:hAnsi="Arial"/>
                <w:b w:val="0"/>
                <w:color w:val="000000"/>
                <w:sz w:val="16"/>
              </w:rPr>
              <w:t>Risk identified; treatment not yet demonstrated.</w:t>
            </w:r>
          </w:p>
        </w:tc>
      </w:tr>
      <w:tr>
        <w:tc>
          <w:tcPr>
            <w:tcW w:type="dxa" w:w="4989"/>
            <w:vAlign w:val="center"/>
          </w:tcPr>
          <w:p>
            <w:r/>
            <w:r>
              <w:rPr>
                <w:rFonts w:ascii="Arial" w:hAnsi="Arial"/>
                <w:b/>
                <w:color w:val="000000"/>
                <w:sz w:val="16"/>
              </w:rPr>
              <w:t>Monitoring</w:t>
            </w:r>
          </w:p>
        </w:tc>
        <w:tc>
          <w:tcPr>
            <w:tcW w:type="dxa" w:w="4989"/>
            <w:vAlign w:val="center"/>
          </w:tcPr>
          <w:p>
            <w:r/>
            <w:r>
              <w:rPr>
                <w:rFonts w:ascii="Arial" w:hAnsi="Arial"/>
                <w:b w:val="0"/>
                <w:color w:val="000000"/>
                <w:sz w:val="16"/>
              </w:rPr>
              <w:t>Controls are active but evidence is still being collected.</w:t>
            </w:r>
          </w:p>
        </w:tc>
      </w:tr>
      <w:tr>
        <w:tc>
          <w:tcPr>
            <w:tcW w:type="dxa" w:w="4989"/>
            <w:vAlign w:val="center"/>
          </w:tcPr>
          <w:p>
            <w:r/>
            <w:r>
              <w:rPr>
                <w:rFonts w:ascii="Arial" w:hAnsi="Arial"/>
                <w:b/>
                <w:color w:val="000000"/>
                <w:sz w:val="16"/>
              </w:rPr>
              <w:t>Mitigated</w:t>
            </w:r>
          </w:p>
        </w:tc>
        <w:tc>
          <w:tcPr>
            <w:tcW w:type="dxa" w:w="4989"/>
            <w:vAlign w:val="center"/>
          </w:tcPr>
          <w:p>
            <w:r/>
            <w:r>
              <w:rPr>
                <w:rFonts w:ascii="Arial" w:hAnsi="Arial"/>
                <w:b w:val="0"/>
                <w:color w:val="000000"/>
                <w:sz w:val="16"/>
              </w:rPr>
              <w:t>Planned treatment is implemented and residual risk is accepted for the current scope.</w:t>
            </w:r>
          </w:p>
        </w:tc>
      </w:tr>
      <w:tr>
        <w:tc>
          <w:tcPr>
            <w:tcW w:type="dxa" w:w="4989"/>
            <w:vAlign w:val="center"/>
          </w:tcPr>
          <w:p>
            <w:r/>
            <w:r>
              <w:rPr>
                <w:rFonts w:ascii="Arial" w:hAnsi="Arial"/>
                <w:b/>
                <w:color w:val="000000"/>
                <w:sz w:val="16"/>
              </w:rPr>
              <w:t>Closed</w:t>
            </w:r>
          </w:p>
        </w:tc>
        <w:tc>
          <w:tcPr>
            <w:tcW w:type="dxa" w:w="4989"/>
            <w:vAlign w:val="center"/>
          </w:tcPr>
          <w:p>
            <w:r/>
            <w:r>
              <w:rPr>
                <w:rFonts w:ascii="Arial" w:hAnsi="Arial"/>
                <w:b w:val="0"/>
                <w:color w:val="000000"/>
                <w:sz w:val="16"/>
              </w:rPr>
              <w:t>Risk is no longer applicable or has been resolved with retained evidence.</w:t>
            </w:r>
          </w:p>
        </w:tc>
      </w:tr>
      <w:tr>
        <w:tc>
          <w:tcPr>
            <w:tcW w:type="dxa" w:w="4989"/>
            <w:vAlign w:val="center"/>
          </w:tcPr>
          <w:p>
            <w:r/>
            <w:r>
              <w:rPr>
                <w:rFonts w:ascii="Arial" w:hAnsi="Arial"/>
                <w:b/>
                <w:color w:val="000000"/>
                <w:sz w:val="16"/>
              </w:rPr>
              <w:t>Escalated</w:t>
            </w:r>
          </w:p>
        </w:tc>
        <w:tc>
          <w:tcPr>
            <w:tcW w:type="dxa" w:w="4989"/>
            <w:vAlign w:val="center"/>
          </w:tcPr>
          <w:p>
            <w:r/>
            <w:r>
              <w:rPr>
                <w:rFonts w:ascii="Arial" w:hAnsi="Arial"/>
                <w:b w:val="0"/>
                <w:color w:val="000000"/>
                <w:sz w:val="16"/>
              </w:rPr>
              <w:t>Risk requires supervisor/ethics/design decision before the affected activity continues.</w:t>
            </w:r>
          </w:p>
        </w:tc>
      </w:tr>
    </w:tbl>
    <w:p>
      <w:pPr>
        <w:pStyle w:val="Heading1"/>
        <w:keepNext/>
      </w:pPr>
      <w:r>
        <w:t>12. Completion Evidence for WBS Task</w:t>
      </w:r>
    </w:p>
    <w:p>
      <w:pPr>
        <w:spacing w:after="100" w:line="259" w:lineRule="auto"/>
      </w:pPr>
      <w:r>
        <w:t>The WBS task "Prepare risk register and ethics / safety assumptions" can be marked DONE when the baseline artefact is retained in the project repository and the following evidence exists:</w:t>
      </w:r>
    </w:p>
    <w:p>
      <w:pPr>
        <w:pStyle w:val="ListBullet"/>
        <w:spacing w:after="40"/>
      </w:pPr>
      <w:r>
        <w:t>The risk methodology, scoring thresholds and 5 x 5 matrix are documented.</w:t>
      </w:r>
    </w:p>
    <w:p>
      <w:pPr>
        <w:pStyle w:val="ListBullet"/>
        <w:spacing w:after="40"/>
      </w:pPr>
      <w:r>
        <w:t>The detailed risk register contains inherent and residual ratings, planned controls, owners, triggers and status.</w:t>
      </w:r>
    </w:p>
    <w:p>
      <w:pPr>
        <w:pStyle w:val="ListBullet"/>
        <w:spacing w:after="40"/>
      </w:pPr>
      <w:r>
        <w:t>Ethics and safety assumptions explicitly restrict practical work to authorised environments and define scope-change review.</w:t>
      </w:r>
    </w:p>
    <w:p>
      <w:pPr>
        <w:pStyle w:val="ListBullet"/>
        <w:spacing w:after="40"/>
      </w:pPr>
      <w:r>
        <w:t>Human-approved, temporary and reversible response safeguards are documented.</w:t>
      </w:r>
    </w:p>
    <w:p>
      <w:pPr>
        <w:pStyle w:val="ListBullet"/>
        <w:spacing w:after="40"/>
      </w:pPr>
      <w:r>
        <w:t>Data, public-repository, licence, privacy and secret-handling controls are documented.</w:t>
      </w:r>
    </w:p>
    <w:p>
      <w:pPr>
        <w:pStyle w:val="ListBullet"/>
        <w:spacing w:after="40"/>
      </w:pPr>
      <w:r>
        <w:t>Experiment safety gates, pre-experiment checks and stop-work/escalation rules are defined.</w:t>
      </w:r>
    </w:p>
    <w:p>
      <w:pPr>
        <w:pStyle w:val="ListBullet"/>
        <w:spacing w:after="40"/>
      </w:pPr>
      <w:r>
        <w:t>The document is version-controlled and can be updated as project evidence changes.</w:t>
      </w:r>
    </w:p>
    <w:p>
      <w:pPr>
        <w:pStyle w:val="Heading1"/>
        <w:keepNext/>
      </w:pPr>
      <w:r>
        <w:t>13. Related Project Documents</w:t>
      </w:r>
    </w:p>
    <w:p>
      <w:pPr>
        <w:pStyle w:val="ListBullet"/>
        <w:spacing w:after="40"/>
      </w:pPr>
      <w:r>
        <w:t>01_System_Boundary_and_Assumptions_ZeroShield_AI.docx - protected assets, project boundary and operating assumptions.</w:t>
      </w:r>
    </w:p>
    <w:p>
      <w:pPr>
        <w:pStyle w:val="ListBullet"/>
        <w:spacing w:after="40"/>
      </w:pPr>
      <w:r>
        <w:t>02_Initial_Threat_Model_Assets_and_Trust_Boundaries_ZeroShield_AI.docx - initial threats, attack surface and trust boundaries.</w:t>
      </w:r>
    </w:p>
    <w:p>
      <w:pPr>
        <w:pStyle w:val="ListBullet"/>
        <w:spacing w:after="40"/>
      </w:pPr>
      <w:r>
        <w:t>ZeroShield_Initial_Threat_Model.drawio / PNG / PDF - visual trust-boundary and threat model.</w:t>
      </w:r>
    </w:p>
    <w:p>
      <w:pPr>
        <w:pStyle w:val="ListBullet"/>
        <w:spacing w:after="40"/>
      </w:pPr>
      <w:r>
        <w:t>ZeroShield_AI_Decision_Log_and_Experiment_Registry.xlsx - traceable project decisions and experiment records.</w:t>
      </w:r>
    </w:p>
    <w:p>
      <w:pPr>
        <w:pStyle w:val="ListBullet"/>
        <w:spacing w:after="40"/>
      </w:pPr>
      <w:r>
        <w:t>ZeroShield_AI_FYP_Planner.xlsx - WBS, milestones, project schedule and backlog.</w:t>
      </w:r>
    </w:p>
    <w:p>
      <w:pPr>
        <w:pStyle w:val="Heading1"/>
        <w:keepNext/>
      </w:pPr>
      <w:r>
        <w:t>14. Summary</w:t>
      </w:r>
    </w:p>
    <w:p>
      <w:pPr>
        <w:spacing w:after="100" w:line="259" w:lineRule="auto"/>
      </w:pPr>
      <w:r>
        <w:t>ZeroShield AI contains meaningful research and operational risks because it combines open-world intrusion-detection evaluation with heterogeneous detector evidence and response capability. This document establishes a controlled approach: risks are assessed before and after treatment; critical validity and safety issues are prioritised; experimentation remains inside authorised environments; public-repository and data-governance controls are explicit; and disruptive containment remains human-approved, time-limited, logged and reversible. The risk register should now be maintained as a living evidence source alongside the decision log and experiment registry.</w:t>
      </w:r>
    </w:p>
    <w:sectPr w:rsidR="00FC693F" w:rsidRPr="0006063C" w:rsidSect="00034616">
      <w:headerReference w:type="default" r:id="rId15"/>
      <w:footerReference w:type="default" r:id="rId16"/>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ZeroShield AI | Risk Register &amp; Ethics / Safety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ZeroShield AI | Risk Register &amp; Ethics / Safety |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ZeroShield AI | Risk Register &amp; Ethics / Safety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ZeroShield AI | Risk Register &amp; Ethics / Safety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ZeroShield AI | Risk Register &amp; Ethics / Safety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ZeroShield AI | Risk Register &amp; Ethics /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5482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ZeroShield AI - Advanced Risk Register and Ethics / Safety Assumptions</dc:title>
  <dc:subject>6CS007 Project and Professionalism - project risk, ethics and safety governance</dc:subject>
  <dc:creator>python-docx</dc:creator>
  <cp:keywords>ZeroShield AI, risk register, ethics, safety, cybersecurity, FYP</cp:keywords>
  <dc:description>Controlled project-governance document; update as risks and evidence change.</dc:description>
  <cp:lastModifiedBy/>
  <cp:revision>1</cp:revision>
  <dcterms:created xsi:type="dcterms:W3CDTF">2013-12-23T23:15:00Z</dcterms:created>
  <dcterms:modified xsi:type="dcterms:W3CDTF">2013-12-23T23:15:00Z</dcterms:modified>
  <cp:category/>
</cp:coreProperties>
</file>