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1000434</wp:posOffset>
            </wp:positionH>
            <wp:positionV relativeFrom="margin">
              <wp:posOffset>513308</wp:posOffset>
            </wp:positionV>
            <wp:extent cx="2176780" cy="68072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76780" cy="680720"/>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3316604</wp:posOffset>
            </wp:positionH>
            <wp:positionV relativeFrom="margin">
              <wp:posOffset>470446</wp:posOffset>
            </wp:positionV>
            <wp:extent cx="1826260" cy="75819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6260" cy="758190"/>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42803" cy="3340631"/>
                <wp:effectExtent b="0" l="0" r="0" t="0"/>
                <wp:wrapNone/>
                <wp:docPr id="1" name=""/>
                <a:graphic>
                  <a:graphicData uri="http://schemas.microsoft.com/office/word/2010/wordprocessingShape">
                    <wps:wsp>
                      <wps:cNvSpPr/>
                      <wps:cNvPr id="2" name="Shape 2"/>
                      <wps:spPr>
                        <a:xfrm>
                          <a:off x="2734125" y="2447348"/>
                          <a:ext cx="5257500" cy="3342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Project and Professionalism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(6CS007)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Project</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ZeroShield AI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56"/>
                                <w:vertAlign w:val="baseline"/>
                              </w:rPr>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Document: Initial Threat Model, Assets and Trust Boundaries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Status:</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Initial Design Document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56"/>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Date:</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30-08-2026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42803" cy="3340631"/>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242803" cy="3340631"/>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94355" cy="2554218"/>
                <wp:effectExtent b="0" l="0" r="0" t="0"/>
                <wp:wrapNone/>
                <wp:docPr id="2" name=""/>
                <a:graphic>
                  <a:graphicData uri="http://schemas.microsoft.com/office/word/2010/wordprocessingShape">
                    <wps:wsp>
                      <wps:cNvSpPr/>
                      <wps:cNvPr id="3" name="Shape 3"/>
                      <wps:spPr>
                        <a:xfrm>
                          <a:off x="2658348" y="2525132"/>
                          <a:ext cx="5375305" cy="25097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Student Id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2548423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Student Name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Mayaman Ram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Group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L6SG4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Supervisor		: [Supervisor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Reader			: [Reader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Cohort			: [Cohort_Number]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Submitted on		: &lt;dd-mm-yy&gt;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94355" cy="2554218"/>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394355" cy="2554218"/>
                        </a:xfrm>
                        <a:prstGeom prst="rect"/>
                        <a:ln/>
                      </pic:spPr>
                    </pic:pic>
                  </a:graphicData>
                </a:graphic>
              </wp:anchor>
            </w:drawing>
          </mc:Fallback>
        </mc:AlternateContent>
      </w:r>
    </w:p>
    <w:p>
      <w:pPr>
        <w:pStyle w:val="Heading1"/>
        <w:pageBreakBefore/>
      </w:pPr>
      <w:r>
        <w:t>1. Introduction</w:t>
      </w:r>
    </w:p>
    <w:p>
      <w:pPr>
        <w:jc w:val="both"/>
      </w:pPr>
      <w:r>
        <w:t>ZeroShield AI is a lightweight, explainable hybrid intrusion-detection research prototype that combines signature-based detection, supervised known-threat classification and novelty detection. Its response design preserves detector provenance and uncertainty before any potentially disruptive containment action is considered.</w:t>
      </w:r>
    </w:p>
    <w:p>
      <w:pPr>
        <w:jc w:val="both"/>
      </w:pPr>
      <w:r>
        <w:t>The purpose of this document is to prepare the initial threat model for ZeroShield AI by identifying protected assets, threat sources, attack surfaces, trust boundaries, STRIDE threat categories and planned security controls. It extends the previously defined system-boundary document and provides a security-design baseline for later data-flow diagrams, detailed architecture, implementation and testing.</w:t>
      </w:r>
    </w:p>
    <w:p>
      <w:pPr>
        <w:pStyle w:val="Heading1"/>
      </w:pPr>
      <w:r>
        <w:t>2. Threat-Modelling Scope and Approach</w:t>
      </w:r>
    </w:p>
    <w:p>
      <w:pPr>
        <w:jc w:val="both"/>
      </w:pPr>
      <w:r>
        <w:t>The initial threat model focuses on the ZeroShield research prototype and the controlled laboratory environment in which it will be developed and evaluated. It does not model unauthorised testing of real organisations, public systems or production networks. The purpose is defensive: to identify where the prototype could fail, be misused, receive untrustworthy data or make unsafe response decisions.</w:t>
      </w:r>
    </w:p>
    <w:p>
      <w:pPr>
        <w:jc w:val="both"/>
      </w:pPr>
      <w:r>
        <w:t>STRIDE is used as the primary threat-classification framework because it provides a structured way to consider spoofing, tampering, repudiation, information disclosure, denial of service and elevation of privilege. The analysis is complemented by explicit treatment of machine-learning and research-validity risks such as dataset leakage, label errors, false positives, model/configuration tampering and detector disagreement.</w:t>
      </w:r>
    </w:p>
    <w:p>
      <w:pPr>
        <w:pStyle w:val="Heading1"/>
      </w:pPr>
      <w:r>
        <w:t>3. Protected Assets</w:t>
      </w:r>
    </w:p>
    <w:p>
      <w:pPr>
        <w:jc w:val="both"/>
      </w:pPr>
      <w:r>
        <w:t>The protected assets below are carried forward from the ZeroShield system-boundary definition and refined for threat modelling. These assets represent the data, services, models and decision records whose compromise could affect security, reproducibility or research validity.</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cantSplit/>
        </w:trPr>
        <w:tc>
          <w:tcPr>
            <w:tcW w:type="dxa" w:w="237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Asset</w:t>
            </w:r>
          </w:p>
        </w:tc>
        <w:tc>
          <w:tcPr>
            <w:tcW w:type="dxa" w:w="5400"/>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Description</w:t>
            </w:r>
          </w:p>
        </w:tc>
        <w:tc>
          <w:tcPr>
            <w:tcW w:type="dxa" w:w="2232"/>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Primary Security Objective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Monitored network services</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Systems and services represented by the research dataset or controlled laboratory environment.</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Availability / Integrity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Network telemetry</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Flow records, packet-derived data and security telemetry entering the detection pipeline.</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Traceability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Suricata alerts</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Rule-based evidence generated for known malicious patterns.</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Auditability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XGBoost predictions</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Known-class predictions and associated model confidence.</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Explainability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Isolation Forest evidence</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Anomaly score, threshold and feature-deviation evidence used for novelty decisions.</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Explainability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Detection models and configuration</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Trained models, rulesets, preprocessing logic, feature schema and thresholds.</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Reproducibility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Evidence-correlation policy</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Logic that preserves and combines detector outputs without erasing provenance.</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Traceability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Incident and audit records</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Evidence, uncertainty, analyst decision, containment, timeout and rollback records.</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Integrity / Accountability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Analyst approval authority</w:t>
            </w:r>
          </w:p>
        </w:tc>
        <w:tc>
          <w:tcPr>
            <w:tcW w:type="dxa" w:w="5400"/>
            <w:tcMar>
              <w:top w:w="80" w:type="dxa"/>
              <w:start w:w="80" w:type="dxa"/>
              <w:bottom w:w="80" w:type="dxa"/>
              <w:end w:w="80" w:type="dxa"/>
            </w:tcMar>
            <w:vAlign w:val="center"/>
          </w:tcPr>
          <w:p>
            <w:pPr>
              <w:spacing w:after="0" w:line="240" w:lineRule="auto"/>
            </w:pPr>
            <w:r>
              <w:rPr>
                <w:rFonts w:ascii="Times New Roman" w:hAnsi="Times New Roman"/>
                <w:sz w:val="19"/>
              </w:rPr>
              <w:t>The ability to approve or reject a potentially disruptive temporary response.</w:t>
            </w:r>
          </w:p>
        </w:tc>
        <w:tc>
          <w:tcPr>
            <w:tcW w:type="dxa" w:w="2232"/>
            <w:tcMar>
              <w:top w:w="80" w:type="dxa"/>
              <w:start w:w="80" w:type="dxa"/>
              <w:bottom w:w="80" w:type="dxa"/>
              <w:end w:w="80" w:type="dxa"/>
            </w:tcMar>
            <w:vAlign w:val="center"/>
          </w:tcPr>
          <w:p>
            <w:pPr>
              <w:spacing w:after="0" w:line="240" w:lineRule="auto"/>
            </w:pPr>
            <w:r>
              <w:rPr>
                <w:rFonts w:ascii="Times New Roman" w:hAnsi="Times New Roman"/>
                <w:sz w:val="19"/>
              </w:rPr>
              <w:t>Authorisation / Accountability</w:t>
            </w:r>
          </w:p>
        </w:tc>
      </w:tr>
    </w:tbl>
    <w:p>
      <w:pPr>
        <w:pStyle w:val="Heading1"/>
      </w:pPr>
      <w:r>
        <w:t>4. Threat Sources and Security Assumptions</w:t>
      </w:r>
    </w:p>
    <w:p>
      <w:pPr>
        <w:jc w:val="both"/>
      </w:pPr>
      <w:r>
        <w:t>The threat model considers both deliberate malicious activity and non-malicious conditions that could still undermine the prototype. In a research IDS, incorrect data, model behaviour or operator actions can be as important as conventional software threats because they can produce misleading results or unsafe containment recommendations.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cantSplit/>
        </w:trPr>
        <w:tc>
          <w:tcPr>
            <w:tcW w:type="dxa" w:w="237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Threat Source</w:t>
            </w:r>
          </w:p>
        </w:tc>
        <w:tc>
          <w:tcPr>
            <w:tcW w:type="dxa" w:w="561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Description</w:t>
            </w:r>
          </w:p>
        </w:tc>
        <w:tc>
          <w:tcPr>
            <w:tcW w:type="dxa" w:w="201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Relevant Area</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Malicious network activity</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Known or previously unseen hostile traffic represented within approved datasets or controlled lab traffic.</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Detection pipeline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Compromised laboratory host</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An authorised lab host may generate malicious or abnormal network behaviour.</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Network / telemetry</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Malformed or untrusted telemetry</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Input may be incomplete, malformed, duplicated or inconsistent.</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Ingestion / parsing</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Dataset quality error</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Incorrect labels, leakage or unrealistic distributions may distort evaluation.</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Research pipeline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Accidental configuration error</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Incorrect rules, thresholds, feature settings or environment configuration may alter results.</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Configuration / models</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Unauthorised configuration change</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A model, ruleset or response configuration could be modified without approval.</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Backend / model artefacts</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Analyst error</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A legitimate user may incorrectly approve, reject or interpret an incident.</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Dashboard / response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False-positive novelty event</w:t>
            </w:r>
          </w:p>
        </w:tc>
        <w:tc>
          <w:tcPr>
            <w:tcW w:type="dxa" w:w="5616"/>
            <w:tcMar>
              <w:top w:w="80" w:type="dxa"/>
              <w:start w:w="80" w:type="dxa"/>
              <w:bottom w:w="80" w:type="dxa"/>
              <w:end w:w="80" w:type="dxa"/>
            </w:tcMar>
            <w:vAlign w:val="center"/>
          </w:tcPr>
          <w:p>
            <w:pPr>
              <w:spacing w:after="0" w:line="240" w:lineRule="auto"/>
            </w:pPr>
            <w:r>
              <w:rPr>
                <w:rFonts w:ascii="Times New Roman" w:hAnsi="Times New Roman"/>
                <w:sz w:val="19"/>
              </w:rPr>
              <w:t>Benign unusual behaviour may be classified as anomalous.</w:t>
            </w:r>
          </w:p>
        </w:tc>
        <w:tc>
          <w:tcPr>
            <w:tcW w:type="dxa" w:w="2016"/>
            <w:tcMar>
              <w:top w:w="80" w:type="dxa"/>
              <w:start w:w="80" w:type="dxa"/>
              <w:bottom w:w="80" w:type="dxa"/>
              <w:end w:w="80" w:type="dxa"/>
            </w:tcMar>
            <w:vAlign w:val="center"/>
          </w:tcPr>
          <w:p>
            <w:pPr>
              <w:spacing w:after="0" w:line="240" w:lineRule="auto"/>
            </w:pPr>
            <w:r>
              <w:rPr>
                <w:rFonts w:ascii="Times New Roman" w:hAnsi="Times New Roman"/>
                <w:sz w:val="19"/>
              </w:rPr>
              <w:t>Novelty / response</w:t>
            </w:r>
          </w:p>
        </w:tc>
      </w:tr>
    </w:tbl>
    <w:p>
      <w:pPr>
        <w:pStyle w:val="Heading1"/>
      </w:pPr>
      <w:r>
        <w:t>5. Trust Boundaries</w:t>
      </w:r>
    </w:p>
    <w:p>
      <w:pPr>
        <w:jc w:val="both"/>
      </w:pPr>
      <w:r>
        <w:t>A trust boundary is a point where data, evidence or control crosses between areas with different trust assumptions. The initial ZeroShield design uses three primary trust boundaries. These boundaries are retained from the system-boundary document and are now connected directly to threat analysis.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cantSplit/>
        </w:trPr>
        <w:tc>
          <w:tcPr>
            <w:tcW w:type="dxa" w:w="2448"/>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Trust Boundary</w:t>
            </w:r>
          </w:p>
        </w:tc>
        <w:tc>
          <w:tcPr>
            <w:tcW w:type="dxa" w:w="453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Crossing</w:t>
            </w:r>
          </w:p>
        </w:tc>
        <w:tc>
          <w:tcPr>
            <w:tcW w:type="dxa" w:w="3024"/>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Primary Concern</w:t>
            </w:r>
          </w:p>
        </w:tc>
      </w:tr>
      <w:tr>
        <w:trPr>
          <w:cantSplit/>
        </w:trPr>
        <w:tc>
          <w:tcPr>
            <w:tcW w:type="dxa" w:w="2448"/>
            <w:tcMar>
              <w:top w:w="80" w:type="dxa"/>
              <w:start w:w="80" w:type="dxa"/>
              <w:bottom w:w="80" w:type="dxa"/>
              <w:end w:w="80" w:type="dxa"/>
            </w:tcMar>
            <w:vAlign w:val="center"/>
          </w:tcPr>
          <w:p>
            <w:pPr>
              <w:spacing w:after="0" w:line="240" w:lineRule="auto"/>
            </w:pPr>
            <w:r>
              <w:rPr>
                <w:rFonts w:ascii="Times New Roman" w:hAnsi="Times New Roman"/>
                <w:sz w:val="19"/>
              </w:rPr>
              <w:t>TB1 – Network and Data Environment</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Research dataset / replayed lab traffic → telemetry ingestion</w:t>
            </w:r>
          </w:p>
        </w:tc>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Untrusted or low-quality input must not be assumed correct.</w:t>
            </w:r>
          </w:p>
        </w:tc>
      </w:tr>
      <w:tr>
        <w:trPr>
          <w:cantSplit/>
        </w:trPr>
        <w:tc>
          <w:tcPr>
            <w:tcW w:type="dxa" w:w="2448"/>
            <w:tcMar>
              <w:top w:w="80" w:type="dxa"/>
              <w:start w:w="80" w:type="dxa"/>
              <w:bottom w:w="80" w:type="dxa"/>
              <w:end w:w="80" w:type="dxa"/>
            </w:tcMar>
            <w:vAlign w:val="center"/>
          </w:tcPr>
          <w:p>
            <w:pPr>
              <w:spacing w:after="0" w:line="240" w:lineRule="auto"/>
            </w:pPr>
            <w:r>
              <w:rPr>
                <w:rFonts w:ascii="Times New Roman" w:hAnsi="Times New Roman"/>
                <w:sz w:val="19"/>
              </w:rPr>
              <w:t>TB2 – Detection and Analysis Environment</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Telemetry ingestion → Suricata / XGBoost / Isolation Forest → evidence correlation</w:t>
            </w:r>
          </w:p>
        </w:tc>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Detector outputs have different semantics and may be wrong, uncertain or conflicting.</w:t>
            </w:r>
          </w:p>
        </w:tc>
      </w:tr>
      <w:tr>
        <w:trPr>
          <w:cantSplit/>
        </w:trPr>
        <w:tc>
          <w:tcPr>
            <w:tcW w:type="dxa" w:w="2448"/>
            <w:tcMar>
              <w:top w:w="80" w:type="dxa"/>
              <w:start w:w="80" w:type="dxa"/>
              <w:bottom w:w="80" w:type="dxa"/>
              <w:end w:w="80" w:type="dxa"/>
            </w:tcMar>
            <w:vAlign w:val="center"/>
          </w:tcPr>
          <w:p>
            <w:pPr>
              <w:spacing w:after="0" w:line="240" w:lineRule="auto"/>
            </w:pPr>
            <w:r>
              <w:rPr>
                <w:rFonts w:ascii="Times New Roman" w:hAnsi="Times New Roman"/>
                <w:sz w:val="19"/>
              </w:rPr>
              <w:t>TB3 – Analyst and Response Environment</w:t>
            </w:r>
          </w:p>
        </w:tc>
        <w:tc>
          <w:tcPr>
            <w:tcW w:type="dxa" w:w="4536"/>
            <w:tcMar>
              <w:top w:w="80" w:type="dxa"/>
              <w:start w:w="80" w:type="dxa"/>
              <w:bottom w:w="80" w:type="dxa"/>
              <w:end w:w="80" w:type="dxa"/>
            </w:tcMar>
            <w:vAlign w:val="center"/>
          </w:tcPr>
          <w:p>
            <w:pPr>
              <w:spacing w:after="0" w:line="240" w:lineRule="auto"/>
            </w:pPr>
            <w:r>
              <w:rPr>
                <w:rFonts w:ascii="Times New Roman" w:hAnsi="Times New Roman"/>
                <w:sz w:val="19"/>
              </w:rPr>
              <w:t>Incident evidence / dashboard → human approval → temporary containment / rollback</w:t>
            </w:r>
          </w:p>
        </w:tc>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Only authorised analysts should approve disruptive action; actions must be temporary and auditable.</w:t>
            </w:r>
          </w:p>
        </w:tc>
      </w:tr>
    </w:tbl>
    <w:p>
      <w:pPr>
        <w:pStyle w:val="Heading1"/>
      </w:pPr>
      <w:r>
        <w:t>6. Initial Threat-Model Flow</w:t>
      </w:r>
    </w:p>
    <w:p>
      <w:pPr>
        <w:jc w:val="both"/>
      </w:pPr>
      <w:r>
        <w:t>The following logical flow shows the main processing path and where trust changes occur. It is intentionally high level and will later be refined into a formal data-flow diagram with processes, data stores and flows.</w:t>
      </w:r>
    </w:p>
    <w:tbl>
      <w:tblPr>
        <w:tblW w:type="auto" w:w="0"/>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9792"/>
      </w:tblGrid>
      <w:tr>
        <w:trPr>
          <w:tblHeader w:val="true"/>
          <w:cantSplit/>
        </w:trPr>
        <w:tc>
          <w:tcPr>
            <w:tcW w:type="dxa" w:w="9792"/>
            <w:shd w:fill="D9EAF7"/>
            <w:tcMar>
              <w:top w:w="45" w:type="dxa"/>
              <w:start w:w="70" w:type="dxa"/>
              <w:bottom w:w="45" w:type="dxa"/>
              <w:end w:w="70" w:type="dxa"/>
            </w:tcMar>
          </w:tcPr>
          <w:p>
            <w:pPr>
              <w:spacing w:after="0"/>
            </w:pPr>
            <w:r>
              <w:rPr>
                <w:rFonts w:ascii="Times New Roman" w:hAnsi="Times New Roman"/>
                <w:b w:val="0"/>
                <w:sz w:val="20"/>
              </w:rPr>
              <w:t>External / Research Data</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  TB1 – Network and Data Boundary</w:t>
            </w:r>
          </w:p>
        </w:tc>
      </w:tr>
      <w:tr>
        <w:trPr>
          <w:cantSplit/>
        </w:trPr>
        <w:tc>
          <w:tcPr>
            <w:tcW w:type="dxa" w:w="9792"/>
            <w:shd w:fill="D9EAF7"/>
            <w:tcMar>
              <w:top w:w="45" w:type="dxa"/>
              <w:start w:w="70" w:type="dxa"/>
              <w:bottom w:w="45" w:type="dxa"/>
              <w:end w:w="70" w:type="dxa"/>
            </w:tcMar>
          </w:tcPr>
          <w:p>
            <w:pPr>
              <w:spacing w:after="0"/>
            </w:pPr>
            <w:r>
              <w:rPr>
                <w:rFonts w:ascii="Times New Roman" w:hAnsi="Times New Roman"/>
                <w:b/>
                <w:sz w:val="20"/>
              </w:rPr>
              <w:t>Telemetry Ingestion and Validation</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w:t>
            </w:r>
          </w:p>
        </w:tc>
      </w:tr>
      <w:tr>
        <w:trPr>
          <w:cantSplit/>
        </w:trPr>
        <w:tc>
          <w:tcPr>
            <w:tcW w:type="dxa" w:w="9792"/>
            <w:shd w:fill="B4C6E7"/>
            <w:tcMar>
              <w:top w:w="45" w:type="dxa"/>
              <w:start w:w="70" w:type="dxa"/>
              <w:bottom w:w="45" w:type="dxa"/>
              <w:end w:w="70" w:type="dxa"/>
            </w:tcMar>
          </w:tcPr>
          <w:p>
            <w:pPr>
              <w:spacing w:after="0"/>
            </w:pPr>
            <w:r>
              <w:rPr>
                <w:rFonts w:ascii="Times New Roman" w:hAnsi="Times New Roman"/>
                <w:b/>
                <w:sz w:val="20"/>
              </w:rPr>
              <w:t>Suricata  +  XGBoost  +  Isolation Forest</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  TB2 – Detection and Analysis Boundary</w:t>
            </w:r>
          </w:p>
        </w:tc>
      </w:tr>
      <w:tr>
        <w:trPr>
          <w:cantSplit/>
        </w:trPr>
        <w:tc>
          <w:tcPr>
            <w:tcW w:type="dxa" w:w="9792"/>
            <w:shd w:fill="B4C6E7"/>
            <w:tcMar>
              <w:top w:w="45" w:type="dxa"/>
              <w:start w:w="70" w:type="dxa"/>
              <w:bottom w:w="45" w:type="dxa"/>
              <w:end w:w="70" w:type="dxa"/>
            </w:tcMar>
          </w:tcPr>
          <w:p>
            <w:pPr>
              <w:spacing w:after="0"/>
            </w:pPr>
            <w:r>
              <w:rPr>
                <w:rFonts w:ascii="Times New Roman" w:hAnsi="Times New Roman"/>
                <w:b/>
                <w:sz w:val="20"/>
              </w:rPr>
              <w:t>Evidence Correlation  →  Explanation  →  Risk / Context</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w:t>
            </w:r>
          </w:p>
        </w:tc>
      </w:tr>
      <w:tr>
        <w:trPr>
          <w:cantSplit/>
        </w:trPr>
        <w:tc>
          <w:tcPr>
            <w:tcW w:type="dxa" w:w="9792"/>
            <w:shd w:fill="D9EAF7"/>
            <w:tcMar>
              <w:top w:w="45" w:type="dxa"/>
              <w:start w:w="70" w:type="dxa"/>
              <w:bottom w:w="45" w:type="dxa"/>
              <w:end w:w="70" w:type="dxa"/>
            </w:tcMar>
          </w:tcPr>
          <w:p>
            <w:pPr>
              <w:spacing w:after="0"/>
            </w:pPr>
            <w:r>
              <w:rPr>
                <w:rFonts w:ascii="Times New Roman" w:hAnsi="Times New Roman"/>
                <w:b w:val="0"/>
                <w:sz w:val="20"/>
              </w:rPr>
              <w:t>Incident Record and Analyst Dashboard</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  TB3 – Analyst and Response Boundary</w:t>
            </w:r>
          </w:p>
        </w:tc>
      </w:tr>
      <w:tr>
        <w:trPr>
          <w:cantSplit/>
        </w:trPr>
        <w:tc>
          <w:tcPr>
            <w:tcW w:type="dxa" w:w="9792"/>
            <w:shd w:fill="E2F0D9"/>
            <w:tcMar>
              <w:top w:w="45" w:type="dxa"/>
              <w:start w:w="70" w:type="dxa"/>
              <w:bottom w:w="45" w:type="dxa"/>
              <w:end w:w="70" w:type="dxa"/>
            </w:tcMar>
          </w:tcPr>
          <w:p>
            <w:pPr>
              <w:spacing w:after="0"/>
            </w:pPr>
            <w:r>
              <w:rPr>
                <w:rFonts w:ascii="Times New Roman" w:hAnsi="Times New Roman"/>
                <w:b/>
                <w:sz w:val="20"/>
              </w:rPr>
              <w:t>Human Approval / Rejection</w:t>
            </w:r>
          </w:p>
        </w:tc>
      </w:tr>
      <w:tr>
        <w:trPr>
          <w:cantSplit/>
        </w:trPr>
        <w:tc>
          <w:tcPr>
            <w:tcW w:type="dxa" w:w="9792"/>
            <w:shd w:fill="FFFFFF"/>
            <w:tcMar>
              <w:top w:w="45" w:type="dxa"/>
              <w:start w:w="70" w:type="dxa"/>
              <w:bottom w:w="45" w:type="dxa"/>
              <w:end w:w="70" w:type="dxa"/>
            </w:tcMar>
          </w:tcPr>
          <w:p>
            <w:pPr>
              <w:spacing w:after="0"/>
            </w:pPr>
            <w:r>
              <w:rPr>
                <w:rFonts w:ascii="Times New Roman" w:hAnsi="Times New Roman"/>
                <w:b w:val="0"/>
                <w:sz w:val="20"/>
              </w:rPr>
              <w:t>↓</w:t>
            </w:r>
          </w:p>
        </w:tc>
      </w:tr>
      <w:tr>
        <w:trPr>
          <w:cantSplit/>
        </w:trPr>
        <w:tc>
          <w:tcPr>
            <w:tcW w:type="dxa" w:w="9792"/>
            <w:shd w:fill="E2F0D9"/>
            <w:tcMar>
              <w:top w:w="45" w:type="dxa"/>
              <w:start w:w="70" w:type="dxa"/>
              <w:bottom w:w="45" w:type="dxa"/>
              <w:end w:w="70" w:type="dxa"/>
            </w:tcMar>
          </w:tcPr>
          <w:p>
            <w:pPr>
              <w:spacing w:after="0"/>
            </w:pPr>
            <w:r>
              <w:rPr>
                <w:rFonts w:ascii="Times New Roman" w:hAnsi="Times New Roman"/>
                <w:b/>
                <w:sz w:val="20"/>
              </w:rPr>
              <w:t>Time-Limited Containment  →  Monitoring  →  Rollback / Closure</w:t>
            </w:r>
          </w:p>
        </w:tc>
      </w:tr>
    </w:tbl>
    <w:p>
      <w:pPr>
        <w:pStyle w:val="Heading1"/>
      </w:pPr>
      <w:r>
        <w:t>7. Attack Surface</w:t>
      </w:r>
    </w:p>
    <w:p>
      <w:pPr>
        <w:jc w:val="both"/>
      </w:pPr>
      <w:r>
        <w:t>The attack surface is the set of components and interfaces where untrusted input, configuration changes or privileged actions could affect the system. Identifying these areas early helps define later security requirements and tests.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cantSplit/>
        </w:trPr>
        <w:tc>
          <w:tcPr>
            <w:tcW w:type="dxa" w:w="237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Attack Surface</w:t>
            </w:r>
          </w:p>
        </w:tc>
        <w:tc>
          <w:tcPr>
            <w:tcW w:type="dxa" w:w="4824"/>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Why It Matters</w:t>
            </w:r>
          </w:p>
        </w:tc>
        <w:tc>
          <w:tcPr>
            <w:tcW w:type="dxa" w:w="2952"/>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Initial Control Direction</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Telemetry ingestion</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Receives external dataset or lab telemetry that may be malformed or inconsistent.</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Schema validation, parsing checks, error handling and provenance.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Dataset / preprocessing pipeline</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Leakage, incorrect labels or transformations can invalidate results.</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Documented pipeline, split controls, duplicate checks and withheld-class isolation.</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Suricata configuration and rules</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Incorrect or altered rules can change known-threat evidence.</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Versioned ruleset/configuration and recorded test evidence.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ML model files and feature schema</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Tampering or version mismatch can change predictions.</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Version tracking, controlled loading and reproducible configuration.</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Evidence-correlation policy</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Incorrect fusion logic can hide disagreement or create misleading severity.</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Preserve provenance, explicit conflict states and policy versioning.</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Backend/API</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Invalid input or excessive requests can affect integrity or availability.</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Validation, restricted interfaces, authentication and rate controls where applicable.</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Analyst dashboard</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Unauthorised access could expose incidents or enable response requests.</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Authentication, role/permission checks and secure session handling.</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Containment mechanism</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Incorrect approval or action could disrupt legitimate lab services.</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Human approval, scope restriction, timeout, monitoring and rollback.</w:t>
            </w:r>
          </w:p>
        </w:tc>
      </w:tr>
      <w:tr>
        <w:trPr>
          <w:cantSplit/>
        </w:trPr>
        <w:tc>
          <w:tcPr>
            <w:tcW w:type="dxa" w:w="2376"/>
            <w:tcMar>
              <w:top w:w="80" w:type="dxa"/>
              <w:start w:w="80" w:type="dxa"/>
              <w:bottom w:w="80" w:type="dxa"/>
              <w:end w:w="80" w:type="dxa"/>
            </w:tcMar>
            <w:vAlign w:val="center"/>
          </w:tcPr>
          <w:p>
            <w:pPr>
              <w:spacing w:after="0" w:line="240" w:lineRule="auto"/>
            </w:pPr>
            <w:r>
              <w:rPr>
                <w:rFonts w:ascii="Times New Roman" w:hAnsi="Times New Roman"/>
                <w:sz w:val="19"/>
              </w:rPr>
              <w:t>Audit storage</w:t>
            </w:r>
          </w:p>
        </w:tc>
        <w:tc>
          <w:tcPr>
            <w:tcW w:type="dxa" w:w="4824"/>
            <w:tcMar>
              <w:top w:w="80" w:type="dxa"/>
              <w:start w:w="80" w:type="dxa"/>
              <w:bottom w:w="80" w:type="dxa"/>
              <w:end w:w="80" w:type="dxa"/>
            </w:tcMar>
            <w:vAlign w:val="center"/>
          </w:tcPr>
          <w:p>
            <w:pPr>
              <w:spacing w:after="0" w:line="240" w:lineRule="auto"/>
            </w:pPr>
            <w:r>
              <w:rPr>
                <w:rFonts w:ascii="Times New Roman" w:hAnsi="Times New Roman"/>
                <w:sz w:val="19"/>
              </w:rPr>
              <w:t>Missing or altered records reduce accountability.</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9"/>
              </w:rPr>
              <w:t>Append-oriented logging, access control and evidence references.</w:t>
            </w:r>
          </w:p>
        </w:tc>
      </w:tr>
    </w:tbl>
    <w:p>
      <w:pPr>
        <w:pStyle w:val="Heading1"/>
      </w:pPr>
      <w:r>
        <w:t>8. STRIDE Threat Analysis</w:t>
      </w:r>
    </w:p>
    <w:p>
      <w:pPr>
        <w:jc w:val="both"/>
      </w:pPr>
      <w:r>
        <w:t>The table below applies STRIDE to the initial ZeroShield architecture. The examples are defensive design concerns rather than instructions for attacking a system.</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rPr>
          <w:tblHeader w:val="true"/>
          <w:cantSplit/>
        </w:trPr>
        <w:tc>
          <w:tcPr>
            <w:tcW w:type="dxa" w:w="1512"/>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7"/>
              </w:rPr>
              <w:t>STRIDE</w:t>
            </w:r>
          </w:p>
        </w:tc>
        <w:tc>
          <w:tcPr>
            <w:tcW w:type="dxa" w:w="3600"/>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7"/>
              </w:rPr>
              <w:t>ZeroShield Threat Example</w:t>
            </w:r>
          </w:p>
        </w:tc>
        <w:tc>
          <w:tcPr>
            <w:tcW w:type="dxa" w:w="2520"/>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7"/>
              </w:rPr>
              <w:t>Potential Impact</w:t>
            </w:r>
          </w:p>
        </w:tc>
        <w:tc>
          <w:tcPr>
            <w:tcW w:type="dxa" w:w="309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7"/>
              </w:rPr>
              <w:t>Planned Control</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Spoofing</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An unauthorised user presents themselves as an approved analyst.</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Unauthorised access or response approval.</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Authentication, account identity checks and role-based authorisation.</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Tampering</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Model files, thresholds, rules, incident evidence or configuration are modified.</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Incorrect detections, invalid experiments or unsafe response.</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Version control, restricted write access, config/model version tracking and audit logging.</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Repudiation</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A user disputes an approval, rejection or containment action because evidence is incomplete.</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Loss of accountability and weak assessment evidence.</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Timestamped audit records linking analyst, incident, decision, action and rollback.</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Information Disclosure</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Incident data, configuration or research artefacts are exposed beyond intended access.</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Privacy, security or academic integrity concerns.</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Least-privilege access, secret management and avoidance of sensitive credentials in Git.</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Denial of Service</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Excessive alert or processing volume reduces dashboard/backend availability.</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Delayed detection or inability to review incidents.</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Bounded processing, queueing/limits, performance monitoring and graceful failure.</w:t>
            </w:r>
          </w:p>
        </w:tc>
      </w:tr>
      <w:tr>
        <w:trPr>
          <w:cantSplit/>
        </w:trPr>
        <w:tc>
          <w:tcPr>
            <w:tcW w:type="dxa" w:w="1512"/>
            <w:tcMar>
              <w:top w:w="80" w:type="dxa"/>
              <w:start w:w="80" w:type="dxa"/>
              <w:bottom w:w="80" w:type="dxa"/>
              <w:end w:w="80" w:type="dxa"/>
            </w:tcMar>
            <w:vAlign w:val="center"/>
          </w:tcPr>
          <w:p>
            <w:pPr>
              <w:spacing w:after="0" w:line="240" w:lineRule="auto"/>
            </w:pPr>
            <w:r>
              <w:rPr>
                <w:rFonts w:ascii="Times New Roman" w:hAnsi="Times New Roman"/>
                <w:sz w:val="17"/>
              </w:rPr>
              <w:t>Elevation of Privilege</w:t>
            </w:r>
          </w:p>
        </w:tc>
        <w:tc>
          <w:tcPr>
            <w:tcW w:type="dxa" w:w="3600"/>
            <w:tcMar>
              <w:top w:w="80" w:type="dxa"/>
              <w:start w:w="80" w:type="dxa"/>
              <w:bottom w:w="80" w:type="dxa"/>
              <w:end w:w="80" w:type="dxa"/>
            </w:tcMar>
            <w:vAlign w:val="center"/>
          </w:tcPr>
          <w:p>
            <w:pPr>
              <w:spacing w:after="0" w:line="240" w:lineRule="auto"/>
            </w:pPr>
            <w:r>
              <w:rPr>
                <w:rFonts w:ascii="Times New Roman" w:hAnsi="Times New Roman"/>
                <w:sz w:val="17"/>
              </w:rPr>
              <w:t>A user gains permission to perform actions reserved for an authorised analyst.</w:t>
            </w:r>
          </w:p>
        </w:tc>
        <w:tc>
          <w:tcPr>
            <w:tcW w:type="dxa" w:w="2520"/>
            <w:tcMar>
              <w:top w:w="80" w:type="dxa"/>
              <w:start w:w="80" w:type="dxa"/>
              <w:bottom w:w="80" w:type="dxa"/>
              <w:end w:w="80" w:type="dxa"/>
            </w:tcMar>
            <w:vAlign w:val="center"/>
          </w:tcPr>
          <w:p>
            <w:pPr>
              <w:spacing w:after="0" w:line="240" w:lineRule="auto"/>
            </w:pPr>
            <w:r>
              <w:rPr>
                <w:rFonts w:ascii="Times New Roman" w:hAnsi="Times New Roman"/>
                <w:sz w:val="17"/>
              </w:rPr>
              <w:t>Unauthorised containment or configuration changes.</w:t>
            </w:r>
          </w:p>
        </w:tc>
        <w:tc>
          <w:tcPr>
            <w:tcW w:type="dxa" w:w="3096"/>
            <w:tcMar>
              <w:top w:w="80" w:type="dxa"/>
              <w:start w:w="80" w:type="dxa"/>
              <w:bottom w:w="80" w:type="dxa"/>
              <w:end w:w="80" w:type="dxa"/>
            </w:tcMar>
            <w:vAlign w:val="center"/>
          </w:tcPr>
          <w:p>
            <w:pPr>
              <w:spacing w:after="0" w:line="240" w:lineRule="auto"/>
            </w:pPr>
            <w:r>
              <w:rPr>
                <w:rFonts w:ascii="Times New Roman" w:hAnsi="Times New Roman"/>
                <w:sz w:val="17"/>
              </w:rPr>
              <w:t>Role checks, protected administrative functions and server-side authorisation.</w:t>
            </w:r>
          </w:p>
        </w:tc>
      </w:tr>
    </w:tbl>
    <w:p>
      <w:pPr>
        <w:pStyle w:val="Heading1"/>
      </w:pPr>
      <w:r>
        <w:t>9. Initial Threat Register</w:t>
      </w:r>
    </w:p>
    <w:p>
      <w:pPr>
        <w:jc w:val="both"/>
      </w:pPr>
      <w:r>
        <w:t>The initial threat register converts the architectural concerns into traceable threat items. Likelihood and impact are deliberately qualitative at this stage because the system is not yet implemented. They can be refined later using evidence from implementation and testing.</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32"/>
        <w:gridCol w:w="1632"/>
        <w:gridCol w:w="1632"/>
        <w:gridCol w:w="1632"/>
        <w:gridCol w:w="1632"/>
        <w:gridCol w:w="1632"/>
      </w:tblGrid>
      <w:tr>
        <w:trPr>
          <w:tblHeader w:val="true"/>
          <w:cantSplit/>
        </w:trPr>
        <w:tc>
          <w:tcPr>
            <w:tcW w:type="dxa" w:w="648"/>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ID</w:t>
            </w:r>
          </w:p>
        </w:tc>
        <w:tc>
          <w:tcPr>
            <w:tcW w:type="dxa" w:w="1656"/>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Component</w:t>
            </w:r>
          </w:p>
        </w:tc>
        <w:tc>
          <w:tcPr>
            <w:tcW w:type="dxa" w:w="2952"/>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Threat</w:t>
            </w:r>
          </w:p>
        </w:tc>
        <w:tc>
          <w:tcPr>
            <w:tcW w:type="dxa" w:w="2304"/>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Potential Impact</w:t>
            </w:r>
          </w:p>
        </w:tc>
        <w:tc>
          <w:tcPr>
            <w:tcW w:type="dxa" w:w="1224"/>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Initial Priority</w:t>
            </w:r>
          </w:p>
        </w:tc>
        <w:tc>
          <w:tcPr>
            <w:tcW w:type="dxa" w:w="3312"/>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6"/>
              </w:rPr>
              <w:t>Planned Mitigation</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T01</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Telemetry ingestion</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Malformed or invalid telemetry enters the pipeline.</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Parser failure or incorrect detector input.</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Medium</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Validate schema/types, reject invalid records and log parsing errors.</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T02</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Dataset pipeline</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Information from a withheld attack class leaks into model development.</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Inflated unknown-detection results and invalid research claim.</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Exclude withheld class from training, validation, feature selection and threshold calibration.</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T03</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Dataset</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Incorrect labels, duplicate records or source leakage distort evaluation.</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Misleading model performance.</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Perform feasibility/data-quality checks and document provenance.</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T04</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Model/configuration</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Model, feature schema, threshold or ruleset is unintentionally changed.</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Non-reproducible or incorrect detections.</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Version models/configuration and record experiment parameters.</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T05</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Novelty detector</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Benign unusual behaviour is treated as suspicious.</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False-positive incident or unsafe response recommendation.</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Tune thresholds, measure FPR and require analyst review.</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T06</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Evidence correlation</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Detector disagreement is hidden by over-simplified fusion.</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Loss of uncertainty and misleading severity.</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Preserve detector provenance and expose explicit conflict states.</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T07</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Dashboard / analyst</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Unauthorised user accesses incident or response functions.</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Disclosure or unauthorised response.</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Authentication and role-based authorisation before privileged actions.</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T08</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Containment</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Legitimate lab traffic is incorrectly restricted.</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Loss of availability in the controlled environment.</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Human approval, time limits, monitoring and rollback.</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T09</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Audit logging</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Approval/action records are incomplete or modified.</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Loss of accountability and weak traceability.</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Medium</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Structured audit schema, timestamps, actor identity and controlled write access.</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T10</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Backend/API</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Unexpected input causes service errors or inconsistent incident data.</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Reduced availability or incorrect state.</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Medium</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Server-side validation, error handling and integration testing.</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T11</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Secrets/repository</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Credential or environment secret is committed to the public repository.</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Account/system exposure.</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High</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Use .gitignore, .env.example, secret checks and immediate credential revocation if exposed.</w:t>
            </w:r>
          </w:p>
        </w:tc>
      </w:tr>
      <w:tr>
        <w:trPr>
          <w:cantSplit/>
        </w:trPr>
        <w:tc>
          <w:tcPr>
            <w:tcW w:type="dxa" w:w="648"/>
            <w:tcMar>
              <w:top w:w="80" w:type="dxa"/>
              <w:start w:w="80" w:type="dxa"/>
              <w:bottom w:w="80" w:type="dxa"/>
              <w:end w:w="80" w:type="dxa"/>
            </w:tcMar>
            <w:vAlign w:val="center"/>
          </w:tcPr>
          <w:p>
            <w:pPr>
              <w:spacing w:after="0" w:line="240" w:lineRule="auto"/>
            </w:pPr>
            <w:r>
              <w:rPr>
                <w:rFonts w:ascii="Times New Roman" w:hAnsi="Times New Roman"/>
                <w:sz w:val="16"/>
              </w:rPr>
              <w:t>T12</w:t>
            </w:r>
          </w:p>
        </w:tc>
        <w:tc>
          <w:tcPr>
            <w:tcW w:type="dxa" w:w="1656"/>
            <w:tcMar>
              <w:top w:w="80" w:type="dxa"/>
              <w:start w:w="80" w:type="dxa"/>
              <w:bottom w:w="80" w:type="dxa"/>
              <w:end w:w="80" w:type="dxa"/>
            </w:tcMar>
            <w:vAlign w:val="center"/>
          </w:tcPr>
          <w:p>
            <w:pPr>
              <w:spacing w:after="0" w:line="240" w:lineRule="auto"/>
            </w:pPr>
            <w:r>
              <w:rPr>
                <w:rFonts w:ascii="Times New Roman" w:hAnsi="Times New Roman"/>
                <w:sz w:val="16"/>
              </w:rPr>
              <w:t>Scope / advanced models</w:t>
            </w:r>
          </w:p>
        </w:tc>
        <w:tc>
          <w:tcPr>
            <w:tcW w:type="dxa" w:w="2952"/>
            <w:tcMar>
              <w:top w:w="80" w:type="dxa"/>
              <w:start w:w="80" w:type="dxa"/>
              <w:bottom w:w="80" w:type="dxa"/>
              <w:end w:w="80" w:type="dxa"/>
            </w:tcMar>
            <w:vAlign w:val="center"/>
          </w:tcPr>
          <w:p>
            <w:pPr>
              <w:spacing w:after="0" w:line="240" w:lineRule="auto"/>
            </w:pPr>
            <w:r>
              <w:rPr>
                <w:rFonts w:ascii="Times New Roman" w:hAnsi="Times New Roman"/>
                <w:sz w:val="16"/>
              </w:rPr>
              <w:t>Unnecessary model complexity delays the core artefact.</w:t>
            </w:r>
          </w:p>
        </w:tc>
        <w:tc>
          <w:tcPr>
            <w:tcW w:type="dxa" w:w="2304"/>
            <w:tcMar>
              <w:top w:w="80" w:type="dxa"/>
              <w:start w:w="80" w:type="dxa"/>
              <w:bottom w:w="80" w:type="dxa"/>
              <w:end w:w="80" w:type="dxa"/>
            </w:tcMar>
            <w:vAlign w:val="center"/>
          </w:tcPr>
          <w:p>
            <w:pPr>
              <w:spacing w:after="0" w:line="240" w:lineRule="auto"/>
            </w:pPr>
            <w:r>
              <w:rPr>
                <w:rFonts w:ascii="Times New Roman" w:hAnsi="Times New Roman"/>
                <w:sz w:val="16"/>
              </w:rPr>
              <w:t>Incomplete implementation or weak evaluation.</w:t>
            </w:r>
          </w:p>
        </w:tc>
        <w:tc>
          <w:tcPr>
            <w:tcW w:type="dxa" w:w="1224"/>
            <w:tcMar>
              <w:top w:w="80" w:type="dxa"/>
              <w:start w:w="80" w:type="dxa"/>
              <w:bottom w:w="80" w:type="dxa"/>
              <w:end w:w="80" w:type="dxa"/>
            </w:tcMar>
            <w:vAlign w:val="center"/>
          </w:tcPr>
          <w:p>
            <w:pPr>
              <w:spacing w:after="0" w:line="240" w:lineRule="auto"/>
            </w:pPr>
            <w:r>
              <w:rPr>
                <w:rFonts w:ascii="Times New Roman" w:hAnsi="Times New Roman"/>
                <w:sz w:val="16"/>
              </w:rPr>
              <w:t>Medium</w:t>
            </w:r>
          </w:p>
        </w:tc>
        <w:tc>
          <w:tcPr>
            <w:tcW w:type="dxa" w:w="3312"/>
            <w:tcMar>
              <w:top w:w="80" w:type="dxa"/>
              <w:start w:w="80" w:type="dxa"/>
              <w:bottom w:w="80" w:type="dxa"/>
              <w:end w:w="80" w:type="dxa"/>
            </w:tcMar>
            <w:vAlign w:val="center"/>
          </w:tcPr>
          <w:p>
            <w:pPr>
              <w:spacing w:after="0" w:line="240" w:lineRule="auto"/>
            </w:pPr>
            <w:r>
              <w:rPr>
                <w:rFonts w:ascii="Times New Roman" w:hAnsi="Times New Roman"/>
                <w:sz w:val="16"/>
              </w:rPr>
              <w:t>Keep Suricata, XGBoost and Isolation Forest as the core baseline; add complexity only if justified.</w:t>
            </w:r>
          </w:p>
        </w:tc>
      </w:tr>
    </w:tbl>
    <w:p>
      <w:pPr>
        <w:pStyle w:val="Heading1"/>
      </w:pPr>
      <w:r>
        <w:t>10. Planned Security Controls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rPr>
          <w:tblHeader w:val="true"/>
          <w:cantSplit/>
        </w:trPr>
        <w:tc>
          <w:tcPr>
            <w:tcW w:type="dxa" w:w="3024"/>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Control Area</w:t>
            </w:r>
          </w:p>
        </w:tc>
        <w:tc>
          <w:tcPr>
            <w:tcW w:type="dxa" w:w="7200"/>
            <w:tcMar>
              <w:top w:w="80" w:type="dxa"/>
              <w:start w:w="80" w:type="dxa"/>
              <w:bottom w:w="80" w:type="dxa"/>
              <w:end w:w="80" w:type="dxa"/>
            </w:tcMar>
            <w:vAlign w:val="center"/>
            <w:shd w:fill="1F4E79"/>
          </w:tcPr>
          <w:p>
            <w:pPr>
              <w:spacing w:after="0" w:line="240" w:lineRule="auto"/>
            </w:pPr>
            <w:r>
              <w:rPr>
                <w:rFonts w:ascii="Times New Roman" w:hAnsi="Times New Roman"/>
                <w:b/>
                <w:color w:val="FFFFFF"/>
                <w:sz w:val="19"/>
              </w:rPr>
              <w:t>Initial Control</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Input and data quality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Validate formats, labels and expected feature structure; record rejected or malformed data.</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Research validity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Use leakage-safe splitting, withheld-class isolation, documented preprocessing and repeatable experiment settings.</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Model/configuration integrity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Version model artefacts, feature schema, rulesets, thresholds and correlation policy.</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Evidence provenance</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Record which detector produced each signal and preserve disagreement or uncertainty.</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Authentication and authorisation</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Restrict privileged dashboard and response functions to authorised users when implemented.</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Secrets management</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Do not commit credentials, private keys or real environment files to the public repository.</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Containment safety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Require explicit approval; restrict actions to the controlled lab; enforce timeout and rollback.</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Auditability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Record incident ID, detector evidence, recommendation, actor, decision, action, timestamp and rollback state.</w:t>
            </w:r>
          </w:p>
        </w:tc>
      </w:tr>
      <w:tr>
        <w:trPr>
          <w:cantSplit/>
        </w:trPr>
        <w:tc>
          <w:tcPr>
            <w:tcW w:type="dxa" w:w="3024"/>
            <w:tcMar>
              <w:top w:w="80" w:type="dxa"/>
              <w:start w:w="80" w:type="dxa"/>
              <w:bottom w:w="80" w:type="dxa"/>
              <w:end w:w="80" w:type="dxa"/>
            </w:tcMar>
            <w:vAlign w:val="center"/>
          </w:tcPr>
          <w:p>
            <w:pPr>
              <w:spacing w:after="0" w:line="240" w:lineRule="auto"/>
            </w:pPr>
            <w:r>
              <w:rPr>
                <w:rFonts w:ascii="Times New Roman" w:hAnsi="Times New Roman"/>
                <w:sz w:val="19"/>
              </w:rPr>
              <w:t>Availability</w:t>
            </w:r>
          </w:p>
        </w:tc>
        <w:tc>
          <w:tcPr>
            <w:tcW w:type="dxa" w:w="7200"/>
            <w:tcMar>
              <w:top w:w="80" w:type="dxa"/>
              <w:start w:w="80" w:type="dxa"/>
              <w:bottom w:w="80" w:type="dxa"/>
              <w:end w:w="80" w:type="dxa"/>
            </w:tcMar>
            <w:vAlign w:val="center"/>
          </w:tcPr>
          <w:p>
            <w:pPr>
              <w:spacing w:after="0" w:line="240" w:lineRule="auto"/>
            </w:pPr>
            <w:r>
              <w:rPr>
                <w:rFonts w:ascii="Times New Roman" w:hAnsi="Times New Roman"/>
                <w:sz w:val="19"/>
              </w:rPr>
              <w:t>Use bounded processing and graceful handling of invalid or excessive input during implementation.</w:t>
            </w:r>
          </w:p>
        </w:tc>
      </w:tr>
    </w:tbl>
    <w:p>
      <w:pPr>
        <w:pStyle w:val="Heading1"/>
      </w:pPr>
      <w:r>
        <w:t>11. Validation and Review Plan</w:t>
      </w:r>
    </w:p>
    <w:p>
      <w:pPr>
        <w:jc w:val="both"/>
      </w:pPr>
      <w:r>
        <w:t>The threat model is an initial design artefact and should evolve with the prototype. Threats and controls will be reviewed when implementation introduces a new trust boundary, privileged function, data source, model, API or containment mechanism. Evidence from testing should be used to update the threat register rather than treating this document as fixed.</w:t>
      </w:r>
    </w:p>
    <w:p>
      <w:pPr>
        <w:spacing w:after="60"/>
        <w:ind w:left="317" w:hanging="259"/>
      </w:pPr>
      <w:r>
        <w:t>1. Review TB1 when the final dataset and telemetry-ingestion format are selected.</w:t>
      </w:r>
    </w:p>
    <w:p>
      <w:pPr>
        <w:spacing w:after="60"/>
        <w:ind w:left="317" w:hanging="259"/>
      </w:pPr>
      <w:r>
        <w:t>2. Review TB2 after Suricata, XGBoost, Isolation Forest and evidence correlation are implemented.</w:t>
      </w:r>
    </w:p>
    <w:p>
      <w:pPr>
        <w:spacing w:after="60"/>
        <w:ind w:left="317" w:hanging="259"/>
      </w:pPr>
      <w:r>
        <w:t>3. Review TB3 when authentication, analyst approval, containment and rollback are implemented.</w:t>
      </w:r>
    </w:p>
    <w:p>
      <w:pPr>
        <w:spacing w:after="60"/>
        <w:ind w:left="317" w:hanging="259"/>
      </w:pPr>
      <w:r>
        <w:t>4. Add or revise threat IDs when testing reveals a new failure mode or control weakness.</w:t>
      </w:r>
    </w:p>
    <w:p>
      <w:pPr>
        <w:spacing w:after="60"/>
        <w:ind w:left="317" w:hanging="259"/>
      </w:pPr>
      <w:r>
        <w:t>5. Record important threat-model changes in the project decision log and reference the related commit or evidence.</w:t>
      </w:r>
    </w:p>
    <w:p>
      <w:pPr>
        <w:spacing w:after="60"/>
        <w:ind w:left="317" w:hanging="259"/>
      </w:pPr>
      <w:r>
        <w:t>6. Use the final threat model to inform security test cases and the critical evaluation section of the FYP report.</w:t>
      </w:r>
    </w:p>
    <w:p>
      <w:pPr>
        <w:pStyle w:val="Heading1"/>
      </w:pPr>
      <w:r>
        <w:t>12. Completion Evidence for WBS Task 9</w:t>
      </w:r>
    </w:p>
    <w:p>
      <w:pPr>
        <w:jc w:val="both"/>
      </w:pPr>
      <w:r>
        <w:t>The WBS task “Prepare initial threat model, assets and trust boundaries” can be marked DONE when the following evidence is retained in the repository:</w:t>
      </w:r>
    </w:p>
    <w:p>
      <w:pPr>
        <w:spacing w:after="60"/>
        <w:ind w:left="317" w:hanging="173"/>
      </w:pPr>
      <w:r>
        <w:t>• This initial threat-model document is completed and version-controlled.</w:t>
      </w:r>
    </w:p>
    <w:p>
      <w:pPr>
        <w:spacing w:after="60"/>
        <w:ind w:left="317" w:hanging="173"/>
      </w:pPr>
      <w:r>
        <w:t>• Protected assets are listed and linked to security objectives.</w:t>
      </w:r>
    </w:p>
    <w:p>
      <w:pPr>
        <w:spacing w:after="60"/>
        <w:ind w:left="317" w:hanging="173"/>
      </w:pPr>
      <w:r>
        <w:t>• Threat sources and attack surfaces are documented.</w:t>
      </w:r>
    </w:p>
    <w:p>
      <w:pPr>
        <w:spacing w:after="60"/>
        <w:ind w:left="317" w:hanging="173"/>
      </w:pPr>
      <w:r>
        <w:t>• TB1, TB2 and TB3 are defined and shown in the initial system flow.</w:t>
      </w:r>
    </w:p>
    <w:p>
      <w:pPr>
        <w:spacing w:after="60"/>
        <w:ind w:left="317" w:hanging="173"/>
      </w:pPr>
      <w:r>
        <w:t>• STRIDE has been applied to the main ZeroShield architecture.</w:t>
      </w:r>
    </w:p>
    <w:p>
      <w:pPr>
        <w:spacing w:after="60"/>
        <w:ind w:left="317" w:hanging="173"/>
      </w:pPr>
      <w:r>
        <w:t>• An initial threat register with planned mitigations has been created.</w:t>
      </w:r>
    </w:p>
    <w:p>
      <w:pPr>
        <w:spacing w:after="60"/>
        <w:ind w:left="317" w:hanging="173"/>
      </w:pPr>
      <w:r>
        <w:t>• The model is recognised as a living artefact that will be updated during implementation and testing.</w:t>
      </w:r>
    </w:p>
    <w:p>
      <w:pPr>
        <w:pStyle w:val="Heading1"/>
      </w:pPr>
      <w:r>
        <w:t>13. Summary</w:t>
      </w:r>
    </w:p>
    <w:p>
      <w:pPr>
        <w:jc w:val="both"/>
      </w:pPr>
      <w:r>
        <w:t>This document establishes the initial defensive threat model for ZeroShield AI. It identifies the assets whose compromise could affect availability, integrity, accountability, explainability or research validity; defines the main threat sources and attack surfaces; and links the three trust boundaries to concrete security concerns.</w:t>
      </w:r>
    </w:p>
    <w:p>
      <w:pPr>
        <w:jc w:val="both"/>
      </w:pPr>
      <w:r>
        <w:t>The model treats telemetry and research data as untrusted inputs, detector outputs as evidence rather than absolute truth, and analyst-approved containment as a privileged action that must remain time-limited, logged and reversible. STRIDE and the initial threat register provide a structured baseline for the later DFD, secure architecture, implementation controls and security testing.</w:t>
      </w:r>
    </w:p>
    <w:sectPr>
      <w:footerReference r:id="rId9"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ZeroShield AI | Initial Threat Model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Times New Roman" w:hAnsi="Times New Roman"/>
      <w:sz w:val="22"/>
    </w:rPr>
  </w:style>
  <w:style w:type="paragraph" w:styleId="Heading1">
    <w:name w:val="heading 1"/>
    <w:basedOn w:val="Normal"/>
    <w:next w:val="Normal"/>
    <w:pPr>
      <w:keepNext w:val="1"/>
      <w:keepLines w:val="1"/>
      <w:spacing w:after="100" w:before="200" w:lineRule="auto"/>
    </w:pPr>
    <w:rPr>
      <w:rFonts w:ascii="Arial" w:cs="Arial" w:eastAsia="Arial" w:hAnsi="Arial"/>
      <w:b/>
      <w:bCs w:val="1"/>
      <w:color w:val="1F4E79"/>
      <w:sz w:val="30"/>
      <w:szCs w:val="30"/>
    </w:rPr>
  </w:style>
  <w:style w:type="paragraph" w:styleId="Heading2">
    <w:name w:val="heading 2"/>
    <w:basedOn w:val="Normal"/>
    <w:next w:val="Normal"/>
    <w:pPr>
      <w:keepNext w:val="1"/>
      <w:keepLines w:val="1"/>
      <w:spacing w:after="100" w:before="200" w:lineRule="auto"/>
    </w:pPr>
    <w:rPr>
      <w:rFonts w:ascii="Arial" w:cs="Arial" w:eastAsia="Arial" w:hAnsi="Arial"/>
      <w:b/>
      <w:bCs w:val="1"/>
      <w:color w:val="365F91"/>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b4b4b"/>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