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rFonts w:ascii="Aptos Display" w:hAnsi="Aptos Display"/>
          <w:b/>
          <w:color w:val="12304A"/>
          <w:sz w:val="62"/>
        </w:rPr>
        <w:t>TECHNICAL PRIVACY</w:t>
        <w:br/>
        <w:t>POLICY ANALYSIS</w:t>
      </w:r>
    </w:p>
    <w:p>
      <w:pPr>
        <w:spacing w:after="360"/>
      </w:pPr>
      <w:r>
        <w:rPr>
          <w:color w:val="147D83"/>
          <w:sz w:val="38"/>
        </w:rPr>
        <w:t>WhatsApp vs. Signal</w:t>
      </w:r>
    </w:p>
    <w:p>
      <w:pPr>
        <w:spacing w:after="400"/>
      </w:pPr>
      <w:r>
        <w:t>A security-architecture comparison focused on encryption, metadata, backups, identity, and practical limits.</w:t>
      </w:r>
    </w:p>
    <w:tbl>
      <w:tblPr>
        <w:tblW w:type="auto" w:w="0"/>
        <w:jc w:val="center"/>
        <w:tblLook w:firstColumn="1" w:firstRow="1" w:lastColumn="0" w:lastRow="0" w:noHBand="0" w:noVBand="1" w:val="04A0"/>
      </w:tblPr>
      <w:tblGrid>
        <w:gridCol w:w="9994"/>
      </w:tblGrid>
      <w:tr>
        <w:tc>
          <w:tcPr>
            <w:tcW w:type="dxa" w:w="9994"/>
            <w:shd w:fill="EAF3F4"/>
            <w:vAlign w:val="center"/>
          </w:tcPr>
          <w:p>
            <w:pPr>
              <w:spacing w:after="0"/>
            </w:pPr>
            <w:r/>
            <w:r>
              <w:rPr>
                <w:b w:val="0"/>
                <w:sz w:val="20"/>
              </w:rPr>
              <w:t>SCOPE &amp; CAUTION</w:t>
              <w:br/>
              <w:t>This report reorganizes and critically qualifies the supplied draft. Product behavior and protocol deployments change over time; several specific assertions in the source material are not established by the cited references or are stated too categorically. Treat this as a comparative technical overview, not a current audit or legal opinion.</w:t>
            </w:r>
          </w:p>
        </w:tc>
      </w:tr>
    </w:tbl>
    <w:p>
      <w:r>
        <w:t>Prepared: 24 September 2026  |  Assessment basis: supplied text and named primary references</w:t>
      </w:r>
    </w:p>
    <w:p>
      <w:r>
        <w:br w:type="page"/>
      </w:r>
    </w:p>
    <w:p>
      <w:pPr>
        <w:pStyle w:val="Heading1"/>
      </w:pPr>
      <w:r>
        <w:t>Executive summary</w:t>
      </w:r>
    </w:p>
    <w:p>
      <w:r>
        <w:t>Both services provide end-to-end encrypted personal messaging, but encryption of message content is only one part of privacy. The meaningful comparison also includes what account and delivery data each service needs, what is retained, how backups are protected, and what information is visible to other parties such as mobile operators, cloud providers, recipients, and law-enforcement authorities.</w:t>
      </w:r>
    </w:p>
    <w:p>
      <w:r>
        <w:t>Signal is designed around data minimization and publishes detailed protocol specifications. WhatsApp uses the Signal Protocol for personal-message encryption, while its broader service is integrated with Meta systems and offers optional cloud backups. Those differences can make Signal the stronger default for users prioritizing minimization of provider-held data. However, the supplied draft overstates or mischaracterizes several technical details; the conclusions below distinguish well-supported high-level differences from claims that require current primary-source verification.</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0"/>
            </w:pPr>
            <w:r/>
            <w:r>
              <w:rPr>
                <w:b/>
                <w:color w:val="FFFFFF"/>
                <w:sz w:val="18"/>
              </w:rPr>
              <w:t>Dimension</w:t>
            </w:r>
          </w:p>
        </w:tc>
        <w:tc>
          <w:tcPr>
            <w:tcW w:type="dxa" w:w="4997"/>
            <w:vAlign w:val="center"/>
            <w:shd w:fill="12304A"/>
          </w:tcPr>
          <w:p>
            <w:pPr>
              <w:spacing w:after="0"/>
            </w:pPr>
            <w:r/>
            <w:r>
              <w:rPr>
                <w:b/>
                <w:color w:val="FFFFFF"/>
                <w:sz w:val="18"/>
              </w:rPr>
              <w:t>Careful comparison</w:t>
            </w:r>
          </w:p>
        </w:tc>
      </w:tr>
      <w:tr>
        <w:tc>
          <w:tcPr>
            <w:tcW w:type="dxa" w:w="4997"/>
            <w:vAlign w:val="center"/>
          </w:tcPr>
          <w:p>
            <w:pPr>
              <w:spacing w:after="0"/>
            </w:pPr>
            <w:r/>
            <w:r>
              <w:rPr>
                <w:b w:val="0"/>
                <w:sz w:val="17"/>
              </w:rPr>
              <w:t>Message content</w:t>
            </w:r>
          </w:p>
        </w:tc>
        <w:tc>
          <w:tcPr>
            <w:tcW w:type="dxa" w:w="4997"/>
            <w:vAlign w:val="center"/>
          </w:tcPr>
          <w:p>
            <w:pPr>
              <w:spacing w:after="0"/>
            </w:pPr>
            <w:r/>
            <w:r>
              <w:rPr>
                <w:b w:val="0"/>
                <w:sz w:val="17"/>
              </w:rPr>
              <w:t>Both offer end-to-end encryption for eligible personal chats and calls. This does not protect content on an unlocked/compromised endpoint or in a backup that is not end-to-end encrypted.</w:t>
            </w:r>
          </w:p>
        </w:tc>
      </w:tr>
      <w:tr>
        <w:tc>
          <w:tcPr>
            <w:tcW w:type="dxa" w:w="4997"/>
            <w:vAlign w:val="center"/>
            <w:shd w:fill="F2F6F8"/>
          </w:tcPr>
          <w:p>
            <w:pPr>
              <w:spacing w:after="0"/>
            </w:pPr>
            <w:r/>
            <w:r>
              <w:rPr>
                <w:b w:val="0"/>
                <w:sz w:val="17"/>
              </w:rPr>
              <w:t>Metadata</w:t>
            </w:r>
          </w:p>
        </w:tc>
        <w:tc>
          <w:tcPr>
            <w:tcW w:type="dxa" w:w="4997"/>
            <w:vAlign w:val="center"/>
            <w:shd w:fill="F2F6F8"/>
          </w:tcPr>
          <w:p>
            <w:pPr>
              <w:spacing w:after="0"/>
            </w:pPr>
            <w:r/>
            <w:r>
              <w:rPr>
                <w:b w:val="0"/>
                <w:sz w:val="17"/>
              </w:rPr>
              <w:t>Both services process some operational and account data. Signal publicly emphasizes minimizing stored information; avoid asserting that it stores “no metadata” or never observes network data.</w:t>
            </w:r>
          </w:p>
        </w:tc>
      </w:tr>
      <w:tr>
        <w:tc>
          <w:tcPr>
            <w:tcW w:type="dxa" w:w="4997"/>
            <w:vAlign w:val="center"/>
          </w:tcPr>
          <w:p>
            <w:pPr>
              <w:spacing w:after="0"/>
            </w:pPr>
            <w:r/>
            <w:r>
              <w:rPr>
                <w:b w:val="0"/>
                <w:sz w:val="17"/>
              </w:rPr>
              <w:t>Backups</w:t>
            </w:r>
          </w:p>
        </w:tc>
        <w:tc>
          <w:tcPr>
            <w:tcW w:type="dxa" w:w="4997"/>
            <w:vAlign w:val="center"/>
          </w:tcPr>
          <w:p>
            <w:pPr>
              <w:spacing w:after="0"/>
            </w:pPr>
            <w:r/>
            <w:r>
              <w:rPr>
                <w:b w:val="0"/>
                <w:sz w:val="17"/>
              </w:rPr>
              <w:t>WhatsApp offers end-to-end encrypted backup as an optional feature. Signal’s backup/transfer options vary by platform and release; do not generalize that all Signal backups are local-only or use one fixed passphrase scheme.</w:t>
            </w:r>
          </w:p>
        </w:tc>
      </w:tr>
      <w:tr>
        <w:tc>
          <w:tcPr>
            <w:tcW w:type="dxa" w:w="4997"/>
            <w:vAlign w:val="center"/>
            <w:shd w:fill="F2F6F8"/>
          </w:tcPr>
          <w:p>
            <w:pPr>
              <w:spacing w:after="0"/>
            </w:pPr>
            <w:r/>
            <w:r>
              <w:rPr>
                <w:b w:val="0"/>
                <w:sz w:val="17"/>
              </w:rPr>
              <w:t>Post-quantum</w:t>
            </w:r>
          </w:p>
        </w:tc>
        <w:tc>
          <w:tcPr>
            <w:tcW w:type="dxa" w:w="4997"/>
            <w:vAlign w:val="center"/>
            <w:shd w:fill="F2F6F8"/>
          </w:tcPr>
          <w:p>
            <w:pPr>
              <w:spacing w:after="0"/>
            </w:pPr>
            <w:r/>
            <w:r>
              <w:rPr>
                <w:b w:val="0"/>
                <w:sz w:val="17"/>
              </w:rPr>
              <w:t>Signal has deployed PQXDH in its protocol ecosystem. The supplied claim that WhatsApp has no post-quantum plan needs date-specific verification; do not infer a product-wide status from a policy’s silence.</w:t>
            </w:r>
          </w:p>
        </w:tc>
      </w:tr>
      <w:tr>
        <w:tc>
          <w:tcPr>
            <w:tcW w:type="dxa" w:w="4997"/>
            <w:vAlign w:val="center"/>
          </w:tcPr>
          <w:p>
            <w:pPr>
              <w:spacing w:after="0"/>
            </w:pPr>
            <w:r/>
            <w:r>
              <w:rPr>
                <w:b w:val="0"/>
                <w:sz w:val="17"/>
              </w:rPr>
              <w:t>Identity/anonymity</w:t>
            </w:r>
          </w:p>
        </w:tc>
        <w:tc>
          <w:tcPr>
            <w:tcW w:type="dxa" w:w="4997"/>
            <w:vAlign w:val="center"/>
          </w:tcPr>
          <w:p>
            <w:pPr>
              <w:spacing w:after="0"/>
            </w:pPr>
            <w:r/>
            <w:r>
              <w:rPr>
                <w:b w:val="0"/>
                <w:sz w:val="17"/>
              </w:rPr>
              <w:t>Both have account and discovery trade-offs. Phone-number privacy features and usernames do not make a user anonymous, and the supplied claims about Signal anonymous credentials and SGX-based discovery should not be repeated without specific current documentation.</w:t>
            </w:r>
          </w:p>
        </w:tc>
      </w:tr>
    </w:tbl>
    <w:p>
      <w:pPr>
        <w:spacing w:after="0"/>
      </w:pPr>
    </w:p>
    <w:p>
      <w:pPr>
        <w:pStyle w:val="Heading1"/>
      </w:pPr>
      <w:r>
        <w:t>1. How to read the comparison</w:t>
      </w:r>
    </w:p>
    <w:p>
      <w:r>
        <w:t>This document separates protocol properties from product and policy practices. A protocol specification describes what a cryptographic construction is designed to do; it does not, by itself, prove how a particular app version is configured, what telemetry is collected, or how long records are retained. Policy statements also describe commitments, not necessarily every implementation detail.</w:t>
      </w:r>
    </w:p>
    <w:p>
      <w:pPr>
        <w:pStyle w:val="ListBullet"/>
      </w:pPr>
      <w:r>
        <w:t>“End-to-end encrypted” means the service is not intended to possess the keys needed to read message content in transit. It does not conceal all metadata.</w:t>
      </w:r>
    </w:p>
    <w:p>
      <w:pPr>
        <w:pStyle w:val="ListBullet"/>
      </w:pPr>
      <w:r>
        <w:t>“Forward secrecy” limits the effect of later key compromise on previously protected messages, subject to implementation and endpoint security.</w:t>
      </w:r>
    </w:p>
    <w:p>
      <w:pPr>
        <w:pStyle w:val="ListBullet"/>
      </w:pPr>
      <w:r>
        <w:t>“Post-compromise security” describes recovery after compromise when fresh secret material is established; it is not a guarantee that a compromised device cannot read messages while compromised.</w:t>
      </w:r>
    </w:p>
    <w:p>
      <w:pPr>
        <w:pStyle w:val="ListBullet"/>
      </w:pPr>
      <w:r>
        <w:t>“Anonymous” is a stronger claim than “pseudonymous” or “less identifying.” Phone numbers, IP addresses, payment or registration signals, and social behavior may still enable correlation.</w:t>
      </w:r>
    </w:p>
    <w:p>
      <w:pPr>
        <w:pStyle w:val="Heading1"/>
      </w:pPr>
      <w:r>
        <w:t>2. Cryptographic architecture</w:t>
      </w:r>
    </w:p>
    <w:p>
      <w:pPr>
        <w:pStyle w:val="Heading2"/>
      </w:pPr>
      <w:r>
        <w:t>2.1 Personal messages and calls</w:t>
      </w:r>
    </w:p>
    <w:p>
      <w:r>
        <w:t>WhatsApp has publicly stated that personal messages and calls use the Signal Protocol. The protocol family includes asynchronous key establishment and ratcheting mechanisms. Signal also uses the Signal Protocol and publishes specifications for its components. The shared protocol lineage is a meaningful similarity, but it does not mean that the apps have identical configurations, feature behavior, server-side data practices, or release schedules.</w:t>
      </w:r>
    </w:p>
    <w:p>
      <w:r>
        <w:t>The supplied draft names X3DH, Double Ratchet, Curve25519, AES-256-CBC, HMAC-SHA256, and specific skip limits as if these were a complete, current implementation inventory for both products. Such parameter-level claims should be tied to the applicable protocol version and app release. Signal’s published specifications evolve; implementations may use different ciphersuites or formats for distinct functions. Avoid treating one table as universally true across all message types and platforms.</w:t>
      </w:r>
    </w:p>
    <w:p>
      <w:pPr>
        <w:pStyle w:val="Heading2"/>
      </w:pPr>
      <w:r>
        <w:t>2.2 Group messaging and multiple devices</w:t>
      </w:r>
    </w:p>
    <w:p>
      <w:r>
        <w:t>Sender Keys are used in group messaging designs to avoid encrypting each group message separately for every member. Multi-device systems also need to establish and manage sessions across a user’s devices. Sesame is a published algorithm for asynchronous multi-device session management in the Signal Protocol ecosystem. These design facts do not support a simple blanket conclusion that one product’s group messaging is categorically more secure: actual guarantees depend on key distribution, membership-change handling, implementation, and the specific protocol version.</w:t>
      </w:r>
    </w:p>
    <w:p>
      <w:pPr>
        <w:pStyle w:val="Heading2"/>
      </w:pPr>
      <w:r>
        <w:t>2.3 Post-quantum protection</w:t>
      </w:r>
    </w:p>
    <w:p>
      <w:r>
        <w:t>Signal’s PQXDH combines conventional authenticated key agreement with a post-quantum key-encapsulation mechanism, aiming to protect initial session establishment against harvest-now/decrypt-later attacks. Authentication and endpoint security remain important; hybrid post-quantum key agreement is not equivalent to making every part of the system quantum-proof. Signal has also published work on post-quantum ratcheting, including Sparse Post-Quantum Ratchet / “SPQR” in its evolving protocol materials; terminology and deployment status should be verified against current Signal documentation before describing it as “ML-KEM Braid.”</w:t>
      </w:r>
    </w:p>
    <w:p>
      <w:r>
        <w:t>The supplied draft says WhatsApp has no post-quantum plan because a named policy does not mention one. That is not sufficient evidence. State only that the cited WhatsApp privacy policy is not a cryptographic deployment specification; verify current WhatsApp engineering announcements and app behavior before making a present-tense comparison. Classical elliptic-curve key agreement is vulnerable to a sufficiently capable quantum computer, but exposure also depends on what was recorded, what keys were retained, and whether post-quantum protection is actually deployed.</w:t>
      </w:r>
    </w:p>
    <w:p>
      <w:pPr>
        <w:pStyle w:val="Heading1"/>
      </w:pPr>
      <w:r>
        <w:t>3. Metadata, contacts, and identity</w:t>
      </w:r>
    </w:p>
    <w:p>
      <w:pPr>
        <w:pStyle w:val="Heading2"/>
      </w:pPr>
      <w:r>
        <w:t>3.1 Metadata is not message content</w:t>
      </w:r>
    </w:p>
    <w:p>
      <w:r>
        <w:t>Services may need account identifiers, device and connection information, delivery state, timestamps, and abuse-prevention signals to operate. End-to-end encryption generally protects content, not all of these operational signals. The amount collected, retained, and disclosed is determined by product design, settings, policy, and jurisdiction—not by the encryption protocol alone.</w:t>
      </w:r>
    </w:p>
    <w:p>
      <w:r>
        <w:t>The source draft lists WhatsApp metadata as “plaintext,” “indefinite,” and fully available to Meta, including a complete contact graph and device identifiers. These are overly broad unless each item is supported by a current policy or technical source. Data can be encrypted in transit or at rest yet still be accessible to the service; retention varies by data type and purpose. Prefer the precise wording in the applicable privacy policy and legal transparency materials.</w:t>
      </w:r>
    </w:p>
    <w:p>
      <w:pPr>
        <w:pStyle w:val="Heading2"/>
      </w:pPr>
      <w:r>
        <w:t>3.2 Signal minimization and sealed sender</w:t>
      </w:r>
    </w:p>
    <w:p>
      <w:r>
        <w:t>Signal’s public design emphasizes minimizing server-held data. Sealed Sender is a protocol feature intended to obscure sender identity from the service in supported circumstances. It does not mean the service can never infer a sender, nor does it hide recipient, timing, traffic volume, or network-layer information in every context. Recipient devices and network observers may still learn information.</w:t>
      </w:r>
    </w:p>
    <w:p>
      <w:r>
        <w:t>Avoid claiming categorically that Signal “does not log IP addresses,” stores “no metadata,” or can disclose only two exact data fields without citing a current, dated legal response or policy. A service may observe connection data transiently even if it does not retain it. Signal’s well-known law-enforcement response examples are useful evidence of limited retained account data at those times, not a guarantee that no other operational information exists in all circumstances.</w:t>
      </w:r>
    </w:p>
    <w:p>
      <w:pPr>
        <w:pStyle w:val="Heading2"/>
      </w:pPr>
      <w:r>
        <w:t>3.3 Contact discovery and phone-number privacy</w:t>
      </w:r>
    </w:p>
    <w:p>
      <w:r>
        <w:t>The draft’s description of WhatsApp contact matching as a static-salt deterministic hash that is easily reversed, and Signal contact discovery as universally SGX-based with zero server knowledge, needs primary-source verification and likely overstates implementation specifics. Hashing phone numbers does not make them anonymous because the input space is small and enumerable; however, the exact contact-discovery mechanism and protections must be described from current technical documentation.</w:t>
      </w:r>
    </w:p>
    <w:p>
      <w:r>
        <w:t>Both services have had phone-number-based account models, while Signal has introduced usernames and phone-number privacy controls. Such controls can reduce exposure to other users, but registration, recovery, contact matching, and service-side account associations must be assessed separately. The draft’s claims that Signal uses zero-knowledge anonymous credentials to prevent server linkage should be removed unless a current primary source establishes that exact mechanism.</w:t>
      </w:r>
    </w:p>
    <w:p>
      <w:pPr>
        <w:pStyle w:val="Heading1"/>
      </w:pPr>
      <w:r>
        <w:t>4. Backups and data at rest</w:t>
      </w:r>
    </w:p>
    <w:p>
      <w:pPr>
        <w:pStyle w:val="Heading2"/>
      </w:pPr>
      <w:r>
        <w:t>4.1 WhatsApp</w:t>
      </w:r>
    </w:p>
    <w:p>
      <w:r>
        <w:t>WhatsApp offers an optional end-to-end encrypted backup feature for supported accounts and configurations. Without that protection, cloud backup security depends on the cloud provider’s controls and the applicable account settings. With it, recovery depends on the backup password or key and the product’s key-management process. The supplied details—specific KDF alternatives, a fixed 64-digit key, universal metadata exposure, and a categorical assertion that default backups are readable by WhatsApp—should be checked against the current WhatsApp Help Center documentation and the user’s platform/version.</w:t>
      </w:r>
    </w:p>
    <w:p>
      <w:pPr>
        <w:pStyle w:val="Heading2"/>
      </w:pPr>
      <w:r>
        <w:t>4.2 Signal</w:t>
      </w:r>
    </w:p>
    <w:p>
      <w:r>
        <w:t>Signal backup, device-transfer, and storage behavior is platform- and version-dependent. The claim that Signal universally uses local backups with a 30-digit passphrase, Argon2, and AES-256-CBC/HMAC should not be treated as a current universal specification without a primary source. The practical principle remains: understand whether a particular backup is created, where it is stored, who controls the recovery secret, and whether the service or cloud provider can access plaintext.</w:t>
      </w:r>
    </w:p>
    <w:p>
      <w:pPr>
        <w:pStyle w:val="Heading1"/>
      </w:pPr>
      <w:r>
        <w:t>5. Threat model and legal access</w:t>
      </w:r>
    </w:p>
    <w:p>
      <w:r>
        <w:t>End-to-end encryption is most directly relevant to interception of message content in transit and provider access to stored message bodies. It does not prevent a recipient from copying content, malware or forensic access on an endpoint, notification previews, screenshots, or disclosure by a cloud backup provider when a backup is not end-to-end encrypted. “View once” is a user-interface control, not a guarantee against external recording.</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0"/>
            </w:pPr>
            <w:r/>
            <w:r>
              <w:rPr>
                <w:b/>
                <w:color w:val="FFFFFF"/>
                <w:sz w:val="18"/>
              </w:rPr>
              <w:t>Information source</w:t>
            </w:r>
          </w:p>
        </w:tc>
        <w:tc>
          <w:tcPr>
            <w:tcW w:type="dxa" w:w="4997"/>
            <w:vAlign w:val="center"/>
            <w:shd w:fill="12304A"/>
          </w:tcPr>
          <w:p>
            <w:pPr>
              <w:spacing w:after="0"/>
            </w:pPr>
            <w:r/>
            <w:r>
              <w:rPr>
                <w:b/>
                <w:color w:val="FFFFFF"/>
                <w:sz w:val="18"/>
              </w:rPr>
              <w:t>What may be exposed</w:t>
            </w:r>
          </w:p>
        </w:tc>
      </w:tr>
      <w:tr>
        <w:tc>
          <w:tcPr>
            <w:tcW w:type="dxa" w:w="4997"/>
            <w:vAlign w:val="center"/>
          </w:tcPr>
          <w:p>
            <w:pPr>
              <w:spacing w:after="0"/>
            </w:pPr>
            <w:r/>
            <w:r>
              <w:rPr>
                <w:b w:val="0"/>
                <w:sz w:val="17"/>
              </w:rPr>
              <w:t>Messaging provider</w:t>
            </w:r>
          </w:p>
        </w:tc>
        <w:tc>
          <w:tcPr>
            <w:tcW w:type="dxa" w:w="4997"/>
            <w:vAlign w:val="center"/>
          </w:tcPr>
          <w:p>
            <w:pPr>
              <w:spacing w:after="0"/>
            </w:pPr>
            <w:r/>
            <w:r>
              <w:rPr>
                <w:b w:val="0"/>
                <w:sz w:val="17"/>
              </w:rPr>
              <w:t>Account and service data retained under its policy; encrypted content may remain inaccessible, while operational metadata may be available.</w:t>
            </w:r>
          </w:p>
        </w:tc>
      </w:tr>
      <w:tr>
        <w:tc>
          <w:tcPr>
            <w:tcW w:type="dxa" w:w="4997"/>
            <w:vAlign w:val="center"/>
            <w:shd w:fill="F2F6F8"/>
          </w:tcPr>
          <w:p>
            <w:pPr>
              <w:spacing w:after="0"/>
            </w:pPr>
            <w:r/>
            <w:r>
              <w:rPr>
                <w:b w:val="0"/>
                <w:sz w:val="17"/>
              </w:rPr>
              <w:t>Cloud backup provider</w:t>
            </w:r>
          </w:p>
        </w:tc>
        <w:tc>
          <w:tcPr>
            <w:tcW w:type="dxa" w:w="4997"/>
            <w:vAlign w:val="center"/>
            <w:shd w:fill="F2F6F8"/>
          </w:tcPr>
          <w:p>
            <w:pPr>
              <w:spacing w:after="0"/>
            </w:pPr>
            <w:r/>
            <w:r>
              <w:rPr>
                <w:b w:val="0"/>
                <w:sz w:val="17"/>
              </w:rPr>
              <w:t>Backup data and associated account metadata, depending on whether end-to-end backup encryption is enabled and how keys are held.</w:t>
            </w:r>
          </w:p>
        </w:tc>
      </w:tr>
      <w:tr>
        <w:tc>
          <w:tcPr>
            <w:tcW w:type="dxa" w:w="4997"/>
            <w:vAlign w:val="center"/>
          </w:tcPr>
          <w:p>
            <w:pPr>
              <w:spacing w:after="0"/>
            </w:pPr>
            <w:r/>
            <w:r>
              <w:rPr>
                <w:b w:val="0"/>
                <w:sz w:val="17"/>
              </w:rPr>
              <w:t>Network provider / observer</w:t>
            </w:r>
          </w:p>
        </w:tc>
        <w:tc>
          <w:tcPr>
            <w:tcW w:type="dxa" w:w="4997"/>
            <w:vAlign w:val="center"/>
          </w:tcPr>
          <w:p>
            <w:pPr>
              <w:spacing w:after="0"/>
            </w:pPr>
            <w:r/>
            <w:r>
              <w:rPr>
                <w:b w:val="0"/>
                <w:sz w:val="17"/>
              </w:rPr>
              <w:t>Connection endpoints, timing, volume, and IP-level information; encryption does not hide all traffic patterns.</w:t>
            </w:r>
          </w:p>
        </w:tc>
      </w:tr>
      <w:tr>
        <w:tc>
          <w:tcPr>
            <w:tcW w:type="dxa" w:w="4997"/>
            <w:vAlign w:val="center"/>
            <w:shd w:fill="F2F6F8"/>
          </w:tcPr>
          <w:p>
            <w:pPr>
              <w:spacing w:after="0"/>
            </w:pPr>
            <w:r/>
            <w:r>
              <w:rPr>
                <w:b w:val="0"/>
                <w:sz w:val="17"/>
              </w:rPr>
              <w:t>Recipient / endpoint</w:t>
            </w:r>
          </w:p>
        </w:tc>
        <w:tc>
          <w:tcPr>
            <w:tcW w:type="dxa" w:w="4997"/>
            <w:vAlign w:val="center"/>
            <w:shd w:fill="F2F6F8"/>
          </w:tcPr>
          <w:p>
            <w:pPr>
              <w:spacing w:after="0"/>
            </w:pPr>
            <w:r/>
            <w:r>
              <w:rPr>
                <w:b w:val="0"/>
                <w:sz w:val="17"/>
              </w:rPr>
              <w:t>Plaintext displayed on the device, local notifications, exports, linked devices, and anything captured by a recipient or malware.</w:t>
            </w:r>
          </w:p>
        </w:tc>
      </w:tr>
      <w:tr>
        <w:tc>
          <w:tcPr>
            <w:tcW w:type="dxa" w:w="4997"/>
            <w:vAlign w:val="center"/>
          </w:tcPr>
          <w:p>
            <w:pPr>
              <w:spacing w:after="0"/>
            </w:pPr>
            <w:r/>
            <w:r>
              <w:rPr>
                <w:b w:val="0"/>
                <w:sz w:val="17"/>
              </w:rPr>
              <w:t>Legal process</w:t>
            </w:r>
          </w:p>
        </w:tc>
        <w:tc>
          <w:tcPr>
            <w:tcW w:type="dxa" w:w="4997"/>
            <w:vAlign w:val="center"/>
          </w:tcPr>
          <w:p>
            <w:pPr>
              <w:spacing w:after="0"/>
            </w:pPr>
            <w:r/>
            <w:r>
              <w:rPr>
                <w:b w:val="0"/>
                <w:sz w:val="17"/>
              </w:rPr>
              <w:t>The provider can disclose data it retains and is legally compelled to produce, subject to applicable law and process. It cannot produce plaintext it cannot access, but endpoint or cloud data may be obtained elsewhere.</w:t>
            </w:r>
          </w:p>
        </w:tc>
      </w:tr>
    </w:tbl>
    <w:p>
      <w:pPr>
        <w:spacing w:after="0"/>
      </w:pPr>
    </w:p>
    <w:p>
      <w:r>
        <w:t>Avoid absolute claims such as WhatsApp can provide a complete contact graph or Signal can provide “nothing” beyond two fields. Capabilities depend on actual retention, jurisdiction, request scope, and the data held at the relevant time.</w:t>
      </w:r>
    </w:p>
    <w:p>
      <w:pPr>
        <w:pStyle w:val="Heading1"/>
      </w:pPr>
      <w:r>
        <w:t>6. Comparative snapshot</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12304A"/>
          </w:tcPr>
          <w:p>
            <w:pPr>
              <w:spacing w:after="0"/>
            </w:pPr>
            <w:r/>
            <w:r>
              <w:rPr>
                <w:b/>
                <w:color w:val="FFFFFF"/>
                <w:sz w:val="18"/>
              </w:rPr>
              <w:t>Area</w:t>
            </w:r>
          </w:p>
        </w:tc>
        <w:tc>
          <w:tcPr>
            <w:tcW w:type="dxa" w:w="2498"/>
            <w:vAlign w:val="center"/>
            <w:shd w:fill="12304A"/>
          </w:tcPr>
          <w:p>
            <w:pPr>
              <w:spacing w:after="0"/>
            </w:pPr>
            <w:r/>
            <w:r>
              <w:rPr>
                <w:b/>
                <w:color w:val="FFFFFF"/>
                <w:sz w:val="18"/>
              </w:rPr>
              <w:t>WhatsApp</w:t>
            </w:r>
          </w:p>
        </w:tc>
        <w:tc>
          <w:tcPr>
            <w:tcW w:type="dxa" w:w="2498"/>
            <w:vAlign w:val="center"/>
            <w:shd w:fill="12304A"/>
          </w:tcPr>
          <w:p>
            <w:pPr>
              <w:spacing w:after="0"/>
            </w:pPr>
            <w:r/>
            <w:r>
              <w:rPr>
                <w:b/>
                <w:color w:val="FFFFFF"/>
                <w:sz w:val="18"/>
              </w:rPr>
              <w:t>Signal</w:t>
            </w:r>
          </w:p>
        </w:tc>
        <w:tc>
          <w:tcPr>
            <w:tcW w:type="dxa" w:w="2498"/>
            <w:vAlign w:val="center"/>
            <w:shd w:fill="12304A"/>
          </w:tcPr>
          <w:p>
            <w:pPr>
              <w:spacing w:after="0"/>
            </w:pPr>
            <w:r/>
            <w:r>
              <w:rPr>
                <w:b/>
                <w:color w:val="FFFFFF"/>
                <w:sz w:val="18"/>
              </w:rPr>
              <w:t>Interpretation</w:t>
            </w:r>
          </w:p>
        </w:tc>
      </w:tr>
      <w:tr>
        <w:tc>
          <w:tcPr>
            <w:tcW w:type="dxa" w:w="2498"/>
            <w:vAlign w:val="center"/>
          </w:tcPr>
          <w:p>
            <w:pPr>
              <w:spacing w:after="0"/>
            </w:pPr>
            <w:r/>
            <w:r>
              <w:rPr>
                <w:b w:val="0"/>
                <w:sz w:val="17"/>
              </w:rPr>
              <w:t>Personal-message E2EE</w:t>
            </w:r>
          </w:p>
        </w:tc>
        <w:tc>
          <w:tcPr>
            <w:tcW w:type="dxa" w:w="2498"/>
            <w:vAlign w:val="center"/>
          </w:tcPr>
          <w:p>
            <w:pPr>
              <w:spacing w:after="0"/>
            </w:pPr>
            <w:r/>
            <w:r>
              <w:rPr>
                <w:b w:val="0"/>
                <w:sz w:val="17"/>
              </w:rPr>
              <w:t>Uses Signal Protocol for eligible personal messaging and calls.</w:t>
            </w:r>
          </w:p>
        </w:tc>
        <w:tc>
          <w:tcPr>
            <w:tcW w:type="dxa" w:w="2498"/>
            <w:vAlign w:val="center"/>
          </w:tcPr>
          <w:p>
            <w:pPr>
              <w:spacing w:after="0"/>
            </w:pPr>
            <w:r/>
            <w:r>
              <w:rPr>
                <w:b w:val="0"/>
                <w:sz w:val="17"/>
              </w:rPr>
              <w:t>Uses Signal Protocol; publishes specifications.</w:t>
            </w:r>
          </w:p>
        </w:tc>
        <w:tc>
          <w:tcPr>
            <w:tcW w:type="dxa" w:w="2498"/>
            <w:vAlign w:val="center"/>
          </w:tcPr>
          <w:p>
            <w:pPr>
              <w:spacing w:after="0"/>
            </w:pPr>
            <w:r/>
            <w:r>
              <w:rPr>
                <w:b w:val="0"/>
                <w:sz w:val="17"/>
              </w:rPr>
              <w:t>Strong baseline in both; verify feature-specific coverage.</w:t>
            </w:r>
          </w:p>
        </w:tc>
      </w:tr>
      <w:tr>
        <w:tc>
          <w:tcPr>
            <w:tcW w:type="dxa" w:w="2498"/>
            <w:vAlign w:val="center"/>
            <w:shd w:fill="F2F6F8"/>
          </w:tcPr>
          <w:p>
            <w:pPr>
              <w:spacing w:after="0"/>
            </w:pPr>
            <w:r/>
            <w:r>
              <w:rPr>
                <w:b w:val="0"/>
                <w:sz w:val="17"/>
              </w:rPr>
              <w:t>Metadata minimization</w:t>
            </w:r>
          </w:p>
        </w:tc>
        <w:tc>
          <w:tcPr>
            <w:tcW w:type="dxa" w:w="2498"/>
            <w:vAlign w:val="center"/>
            <w:shd w:fill="F2F6F8"/>
          </w:tcPr>
          <w:p>
            <w:pPr>
              <w:spacing w:after="0"/>
            </w:pPr>
            <w:r/>
            <w:r>
              <w:rPr>
                <w:b w:val="0"/>
                <w:sz w:val="17"/>
              </w:rPr>
              <w:t>Broader service ecosystem and data practices; inspect current policy.</w:t>
            </w:r>
          </w:p>
        </w:tc>
        <w:tc>
          <w:tcPr>
            <w:tcW w:type="dxa" w:w="2498"/>
            <w:vAlign w:val="center"/>
            <w:shd w:fill="F2F6F8"/>
          </w:tcPr>
          <w:p>
            <w:pPr>
              <w:spacing w:after="0"/>
            </w:pPr>
            <w:r/>
            <w:r>
              <w:rPr>
                <w:b w:val="0"/>
                <w:sz w:val="17"/>
              </w:rPr>
              <w:t>Explicit design emphasis on minimizing server-held data.</w:t>
            </w:r>
          </w:p>
        </w:tc>
        <w:tc>
          <w:tcPr>
            <w:tcW w:type="dxa" w:w="2498"/>
            <w:vAlign w:val="center"/>
            <w:shd w:fill="F2F6F8"/>
          </w:tcPr>
          <w:p>
            <w:pPr>
              <w:spacing w:after="0"/>
            </w:pPr>
            <w:r/>
            <w:r>
              <w:rPr>
                <w:b w:val="0"/>
                <w:sz w:val="17"/>
              </w:rPr>
              <w:t>Signal generally has the stronger minimization posture; avoid “zero metadata.”</w:t>
            </w:r>
          </w:p>
        </w:tc>
      </w:tr>
      <w:tr>
        <w:tc>
          <w:tcPr>
            <w:tcW w:type="dxa" w:w="2498"/>
            <w:vAlign w:val="center"/>
          </w:tcPr>
          <w:p>
            <w:pPr>
              <w:spacing w:after="0"/>
            </w:pPr>
            <w:r/>
            <w:r>
              <w:rPr>
                <w:b w:val="0"/>
                <w:sz w:val="17"/>
              </w:rPr>
              <w:t>Sender privacy</w:t>
            </w:r>
          </w:p>
        </w:tc>
        <w:tc>
          <w:tcPr>
            <w:tcW w:type="dxa" w:w="2498"/>
            <w:vAlign w:val="center"/>
          </w:tcPr>
          <w:p>
            <w:pPr>
              <w:spacing w:after="0"/>
            </w:pPr>
            <w:r/>
            <w:r>
              <w:rPr>
                <w:b w:val="0"/>
                <w:sz w:val="17"/>
              </w:rPr>
              <w:t>Server-side delivery design may expose sender/account context.</w:t>
            </w:r>
          </w:p>
        </w:tc>
        <w:tc>
          <w:tcPr>
            <w:tcW w:type="dxa" w:w="2498"/>
            <w:vAlign w:val="center"/>
          </w:tcPr>
          <w:p>
            <w:pPr>
              <w:spacing w:after="0"/>
            </w:pPr>
            <w:r/>
            <w:r>
              <w:rPr>
                <w:b w:val="0"/>
                <w:sz w:val="17"/>
              </w:rPr>
              <w:t>Sealed Sender can reduce service visibility in supported cases.</w:t>
            </w:r>
          </w:p>
        </w:tc>
        <w:tc>
          <w:tcPr>
            <w:tcW w:type="dxa" w:w="2498"/>
            <w:vAlign w:val="center"/>
          </w:tcPr>
          <w:p>
            <w:pPr>
              <w:spacing w:after="0"/>
            </w:pPr>
            <w:r/>
            <w:r>
              <w:rPr>
                <w:b w:val="0"/>
                <w:sz w:val="17"/>
              </w:rPr>
              <w:t>A meaningful feature distinction, not total anonymity.</w:t>
            </w:r>
          </w:p>
        </w:tc>
      </w:tr>
      <w:tr>
        <w:tc>
          <w:tcPr>
            <w:tcW w:type="dxa" w:w="2498"/>
            <w:vAlign w:val="center"/>
            <w:shd w:fill="F2F6F8"/>
          </w:tcPr>
          <w:p>
            <w:pPr>
              <w:spacing w:after="0"/>
            </w:pPr>
            <w:r/>
            <w:r>
              <w:rPr>
                <w:b w:val="0"/>
                <w:sz w:val="17"/>
              </w:rPr>
              <w:t>Post-quantum</w:t>
            </w:r>
          </w:p>
        </w:tc>
        <w:tc>
          <w:tcPr>
            <w:tcW w:type="dxa" w:w="2498"/>
            <w:vAlign w:val="center"/>
            <w:shd w:fill="F2F6F8"/>
          </w:tcPr>
          <w:p>
            <w:pPr>
              <w:spacing w:after="0"/>
            </w:pPr>
            <w:r/>
            <w:r>
              <w:rPr>
                <w:b w:val="0"/>
                <w:sz w:val="17"/>
              </w:rPr>
              <w:t>Current status must be confirmed from dated technical sources.</w:t>
            </w:r>
          </w:p>
        </w:tc>
        <w:tc>
          <w:tcPr>
            <w:tcW w:type="dxa" w:w="2498"/>
            <w:vAlign w:val="center"/>
            <w:shd w:fill="F2F6F8"/>
          </w:tcPr>
          <w:p>
            <w:pPr>
              <w:spacing w:after="0"/>
            </w:pPr>
            <w:r/>
            <w:r>
              <w:rPr>
                <w:b w:val="0"/>
                <w:sz w:val="17"/>
              </w:rPr>
              <w:t>PQXDH and post-quantum ratchet work are documented in Signal materials.</w:t>
            </w:r>
          </w:p>
        </w:tc>
        <w:tc>
          <w:tcPr>
            <w:tcW w:type="dxa" w:w="2498"/>
            <w:vAlign w:val="center"/>
            <w:shd w:fill="F2F6F8"/>
          </w:tcPr>
          <w:p>
            <w:pPr>
              <w:spacing w:after="0"/>
            </w:pPr>
            <w:r/>
            <w:r>
              <w:rPr>
                <w:b w:val="0"/>
                <w:sz w:val="17"/>
              </w:rPr>
              <w:t>Signal has a documented post-quantum direction; deployment claims require version/date.</w:t>
            </w:r>
          </w:p>
        </w:tc>
      </w:tr>
      <w:tr>
        <w:tc>
          <w:tcPr>
            <w:tcW w:type="dxa" w:w="2498"/>
            <w:vAlign w:val="center"/>
          </w:tcPr>
          <w:p>
            <w:pPr>
              <w:spacing w:after="0"/>
            </w:pPr>
            <w:r/>
            <w:r>
              <w:rPr>
                <w:b w:val="0"/>
                <w:sz w:val="17"/>
              </w:rPr>
              <w:t>Backups</w:t>
            </w:r>
          </w:p>
        </w:tc>
        <w:tc>
          <w:tcPr>
            <w:tcW w:type="dxa" w:w="2498"/>
            <w:vAlign w:val="center"/>
          </w:tcPr>
          <w:p>
            <w:pPr>
              <w:spacing w:after="0"/>
            </w:pPr>
            <w:r/>
            <w:r>
              <w:rPr>
                <w:b w:val="0"/>
                <w:sz w:val="17"/>
              </w:rPr>
              <w:t>Optional E2EE backup is available in supported settings.</w:t>
            </w:r>
          </w:p>
        </w:tc>
        <w:tc>
          <w:tcPr>
            <w:tcW w:type="dxa" w:w="2498"/>
            <w:vAlign w:val="center"/>
          </w:tcPr>
          <w:p>
            <w:pPr>
              <w:spacing w:after="0"/>
            </w:pPr>
            <w:r/>
            <w:r>
              <w:rPr>
                <w:b w:val="0"/>
                <w:sz w:val="17"/>
              </w:rPr>
              <w:t>Options differ by platform and release.</w:t>
            </w:r>
          </w:p>
        </w:tc>
        <w:tc>
          <w:tcPr>
            <w:tcW w:type="dxa" w:w="2498"/>
            <w:vAlign w:val="center"/>
          </w:tcPr>
          <w:p>
            <w:pPr>
              <w:spacing w:after="0"/>
            </w:pPr>
            <w:r/>
            <w:r>
              <w:rPr>
                <w:b w:val="0"/>
                <w:sz w:val="17"/>
              </w:rPr>
              <w:t>Compare actual settings, key custody, and cloud location.</w:t>
            </w:r>
          </w:p>
        </w:tc>
      </w:tr>
      <w:tr>
        <w:tc>
          <w:tcPr>
            <w:tcW w:type="dxa" w:w="2498"/>
            <w:vAlign w:val="center"/>
            <w:shd w:fill="F2F6F8"/>
          </w:tcPr>
          <w:p>
            <w:pPr>
              <w:spacing w:after="0"/>
            </w:pPr>
            <w:r/>
            <w:r>
              <w:rPr>
                <w:b w:val="0"/>
                <w:sz w:val="17"/>
              </w:rPr>
              <w:t>Account identity</w:t>
            </w:r>
          </w:p>
        </w:tc>
        <w:tc>
          <w:tcPr>
            <w:tcW w:type="dxa" w:w="2498"/>
            <w:vAlign w:val="center"/>
            <w:shd w:fill="F2F6F8"/>
          </w:tcPr>
          <w:p>
            <w:pPr>
              <w:spacing w:after="0"/>
            </w:pPr>
            <w:r/>
            <w:r>
              <w:rPr>
                <w:b w:val="0"/>
                <w:sz w:val="17"/>
              </w:rPr>
              <w:t>Phone number is central to account use.</w:t>
            </w:r>
          </w:p>
        </w:tc>
        <w:tc>
          <w:tcPr>
            <w:tcW w:type="dxa" w:w="2498"/>
            <w:vAlign w:val="center"/>
            <w:shd w:fill="F2F6F8"/>
          </w:tcPr>
          <w:p>
            <w:pPr>
              <w:spacing w:after="0"/>
            </w:pPr>
            <w:r/>
            <w:r>
              <w:rPr>
                <w:b w:val="0"/>
                <w:sz w:val="17"/>
              </w:rPr>
              <w:t>Phone-number privacy and usernames can reduce exposure; registration implications remain.</w:t>
            </w:r>
          </w:p>
        </w:tc>
        <w:tc>
          <w:tcPr>
            <w:tcW w:type="dxa" w:w="2498"/>
            <w:vAlign w:val="center"/>
            <w:shd w:fill="F2F6F8"/>
          </w:tcPr>
          <w:p>
            <w:pPr>
              <w:spacing w:after="0"/>
            </w:pPr>
            <w:r/>
            <w:r>
              <w:rPr>
                <w:b w:val="0"/>
                <w:sz w:val="17"/>
              </w:rPr>
              <w:t>Neither should be described as anonymous by default.</w:t>
            </w:r>
          </w:p>
        </w:tc>
      </w:tr>
      <w:tr>
        <w:tc>
          <w:tcPr>
            <w:tcW w:type="dxa" w:w="2498"/>
            <w:vAlign w:val="center"/>
          </w:tcPr>
          <w:p>
            <w:pPr>
              <w:spacing w:after="0"/>
            </w:pPr>
            <w:r/>
            <w:r>
              <w:rPr>
                <w:b w:val="0"/>
                <w:sz w:val="17"/>
              </w:rPr>
              <w:t>Independent review</w:t>
            </w:r>
          </w:p>
        </w:tc>
        <w:tc>
          <w:tcPr>
            <w:tcW w:type="dxa" w:w="2498"/>
            <w:vAlign w:val="center"/>
          </w:tcPr>
          <w:p>
            <w:pPr>
              <w:spacing w:after="0"/>
            </w:pPr>
            <w:r/>
            <w:r>
              <w:rPr>
                <w:b w:val="0"/>
                <w:sz w:val="17"/>
              </w:rPr>
              <w:t>Protocol based on public cryptography; app/service details remain product-specific.</w:t>
            </w:r>
          </w:p>
        </w:tc>
        <w:tc>
          <w:tcPr>
            <w:tcW w:type="dxa" w:w="2498"/>
            <w:vAlign w:val="center"/>
          </w:tcPr>
          <w:p>
            <w:pPr>
              <w:spacing w:after="0"/>
            </w:pPr>
            <w:r/>
            <w:r>
              <w:rPr>
                <w:b w:val="0"/>
                <w:sz w:val="17"/>
              </w:rPr>
              <w:t>Extensive public protocol documentation and external research.</w:t>
            </w:r>
          </w:p>
        </w:tc>
        <w:tc>
          <w:tcPr>
            <w:tcW w:type="dxa" w:w="2498"/>
            <w:vAlign w:val="center"/>
          </w:tcPr>
          <w:p>
            <w:pPr>
              <w:spacing w:after="0"/>
            </w:pPr>
            <w:r/>
            <w:r>
              <w:rPr>
                <w:b w:val="0"/>
                <w:sz w:val="17"/>
              </w:rPr>
              <w:t>Published specs improve scrutiny but do not replace implementation audits.</w:t>
            </w:r>
          </w:p>
        </w:tc>
      </w:tr>
    </w:tbl>
    <w:p>
      <w:pPr>
        <w:spacing w:after="0"/>
      </w:pPr>
    </w:p>
    <w:p>
      <w:pPr>
        <w:pStyle w:val="Heading1"/>
      </w:pPr>
      <w:r>
        <w:t>7. Practical recommendations</w:t>
      </w:r>
    </w:p>
    <w:p>
      <w:pPr>
        <w:pStyle w:val="Heading2"/>
      </w:pPr>
      <w:r>
        <w:t>For users</w:t>
      </w:r>
    </w:p>
    <w:p>
      <w:pPr>
        <w:pStyle w:val="ListBullet"/>
      </w:pPr>
      <w:r>
        <w:t>Enable WhatsApp end-to-end encrypted backups if you use cloud backups, and protect the recovery secret with a reputable password manager.</w:t>
      </w:r>
    </w:p>
    <w:p>
      <w:pPr>
        <w:pStyle w:val="ListBullet"/>
      </w:pPr>
      <w:r>
        <w:t>Review linked devices, account recovery, registration lock/PIN, contact-discovery permissions, profile visibility, and cloud backup settings in either app.</w:t>
      </w:r>
    </w:p>
    <w:p>
      <w:pPr>
        <w:pStyle w:val="ListBullet"/>
      </w:pPr>
      <w:r>
        <w:t>Keep the operating system and app updated; use a strong device passcode and protect notification previews.</w:t>
      </w:r>
    </w:p>
    <w:p>
      <w:pPr>
        <w:pStyle w:val="ListBullet"/>
      </w:pPr>
      <w:r>
        <w:t>For sensitive conversations, assess the full threat model: endpoint compromise, recipient trust, backups, traffic analysis, and legal jurisdiction.</w:t>
      </w:r>
    </w:p>
    <w:p>
      <w:pPr>
        <w:pStyle w:val="ListBullet"/>
      </w:pPr>
      <w:r>
        <w:t>Verify safety numbers or equivalent identity indicators for high-risk conversations using an authenticated channel.</w:t>
      </w:r>
    </w:p>
    <w:p>
      <w:pPr>
        <w:pStyle w:val="Heading2"/>
      </w:pPr>
      <w:r>
        <w:t>For organizations and evaluators</w:t>
      </w:r>
    </w:p>
    <w:p>
      <w:pPr>
        <w:pStyle w:val="ListBullet"/>
      </w:pPr>
      <w:r>
        <w:t>Use dated primary sources and separate policy statements from cryptographic specifications.</w:t>
      </w:r>
    </w:p>
    <w:p>
      <w:pPr>
        <w:pStyle w:val="ListBullet"/>
      </w:pPr>
      <w:r>
        <w:t>Record the app version, platform, region, and setting state when evaluating a feature.</w:t>
      </w:r>
    </w:p>
    <w:p>
      <w:pPr>
        <w:pStyle w:val="ListBullet"/>
      </w:pPr>
      <w:r>
        <w:t>Do not infer implementation details from policy silence or general protocol adoption.</w:t>
      </w:r>
    </w:p>
    <w:p>
      <w:pPr>
        <w:pStyle w:val="ListBullet"/>
      </w:pPr>
      <w:r>
        <w:t>Require explicit evidence for retention periods, IP logging, contact discovery, KDFs, ciphersuites, and law-enforcement disclosure claims.</w:t>
      </w:r>
    </w:p>
    <w:p>
      <w:pPr>
        <w:pStyle w:val="ListBullet"/>
      </w:pPr>
      <w:r>
        <w:t>Reassess periodically; privacy controls and protocol deployments change.</w:t>
      </w:r>
    </w:p>
    <w:p>
      <w:pPr>
        <w:pStyle w:val="Heading1"/>
      </w:pPr>
      <w:r>
        <w:t>8. Claims in the supplied draft that need correction or stronger sourcing</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0"/>
            </w:pPr>
            <w:r/>
            <w:r>
              <w:rPr>
                <w:b/>
                <w:color w:val="FFFFFF"/>
                <w:sz w:val="18"/>
              </w:rPr>
              <w:t>Draft assertion</w:t>
            </w:r>
          </w:p>
        </w:tc>
        <w:tc>
          <w:tcPr>
            <w:tcW w:type="dxa" w:w="4997"/>
            <w:vAlign w:val="center"/>
            <w:shd w:fill="12304A"/>
          </w:tcPr>
          <w:p>
            <w:pPr>
              <w:spacing w:after="0"/>
            </w:pPr>
            <w:r/>
            <w:r>
              <w:rPr>
                <w:b/>
                <w:color w:val="FFFFFF"/>
                <w:sz w:val="18"/>
              </w:rPr>
              <w:t>Recommended treatment</w:t>
            </w:r>
          </w:p>
        </w:tc>
      </w:tr>
      <w:tr>
        <w:tc>
          <w:tcPr>
            <w:tcW w:type="dxa" w:w="4997"/>
            <w:vAlign w:val="center"/>
          </w:tcPr>
          <w:p>
            <w:pPr>
              <w:spacing w:after="0"/>
            </w:pPr>
            <w:r/>
            <w:r>
              <w:rPr>
                <w:b w:val="0"/>
                <w:sz w:val="17"/>
              </w:rPr>
              <w:t>“Signal uses SGX-based contact discovery and learns nothing.”</w:t>
            </w:r>
          </w:p>
        </w:tc>
        <w:tc>
          <w:tcPr>
            <w:tcW w:type="dxa" w:w="4997"/>
            <w:vAlign w:val="center"/>
          </w:tcPr>
          <w:p>
            <w:pPr>
              <w:spacing w:after="0"/>
            </w:pPr>
            <w:r/>
            <w:r>
              <w:rPr>
                <w:b w:val="0"/>
                <w:sz w:val="17"/>
              </w:rPr>
              <w:t>Remove or qualify. Cite current Signal technical documentation for the specific deployed mechanism and trust assumptions.</w:t>
            </w:r>
          </w:p>
        </w:tc>
      </w:tr>
      <w:tr>
        <w:tc>
          <w:tcPr>
            <w:tcW w:type="dxa" w:w="4997"/>
            <w:vAlign w:val="center"/>
            <w:shd w:fill="F2F6F8"/>
          </w:tcPr>
          <w:p>
            <w:pPr>
              <w:spacing w:after="0"/>
            </w:pPr>
            <w:r/>
            <w:r>
              <w:rPr>
                <w:b w:val="0"/>
                <w:sz w:val="17"/>
              </w:rPr>
              <w:t>“Signal uses anonymous credentials / zero-knowledge proofs so the server cannot link a number to an account.”</w:t>
            </w:r>
          </w:p>
        </w:tc>
        <w:tc>
          <w:tcPr>
            <w:tcW w:type="dxa" w:w="4997"/>
            <w:vAlign w:val="center"/>
            <w:shd w:fill="F2F6F8"/>
          </w:tcPr>
          <w:p>
            <w:pPr>
              <w:spacing w:after="0"/>
            </w:pPr>
            <w:r/>
            <w:r>
              <w:rPr>
                <w:b w:val="0"/>
                <w:sz w:val="17"/>
              </w:rPr>
              <w:t>Do not state without an exact current primary-source specification; distinguish usernames/phone-number privacy from registration anonymity.</w:t>
            </w:r>
          </w:p>
        </w:tc>
      </w:tr>
      <w:tr>
        <w:tc>
          <w:tcPr>
            <w:tcW w:type="dxa" w:w="4997"/>
            <w:vAlign w:val="center"/>
          </w:tcPr>
          <w:p>
            <w:pPr>
              <w:spacing w:after="0"/>
            </w:pPr>
            <w:r/>
            <w:r>
              <w:rPr>
                <w:b w:val="0"/>
                <w:sz w:val="17"/>
              </w:rPr>
              <w:t>“Signal does not log IP addresses” / “stores no metadata.”</w:t>
            </w:r>
          </w:p>
        </w:tc>
        <w:tc>
          <w:tcPr>
            <w:tcW w:type="dxa" w:w="4997"/>
            <w:vAlign w:val="center"/>
          </w:tcPr>
          <w:p>
            <w:pPr>
              <w:spacing w:after="0"/>
            </w:pPr>
            <w:r/>
            <w:r>
              <w:rPr>
                <w:b w:val="0"/>
                <w:sz w:val="17"/>
              </w:rPr>
              <w:t>Replace with carefully scoped language about data minimization and retention disclosed in dated policy or legal-response evidence.</w:t>
            </w:r>
          </w:p>
        </w:tc>
      </w:tr>
      <w:tr>
        <w:tc>
          <w:tcPr>
            <w:tcW w:type="dxa" w:w="4997"/>
            <w:vAlign w:val="center"/>
            <w:shd w:fill="F2F6F8"/>
          </w:tcPr>
          <w:p>
            <w:pPr>
              <w:spacing w:after="0"/>
            </w:pPr>
            <w:r/>
            <w:r>
              <w:rPr>
                <w:b w:val="0"/>
                <w:sz w:val="17"/>
              </w:rPr>
              <w:t>“WhatsApp stores all metadata in plaintext indefinitely.”</w:t>
            </w:r>
          </w:p>
        </w:tc>
        <w:tc>
          <w:tcPr>
            <w:tcW w:type="dxa" w:w="4997"/>
            <w:vAlign w:val="center"/>
            <w:shd w:fill="F2F6F8"/>
          </w:tcPr>
          <w:p>
            <w:pPr>
              <w:spacing w:after="0"/>
            </w:pPr>
            <w:r/>
            <w:r>
              <w:rPr>
                <w:b w:val="0"/>
                <w:sz w:val="17"/>
              </w:rPr>
              <w:t>Replace with data-category-specific collection and retention claims drawn from current policy and transparency materials.</w:t>
            </w:r>
          </w:p>
        </w:tc>
      </w:tr>
      <w:tr>
        <w:tc>
          <w:tcPr>
            <w:tcW w:type="dxa" w:w="4997"/>
            <w:vAlign w:val="center"/>
          </w:tcPr>
          <w:p>
            <w:pPr>
              <w:spacing w:after="0"/>
            </w:pPr>
            <w:r/>
            <w:r>
              <w:rPr>
                <w:b w:val="0"/>
                <w:sz w:val="17"/>
              </w:rPr>
              <w:t>“WhatsApp contact hashes use a static salt and are reversible.”</w:t>
            </w:r>
          </w:p>
        </w:tc>
        <w:tc>
          <w:tcPr>
            <w:tcW w:type="dxa" w:w="4997"/>
            <w:vAlign w:val="center"/>
          </w:tcPr>
          <w:p>
            <w:pPr>
              <w:spacing w:after="0"/>
            </w:pPr>
            <w:r/>
            <w:r>
              <w:rPr>
                <w:b w:val="0"/>
                <w:sz w:val="17"/>
              </w:rPr>
              <w:t>Explain general dictionary-attack risk for phone-number hashes, but substantiate the exact algorithm and salt claim before attributing it.</w:t>
            </w:r>
          </w:p>
        </w:tc>
      </w:tr>
      <w:tr>
        <w:tc>
          <w:tcPr>
            <w:tcW w:type="dxa" w:w="4997"/>
            <w:vAlign w:val="center"/>
            <w:shd w:fill="F2F6F8"/>
          </w:tcPr>
          <w:p>
            <w:pPr>
              <w:spacing w:after="0"/>
            </w:pPr>
            <w:r/>
            <w:r>
              <w:rPr>
                <w:b w:val="0"/>
                <w:sz w:val="17"/>
              </w:rPr>
              <w:t>“Signal backup is always local, 30-digit, Argon2, AES-CBC/HMAC.”</w:t>
            </w:r>
          </w:p>
        </w:tc>
        <w:tc>
          <w:tcPr>
            <w:tcW w:type="dxa" w:w="4997"/>
            <w:vAlign w:val="center"/>
            <w:shd w:fill="F2F6F8"/>
          </w:tcPr>
          <w:p>
            <w:pPr>
              <w:spacing w:after="0"/>
            </w:pPr>
            <w:r/>
            <w:r>
              <w:rPr>
                <w:b w:val="0"/>
                <w:sz w:val="17"/>
              </w:rPr>
              <w:t>Qualify by platform and version; cite current backup/transfer documentation and implementation details.</w:t>
            </w:r>
          </w:p>
        </w:tc>
      </w:tr>
      <w:tr>
        <w:tc>
          <w:tcPr>
            <w:tcW w:type="dxa" w:w="4997"/>
            <w:vAlign w:val="center"/>
          </w:tcPr>
          <w:p>
            <w:pPr>
              <w:spacing w:after="0"/>
            </w:pPr>
            <w:r/>
            <w:r>
              <w:rPr>
                <w:b w:val="0"/>
                <w:sz w:val="17"/>
              </w:rPr>
              <w:t>“WhatsApp has no post-quantum plan.”</w:t>
            </w:r>
          </w:p>
        </w:tc>
        <w:tc>
          <w:tcPr>
            <w:tcW w:type="dxa" w:w="4997"/>
            <w:vAlign w:val="center"/>
          </w:tcPr>
          <w:p>
            <w:pPr>
              <w:spacing w:after="0"/>
            </w:pPr>
            <w:r/>
            <w:r>
              <w:rPr>
                <w:b w:val="0"/>
                <w:sz w:val="17"/>
              </w:rPr>
              <w:t>Date the claim and source it to current engineering documentation; a privacy-policy omission is not proof.</w:t>
            </w:r>
          </w:p>
        </w:tc>
      </w:tr>
      <w:tr>
        <w:tc>
          <w:tcPr>
            <w:tcW w:type="dxa" w:w="4997"/>
            <w:vAlign w:val="center"/>
            <w:shd w:fill="F2F6F8"/>
          </w:tcPr>
          <w:p>
            <w:pPr>
              <w:spacing w:after="0"/>
            </w:pPr>
            <w:r/>
            <w:r>
              <w:rPr>
                <w:b w:val="0"/>
                <w:sz w:val="17"/>
              </w:rPr>
              <w:t>“Signal can disclose only registration date and last connection date.”</w:t>
            </w:r>
          </w:p>
        </w:tc>
        <w:tc>
          <w:tcPr>
            <w:tcW w:type="dxa" w:w="4997"/>
            <w:vAlign w:val="center"/>
            <w:shd w:fill="F2F6F8"/>
          </w:tcPr>
          <w:p>
            <w:pPr>
              <w:spacing w:after="0"/>
            </w:pPr>
            <w:r/>
            <w:r>
              <w:rPr>
                <w:b w:val="0"/>
                <w:sz w:val="17"/>
              </w:rPr>
              <w:t>Use as a dated example only, not a universal or permanent guarantee.</w:t>
            </w:r>
          </w:p>
        </w:tc>
      </w:tr>
    </w:tbl>
    <w:p>
      <w:pPr>
        <w:spacing w:after="0"/>
      </w:pPr>
    </w:p>
    <w:p>
      <w:pPr>
        <w:pStyle w:val="Heading1"/>
      </w:pPr>
      <w:r>
        <w:t>9. Conclusion</w:t>
      </w:r>
    </w:p>
    <w:p>
      <w:r>
        <w:t>The most defensible high-level conclusion is that both apps protect eligible message content with end-to-end encryption, while Signal places a stronger public emphasis on minimizing data retained by the service and has published a post-quantum migration path. WhatsApp’s use of the Signal Protocol does not make the two services equivalent in metadata practices, backups, account ecosystem, or product design.</w:t>
      </w:r>
    </w:p>
    <w:p>
      <w:r>
        <w:t>At the same time, privacy comparisons should not rely on absolute claims that Signal has no metadata or that WhatsApp retains every listed data point indefinitely. The supplied draft contains plausible concerns but mixes protocol facts, policy interpretation, and unsupported implementation assertions. For publication or compliance use, verify each claim against current primary sources and label it with an app version and date.</w:t>
      </w:r>
    </w:p>
    <w:p>
      <w:pPr>
        <w:pStyle w:val="Heading1"/>
      </w:pPr>
      <w:r>
        <w:t>References and verification sources</w:t>
      </w:r>
    </w:p>
    <w:p>
      <w:r>
        <w:t>The following sources were named in the supplied material. Use the latest versions available when validating this report:</w:t>
      </w:r>
    </w:p>
    <w:p>
      <w:pPr>
        <w:pStyle w:val="ListBullet"/>
        <w:spacing w:after="40"/>
      </w:pPr>
      <w:r>
        <w:rPr>
          <w:b/>
        </w:rPr>
        <w:t xml:space="preserve">Signal Protocol specifications — </w:t>
      </w:r>
      <w:r>
        <w:t>https://signal.org/docs/</w:t>
      </w:r>
    </w:p>
    <w:p>
      <w:pPr>
        <w:pStyle w:val="ListBullet"/>
        <w:spacing w:after="40"/>
      </w:pPr>
      <w:r>
        <w:rPr>
          <w:b/>
        </w:rPr>
        <w:t xml:space="preserve">Signal Privacy Policy — </w:t>
      </w:r>
      <w:r>
        <w:t>https://signal.org/legal/</w:t>
      </w:r>
    </w:p>
    <w:p>
      <w:pPr>
        <w:pStyle w:val="ListBullet"/>
        <w:spacing w:after="40"/>
      </w:pPr>
      <w:r>
        <w:rPr>
          <w:b/>
        </w:rPr>
        <w:t xml:space="preserve">Signal Terms of Service — </w:t>
      </w:r>
      <w:r>
        <w:t>https://signal.org/legal/</w:t>
      </w:r>
    </w:p>
    <w:p>
      <w:pPr>
        <w:pStyle w:val="ListBullet"/>
        <w:spacing w:after="40"/>
      </w:pPr>
      <w:r>
        <w:rPr>
          <w:b/>
        </w:rPr>
        <w:t xml:space="preserve">WhatsApp Privacy Policy — </w:t>
      </w:r>
      <w:r>
        <w:t>https://www.whatsapp.com/legal/privacy-policy</w:t>
      </w:r>
    </w:p>
    <w:p>
      <w:pPr>
        <w:pStyle w:val="ListBullet"/>
        <w:spacing w:after="40"/>
      </w:pPr>
      <w:r>
        <w:rPr>
          <w:b/>
        </w:rPr>
        <w:t xml:space="preserve">WhatsApp Security / end-to-end encrypted backups help documentation — </w:t>
      </w:r>
      <w:r>
        <w:t>https://faq.whatsapp.com/</w:t>
      </w:r>
    </w:p>
    <w:p>
      <w:pPr>
        <w:pStyle w:val="ListBullet"/>
        <w:spacing w:after="40"/>
      </w:pPr>
      <w:r>
        <w:rPr>
          <w:b/>
        </w:rPr>
        <w:t xml:space="preserve">NIST FIPS 203: Module-Lattice-Based Key-Encapsulation Mechanism Standard (ML-KEM) — </w:t>
      </w:r>
      <w:r>
        <w:t>https://csrc.nist.gov/pubs/fips/203/final</w:t>
      </w:r>
    </w:p>
    <w:p>
      <w:pPr>
        <w:pStyle w:val="ListBullet"/>
        <w:spacing w:after="40"/>
      </w:pPr>
      <w:r>
        <w:rPr>
          <w:b/>
        </w:rPr>
        <w:t xml:space="preserve">Intel SGX documentation and security advisories — </w:t>
      </w:r>
      <w:r>
        <w:t>https://www.intel.com/content/www/us/en/developer/tools/software-guard-extensions/overview.html</w:t>
      </w:r>
    </w:p>
    <w:p>
      <w:pPr>
        <w:pStyle w:val="ListBullet"/>
        <w:spacing w:after="40"/>
      </w:pPr>
      <w:r>
        <w:rPr>
          <w:b/>
        </w:rPr>
        <w:t xml:space="preserve">Signal law-enforcement request responses (dated examples) — </w:t>
      </w:r>
      <w:r>
        <w:t>https://signal.org/bigbrother/</w:t>
      </w:r>
    </w:p>
    <w:p>
      <w:r>
        <w:t>Note: The WhatsApp policy dated 4 January 2021 cited in the source text is historical. It should not be treated as the current policy without checking the live policy and applicable regional version.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24 September 2026  •  Technical analysis,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47D83"/>
      </w:rPr>
      <w:t>TECHNICAL PRIVACY REVIEW  |  WHATSAPP VS. SIGNAL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7D8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