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DIGILOCKER — DATA PRIVACY &amp; CYBERSECURITY AUDIT</w:t>
      </w:r>
    </w:p>
    <w:p>
      <w:pPr>
        <w:jc w:val="center"/>
      </w:pPr>
      <w:r>
        <w:rPr>
          <w:i/>
        </w:rPr>
        <w:t>Short Practical Version | Technical Security Focus</w:t>
      </w:r>
    </w:p>
    <w:p>
      <w:pPr>
        <w:pStyle w:val="Heading1"/>
      </w:pPr>
      <w:r>
        <w:t>1. Aim &amp; Scope</w:t>
      </w:r>
    </w:p>
    <w:p>
      <w:r>
        <w:t>The aim of this audit is to evaluate DigiLocker from a cybersecurity and data-privacy perspective, with emphasis on authentication, API security, session/token protection, sensitive-data handling, document integrity, consent and issuer security responsibilities.</w:t>
      </w:r>
    </w:p>
    <w:tbl>
      <w:tblPr>
        <w:tblStyle w:val="TableGrid"/>
        <w:tblW w:type="auto" w:w="0"/>
        <w:jc w:val="center"/>
        <w:tblLook w:firstColumn="1" w:firstRow="1" w:lastColumn="0" w:lastRow="0" w:noHBand="0" w:noVBand="1" w:val="04A0"/>
      </w:tblPr>
      <w:tblGrid>
        <w:gridCol w:w="5184"/>
        <w:gridCol w:w="5184"/>
      </w:tblGrid>
      <w:tr>
        <w:tc>
          <w:tcPr>
            <w:tcW w:type="dxa" w:w="5184"/>
            <w:shd w:fill="D9E2F3"/>
          </w:tcPr>
          <w:p>
            <w:r>
              <w:rPr>
                <w:b/>
                <w:sz w:val="17"/>
              </w:rPr>
              <w:t>Scope area</w:t>
            </w:r>
          </w:p>
        </w:tc>
        <w:tc>
          <w:tcPr>
            <w:tcW w:type="dxa" w:w="5184"/>
            <w:shd w:fill="D9E2F3"/>
          </w:tcPr>
          <w:p>
            <w:r>
              <w:rPr>
                <w:b/>
                <w:sz w:val="17"/>
              </w:rPr>
              <w:t>Evidence / assessment</w:t>
            </w:r>
          </w:p>
        </w:tc>
      </w:tr>
      <w:tr>
        <w:tc>
          <w:tcPr>
            <w:tcW w:type="dxa" w:w="5184"/>
            <w:vAlign w:val="center"/>
          </w:tcPr>
          <w:p>
            <w:r>
              <w:rPr>
                <w:sz w:val="16"/>
              </w:rPr>
              <w:t>User authentication</w:t>
            </w:r>
          </w:p>
        </w:tc>
        <w:tc>
          <w:tcPr>
            <w:tcW w:type="dxa" w:w="5184"/>
            <w:vAlign w:val="center"/>
          </w:tcPr>
          <w:p>
            <w:r>
              <w:rPr>
                <w:sz w:val="16"/>
              </w:rPr>
              <w:t>Login UI, TOTP/SMS OTP flow and successful authenticated session observed.</w:t>
            </w:r>
          </w:p>
        </w:tc>
      </w:tr>
      <w:tr>
        <w:tc>
          <w:tcPr>
            <w:tcW w:type="dxa" w:w="5184"/>
            <w:vAlign w:val="center"/>
          </w:tcPr>
          <w:p>
            <w:r>
              <w:rPr>
                <w:sz w:val="16"/>
              </w:rPr>
              <w:t>Sensitive services</w:t>
            </w:r>
          </w:p>
        </w:tc>
        <w:tc>
          <w:tcPr>
            <w:tcW w:type="dxa" w:w="5184"/>
            <w:vAlign w:val="center"/>
          </w:tcPr>
          <w:p>
            <w:r>
              <w:rPr>
                <w:sz w:val="16"/>
              </w:rPr>
              <w:t>Aadhaar verification gate observed before access to selected services.</w:t>
            </w:r>
          </w:p>
        </w:tc>
      </w:tr>
      <w:tr>
        <w:tc>
          <w:tcPr>
            <w:tcW w:type="dxa" w:w="5184"/>
            <w:vAlign w:val="center"/>
          </w:tcPr>
          <w:p>
            <w:r>
              <w:rPr>
                <w:sz w:val="16"/>
              </w:rPr>
              <w:t>Network/API</w:t>
            </w:r>
          </w:p>
        </w:tc>
        <w:tc>
          <w:tcPr>
            <w:tcW w:type="dxa" w:w="5184"/>
            <w:vAlign w:val="center"/>
          </w:tcPr>
          <w:p>
            <w:r>
              <w:rPr>
                <w:sz w:val="16"/>
              </w:rPr>
              <w:t>Authenticated browser HAR inspected; HTTPS API traffic, JWT and security headers observed.</w:t>
            </w:r>
          </w:p>
        </w:tc>
      </w:tr>
      <w:tr>
        <w:tc>
          <w:tcPr>
            <w:tcW w:type="dxa" w:w="5184"/>
            <w:vAlign w:val="center"/>
          </w:tcPr>
          <w:p>
            <w:r>
              <w:rPr>
                <w:sz w:val="16"/>
              </w:rPr>
              <w:t>Privacy/governance</w:t>
            </w:r>
          </w:p>
        </w:tc>
        <w:tc>
          <w:tcPr>
            <w:tcW w:type="dxa" w:w="5184"/>
            <w:vAlign w:val="center"/>
          </w:tcPr>
          <w:p>
            <w:r>
              <w:rPr>
                <w:sz w:val="16"/>
              </w:rPr>
              <w:t>DigiLocker Terms of Use – Issuer, updated 02 June 2025, reviewed.</w:t>
            </w:r>
          </w:p>
        </w:tc>
      </w:tr>
      <w:tr>
        <w:tc>
          <w:tcPr>
            <w:tcW w:type="dxa" w:w="5184"/>
            <w:vAlign w:val="center"/>
          </w:tcPr>
          <w:p>
            <w:r>
              <w:rPr>
                <w:sz w:val="16"/>
              </w:rPr>
              <w:t>Testing boundary</w:t>
            </w:r>
          </w:p>
        </w:tc>
        <w:tc>
          <w:tcPr>
            <w:tcW w:type="dxa" w:w="5184"/>
            <w:vAlign w:val="center"/>
          </w:tcPr>
          <w:p>
            <w:r>
              <w:rPr>
                <w:sz w:val="16"/>
              </w:rPr>
              <w:t>Passive normal-user testing only; no exploitation, brute force or bypass attempts.</w:t>
            </w:r>
          </w:p>
        </w:tc>
      </w:tr>
    </w:tbl>
    <w:p>
      <w:pPr>
        <w:pStyle w:val="Heading1"/>
      </w:pPr>
      <w:r>
        <w:t>2. Authentication &amp; Access Security</w:t>
      </w:r>
    </w:p>
    <w:p>
      <w:pPr>
        <w:pStyle w:val="ListBullet"/>
        <w:spacing w:after="20"/>
      </w:pPr>
      <w:r>
        <w:t>The login interface accepts a mobile number and provides QR-code login and Aadhaar/VID alternatives.</w:t>
      </w:r>
    </w:p>
    <w:p>
      <w:pPr>
        <w:pStyle w:val="ListBullet"/>
        <w:spacing w:after="20"/>
      </w:pPr>
      <w:r>
        <w:t>After entering the mobile number, the verification screen provides two methods: TOTP through the DigiLocker mobile app and SMS OTP.</w:t>
      </w:r>
    </w:p>
    <w:p>
      <w:pPr>
        <w:pStyle w:val="ListBullet"/>
        <w:spacing w:after="20"/>
      </w:pPr>
      <w:r>
        <w:t>Successful OTP verification opened the authenticated dashboard.</w:t>
      </w:r>
    </w:p>
    <w:p>
      <w:pPr>
        <w:pStyle w:val="ListBullet"/>
        <w:spacing w:after="20"/>
      </w:pPr>
      <w:r>
        <w:t>Selected sensitive services display a message requiring Aadhaar verification, providing an additional eligibility/verification gate.</w:t>
      </w:r>
    </w:p>
    <w:p>
      <w:pPr>
        <w:pStyle w:val="ListBullet"/>
        <w:spacing w:after="20"/>
      </w:pPr>
      <w:r>
        <w:t>Authenticated API traffic used a custom jtoken header containing a JWT. The observed JWT advertised alg=RS256 (RSA + SHA-256).</w:t>
      </w:r>
    </w:p>
    <w:p>
      <w:pPr>
        <w:pStyle w:val="ListBullet"/>
        <w:spacing w:after="20"/>
      </w:pPr>
      <w:r>
        <w:t>The observed JWT contained iat/exp claims indicating approximately a 30-minute validity period. Exact server-side revocation and replay controls were not tested.</w:t>
      </w:r>
    </w:p>
    <w:p>
      <w:pPr>
        <w:pStyle w:val="Heading1"/>
      </w:pPr>
      <w:r>
        <w:t>3. API &amp; Browser Security Controls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2F3"/>
          </w:tcPr>
          <w:p>
            <w:r>
              <w:rPr>
                <w:b/>
                <w:sz w:val="17"/>
              </w:rPr>
              <w:t>Control</w:t>
            </w:r>
          </w:p>
        </w:tc>
        <w:tc>
          <w:tcPr>
            <w:tcW w:type="dxa" w:w="3456"/>
            <w:shd w:fill="D9E2F3"/>
          </w:tcPr>
          <w:p>
            <w:r>
              <w:rPr>
                <w:b/>
                <w:sz w:val="17"/>
              </w:rPr>
              <w:t>Observed result</w:t>
            </w:r>
          </w:p>
        </w:tc>
        <w:tc>
          <w:tcPr>
            <w:tcW w:type="dxa" w:w="3456"/>
            <w:shd w:fill="D9E2F3"/>
          </w:tcPr>
          <w:p>
            <w:r>
              <w:rPr>
                <w:b/>
                <w:sz w:val="17"/>
              </w:rPr>
              <w:t>Security value</w:t>
            </w:r>
          </w:p>
        </w:tc>
      </w:tr>
      <w:tr>
        <w:tc>
          <w:tcPr>
            <w:tcW w:type="dxa" w:w="3456"/>
            <w:vAlign w:val="center"/>
          </w:tcPr>
          <w:p>
            <w:r>
              <w:rPr>
                <w:sz w:val="16"/>
              </w:rPr>
              <w:t>HTTPS</w:t>
            </w:r>
          </w:p>
        </w:tc>
        <w:tc>
          <w:tcPr>
            <w:tcW w:type="dxa" w:w="3456"/>
            <w:vAlign w:val="center"/>
          </w:tcPr>
          <w:p>
            <w:r>
              <w:rPr>
                <w:sz w:val="16"/>
              </w:rPr>
              <w:t>Used for captured API requests</w:t>
            </w:r>
          </w:p>
        </w:tc>
        <w:tc>
          <w:tcPr>
            <w:tcW w:type="dxa" w:w="3456"/>
            <w:vAlign w:val="center"/>
          </w:tcPr>
          <w:p>
            <w:r>
              <w:rPr>
                <w:sz w:val="16"/>
              </w:rPr>
              <w:t>Protects data in transit against ordinary network interception.</w:t>
            </w:r>
          </w:p>
        </w:tc>
      </w:tr>
      <w:tr>
        <w:tc>
          <w:tcPr>
            <w:tcW w:type="dxa" w:w="3456"/>
            <w:vAlign w:val="center"/>
          </w:tcPr>
          <w:p>
            <w:r>
              <w:rPr>
                <w:sz w:val="16"/>
              </w:rPr>
              <w:t>JWT / RS256</w:t>
            </w:r>
          </w:p>
        </w:tc>
        <w:tc>
          <w:tcPr>
            <w:tcW w:type="dxa" w:w="3456"/>
            <w:vAlign w:val="center"/>
          </w:tcPr>
          <w:p>
            <w:r>
              <w:rPr>
                <w:sz w:val="16"/>
              </w:rPr>
              <w:t>jtoken header; RS256 advertised</w:t>
            </w:r>
          </w:p>
        </w:tc>
        <w:tc>
          <w:tcPr>
            <w:tcW w:type="dxa" w:w="3456"/>
            <w:vAlign w:val="center"/>
          </w:tcPr>
          <w:p>
            <w:r>
              <w:rPr>
                <w:sz w:val="16"/>
              </w:rPr>
              <w:t>Signed token mechanism for authenticated API access.</w:t>
            </w:r>
          </w:p>
        </w:tc>
      </w:tr>
      <w:tr>
        <w:tc>
          <w:tcPr>
            <w:tcW w:type="dxa" w:w="3456"/>
            <w:vAlign w:val="center"/>
          </w:tcPr>
          <w:p>
            <w:r>
              <w:rPr>
                <w:sz w:val="16"/>
              </w:rPr>
              <w:t>CORS</w:t>
            </w:r>
          </w:p>
        </w:tc>
        <w:tc>
          <w:tcPr>
            <w:tcW w:type="dxa" w:w="3456"/>
            <w:vAlign w:val="center"/>
          </w:tcPr>
          <w:p>
            <w:r>
              <w:rPr>
                <w:sz w:val="16"/>
              </w:rPr>
              <w:t>Allowed origin restricted to DigiLocker web origin</w:t>
            </w:r>
          </w:p>
        </w:tc>
        <w:tc>
          <w:tcPr>
            <w:tcW w:type="dxa" w:w="3456"/>
            <w:vAlign w:val="center"/>
          </w:tcPr>
          <w:p>
            <w:r>
              <w:rPr>
                <w:sz w:val="16"/>
              </w:rPr>
              <w:t>Reduces unauthorized browser cross-origin reads.</w:t>
            </w:r>
          </w:p>
        </w:tc>
      </w:tr>
      <w:tr>
        <w:tc>
          <w:tcPr>
            <w:tcW w:type="dxa" w:w="3456"/>
            <w:vAlign w:val="center"/>
          </w:tcPr>
          <w:p>
            <w:r>
              <w:rPr>
                <w:sz w:val="16"/>
              </w:rPr>
              <w:t>HSTS</w:t>
            </w:r>
          </w:p>
        </w:tc>
        <w:tc>
          <w:tcPr>
            <w:tcW w:type="dxa" w:w="3456"/>
            <w:vAlign w:val="center"/>
          </w:tcPr>
          <w:p>
            <w:r>
              <w:rPr>
                <w:sz w:val="16"/>
              </w:rPr>
              <w:t>Strict-Transport-Security observed</w:t>
            </w:r>
          </w:p>
        </w:tc>
        <w:tc>
          <w:tcPr>
            <w:tcW w:type="dxa" w:w="3456"/>
            <w:vAlign w:val="center"/>
          </w:tcPr>
          <w:p>
            <w:r>
              <w:rPr>
                <w:sz w:val="16"/>
              </w:rPr>
              <w:t>Forces/encourages HTTPS use and reduces downgrade attacks.</w:t>
            </w:r>
          </w:p>
        </w:tc>
      </w:tr>
      <w:tr>
        <w:tc>
          <w:tcPr>
            <w:tcW w:type="dxa" w:w="3456"/>
            <w:vAlign w:val="center"/>
          </w:tcPr>
          <w:p>
            <w:r>
              <w:rPr>
                <w:sz w:val="16"/>
              </w:rPr>
              <w:t>CSP</w:t>
            </w:r>
          </w:p>
        </w:tc>
        <w:tc>
          <w:tcPr>
            <w:tcW w:type="dxa" w:w="3456"/>
            <w:vAlign w:val="center"/>
          </w:tcPr>
          <w:p>
            <w:r>
              <w:rPr>
                <w:sz w:val="16"/>
              </w:rPr>
              <w:t>Content-Security-Policy present</w:t>
            </w:r>
          </w:p>
        </w:tc>
        <w:tc>
          <w:tcPr>
            <w:tcW w:type="dxa" w:w="3456"/>
            <w:vAlign w:val="center"/>
          </w:tcPr>
          <w:p>
            <w:r>
              <w:rPr>
                <w:sz w:val="16"/>
              </w:rPr>
              <w:t>Defense against script/resource injection.</w:t>
            </w:r>
          </w:p>
        </w:tc>
      </w:tr>
      <w:tr>
        <w:tc>
          <w:tcPr>
            <w:tcW w:type="dxa" w:w="3456"/>
            <w:vAlign w:val="center"/>
          </w:tcPr>
          <w:p>
            <w:r>
              <w:rPr>
                <w:sz w:val="16"/>
              </w:rPr>
              <w:t>X-Content-Type-Options</w:t>
            </w:r>
          </w:p>
        </w:tc>
        <w:tc>
          <w:tcPr>
            <w:tcW w:type="dxa" w:w="3456"/>
            <w:vAlign w:val="center"/>
          </w:tcPr>
          <w:p>
            <w:r>
              <w:rPr>
                <w:sz w:val="16"/>
              </w:rPr>
              <w:t>nosniff</w:t>
            </w:r>
          </w:p>
        </w:tc>
        <w:tc>
          <w:tcPr>
            <w:tcW w:type="dxa" w:w="3456"/>
            <w:vAlign w:val="center"/>
          </w:tcPr>
          <w:p>
            <w:r>
              <w:rPr>
                <w:sz w:val="16"/>
              </w:rPr>
              <w:t>Reduces MIME-sniffing attacks.</w:t>
            </w:r>
          </w:p>
        </w:tc>
      </w:tr>
      <w:tr>
        <w:tc>
          <w:tcPr>
            <w:tcW w:type="dxa" w:w="3456"/>
            <w:vAlign w:val="center"/>
          </w:tcPr>
          <w:p>
            <w:r>
              <w:rPr>
                <w:sz w:val="16"/>
              </w:rPr>
              <w:t>X-Frame-Options</w:t>
            </w:r>
          </w:p>
        </w:tc>
        <w:tc>
          <w:tcPr>
            <w:tcW w:type="dxa" w:w="3456"/>
            <w:vAlign w:val="center"/>
          </w:tcPr>
          <w:p>
            <w:r>
              <w:rPr>
                <w:sz w:val="16"/>
              </w:rPr>
              <w:t>SAMEORIGIN observed</w:t>
            </w:r>
          </w:p>
        </w:tc>
        <w:tc>
          <w:tcPr>
            <w:tcW w:type="dxa" w:w="3456"/>
            <w:vAlign w:val="center"/>
          </w:tcPr>
          <w:p>
            <w:r>
              <w:rPr>
                <w:sz w:val="16"/>
              </w:rPr>
              <w:t>Helps mitigate clickjacking.</w:t>
            </w:r>
          </w:p>
        </w:tc>
      </w:tr>
      <w:tr>
        <w:tc>
          <w:tcPr>
            <w:tcW w:type="dxa" w:w="3456"/>
            <w:vAlign w:val="center"/>
          </w:tcPr>
          <w:p>
            <w:r>
              <w:rPr>
                <w:sz w:val="16"/>
              </w:rPr>
              <w:t>Referrer-Policy</w:t>
            </w:r>
          </w:p>
        </w:tc>
        <w:tc>
          <w:tcPr>
            <w:tcW w:type="dxa" w:w="3456"/>
            <w:vAlign w:val="center"/>
          </w:tcPr>
          <w:p>
            <w:r>
              <w:rPr>
                <w:sz w:val="16"/>
              </w:rPr>
              <w:t>strict-origin-when-cross-origin</w:t>
            </w:r>
          </w:p>
        </w:tc>
        <w:tc>
          <w:tcPr>
            <w:tcW w:type="dxa" w:w="3456"/>
            <w:vAlign w:val="center"/>
          </w:tcPr>
          <w:p>
            <w:r>
              <w:rPr>
                <w:sz w:val="16"/>
              </w:rPr>
              <w:t>Limits referrer leakage.</w:t>
            </w:r>
          </w:p>
        </w:tc>
      </w:tr>
      <w:tr>
        <w:tc>
          <w:tcPr>
            <w:tcW w:type="dxa" w:w="3456"/>
            <w:vAlign w:val="center"/>
          </w:tcPr>
          <w:p>
            <w:r>
              <w:rPr>
                <w:sz w:val="16"/>
              </w:rPr>
              <w:t>Cache-Control</w:t>
            </w:r>
          </w:p>
        </w:tc>
        <w:tc>
          <w:tcPr>
            <w:tcW w:type="dxa" w:w="3456"/>
            <w:vAlign w:val="center"/>
          </w:tcPr>
          <w:p>
            <w:r>
              <w:rPr>
                <w:sz w:val="16"/>
              </w:rPr>
              <w:t>no-store/no-cache/private on captured API</w:t>
            </w:r>
          </w:p>
        </w:tc>
        <w:tc>
          <w:tcPr>
            <w:tcW w:type="dxa" w:w="3456"/>
            <w:vAlign w:val="center"/>
          </w:tcPr>
          <w:p>
            <w:r>
              <w:rPr>
                <w:sz w:val="16"/>
              </w:rPr>
              <w:t>Reduces caching of sensitive responses.</w:t>
            </w:r>
          </w:p>
        </w:tc>
      </w:tr>
    </w:tbl>
    <w:p>
      <w:pPr>
        <w:pStyle w:val="Heading1"/>
      </w:pPr>
      <w:r>
        <w:t>4. Privacy &amp; Data Protection</w:t>
      </w:r>
    </w:p>
    <w:p>
      <w:r>
        <w:t>The platform processes high-value identity and document information. Observed/expected data categories in the audited flow include mobile-number authentication data, Aadhaar/VID verification data when used, documents and document metadata, session identifiers and security/access logs.</w:t>
      </w:r>
    </w:p>
    <w:p>
      <w:pPr>
        <w:pStyle w:val="ListBullet"/>
        <w:spacing w:after="20"/>
      </w:pPr>
      <w:r>
        <w:t>The issuer terms require explicit user consent for documents fetched or issued through DigiLocker.</w:t>
      </w:r>
    </w:p>
    <w:p>
      <w:pPr>
        <w:pStyle w:val="ListBullet"/>
        <w:spacing w:after="20"/>
      </w:pPr>
      <w:r>
        <w:t>The terms align integrations with applicable Indian data-protection laws and reference PKI for digital signing and verification.</w:t>
      </w:r>
    </w:p>
    <w:p>
      <w:pPr>
        <w:pStyle w:val="ListBullet"/>
        <w:spacing w:after="20"/>
      </w:pPr>
      <w:r>
        <w:t>Issuers must implement appropriate technical, organizational and administrative safeguards for confidentiality, integrity and security of personal data.</w:t>
      </w:r>
    </w:p>
    <w:p>
      <w:pPr>
        <w:pStyle w:val="ListBullet"/>
        <w:spacing w:after="20"/>
      </w:pPr>
      <w:r>
        <w:t>Issuers must notify DigiLocker in writing within 24 hours of becoming aware of an actual or suspected personal-data breach.</w:t>
      </w:r>
    </w:p>
    <w:p>
      <w:pPr>
        <w:pStyle w:val="ListBullet"/>
        <w:spacing w:after="20"/>
      </w:pPr>
      <w:r>
        <w:t>NeGD may suspend/block API access for non-compliance or security concerns.</w:t>
      </w:r>
    </w:p>
    <w:p>
      <w:r>
        <w:br w:type="page"/>
      </w:r>
    </w:p>
    <w:p>
      <w:pPr>
        <w:jc w:val="center"/>
      </w:pPr>
      <w:r>
        <w:rPr>
          <w:b/>
          <w:sz w:val="30"/>
        </w:rPr>
        <w:t>SECURITY FINDINGS, VULNERABILITIES &amp; RECOMMENDATIONS</w:t>
      </w:r>
    </w:p>
    <w:p>
      <w:pPr>
        <w:pStyle w:val="Heading1"/>
      </w:pPr>
      <w:r>
        <w:t>5. Security Strengths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2F3"/>
          </w:tcPr>
          <w:p>
            <w:r>
              <w:rPr>
                <w:b/>
                <w:sz w:val="17"/>
              </w:rPr>
              <w:t>ID</w:t>
            </w:r>
          </w:p>
        </w:tc>
        <w:tc>
          <w:tcPr>
            <w:tcW w:type="dxa" w:w="3456"/>
            <w:shd w:fill="D9E2F3"/>
          </w:tcPr>
          <w:p>
            <w:r>
              <w:rPr>
                <w:b/>
                <w:sz w:val="17"/>
              </w:rPr>
              <w:t>Security observed/documented</w:t>
            </w:r>
          </w:p>
        </w:tc>
        <w:tc>
          <w:tcPr>
            <w:tcW w:type="dxa" w:w="3456"/>
            <w:shd w:fill="D9E2F3"/>
          </w:tcPr>
          <w:p>
            <w:r>
              <w:rPr>
                <w:b/>
                <w:sz w:val="17"/>
              </w:rPr>
              <w:t>Rating</w:t>
            </w:r>
          </w:p>
        </w:tc>
      </w:tr>
      <w:tr>
        <w:tc>
          <w:tcPr>
            <w:tcW w:type="dxa" w:w="3456"/>
            <w:vAlign w:val="center"/>
          </w:tcPr>
          <w:p>
            <w:r>
              <w:rPr>
                <w:sz w:val="16"/>
              </w:rPr>
              <w:t>S1</w:t>
            </w:r>
          </w:p>
        </w:tc>
        <w:tc>
          <w:tcPr>
            <w:tcW w:type="dxa" w:w="3456"/>
            <w:vAlign w:val="center"/>
          </w:tcPr>
          <w:p>
            <w:r>
              <w:rPr>
                <w:sz w:val="16"/>
              </w:rPr>
              <w:t>TOTP and SMS OTP authentication options; successful authenticated session observed.</w:t>
            </w:r>
          </w:p>
        </w:tc>
        <w:tc>
          <w:tcPr>
            <w:tcW w:type="dxa" w:w="3456"/>
            <w:vAlign w:val="center"/>
          </w:tcPr>
          <w:p>
            <w:r>
              <w:rPr>
                <w:sz w:val="16"/>
              </w:rPr>
              <w:t>Strong</w:t>
            </w:r>
          </w:p>
        </w:tc>
      </w:tr>
      <w:tr>
        <w:tc>
          <w:tcPr>
            <w:tcW w:type="dxa" w:w="3456"/>
            <w:vAlign w:val="center"/>
          </w:tcPr>
          <w:p>
            <w:r>
              <w:rPr>
                <w:sz w:val="16"/>
              </w:rPr>
              <w:t>S2</w:t>
            </w:r>
          </w:p>
        </w:tc>
        <w:tc>
          <w:tcPr>
            <w:tcW w:type="dxa" w:w="3456"/>
            <w:vAlign w:val="center"/>
          </w:tcPr>
          <w:p>
            <w:r>
              <w:rPr>
                <w:sz w:val="16"/>
              </w:rPr>
              <w:t>JWT-based authenticated API request; RS256 signing algorithm advertised.</w:t>
            </w:r>
          </w:p>
        </w:tc>
        <w:tc>
          <w:tcPr>
            <w:tcW w:type="dxa" w:w="3456"/>
            <w:vAlign w:val="center"/>
          </w:tcPr>
          <w:p>
            <w:r>
              <w:rPr>
                <w:sz w:val="16"/>
              </w:rPr>
              <w:t>Strong</w:t>
            </w:r>
          </w:p>
        </w:tc>
      </w:tr>
      <w:tr>
        <w:tc>
          <w:tcPr>
            <w:tcW w:type="dxa" w:w="3456"/>
            <w:vAlign w:val="center"/>
          </w:tcPr>
          <w:p>
            <w:r>
              <w:rPr>
                <w:sz w:val="16"/>
              </w:rPr>
              <w:t>S3</w:t>
            </w:r>
          </w:p>
        </w:tc>
        <w:tc>
          <w:tcPr>
            <w:tcW w:type="dxa" w:w="3456"/>
            <w:vAlign w:val="center"/>
          </w:tcPr>
          <w:p>
            <w:r>
              <w:rPr>
                <w:sz w:val="16"/>
              </w:rPr>
              <w:t>HSTS, CSP, CORS restriction and multiple browser security headers observed.</w:t>
            </w:r>
          </w:p>
        </w:tc>
        <w:tc>
          <w:tcPr>
            <w:tcW w:type="dxa" w:w="3456"/>
            <w:vAlign w:val="center"/>
          </w:tcPr>
          <w:p>
            <w:r>
              <w:rPr>
                <w:sz w:val="16"/>
              </w:rPr>
              <w:t>Strong</w:t>
            </w:r>
          </w:p>
        </w:tc>
      </w:tr>
      <w:tr>
        <w:tc>
          <w:tcPr>
            <w:tcW w:type="dxa" w:w="3456"/>
            <w:vAlign w:val="center"/>
          </w:tcPr>
          <w:p>
            <w:r>
              <w:rPr>
                <w:sz w:val="16"/>
              </w:rPr>
              <w:t>S4</w:t>
            </w:r>
          </w:p>
        </w:tc>
        <w:tc>
          <w:tcPr>
            <w:tcW w:type="dxa" w:w="3456"/>
            <w:vAlign w:val="center"/>
          </w:tcPr>
          <w:p>
            <w:r>
              <w:rPr>
                <w:sz w:val="16"/>
              </w:rPr>
              <w:t>Sensitive-service access can require Aadhaar verification.</w:t>
            </w:r>
          </w:p>
        </w:tc>
        <w:tc>
          <w:tcPr>
            <w:tcW w:type="dxa" w:w="3456"/>
            <w:vAlign w:val="center"/>
          </w:tcPr>
          <w:p>
            <w:r>
              <w:rPr>
                <w:sz w:val="16"/>
              </w:rPr>
              <w:t>Positive</w:t>
            </w:r>
          </w:p>
        </w:tc>
      </w:tr>
      <w:tr>
        <w:tc>
          <w:tcPr>
            <w:tcW w:type="dxa" w:w="3456"/>
            <w:vAlign w:val="center"/>
          </w:tcPr>
          <w:p>
            <w:r>
              <w:rPr>
                <w:sz w:val="16"/>
              </w:rPr>
              <w:t>S5</w:t>
            </w:r>
          </w:p>
        </w:tc>
        <w:tc>
          <w:tcPr>
            <w:tcW w:type="dxa" w:w="3456"/>
            <w:vAlign w:val="center"/>
          </w:tcPr>
          <w:p>
            <w:r>
              <w:rPr>
                <w:sz w:val="16"/>
              </w:rPr>
              <w:t>Issuer terms require explicit consent for document access.</w:t>
            </w:r>
          </w:p>
        </w:tc>
        <w:tc>
          <w:tcPr>
            <w:tcW w:type="dxa" w:w="3456"/>
            <w:vAlign w:val="center"/>
          </w:tcPr>
          <w:p>
            <w:r>
              <w:rPr>
                <w:sz w:val="16"/>
              </w:rPr>
              <w:t>Positive</w:t>
            </w:r>
          </w:p>
        </w:tc>
      </w:tr>
      <w:tr>
        <w:tc>
          <w:tcPr>
            <w:tcW w:type="dxa" w:w="3456"/>
            <w:vAlign w:val="center"/>
          </w:tcPr>
          <w:p>
            <w:r>
              <w:rPr>
                <w:sz w:val="16"/>
              </w:rPr>
              <w:t>S6</w:t>
            </w:r>
          </w:p>
        </w:tc>
        <w:tc>
          <w:tcPr>
            <w:tcW w:type="dxa" w:w="3456"/>
            <w:vAlign w:val="center"/>
          </w:tcPr>
          <w:p>
            <w:r>
              <w:rPr>
                <w:sz w:val="16"/>
              </w:rPr>
              <w:t>Digitally signed/verifiable documents and PKI are required/documented for issuers.</w:t>
            </w:r>
          </w:p>
        </w:tc>
        <w:tc>
          <w:tcPr>
            <w:tcW w:type="dxa" w:w="3456"/>
            <w:vAlign w:val="center"/>
          </w:tcPr>
          <w:p>
            <w:r>
              <w:rPr>
                <w:sz w:val="16"/>
              </w:rPr>
              <w:t>Strong</w:t>
            </w:r>
          </w:p>
        </w:tc>
      </w:tr>
      <w:tr>
        <w:tc>
          <w:tcPr>
            <w:tcW w:type="dxa" w:w="3456"/>
            <w:vAlign w:val="center"/>
          </w:tcPr>
          <w:p>
            <w:r>
              <w:rPr>
                <w:sz w:val="16"/>
              </w:rPr>
              <w:t>S7</w:t>
            </w:r>
          </w:p>
        </w:tc>
        <w:tc>
          <w:tcPr>
            <w:tcW w:type="dxa" w:w="3456"/>
            <w:vAlign w:val="center"/>
          </w:tcPr>
          <w:p>
            <w:r>
              <w:rPr>
                <w:sz w:val="16"/>
              </w:rPr>
              <w:t>24-hour issuer breach-notification requirement and API suspension powers are documented.</w:t>
            </w:r>
          </w:p>
        </w:tc>
        <w:tc>
          <w:tcPr>
            <w:tcW w:type="dxa" w:w="3456"/>
            <w:vAlign w:val="center"/>
          </w:tcPr>
          <w:p>
            <w:r>
              <w:rPr>
                <w:sz w:val="16"/>
              </w:rPr>
              <w:t>Positive</w:t>
            </w:r>
          </w:p>
        </w:tc>
      </w:tr>
    </w:tbl>
    <w:p>
      <w:pPr>
        <w:pStyle w:val="Heading1"/>
      </w:pPr>
      <w:r>
        <w:t>6. Vulnerabilities / Weaknesses Identified</w:t>
      </w:r>
    </w:p>
    <w:p>
      <w:r>
        <w:t>Important: the audit did not demonstrate a critical exploitable vulnerability. The items below are observed weaknesses, hardening opportunities, or controls that remain unverified.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2F3"/>
          </w:tcPr>
          <w:p>
            <w:r>
              <w:rPr>
                <w:b/>
                <w:sz w:val="17"/>
              </w:rPr>
              <w:t>ID</w:t>
            </w:r>
          </w:p>
        </w:tc>
        <w:tc>
          <w:tcPr>
            <w:tcW w:type="dxa" w:w="2592"/>
            <w:shd w:fill="D9E2F3"/>
          </w:tcPr>
          <w:p>
            <w:r>
              <w:rPr>
                <w:b/>
                <w:sz w:val="17"/>
              </w:rPr>
              <w:t>Finding</w:t>
            </w:r>
          </w:p>
        </w:tc>
        <w:tc>
          <w:tcPr>
            <w:tcW w:type="dxa" w:w="2592"/>
            <w:shd w:fill="D9E2F3"/>
          </w:tcPr>
          <w:p>
            <w:r>
              <w:rPr>
                <w:b/>
                <w:sz w:val="17"/>
              </w:rPr>
              <w:t>Risk</w:t>
            </w:r>
          </w:p>
        </w:tc>
        <w:tc>
          <w:tcPr>
            <w:tcW w:type="dxa" w:w="2592"/>
            <w:shd w:fill="D9E2F3"/>
          </w:tcPr>
          <w:p>
            <w:r>
              <w:rPr>
                <w:b/>
                <w:sz w:val="17"/>
              </w:rPr>
              <w:t>Recommendation</w:t>
            </w:r>
          </w:p>
        </w:tc>
      </w:tr>
      <w:tr>
        <w:tc>
          <w:tcPr>
            <w:tcW w:type="dxa" w:w="2592"/>
            <w:vAlign w:val="center"/>
          </w:tcPr>
          <w:p>
            <w:r>
              <w:rPr>
                <w:sz w:val="16"/>
              </w:rPr>
              <w:t>V1</w:t>
            </w:r>
          </w:p>
        </w:tc>
        <w:tc>
          <w:tcPr>
            <w:tcW w:type="dxa" w:w="2592"/>
            <w:vAlign w:val="center"/>
          </w:tcPr>
          <w:p>
            <w:r>
              <w:rPr>
                <w:sz w:val="16"/>
              </w:rPr>
              <w:t>The captured main web CSP permitted 'unsafe-eval'.</w:t>
            </w:r>
          </w:p>
        </w:tc>
        <w:tc>
          <w:tcPr>
            <w:tcW w:type="dxa" w:w="2592"/>
            <w:vAlign w:val="center"/>
          </w:tcPr>
          <w:p>
            <w:r>
              <w:rPr>
                <w:sz w:val="16"/>
              </w:rPr>
              <w:t>Low–Medium</w:t>
            </w:r>
          </w:p>
        </w:tc>
        <w:tc>
          <w:tcPr>
            <w:tcW w:type="dxa" w:w="2592"/>
            <w:vAlign w:val="center"/>
          </w:tcPr>
          <w:p>
            <w:r>
              <w:rPr>
                <w:sz w:val="16"/>
              </w:rPr>
              <w:t>Remove 'unsafe-eval' where technically feasible and move toward a stricter CSP.</w:t>
            </w:r>
          </w:p>
        </w:tc>
      </w:tr>
      <w:tr>
        <w:tc>
          <w:tcPr>
            <w:tcW w:type="dxa" w:w="2592"/>
            <w:vAlign w:val="center"/>
          </w:tcPr>
          <w:p>
            <w:r>
              <w:rPr>
                <w:sz w:val="16"/>
              </w:rPr>
              <w:t>V2</w:t>
            </w:r>
          </w:p>
        </w:tc>
        <w:tc>
          <w:tcPr>
            <w:tcW w:type="dxa" w:w="2592"/>
            <w:vAlign w:val="center"/>
          </w:tcPr>
          <w:p>
            <w:r>
              <w:rPr>
                <w:sz w:val="16"/>
              </w:rPr>
              <w:t>OTP/TOTP rate limiting, maximum retries and replay protection were not tested.</w:t>
            </w:r>
          </w:p>
        </w:tc>
        <w:tc>
          <w:tcPr>
            <w:tcW w:type="dxa" w:w="2592"/>
            <w:vAlign w:val="center"/>
          </w:tcPr>
          <w:p>
            <w:r>
              <w:rPr>
                <w:sz w:val="16"/>
              </w:rPr>
              <w:t>Unknown</w:t>
            </w:r>
          </w:p>
        </w:tc>
        <w:tc>
          <w:tcPr>
            <w:tcW w:type="dxa" w:w="2592"/>
            <w:vAlign w:val="center"/>
          </w:tcPr>
          <w:p>
            <w:r>
              <w:rPr>
                <w:sz w:val="16"/>
              </w:rPr>
              <w:t>Verify and document throttling, lockout/step-up rules, expiry and replay resistance.</w:t>
            </w:r>
          </w:p>
        </w:tc>
      </w:tr>
      <w:tr>
        <w:tc>
          <w:tcPr>
            <w:tcW w:type="dxa" w:w="2592"/>
            <w:vAlign w:val="center"/>
          </w:tcPr>
          <w:p>
            <w:r>
              <w:rPr>
                <w:sz w:val="16"/>
              </w:rPr>
              <w:t>V3</w:t>
            </w:r>
          </w:p>
        </w:tc>
        <w:tc>
          <w:tcPr>
            <w:tcW w:type="dxa" w:w="2592"/>
            <w:vAlign w:val="center"/>
          </w:tcPr>
          <w:p>
            <w:r>
              <w:rPr>
                <w:sz w:val="16"/>
              </w:rPr>
              <w:t>Token revocation and server-side session invalidation were not verified.</w:t>
            </w:r>
          </w:p>
        </w:tc>
        <w:tc>
          <w:tcPr>
            <w:tcW w:type="dxa" w:w="2592"/>
            <w:vAlign w:val="center"/>
          </w:tcPr>
          <w:p>
            <w:r>
              <w:rPr>
                <w:sz w:val="16"/>
              </w:rPr>
              <w:t>Unknown</w:t>
            </w:r>
          </w:p>
        </w:tc>
        <w:tc>
          <w:tcPr>
            <w:tcW w:type="dxa" w:w="2592"/>
            <w:vAlign w:val="center"/>
          </w:tcPr>
          <w:p>
            <w:r>
              <w:rPr>
                <w:sz w:val="16"/>
              </w:rPr>
              <w:t>Test logout, expiry, revocation and reuse of an old token in an authorized test environment.</w:t>
            </w:r>
          </w:p>
        </w:tc>
      </w:tr>
      <w:tr>
        <w:tc>
          <w:tcPr>
            <w:tcW w:type="dxa" w:w="2592"/>
            <w:vAlign w:val="center"/>
          </w:tcPr>
          <w:p>
            <w:r>
              <w:rPr>
                <w:sz w:val="16"/>
              </w:rPr>
              <w:t>V4</w:t>
            </w:r>
          </w:p>
        </w:tc>
        <w:tc>
          <w:tcPr>
            <w:tcW w:type="dxa" w:w="2592"/>
            <w:vAlign w:val="center"/>
          </w:tcPr>
          <w:p>
            <w:r>
              <w:rPr>
                <w:sz w:val="16"/>
              </w:rPr>
              <w:t>Exact storage-encryption algorithm/key-management mechanism was not visible in the audit.</w:t>
            </w:r>
          </w:p>
        </w:tc>
        <w:tc>
          <w:tcPr>
            <w:tcW w:type="dxa" w:w="2592"/>
            <w:vAlign w:val="center"/>
          </w:tcPr>
          <w:p>
            <w:r>
              <w:rPr>
                <w:sz w:val="16"/>
              </w:rPr>
              <w:t>Unknown</w:t>
            </w:r>
          </w:p>
        </w:tc>
        <w:tc>
          <w:tcPr>
            <w:tcW w:type="dxa" w:w="2592"/>
            <w:vAlign w:val="center"/>
          </w:tcPr>
          <w:p>
            <w:r>
              <w:rPr>
                <w:sz w:val="16"/>
              </w:rPr>
              <w:t>Obtain approved technical documentation; do not assume AES, RSA, HSM etc. without evidence.</w:t>
            </w:r>
          </w:p>
        </w:tc>
      </w:tr>
      <w:tr>
        <w:tc>
          <w:tcPr>
            <w:tcW w:type="dxa" w:w="2592"/>
            <w:vAlign w:val="center"/>
          </w:tcPr>
          <w:p>
            <w:r>
              <w:rPr>
                <w:sz w:val="16"/>
              </w:rPr>
              <w:t>V5</w:t>
            </w:r>
          </w:p>
        </w:tc>
        <w:tc>
          <w:tcPr>
            <w:tcW w:type="dxa" w:w="2592"/>
            <w:vAlign w:val="center"/>
          </w:tcPr>
          <w:p>
            <w:r>
              <w:rPr>
                <w:sz w:val="16"/>
              </w:rPr>
              <w:t>Exact digital-signature algorithm/certificate-chain implementation was not verified.</w:t>
            </w:r>
          </w:p>
        </w:tc>
        <w:tc>
          <w:tcPr>
            <w:tcW w:type="dxa" w:w="2592"/>
            <w:vAlign w:val="center"/>
          </w:tcPr>
          <w:p>
            <w:r>
              <w:rPr>
                <w:sz w:val="16"/>
              </w:rPr>
              <w:t>Unknown</w:t>
            </w:r>
          </w:p>
        </w:tc>
        <w:tc>
          <w:tcPr>
            <w:tcW w:type="dxa" w:w="2592"/>
            <w:vAlign w:val="center"/>
          </w:tcPr>
          <w:p>
            <w:r>
              <w:rPr>
                <w:sz w:val="16"/>
              </w:rPr>
              <w:t>Verify a permitted sample document signature and certificate chain.</w:t>
            </w:r>
          </w:p>
        </w:tc>
      </w:tr>
      <w:tr>
        <w:tc>
          <w:tcPr>
            <w:tcW w:type="dxa" w:w="2592"/>
            <w:vAlign w:val="center"/>
          </w:tcPr>
          <w:p>
            <w:r>
              <w:rPr>
                <w:sz w:val="16"/>
              </w:rPr>
              <w:t>V6</w:t>
            </w:r>
          </w:p>
        </w:tc>
        <w:tc>
          <w:tcPr>
            <w:tcW w:type="dxa" w:w="2592"/>
            <w:vAlign w:val="center"/>
          </w:tcPr>
          <w:p>
            <w:r>
              <w:rPr>
                <w:sz w:val="16"/>
              </w:rPr>
              <w:t>An issued-documents API returned HTTP 404 twice in the captured session.</w:t>
            </w:r>
          </w:p>
        </w:tc>
        <w:tc>
          <w:tcPr>
            <w:tcW w:type="dxa" w:w="2592"/>
            <w:vAlign w:val="center"/>
          </w:tcPr>
          <w:p>
            <w:r>
              <w:rPr>
                <w:sz w:val="16"/>
              </w:rPr>
              <w:t>Low / Unclear</w:t>
            </w:r>
          </w:p>
        </w:tc>
        <w:tc>
          <w:tcPr>
            <w:tcW w:type="dxa" w:w="2592"/>
            <w:vAlign w:val="center"/>
          </w:tcPr>
          <w:p>
            <w:r>
              <w:rPr>
                <w:sz w:val="16"/>
              </w:rPr>
              <w:t>Review route/version alignment and monitoring; 404 alone is not a security vulnerability.</w:t>
            </w:r>
          </w:p>
        </w:tc>
      </w:tr>
      <w:tr>
        <w:tc>
          <w:tcPr>
            <w:tcW w:type="dxa" w:w="2592"/>
            <w:vAlign w:val="center"/>
          </w:tcPr>
          <w:p>
            <w:r>
              <w:rPr>
                <w:sz w:val="16"/>
              </w:rPr>
              <w:t>V7</w:t>
            </w:r>
          </w:p>
        </w:tc>
        <w:tc>
          <w:tcPr>
            <w:tcW w:type="dxa" w:w="2592"/>
            <w:vAlign w:val="center"/>
          </w:tcPr>
          <w:p>
            <w:r>
              <w:rPr>
                <w:sz w:val="16"/>
              </w:rPr>
              <w:t>Blockchain use was not established.</w:t>
            </w:r>
          </w:p>
        </w:tc>
        <w:tc>
          <w:tcPr>
            <w:tcW w:type="dxa" w:w="2592"/>
            <w:vAlign w:val="center"/>
          </w:tcPr>
          <w:p>
            <w:r>
              <w:rPr>
                <w:sz w:val="16"/>
              </w:rPr>
              <w:t>N/A</w:t>
            </w:r>
          </w:p>
        </w:tc>
        <w:tc>
          <w:tcPr>
            <w:tcW w:type="dxa" w:w="2592"/>
            <w:vAlign w:val="center"/>
          </w:tcPr>
          <w:p>
            <w:r>
              <w:rPr>
                <w:sz w:val="16"/>
              </w:rPr>
              <w:t>Do not claim blockchain in the report unless official evidence is obtained.</w:t>
            </w:r>
          </w:p>
        </w:tc>
      </w:tr>
    </w:tbl>
    <w:p>
      <w:pPr>
        <w:pStyle w:val="Heading1"/>
      </w:pPr>
      <w:r>
        <w:t>7. Risk Summary</w:t>
      </w:r>
    </w:p>
    <w:tbl>
      <w:tblPr>
        <w:tblStyle w:val="TableGrid"/>
        <w:tblW w:type="auto" w:w="0"/>
        <w:jc w:val="center"/>
        <w:tblLook w:firstColumn="1" w:firstRow="1" w:lastColumn="0" w:lastRow="0" w:noHBand="0" w:noVBand="1" w:val="04A0"/>
      </w:tblPr>
      <w:tblGrid>
        <w:gridCol w:w="5184"/>
        <w:gridCol w:w="5184"/>
      </w:tblGrid>
      <w:tr>
        <w:tc>
          <w:tcPr>
            <w:tcW w:type="dxa" w:w="5184"/>
            <w:shd w:fill="D9E2F3"/>
          </w:tcPr>
          <w:p>
            <w:r>
              <w:rPr>
                <w:b/>
                <w:sz w:val="17"/>
              </w:rPr>
              <w:t>Risk level</w:t>
            </w:r>
          </w:p>
        </w:tc>
        <w:tc>
          <w:tcPr>
            <w:tcW w:type="dxa" w:w="5184"/>
            <w:shd w:fill="D9E2F3"/>
          </w:tcPr>
          <w:p>
            <w:r>
              <w:rPr>
                <w:b/>
                <w:sz w:val="17"/>
              </w:rPr>
              <w:t>Assessment</w:t>
            </w:r>
          </w:p>
        </w:tc>
      </w:tr>
      <w:tr>
        <w:tc>
          <w:tcPr>
            <w:tcW w:type="dxa" w:w="5184"/>
            <w:vAlign w:val="center"/>
          </w:tcPr>
          <w:p>
            <w:r>
              <w:rPr>
                <w:sz w:val="16"/>
              </w:rPr>
              <w:t>Critical</w:t>
            </w:r>
          </w:p>
        </w:tc>
        <w:tc>
          <w:tcPr>
            <w:tcW w:type="dxa" w:w="5184"/>
            <w:vAlign w:val="center"/>
          </w:tcPr>
          <w:p>
            <w:r>
              <w:rPr>
                <w:sz w:val="16"/>
              </w:rPr>
              <w:t>No critical vulnerability demonstrated.</w:t>
            </w:r>
          </w:p>
        </w:tc>
      </w:tr>
      <w:tr>
        <w:tc>
          <w:tcPr>
            <w:tcW w:type="dxa" w:w="5184"/>
            <w:vAlign w:val="center"/>
          </w:tcPr>
          <w:p>
            <w:r>
              <w:rPr>
                <w:sz w:val="16"/>
              </w:rPr>
              <w:t>High</w:t>
            </w:r>
          </w:p>
        </w:tc>
        <w:tc>
          <w:tcPr>
            <w:tcW w:type="dxa" w:w="5184"/>
            <w:vAlign w:val="center"/>
          </w:tcPr>
          <w:p>
            <w:r>
              <w:rPr>
                <w:sz w:val="16"/>
              </w:rPr>
              <w:t>No high-risk vulnerability demonstrated within the passive scope.</w:t>
            </w:r>
          </w:p>
        </w:tc>
      </w:tr>
      <w:tr>
        <w:tc>
          <w:tcPr>
            <w:tcW w:type="dxa" w:w="5184"/>
            <w:vAlign w:val="center"/>
          </w:tcPr>
          <w:p>
            <w:r>
              <w:rPr>
                <w:sz w:val="16"/>
              </w:rPr>
              <w:t>Medium</w:t>
            </w:r>
          </w:p>
        </w:tc>
        <w:tc>
          <w:tcPr>
            <w:tcW w:type="dxa" w:w="5184"/>
            <w:vAlign w:val="center"/>
          </w:tcPr>
          <w:p>
            <w:r>
              <w:rPr>
                <w:sz w:val="16"/>
              </w:rPr>
              <w:t>CSP 'unsafe-eval' is a hardening concern; OTP/session controls need verification.</w:t>
            </w:r>
          </w:p>
        </w:tc>
      </w:tr>
      <w:tr>
        <w:tc>
          <w:tcPr>
            <w:tcW w:type="dxa" w:w="5184"/>
            <w:vAlign w:val="center"/>
          </w:tcPr>
          <w:p>
            <w:r>
              <w:rPr>
                <w:sz w:val="16"/>
              </w:rPr>
              <w:t>Low</w:t>
            </w:r>
          </w:p>
        </w:tc>
        <w:tc>
          <w:tcPr>
            <w:tcW w:type="dxa" w:w="5184"/>
            <w:vAlign w:val="center"/>
          </w:tcPr>
          <w:p>
            <w:r>
              <w:rPr>
                <w:sz w:val="16"/>
              </w:rPr>
              <w:t>Observed 404 requires operational review but is not itself evidence of compromise.</w:t>
            </w:r>
          </w:p>
        </w:tc>
      </w:tr>
      <w:tr>
        <w:tc>
          <w:tcPr>
            <w:tcW w:type="dxa" w:w="5184"/>
            <w:vAlign w:val="center"/>
          </w:tcPr>
          <w:p>
            <w:r>
              <w:rPr>
                <w:sz w:val="16"/>
              </w:rPr>
              <w:t>Unknown</w:t>
            </w:r>
          </w:p>
        </w:tc>
        <w:tc>
          <w:tcPr>
            <w:tcW w:type="dxa" w:w="5184"/>
            <w:vAlign w:val="center"/>
          </w:tcPr>
          <w:p>
            <w:r>
              <w:rPr>
                <w:sz w:val="16"/>
              </w:rPr>
              <w:t>Backend encryption, token revocation, exact OTP/TOTP implementation and signature implementation require further evidence.</w:t>
            </w:r>
          </w:p>
        </w:tc>
      </w:tr>
    </w:tbl>
    <w:p>
      <w:pPr>
        <w:pStyle w:val="Heading1"/>
      </w:pPr>
      <w:r>
        <w:t>8. Recommendations</w:t>
      </w:r>
    </w:p>
    <w:p>
      <w:pPr>
        <w:pStyle w:val="ListBullet"/>
        <w:spacing w:after="20"/>
      </w:pPr>
      <w:r>
        <w:t>Maintain short-lived signed JWTs and validate expiry, issuer, audience and authorization server-side.</w:t>
      </w:r>
    </w:p>
    <w:p>
      <w:pPr>
        <w:pStyle w:val="ListBullet"/>
        <w:spacing w:after="20"/>
      </w:pPr>
      <w:r>
        <w:t>Verify OTP/TOTP expiry, retry limits, rate limiting, replay protection and account-takeover defenses.</w:t>
      </w:r>
    </w:p>
    <w:p>
      <w:pPr>
        <w:pStyle w:val="ListBullet"/>
        <w:spacing w:after="20"/>
      </w:pPr>
      <w:r>
        <w:t>Keep sensitive APIs restricted by explicit CORS allowlists and strong server-side authorization.</w:t>
      </w:r>
    </w:p>
    <w:p>
      <w:pPr>
        <w:pStyle w:val="ListBullet"/>
        <w:spacing w:after="20"/>
      </w:pPr>
      <w:r>
        <w:t>Remove CSP 'unsafe-eval' where possible and continuously test security headers after frontend changes.</w:t>
      </w:r>
    </w:p>
    <w:p>
      <w:pPr>
        <w:pStyle w:val="ListBullet"/>
        <w:spacing w:after="20"/>
      </w:pPr>
      <w:r>
        <w:t>Minimize Aadhaar collection and clearly communicate why Aadhaar verification is required for each sensitive service.</w:t>
      </w:r>
    </w:p>
    <w:p>
      <w:pPr>
        <w:pStyle w:val="ListBullet"/>
        <w:spacing w:after="20"/>
      </w:pPr>
      <w:r>
        <w:t>Preserve explicit, auditable consent for document sharing and maintain appropriate access/revocation controls.</w:t>
      </w:r>
    </w:p>
    <w:p>
      <w:pPr>
        <w:pStyle w:val="ListBullet"/>
        <w:spacing w:after="20"/>
      </w:pPr>
      <w:r>
        <w:t>Periodically audit issuer APIs, credentials and document-signing controls; suspend compromised/non-compliant integrations quickly.</w:t>
      </w:r>
    </w:p>
    <w:p>
      <w:pPr>
        <w:pStyle w:val="ListBullet"/>
        <w:spacing w:after="20"/>
      </w:pPr>
      <w:r>
        <w:t>Conduct a professional penetration test separately; this practical audit intentionally avoided intrusive testing.</w:t>
      </w:r>
    </w:p>
    <w:p>
      <w:pPr>
        <w:pStyle w:val="Heading1"/>
      </w:pPr>
      <w:r>
        <w:t>9. Conclusion</w:t>
      </w:r>
    </w:p>
    <w:p>
      <w:r>
        <w:t>DigiLocker demonstrates several strong security controls at the observed browser/API layer, including OTP/TOTP authentication, signed JWT authentication, HTTPS, HSTS, CSP, restricted CORS, anti-clickjacking and anti-caching controls. Its issuer terms also provide governance for explicit consent, PKI/digital signatures, security safeguards and breach notification. The main identified hardening issue is the observed CSP allowance of 'unsafe-eval', while several important backend controls remain unverified. Therefore, the audit finds no demonstrated critical vulnerability within the limited passive scope, but recommends further controlled verification of authentication, token lifecycle, encryption and document-signature implementation.</w:t>
      </w:r>
    </w:p>
    <w:p>
      <w:pPr>
        <w:pStyle w:val="Heading1"/>
      </w:pPr>
      <w:r>
        <w:t>10. Evidence Classification</w:t>
      </w:r>
    </w:p>
    <w:p>
      <w:r>
        <w:t>O = directly observed from screenshots/HAR; D = officially documented in DigiLocker terms/documentation; I = technical inference; NV = not verified. Sensitive values such as OTPs, Aadhaar/VID, cookies and JWT contents are intentionally omitted.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