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b/>
          <w:color w:val="167D8D"/>
          <w:sz w:val="24"/>
        </w:rPr>
        <w:t>PRACTICAL 2</w:t>
      </w:r>
    </w:p>
    <w:p>
      <w:pPr>
        <w:pStyle w:val="Title"/>
        <w:spacing w:after="180"/>
      </w:pPr>
      <w:r>
        <w:t>Privacy Impact</w:t>
        <w:br/>
        <w:t>Assessment</w:t>
      </w:r>
    </w:p>
    <w:p>
      <w:r>
        <w:rPr>
          <w:b/>
          <w:color w:val="374A5A"/>
          <w:sz w:val="34"/>
        </w:rPr>
        <w:t>DigiLocker Citizen-Facing Platform</w:t>
      </w:r>
    </w:p>
    <w:p>
      <w:pPr>
        <w:spacing w:before="200"/>
      </w:pPr>
      <w:r>
        <w:rPr>
          <w:i/>
          <w:sz w:val="22"/>
        </w:rPr>
        <w:t>A prospective assessment of privacy risks, safeguards, and residual risk</w:t>
      </w:r>
    </w:p>
    <w:p>
      <w:pPr>
        <w:spacing w:before="400"/>
        <w:pBdr>
          <w:bottom w:val="single" w:sz="20" w:color="167D8D"/>
        </w:pBdr>
      </w:pPr>
    </w:p>
    <w:p>
      <w:pPr>
        <w:spacing w:after="120"/>
      </w:pPr>
      <w:r>
        <w:rPr>
          <w:b/>
        </w:rPr>
        <w:t xml:space="preserve">Assessment date: </w:t>
      </w:r>
      <w:r>
        <w:t>03 September 2026</w:t>
      </w:r>
    </w:p>
    <w:p>
      <w:pPr>
        <w:spacing w:after="120"/>
      </w:pPr>
      <w:r>
        <w:rPr>
          <w:b/>
        </w:rPr>
        <w:t xml:space="preserve">Assessment type: </w:t>
      </w:r>
      <w:r>
        <w:t>Privacy Impact Assessment (PIA)</w:t>
      </w:r>
    </w:p>
    <w:p>
      <w:pPr>
        <w:spacing w:after="120"/>
      </w:pPr>
      <w:r>
        <w:rPr>
          <w:b/>
        </w:rPr>
        <w:t xml:space="preserve">Evidence basis: </w:t>
      </w:r>
      <w:r>
        <w:t>Normal-user UI inspection; authenticated browser HAR capture (79 entries); DigiLocker Issuer Terms of Use updated 02 June 2025</w:t>
      </w:r>
    </w:p>
    <w:p>
      <w:pPr>
        <w:spacing w:after="120"/>
      </w:pPr>
      <w:r>
        <w:rPr>
          <w:b/>
        </w:rPr>
        <w:t xml:space="preserve">Relationship to Practical 1: </w:t>
      </w:r>
      <w:r>
        <w:t>Builds on the Data Privacy &amp; Cybersecurity Audit and reframes observations as prospective privacy risks and mitigations.</w:t>
      </w:r>
    </w:p>
    <w:p>
      <w:pPr>
        <w:spacing w:before="480"/>
      </w:pPr>
      <w:r>
        <w:rPr>
          <w:b/>
          <w:color w:val="167D8D"/>
          <w:sz w:val="18"/>
        </w:rPr>
        <w:t>ACADEMIC / PRACTICAL ASSESSMENT</w:t>
      </w:r>
    </w:p>
    <w:p>
      <w:r>
        <w:t>This document is an academic practical exercise. It is not a legal opinion, certification, or regulatory filing. Assessment is passive and based on the evidence described herein; no intrusive testing or exploitation was performed.</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997"/>
        <w:gridCol w:w="4997"/>
      </w:tblGrid>
      <w:tr>
        <w:tc>
          <w:tcPr>
            <w:tcW w:type="dxa" w:w="2376"/>
            <w:vAlign w:val="center"/>
            <w:shd w:fill="12304A"/>
          </w:tcPr>
          <w:p>
            <w:pPr>
              <w:spacing w:after="20"/>
            </w:pPr>
            <w:r/>
            <w:r>
              <w:rPr>
                <w:rFonts w:ascii="Aptos" w:hAnsi="Aptos"/>
                <w:b/>
                <w:color w:val="FFFFFF"/>
                <w:sz w:val="16"/>
              </w:rPr>
              <w:t>Field</w:t>
            </w:r>
          </w:p>
        </w:tc>
        <w:tc>
          <w:tcPr>
            <w:tcW w:type="dxa" w:w="8208"/>
            <w:vAlign w:val="center"/>
            <w:shd w:fill="12304A"/>
          </w:tcPr>
          <w:p>
            <w:pPr>
              <w:spacing w:after="20"/>
            </w:pPr>
            <w:r/>
            <w:r>
              <w:rPr>
                <w:rFonts w:ascii="Aptos" w:hAnsi="Aptos"/>
                <w:b/>
                <w:color w:val="FFFFFF"/>
                <w:sz w:val="16"/>
              </w:rPr>
              <w:t>Details</w:t>
            </w:r>
          </w:p>
        </w:tc>
      </w:tr>
      <w:tr>
        <w:tc>
          <w:tcPr>
            <w:tcW w:type="dxa" w:w="2376"/>
            <w:vAlign w:val="center"/>
          </w:tcPr>
          <w:p>
            <w:pPr>
              <w:spacing w:after="20"/>
            </w:pPr>
            <w:r/>
            <w:r>
              <w:rPr>
                <w:rFonts w:ascii="Aptos" w:hAnsi="Aptos"/>
                <w:b w:val="0"/>
                <w:color w:val="2A3542"/>
                <w:sz w:val="16"/>
              </w:rPr>
              <w:t>Assessment title</w:t>
            </w:r>
          </w:p>
        </w:tc>
        <w:tc>
          <w:tcPr>
            <w:tcW w:type="dxa" w:w="8208"/>
            <w:vAlign w:val="center"/>
          </w:tcPr>
          <w:p>
            <w:pPr>
              <w:spacing w:after="20"/>
            </w:pPr>
            <w:r/>
            <w:r>
              <w:rPr>
                <w:rFonts w:ascii="Aptos" w:hAnsi="Aptos"/>
                <w:b w:val="0"/>
                <w:color w:val="2A3542"/>
                <w:sz w:val="16"/>
              </w:rPr>
              <w:t>Privacy Impact Assessment — DigiLocker Citizen-Facing Platform</w:t>
            </w:r>
          </w:p>
        </w:tc>
      </w:tr>
      <w:tr>
        <w:tc>
          <w:tcPr>
            <w:tcW w:type="dxa" w:w="2376"/>
            <w:vAlign w:val="center"/>
            <w:shd w:fill="F1F6F8"/>
          </w:tcPr>
          <w:p>
            <w:pPr>
              <w:spacing w:after="20"/>
            </w:pPr>
            <w:r/>
            <w:r>
              <w:rPr>
                <w:rFonts w:ascii="Aptos" w:hAnsi="Aptos"/>
                <w:b w:val="0"/>
                <w:color w:val="2A3542"/>
                <w:sz w:val="16"/>
              </w:rPr>
              <w:t>Assessment date</w:t>
            </w:r>
          </w:p>
        </w:tc>
        <w:tc>
          <w:tcPr>
            <w:tcW w:type="dxa" w:w="8208"/>
            <w:vAlign w:val="center"/>
            <w:shd w:fill="F1F6F8"/>
          </w:tcPr>
          <w:p>
            <w:pPr>
              <w:spacing w:after="20"/>
            </w:pPr>
            <w:r/>
            <w:r>
              <w:rPr>
                <w:rFonts w:ascii="Aptos" w:hAnsi="Aptos"/>
                <w:b w:val="0"/>
                <w:color w:val="2A3542"/>
                <w:sz w:val="16"/>
              </w:rPr>
              <w:t>03 September 2026</w:t>
            </w:r>
          </w:p>
        </w:tc>
      </w:tr>
      <w:tr>
        <w:tc>
          <w:tcPr>
            <w:tcW w:type="dxa" w:w="2376"/>
            <w:vAlign w:val="center"/>
          </w:tcPr>
          <w:p>
            <w:pPr>
              <w:spacing w:after="20"/>
            </w:pPr>
            <w:r/>
            <w:r>
              <w:rPr>
                <w:rFonts w:ascii="Aptos" w:hAnsi="Aptos"/>
                <w:b w:val="0"/>
                <w:color w:val="2A3542"/>
                <w:sz w:val="16"/>
              </w:rPr>
              <w:t>System assessed</w:t>
            </w:r>
          </w:p>
        </w:tc>
        <w:tc>
          <w:tcPr>
            <w:tcW w:type="dxa" w:w="8208"/>
            <w:vAlign w:val="center"/>
          </w:tcPr>
          <w:p>
            <w:pPr>
              <w:spacing w:after="20"/>
            </w:pPr>
            <w:r/>
            <w:r>
              <w:rPr>
                <w:rFonts w:ascii="Aptos" w:hAnsi="Aptos"/>
                <w:b w:val="0"/>
                <w:color w:val="2A3542"/>
                <w:sz w:val="16"/>
              </w:rPr>
              <w:t>Authentication, Aadhaar linking, document issuance, consent-based sharing, and issuer APIs</w:t>
            </w:r>
          </w:p>
        </w:tc>
      </w:tr>
      <w:tr>
        <w:tc>
          <w:tcPr>
            <w:tcW w:type="dxa" w:w="2376"/>
            <w:vAlign w:val="center"/>
            <w:shd w:fill="F1F6F8"/>
          </w:tcPr>
          <w:p>
            <w:pPr>
              <w:spacing w:after="20"/>
            </w:pPr>
            <w:r/>
            <w:r>
              <w:rPr>
                <w:rFonts w:ascii="Aptos" w:hAnsi="Aptos"/>
                <w:b w:val="0"/>
                <w:color w:val="2A3542"/>
                <w:sz w:val="16"/>
              </w:rPr>
              <w:t>Assessment approach</w:t>
            </w:r>
          </w:p>
        </w:tc>
        <w:tc>
          <w:tcPr>
            <w:tcW w:type="dxa" w:w="8208"/>
            <w:vAlign w:val="center"/>
            <w:shd w:fill="F1F6F8"/>
          </w:tcPr>
          <w:p>
            <w:pPr>
              <w:spacing w:after="20"/>
            </w:pPr>
            <w:r/>
            <w:r>
              <w:rPr>
                <w:rFonts w:ascii="Aptos" w:hAnsi="Aptos"/>
                <w:b w:val="0"/>
                <w:color w:val="2A3542"/>
                <w:sz w:val="16"/>
              </w:rPr>
              <w:t>Passive / normal-user observation; no intrusive testing or exploitation</w:t>
            </w:r>
          </w:p>
        </w:tc>
      </w:tr>
      <w:tr>
        <w:tc>
          <w:tcPr>
            <w:tcW w:type="dxa" w:w="2376"/>
            <w:vAlign w:val="center"/>
          </w:tcPr>
          <w:p>
            <w:pPr>
              <w:spacing w:after="20"/>
            </w:pPr>
            <w:r/>
            <w:r>
              <w:rPr>
                <w:rFonts w:ascii="Aptos" w:hAnsi="Aptos"/>
                <w:b w:val="0"/>
                <w:color w:val="2A3542"/>
                <w:sz w:val="16"/>
              </w:rPr>
              <w:t>Primary evidence</w:t>
            </w:r>
          </w:p>
        </w:tc>
        <w:tc>
          <w:tcPr>
            <w:tcW w:type="dxa" w:w="8208"/>
            <w:vAlign w:val="center"/>
          </w:tcPr>
          <w:p>
            <w:pPr>
              <w:spacing w:after="20"/>
            </w:pPr>
            <w:r/>
            <w:r>
              <w:rPr>
                <w:rFonts w:ascii="Aptos" w:hAnsi="Aptos"/>
                <w:b w:val="0"/>
                <w:color w:val="2A3542"/>
                <w:sz w:val="16"/>
              </w:rPr>
              <w:t>Normal-user UI inspection; authenticated browser HAR capture (79 entries); Issuer Terms of Use updated 02 June 2025</w:t>
            </w:r>
          </w:p>
        </w:tc>
      </w:tr>
      <w:tr>
        <w:tc>
          <w:tcPr>
            <w:tcW w:type="dxa" w:w="2376"/>
            <w:vAlign w:val="center"/>
            <w:shd w:fill="F1F6F8"/>
          </w:tcPr>
          <w:p>
            <w:pPr>
              <w:spacing w:after="20"/>
            </w:pPr>
            <w:r/>
            <w:r>
              <w:rPr>
                <w:rFonts w:ascii="Aptos" w:hAnsi="Aptos"/>
                <w:b w:val="0"/>
                <w:color w:val="2A3542"/>
                <w:sz w:val="16"/>
              </w:rPr>
              <w:t>Evidence labels</w:t>
            </w:r>
          </w:p>
        </w:tc>
        <w:tc>
          <w:tcPr>
            <w:tcW w:type="dxa" w:w="8208"/>
            <w:vAlign w:val="center"/>
            <w:shd w:fill="F1F6F8"/>
          </w:tcPr>
          <w:p>
            <w:pPr>
              <w:spacing w:after="20"/>
            </w:pPr>
            <w:r/>
            <w:r>
              <w:rPr>
                <w:rFonts w:ascii="Aptos" w:hAnsi="Aptos"/>
                <w:b w:val="0"/>
                <w:color w:val="2A3542"/>
                <w:sz w:val="16"/>
              </w:rPr>
              <w:t>O = Observed; D = Officially documented; I = Inferred; NV = Not verified</w:t>
            </w:r>
          </w:p>
        </w:tc>
      </w:tr>
      <w:tr>
        <w:tc>
          <w:tcPr>
            <w:tcW w:type="dxa" w:w="2376"/>
            <w:vAlign w:val="center"/>
          </w:tcPr>
          <w:p>
            <w:pPr>
              <w:spacing w:after="20"/>
            </w:pPr>
            <w:r/>
            <w:r>
              <w:rPr>
                <w:rFonts w:ascii="Aptos" w:hAnsi="Aptos"/>
                <w:b w:val="0"/>
                <w:color w:val="2A3542"/>
                <w:sz w:val="16"/>
              </w:rPr>
              <w:t>Practical 1 linkage</w:t>
            </w:r>
          </w:p>
        </w:tc>
        <w:tc>
          <w:tcPr>
            <w:tcW w:type="dxa" w:w="8208"/>
            <w:vAlign w:val="center"/>
          </w:tcPr>
          <w:p>
            <w:pPr>
              <w:spacing w:after="20"/>
            </w:pPr>
            <w:r/>
            <w:r>
              <w:rPr>
                <w:rFonts w:ascii="Aptos" w:hAnsi="Aptos"/>
                <w:b w:val="0"/>
                <w:color w:val="2A3542"/>
                <w:sz w:val="16"/>
              </w:rPr>
              <w:t>Data Privacy &amp; Cybersecurity Audit (current-state review); this PIA is prospective and mitigation-focused</w:t>
            </w:r>
          </w:p>
        </w:tc>
      </w:tr>
    </w:tbl>
    <w:p>
      <w:pPr>
        <w:spacing w:after="20"/>
      </w:pPr>
    </w:p>
    <w:p>
      <w:pPr>
        <w:pStyle w:val="Heading1"/>
      </w:pPr>
      <w:r>
        <w:t>Contents</w:t>
      </w:r>
    </w:p>
    <w:p>
      <w:pPr>
        <w:spacing w:after="40"/>
      </w:pPr>
      <w:r>
        <w:t>1. Executive Summary</w:t>
      </w:r>
    </w:p>
    <w:p>
      <w:pPr>
        <w:spacing w:after="40"/>
      </w:pPr>
      <w:r>
        <w:t>2. Purpose and Method</w:t>
      </w:r>
    </w:p>
    <w:p>
      <w:pPr>
        <w:spacing w:after="40"/>
      </w:pPr>
      <w:r>
        <w:t>3. System Description and Scope</w:t>
      </w:r>
    </w:p>
    <w:p>
      <w:pPr>
        <w:spacing w:after="40"/>
      </w:pPr>
      <w:r>
        <w:t>4. Legal and Regulatory Framework</w:t>
      </w:r>
    </w:p>
    <w:p>
      <w:pPr>
        <w:spacing w:after="40"/>
      </w:pPr>
      <w:r>
        <w:t>5. Data Inventory and Data Flow</w:t>
      </w:r>
    </w:p>
    <w:p>
      <w:pPr>
        <w:spacing w:after="40"/>
      </w:pPr>
      <w:r>
        <w:t>6. Necessity and Proportionality</w:t>
      </w:r>
    </w:p>
    <w:p>
      <w:pPr>
        <w:spacing w:after="40"/>
      </w:pPr>
      <w:r>
        <w:t>7. Privacy Risk Register</w:t>
      </w:r>
    </w:p>
    <w:p>
      <w:pPr>
        <w:spacing w:after="40"/>
      </w:pPr>
      <w:r>
        <w:t>8. Data Principal Rights Assessment</w:t>
      </w:r>
    </w:p>
    <w:p>
      <w:pPr>
        <w:spacing w:after="40"/>
      </w:pPr>
      <w:r>
        <w:t>9. Mitigation Strategies</w:t>
      </w:r>
    </w:p>
    <w:p>
      <w:pPr>
        <w:spacing w:after="40"/>
      </w:pPr>
      <w:r>
        <w:t>10. Residual Risk and Sign-Off</w:t>
      </w:r>
    </w:p>
    <w:p>
      <w:pPr>
        <w:spacing w:after="40"/>
      </w:pPr>
      <w:r>
        <w:t>11. Monitoring and Review</w:t>
      </w:r>
    </w:p>
    <w:p>
      <w:pPr>
        <w:spacing w:after="40"/>
      </w:pPr>
      <w:r>
        <w:t>12. Consultation</w:t>
      </w:r>
    </w:p>
    <w:p>
      <w:pPr>
        <w:spacing w:after="40"/>
      </w:pPr>
      <w:r>
        <w:t>13. Conclusion</w:t>
      </w:r>
    </w:p>
    <w:p>
      <w:pPr>
        <w:spacing w:after="40"/>
      </w:pPr>
      <w:r>
        <w:t>14. Evidence Classification</w:t>
      </w:r>
    </w:p>
    <w:p>
      <w:pPr>
        <w:spacing w:after="40"/>
      </w:pPr>
      <w:r>
        <w:t>15. References</w:t>
      </w:r>
    </w:p>
    <w:p>
      <w:pPr>
        <w:spacing w:after="40"/>
      </w:pPr>
      <w:r>
        <w:t>16. Viva / Practical Questions</w:t>
      </w:r>
    </w:p>
    <w:p>
      <w:pPr>
        <w:pStyle w:val="Heading1"/>
      </w:pPr>
      <w:r>
        <w:t>1. Executive Summary</w:t>
      </w:r>
    </w:p>
    <w:p>
      <w:r>
        <w:t>This Privacy Impact Assessment (PIA) examines privacy risks associated with DigiLocker’s citizen-facing platform and its ecosystem, including authentication, Aadhaar/VID linking, document issuance and storage, consent-based sharing, and issuer APIs. It uses the evidence base described in Document Control and applies a qualitative Likelihood × Impact method.</w:t>
      </w:r>
    </w:p>
    <w:p>
      <w:r>
        <w:t>The assessment identifies eight risks rated High before mitigation: Aadhaar/VID over-collection, insufficiently granular consent, difficulty revoking consent, exposure of Aadhaar/VID in logs or URLs, token theft or replay, issuer-side breach, safeguards for children or vulnerable persons, and cross-border transfer uncertainty. Other risks include retention, metadata re-identification, third-party leakage, transparency, automated decisions, grievance handling, and audit logging.</w:t>
      </w:r>
    </w:p>
    <w:p>
      <w:r>
        <w:t>Some privacy-enabling controls were observed or documented, including consent-based document access, short-lived signed tokens, restricted CORS, anti-caching headers, and issuer breach-notification obligations. These controls do not establish that all privacy risks are eliminated. No vulnerability was established in the passive assessment. Exact storage-encryption algorithms, token revocation, OTP/TOTP implementation, document-signature algorithms, and blockchain use were not verified.</w:t>
      </w:r>
    </w:p>
    <w:p>
      <w:r>
        <w:t>Conclusion: prioritize Aadhaar data minimization, purpose-bound and revocable consent, issuer accountability, citizen-facing transparency and rights workflows, and documented retention and transfer practices. Proposed residual risk ratings are conditional on implementation and verification of the controls.</w:t>
      </w:r>
    </w:p>
    <w:p>
      <w:pPr>
        <w:pStyle w:val="Heading1"/>
      </w:pPr>
      <w:r>
        <w:t>2. Purpose and Method</w:t>
      </w:r>
    </w:p>
    <w:p>
      <w:r>
        <w:t>The PIA is intended to identify privacy risks, assess necessity and proportionality, consider data-principal rights, recommend safeguards, and describe residual risk and ongoing review needs. It is structured as a prospective assessment rather than a checklist of current controls.</w:t>
      </w:r>
    </w:p>
    <w:p>
      <w:pPr>
        <w:pStyle w:val="Heading2"/>
      </w:pPr>
      <w:r>
        <w:t>2.1 Method and limitations</w:t>
      </w:r>
    </w:p>
    <w:p>
      <w:pPr>
        <w:pStyle w:val="ListBullet"/>
        <w:spacing w:after="40"/>
      </w:pPr>
      <w:r>
        <w:t>Reviewed normal-user interface behavior and an authenticated browser HAR capture containing 79 entries.</w:t>
      </w:r>
    </w:p>
    <w:p>
      <w:pPr>
        <w:pStyle w:val="ListBullet"/>
        <w:spacing w:after="40"/>
      </w:pPr>
      <w:r>
        <w:t>Reviewed the DigiLocker Issuer Terms of Use updated 02 June 2025, as supplied for the related audit.</w:t>
      </w:r>
    </w:p>
    <w:p>
      <w:pPr>
        <w:pStyle w:val="ListBullet"/>
        <w:spacing w:after="40"/>
      </w:pPr>
      <w:r>
        <w:t>Classified statements as observed, officially documented, inferred, or not verified.</w:t>
      </w:r>
    </w:p>
    <w:p>
      <w:pPr>
        <w:pStyle w:val="ListBullet"/>
        <w:spacing w:after="40"/>
      </w:pPr>
      <w:r>
        <w:t>Did not perform intrusive testing, exploitation, backend inspection, or independent legal verification.</w:t>
      </w:r>
    </w:p>
    <w:p>
      <w:pPr>
        <w:pStyle w:val="ListBullet"/>
        <w:spacing w:after="40"/>
      </w:pPr>
      <w:r>
        <w:t>Risk ratings are qualitative and should be revisited when system-owner evidence or formal control testing is available.</w:t>
      </w:r>
    </w:p>
    <w:p>
      <w:pPr>
        <w:pStyle w:val="Heading1"/>
      </w:pPr>
      <w:r>
        <w:t>3. System Description and Scope</w:t>
      </w:r>
    </w:p>
    <w:p>
      <w:pPr>
        <w:pStyle w:val="Heading2"/>
      </w:pPr>
      <w:r>
        <w:t>3.1 System overview</w:t>
      </w:r>
    </w:p>
    <w:p>
      <w:r>
        <w:t>DigiLocker is a citizen-facing digital document wallet and verification platform under the Digital India programme. Citizens may authenticate using a mobile number and OTP/TOTP, link Aadhaar/VID for identity verification, receive electronically signed documents from issuers, and share documents with requesters subject to consent. Issuers publish documents through approved APIs; responsibility for document content and validity remains with the issuer as applicable.</w:t>
      </w:r>
    </w:p>
    <w:p>
      <w:pPr>
        <w:pStyle w:val="Heading2"/>
      </w:pPr>
      <w:r>
        <w:t>3.2 Scope</w:t>
      </w:r>
    </w:p>
    <w:tbl>
      <w:tblPr>
        <w:tblStyle w:val="TableGrid"/>
        <w:tblW w:type="auto" w:w="0"/>
        <w:jc w:val="center"/>
        <w:tblLayout w:type="autofit"/>
        <w:tblLook w:firstColumn="1" w:firstRow="1" w:lastColumn="0" w:lastRow="0" w:noHBand="0" w:noVBand="1" w:val="04A0"/>
      </w:tblPr>
      <w:tblGrid>
        <w:gridCol w:w="4997"/>
        <w:gridCol w:w="4997"/>
      </w:tblGrid>
      <w:tr>
        <w:tc>
          <w:tcPr>
            <w:tcW w:type="dxa" w:w="4968"/>
            <w:vAlign w:val="center"/>
            <w:shd w:fill="12304A"/>
          </w:tcPr>
          <w:p>
            <w:pPr>
              <w:spacing w:after="20"/>
            </w:pPr>
            <w:r/>
            <w:r>
              <w:rPr>
                <w:rFonts w:ascii="Aptos" w:hAnsi="Aptos"/>
                <w:b/>
                <w:color w:val="FFFFFF"/>
                <w:sz w:val="16"/>
              </w:rPr>
              <w:t>In scope</w:t>
            </w:r>
          </w:p>
        </w:tc>
        <w:tc>
          <w:tcPr>
            <w:tcW w:type="dxa" w:w="5616"/>
            <w:vAlign w:val="center"/>
            <w:shd w:fill="12304A"/>
          </w:tcPr>
          <w:p>
            <w:pPr>
              <w:spacing w:after="20"/>
            </w:pPr>
            <w:r/>
            <w:r>
              <w:rPr>
                <w:rFonts w:ascii="Aptos" w:hAnsi="Aptos"/>
                <w:b/>
                <w:color w:val="FFFFFF"/>
                <w:sz w:val="16"/>
              </w:rPr>
              <w:t>Out of scope / not verified</w:t>
            </w:r>
          </w:p>
        </w:tc>
      </w:tr>
      <w:tr>
        <w:tc>
          <w:tcPr>
            <w:tcW w:type="dxa" w:w="4968"/>
            <w:vAlign w:val="center"/>
          </w:tcPr>
          <w:p>
            <w:pPr>
              <w:spacing w:after="20"/>
            </w:pPr>
            <w:r/>
            <w:r>
              <w:rPr>
                <w:rFonts w:ascii="Aptos" w:hAnsi="Aptos"/>
                <w:b w:val="0"/>
                <w:color w:val="2A3542"/>
                <w:sz w:val="16"/>
              </w:rPr>
              <w:t>Citizen login and authentication</w:t>
            </w:r>
          </w:p>
        </w:tc>
        <w:tc>
          <w:tcPr>
            <w:tcW w:type="dxa" w:w="5616"/>
            <w:vAlign w:val="center"/>
          </w:tcPr>
          <w:p>
            <w:pPr>
              <w:spacing w:after="20"/>
            </w:pPr>
            <w:r/>
            <w:r>
              <w:rPr>
                <w:rFonts w:ascii="Aptos" w:hAnsi="Aptos"/>
                <w:b w:val="0"/>
                <w:color w:val="2A3542"/>
                <w:sz w:val="16"/>
              </w:rPr>
              <w:t>Complete backend microservices mapping</w:t>
            </w:r>
          </w:p>
        </w:tc>
      </w:tr>
      <w:tr>
        <w:tc>
          <w:tcPr>
            <w:tcW w:type="dxa" w:w="4968"/>
            <w:vAlign w:val="center"/>
            <w:shd w:fill="F1F6F8"/>
          </w:tcPr>
          <w:p>
            <w:pPr>
              <w:spacing w:after="20"/>
            </w:pPr>
            <w:r/>
            <w:r>
              <w:rPr>
                <w:rFonts w:ascii="Aptos" w:hAnsi="Aptos"/>
                <w:b w:val="0"/>
                <w:color w:val="2A3542"/>
                <w:sz w:val="16"/>
              </w:rPr>
              <w:t>Aadhaar-linking flow</w:t>
            </w:r>
          </w:p>
        </w:tc>
        <w:tc>
          <w:tcPr>
            <w:tcW w:type="dxa" w:w="5616"/>
            <w:vAlign w:val="center"/>
            <w:shd w:fill="F1F6F8"/>
          </w:tcPr>
          <w:p>
            <w:pPr>
              <w:spacing w:after="20"/>
            </w:pPr>
            <w:r/>
            <w:r>
              <w:rPr>
                <w:rFonts w:ascii="Aptos" w:hAnsi="Aptos"/>
                <w:b w:val="0"/>
                <w:color w:val="2A3542"/>
                <w:sz w:val="16"/>
              </w:rPr>
              <w:t>Exact cryptographic implementation</w:t>
            </w:r>
          </w:p>
        </w:tc>
      </w:tr>
      <w:tr>
        <w:tc>
          <w:tcPr>
            <w:tcW w:type="dxa" w:w="4968"/>
            <w:vAlign w:val="center"/>
          </w:tcPr>
          <w:p>
            <w:pPr>
              <w:spacing w:after="20"/>
            </w:pPr>
            <w:r/>
            <w:r>
              <w:rPr>
                <w:rFonts w:ascii="Aptos" w:hAnsi="Aptos"/>
                <w:b w:val="0"/>
                <w:color w:val="2A3542"/>
                <w:sz w:val="16"/>
              </w:rPr>
              <w:t>Document issuance and storage</w:t>
            </w:r>
          </w:p>
        </w:tc>
        <w:tc>
          <w:tcPr>
            <w:tcW w:type="dxa" w:w="5616"/>
            <w:vAlign w:val="center"/>
          </w:tcPr>
          <w:p>
            <w:pPr>
              <w:spacing w:after="20"/>
            </w:pPr>
            <w:r/>
            <w:r>
              <w:rPr>
                <w:rFonts w:ascii="Aptos" w:hAnsi="Aptos"/>
                <w:b w:val="0"/>
                <w:color w:val="2A3542"/>
                <w:sz w:val="16"/>
              </w:rPr>
              <w:t>Blockchain use</w:t>
            </w:r>
          </w:p>
        </w:tc>
      </w:tr>
      <w:tr>
        <w:tc>
          <w:tcPr>
            <w:tcW w:type="dxa" w:w="4968"/>
            <w:vAlign w:val="center"/>
            <w:shd w:fill="F1F6F8"/>
          </w:tcPr>
          <w:p>
            <w:pPr>
              <w:spacing w:after="20"/>
            </w:pPr>
            <w:r/>
            <w:r>
              <w:rPr>
                <w:rFonts w:ascii="Aptos" w:hAnsi="Aptos"/>
                <w:b w:val="0"/>
                <w:color w:val="2A3542"/>
                <w:sz w:val="16"/>
              </w:rPr>
              <w:t>Consent-based document sharing</w:t>
            </w:r>
          </w:p>
        </w:tc>
        <w:tc>
          <w:tcPr>
            <w:tcW w:type="dxa" w:w="5616"/>
            <w:vAlign w:val="center"/>
            <w:shd w:fill="F1F6F8"/>
          </w:tcPr>
          <w:p>
            <w:pPr>
              <w:spacing w:after="20"/>
            </w:pPr>
            <w:r/>
            <w:r>
              <w:rPr>
                <w:rFonts w:ascii="Aptos" w:hAnsi="Aptos"/>
                <w:b w:val="0"/>
                <w:color w:val="2A3542"/>
                <w:sz w:val="16"/>
              </w:rPr>
              <w:t>Issuer internal systems</w:t>
            </w:r>
          </w:p>
        </w:tc>
      </w:tr>
      <w:tr>
        <w:tc>
          <w:tcPr>
            <w:tcW w:type="dxa" w:w="4968"/>
            <w:vAlign w:val="center"/>
          </w:tcPr>
          <w:p>
            <w:pPr>
              <w:spacing w:after="20"/>
            </w:pPr>
            <w:r/>
            <w:r>
              <w:rPr>
                <w:rFonts w:ascii="Aptos" w:hAnsi="Aptos"/>
                <w:b w:val="0"/>
                <w:color w:val="2A3542"/>
                <w:sz w:val="16"/>
              </w:rPr>
              <w:t>Issuer API onboarding and governance</w:t>
            </w:r>
          </w:p>
        </w:tc>
        <w:tc>
          <w:tcPr>
            <w:tcW w:type="dxa" w:w="5616"/>
            <w:vAlign w:val="center"/>
          </w:tcPr>
          <w:p>
            <w:pPr>
              <w:spacing w:after="20"/>
            </w:pPr>
            <w:r/>
            <w:r>
              <w:rPr>
                <w:rFonts w:ascii="Aptos" w:hAnsi="Aptos"/>
                <w:b w:val="0"/>
                <w:color w:val="2A3542"/>
                <w:sz w:val="16"/>
              </w:rPr>
              <w:t>Complete citizen privacy policy; Issuer Terms reviewed only</w:t>
            </w:r>
          </w:p>
        </w:tc>
      </w:tr>
      <w:tr>
        <w:tc>
          <w:tcPr>
            <w:tcW w:type="dxa" w:w="4968"/>
            <w:vAlign w:val="center"/>
            <w:shd w:fill="F1F6F8"/>
          </w:tcPr>
          <w:p>
            <w:pPr>
              <w:spacing w:after="20"/>
            </w:pPr>
            <w:r/>
            <w:r>
              <w:rPr>
                <w:rFonts w:ascii="Aptos" w:hAnsi="Aptos"/>
                <w:b w:val="0"/>
                <w:color w:val="2A3542"/>
                <w:sz w:val="16"/>
              </w:rPr>
              <w:t>Browser/API privacy controls</w:t>
            </w:r>
          </w:p>
        </w:tc>
        <w:tc>
          <w:tcPr>
            <w:tcW w:type="dxa" w:w="5616"/>
            <w:vAlign w:val="center"/>
            <w:shd w:fill="F1F6F8"/>
          </w:tcPr>
          <w:p>
            <w:pPr>
              <w:spacing w:after="20"/>
            </w:pPr>
            <w:r/>
            <w:r>
              <w:rPr>
                <w:rFonts w:ascii="Aptos" w:hAnsi="Aptos"/>
                <w:b w:val="0"/>
                <w:color w:val="2A3542"/>
                <w:sz w:val="16"/>
              </w:rPr>
              <w:t>Intrusive testing or exploitation</w:t>
            </w:r>
          </w:p>
        </w:tc>
      </w:tr>
    </w:tbl>
    <w:p>
      <w:pPr>
        <w:spacing w:after="20"/>
      </w:pPr>
    </w:p>
    <w:p>
      <w:pPr>
        <w:pStyle w:val="Heading2"/>
      </w:pPr>
      <w:r>
        <w:t>3.3 Stakeholders</w:t>
      </w:r>
    </w:p>
    <w:p>
      <w:pPr>
        <w:pStyle w:val="ListBullet"/>
        <w:spacing w:after="40"/>
      </w:pPr>
      <w:r>
        <w:t>Data principals: citizens using DigiLocker.</w:t>
      </w:r>
    </w:p>
    <w:p>
      <w:pPr>
        <w:pStyle w:val="ListBullet"/>
        <w:spacing w:after="40"/>
      </w:pPr>
      <w:r>
        <w:t>Platform and ecosystem participants: DigiLocker / NeGD, API Setu, issuers, and requesters; exact fiduciary/processor roles depend on each processing activity and should be documented.</w:t>
      </w:r>
    </w:p>
    <w:p>
      <w:pPr>
        <w:pStyle w:val="ListBullet"/>
        <w:spacing w:after="40"/>
      </w:pPr>
      <w:r>
        <w:t>Relevant public authorities: MeitY, UIDAI, and the Data Protection Board of India under the DPDP Act; CERT-In is relevant to incident and security directions.</w:t>
      </w:r>
    </w:p>
    <w:p>
      <w:pPr>
        <w:pStyle w:val="ListBullet"/>
        <w:spacing w:after="40"/>
      </w:pPr>
      <w:r>
        <w:t>Other stakeholders: auditors, civil society, and affected persons.</w:t>
      </w:r>
    </w:p>
    <w:p>
      <w:pPr>
        <w:pStyle w:val="Heading2"/>
      </w:pPr>
      <w:r>
        <w:t>3.4 High-level data flow</w:t>
      </w:r>
    </w:p>
    <w:p>
      <w:r>
        <w:t>Citizen browser → DigiLocker web interface and platform services → (where applicable) UIDAI authentication; approved issuer APIs supply documents; requester APIs obtain permitted document access subject to consent. Static and media resources may be delivered through DigiLocker / API Setu hostnames and associated CDN services. Hostnames were observed (O); modular architecture and API gateway descriptions are documented (D). A complete backend data-flow map was not independently verified.</w:t>
      </w:r>
    </w:p>
    <w:p>
      <w:pPr>
        <w:pStyle w:val="Heading1"/>
      </w:pPr>
      <w:r>
        <w:t>4. Legal and Regulatory Framework</w:t>
      </w:r>
    </w:p>
    <w:tbl>
      <w:tblPr>
        <w:tblStyle w:val="TableGrid"/>
        <w:tblW w:type="auto" w:w="0"/>
        <w:jc w:val="center"/>
        <w:tblLayout w:type="autofit"/>
        <w:tblLook w:firstColumn="1" w:firstRow="1" w:lastColumn="0" w:lastRow="0" w:noHBand="0" w:noVBand="1" w:val="04A0"/>
      </w:tblPr>
      <w:tblGrid>
        <w:gridCol w:w="4997"/>
        <w:gridCol w:w="4997"/>
      </w:tblGrid>
      <w:tr>
        <w:tc>
          <w:tcPr>
            <w:tcW w:type="dxa" w:w="3168"/>
            <w:vAlign w:val="center"/>
            <w:shd w:fill="12304A"/>
          </w:tcPr>
          <w:p>
            <w:pPr>
              <w:spacing w:after="20"/>
            </w:pPr>
            <w:r/>
            <w:r>
              <w:rPr>
                <w:rFonts w:ascii="Aptos" w:hAnsi="Aptos"/>
                <w:b/>
                <w:color w:val="FFFFFF"/>
                <w:sz w:val="15"/>
              </w:rPr>
              <w:t>Instrument / reference</w:t>
            </w:r>
          </w:p>
        </w:tc>
        <w:tc>
          <w:tcPr>
            <w:tcW w:type="dxa" w:w="7416"/>
            <w:vAlign w:val="center"/>
            <w:shd w:fill="12304A"/>
          </w:tcPr>
          <w:p>
            <w:pPr>
              <w:spacing w:after="20"/>
            </w:pPr>
            <w:r/>
            <w:r>
              <w:rPr>
                <w:rFonts w:ascii="Aptos" w:hAnsi="Aptos"/>
                <w:b/>
                <w:color w:val="FFFFFF"/>
                <w:sz w:val="15"/>
              </w:rPr>
              <w:t>Relevance to assessment</w:t>
            </w:r>
          </w:p>
        </w:tc>
      </w:tr>
      <w:tr>
        <w:tc>
          <w:tcPr>
            <w:tcW w:type="dxa" w:w="3168"/>
            <w:vAlign w:val="center"/>
          </w:tcPr>
          <w:p>
            <w:pPr>
              <w:spacing w:after="20"/>
            </w:pPr>
            <w:r/>
            <w:r>
              <w:rPr>
                <w:rFonts w:ascii="Aptos" w:hAnsi="Aptos"/>
                <w:b w:val="0"/>
                <w:color w:val="2A3542"/>
                <w:sz w:val="15"/>
              </w:rPr>
              <w:t>Digital Personal Data Protection Act, 2023</w:t>
            </w:r>
          </w:p>
        </w:tc>
        <w:tc>
          <w:tcPr>
            <w:tcW w:type="dxa" w:w="7416"/>
            <w:vAlign w:val="center"/>
          </w:tcPr>
          <w:p>
            <w:pPr>
              <w:spacing w:after="20"/>
            </w:pPr>
            <w:r/>
            <w:r>
              <w:rPr>
                <w:rFonts w:ascii="Aptos" w:hAnsi="Aptos"/>
                <w:b w:val="0"/>
                <w:color w:val="2A3542"/>
                <w:sz w:val="15"/>
              </w:rPr>
              <w:t>Consent, specified purpose, data-principal rights, security safeguards, breach obligations, children’s data, and applicable significant data fiduciary requirements.</w:t>
            </w:r>
          </w:p>
        </w:tc>
      </w:tr>
      <w:tr>
        <w:tc>
          <w:tcPr>
            <w:tcW w:type="dxa" w:w="3168"/>
            <w:vAlign w:val="center"/>
            <w:shd w:fill="F1F6F8"/>
          </w:tcPr>
          <w:p>
            <w:pPr>
              <w:spacing w:after="20"/>
            </w:pPr>
            <w:r/>
            <w:r>
              <w:rPr>
                <w:rFonts w:ascii="Aptos" w:hAnsi="Aptos"/>
                <w:b w:val="0"/>
                <w:color w:val="2A3542"/>
                <w:sz w:val="15"/>
              </w:rPr>
              <w:t>Aadhaar Act, 2016</w:t>
            </w:r>
          </w:p>
        </w:tc>
        <w:tc>
          <w:tcPr>
            <w:tcW w:type="dxa" w:w="7416"/>
            <w:vAlign w:val="center"/>
            <w:shd w:fill="F1F6F8"/>
          </w:tcPr>
          <w:p>
            <w:pPr>
              <w:spacing w:after="20"/>
            </w:pPr>
            <w:r/>
            <w:r>
              <w:rPr>
                <w:rFonts w:ascii="Aptos" w:hAnsi="Aptos"/>
                <w:b w:val="0"/>
                <w:color w:val="2A3542"/>
                <w:sz w:val="15"/>
              </w:rPr>
              <w:t>Aadhaar authentication and applicable restrictions on use, storage, and sharing; UIDAI oversight.</w:t>
            </w:r>
          </w:p>
        </w:tc>
      </w:tr>
      <w:tr>
        <w:tc>
          <w:tcPr>
            <w:tcW w:type="dxa" w:w="3168"/>
            <w:vAlign w:val="center"/>
          </w:tcPr>
          <w:p>
            <w:pPr>
              <w:spacing w:after="20"/>
            </w:pPr>
            <w:r/>
            <w:r>
              <w:rPr>
                <w:rFonts w:ascii="Aptos" w:hAnsi="Aptos"/>
                <w:b w:val="0"/>
                <w:color w:val="2A3542"/>
                <w:sz w:val="15"/>
              </w:rPr>
              <w:t>Information Technology Act, 2000</w:t>
            </w:r>
          </w:p>
        </w:tc>
        <w:tc>
          <w:tcPr>
            <w:tcW w:type="dxa" w:w="7416"/>
            <w:vAlign w:val="center"/>
          </w:tcPr>
          <w:p>
            <w:pPr>
              <w:spacing w:after="20"/>
            </w:pPr>
            <w:r/>
            <w:r>
              <w:rPr>
                <w:rFonts w:ascii="Aptos" w:hAnsi="Aptos"/>
                <w:b w:val="0"/>
                <w:color w:val="2A3542"/>
                <w:sz w:val="15"/>
              </w:rPr>
              <w:t>Electronic records, electronic signatures, and applicable due-diligence provisions.</w:t>
            </w:r>
          </w:p>
        </w:tc>
      </w:tr>
      <w:tr>
        <w:tc>
          <w:tcPr>
            <w:tcW w:type="dxa" w:w="3168"/>
            <w:vAlign w:val="center"/>
            <w:shd w:fill="F1F6F8"/>
          </w:tcPr>
          <w:p>
            <w:pPr>
              <w:spacing w:after="20"/>
            </w:pPr>
            <w:r/>
            <w:r>
              <w:rPr>
                <w:rFonts w:ascii="Aptos" w:hAnsi="Aptos"/>
                <w:b w:val="0"/>
                <w:color w:val="2A3542"/>
                <w:sz w:val="15"/>
              </w:rPr>
              <w:t>CERT-In Directions (2022)</w:t>
            </w:r>
          </w:p>
        </w:tc>
        <w:tc>
          <w:tcPr>
            <w:tcW w:type="dxa" w:w="7416"/>
            <w:vAlign w:val="center"/>
            <w:shd w:fill="F1F6F8"/>
          </w:tcPr>
          <w:p>
            <w:pPr>
              <w:spacing w:after="20"/>
            </w:pPr>
            <w:r/>
            <w:r>
              <w:rPr>
                <w:rFonts w:ascii="Aptos" w:hAnsi="Aptos"/>
                <w:b w:val="0"/>
                <w:color w:val="2A3542"/>
                <w:sz w:val="15"/>
              </w:rPr>
              <w:t>Incident reporting, log retention, and time synchronization requirements where applicable.</w:t>
            </w:r>
          </w:p>
        </w:tc>
      </w:tr>
      <w:tr>
        <w:tc>
          <w:tcPr>
            <w:tcW w:type="dxa" w:w="3168"/>
            <w:vAlign w:val="center"/>
          </w:tcPr>
          <w:p>
            <w:pPr>
              <w:spacing w:after="20"/>
            </w:pPr>
            <w:r/>
            <w:r>
              <w:rPr>
                <w:rFonts w:ascii="Aptos" w:hAnsi="Aptos"/>
                <w:b w:val="0"/>
                <w:color w:val="2A3542"/>
                <w:sz w:val="15"/>
              </w:rPr>
              <w:t>MeitY / NeGD guidance</w:t>
            </w:r>
          </w:p>
        </w:tc>
        <w:tc>
          <w:tcPr>
            <w:tcW w:type="dxa" w:w="7416"/>
            <w:vAlign w:val="center"/>
          </w:tcPr>
          <w:p>
            <w:pPr>
              <w:spacing w:after="20"/>
            </w:pPr>
            <w:r/>
            <w:r>
              <w:rPr>
                <w:rFonts w:ascii="Aptos" w:hAnsi="Aptos"/>
                <w:b w:val="0"/>
                <w:color w:val="2A3542"/>
                <w:sz w:val="15"/>
              </w:rPr>
              <w:t>Issuer onboarding, API governance, and digital-signature expectations.</w:t>
            </w:r>
          </w:p>
        </w:tc>
      </w:tr>
      <w:tr>
        <w:tc>
          <w:tcPr>
            <w:tcW w:type="dxa" w:w="3168"/>
            <w:vAlign w:val="center"/>
            <w:shd w:fill="F1F6F8"/>
          </w:tcPr>
          <w:p>
            <w:pPr>
              <w:spacing w:after="20"/>
            </w:pPr>
            <w:r/>
            <w:r>
              <w:rPr>
                <w:rFonts w:ascii="Aptos" w:hAnsi="Aptos"/>
                <w:b w:val="0"/>
                <w:color w:val="2A3542"/>
                <w:sz w:val="15"/>
              </w:rPr>
              <w:t>DigiLocker Issuer Terms of Use (02 June 2025)</w:t>
            </w:r>
          </w:p>
        </w:tc>
        <w:tc>
          <w:tcPr>
            <w:tcW w:type="dxa" w:w="7416"/>
            <w:vAlign w:val="center"/>
            <w:shd w:fill="F1F6F8"/>
          </w:tcPr>
          <w:p>
            <w:pPr>
              <w:spacing w:after="20"/>
            </w:pPr>
            <w:r/>
            <w:r>
              <w:rPr>
                <w:rFonts w:ascii="Aptos" w:hAnsi="Aptos"/>
                <w:b w:val="0"/>
                <w:color w:val="2A3542"/>
                <w:sz w:val="15"/>
              </w:rPr>
              <w:t>Consent-based access, PKI, security safeguards, 24-hour breach notification, and API suspension provisions as described in the reviewed terms.</w:t>
            </w:r>
          </w:p>
        </w:tc>
      </w:tr>
      <w:tr>
        <w:tc>
          <w:tcPr>
            <w:tcW w:type="dxa" w:w="3168"/>
            <w:vAlign w:val="center"/>
          </w:tcPr>
          <w:p>
            <w:pPr>
              <w:spacing w:after="20"/>
            </w:pPr>
            <w:r/>
            <w:r>
              <w:rPr>
                <w:rFonts w:ascii="Aptos" w:hAnsi="Aptos"/>
                <w:b w:val="0"/>
                <w:color w:val="2A3542"/>
                <w:sz w:val="15"/>
              </w:rPr>
              <w:t>ISO/IEC 29134; NIST Privacy Framework</w:t>
            </w:r>
          </w:p>
        </w:tc>
        <w:tc>
          <w:tcPr>
            <w:tcW w:type="dxa" w:w="7416"/>
            <w:vAlign w:val="center"/>
          </w:tcPr>
          <w:p>
            <w:pPr>
              <w:spacing w:after="20"/>
            </w:pPr>
            <w:r/>
            <w:r>
              <w:rPr>
                <w:rFonts w:ascii="Aptos" w:hAnsi="Aptos"/>
                <w:b w:val="0"/>
                <w:color w:val="2A3542"/>
                <w:sz w:val="15"/>
              </w:rPr>
              <w:t>Methodology and risk-management references; not laws.</w:t>
            </w:r>
          </w:p>
        </w:tc>
      </w:tr>
    </w:tbl>
    <w:p>
      <w:pPr>
        <w:spacing w:after="20"/>
      </w:pPr>
    </w:p>
    <w:p>
      <w:r>
        <w:t>Applicability and current legal requirements should be confirmed by qualified counsel against the applicable rules, notifications, and deployment context. This table is a reference map, not a legal determination.</w:t>
      </w:r>
    </w:p>
    <w:p>
      <w:pPr>
        <w:pStyle w:val="Heading1"/>
      </w:pPr>
      <w:r>
        <w:t>5. Data Inventory and Data Flow</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c>
          <w:tcPr>
            <w:tcW w:type="dxa" w:w="1656"/>
            <w:vAlign w:val="center"/>
            <w:shd w:fill="12304A"/>
          </w:tcPr>
          <w:p>
            <w:pPr>
              <w:spacing w:after="20"/>
            </w:pPr>
            <w:r/>
            <w:r>
              <w:rPr>
                <w:rFonts w:ascii="Aptos" w:hAnsi="Aptos"/>
                <w:b/>
                <w:color w:val="FFFFFF"/>
                <w:sz w:val="14"/>
              </w:rPr>
              <w:t>Data element</w:t>
            </w:r>
          </w:p>
        </w:tc>
        <w:tc>
          <w:tcPr>
            <w:tcW w:type="dxa" w:w="1512"/>
            <w:vAlign w:val="center"/>
            <w:shd w:fill="12304A"/>
          </w:tcPr>
          <w:p>
            <w:pPr>
              <w:spacing w:after="20"/>
            </w:pPr>
            <w:r/>
            <w:r>
              <w:rPr>
                <w:rFonts w:ascii="Aptos" w:hAnsi="Aptos"/>
                <w:b/>
                <w:color w:val="FFFFFF"/>
                <w:sz w:val="14"/>
              </w:rPr>
              <w:t>Source</w:t>
            </w:r>
          </w:p>
        </w:tc>
        <w:tc>
          <w:tcPr>
            <w:tcW w:type="dxa" w:w="1656"/>
            <w:vAlign w:val="center"/>
            <w:shd w:fill="12304A"/>
          </w:tcPr>
          <w:p>
            <w:pPr>
              <w:spacing w:after="20"/>
            </w:pPr>
            <w:r/>
            <w:r>
              <w:rPr>
                <w:rFonts w:ascii="Aptos" w:hAnsi="Aptos"/>
                <w:b/>
                <w:color w:val="FFFFFF"/>
                <w:sz w:val="14"/>
              </w:rPr>
              <w:t>Purpose</w:t>
            </w:r>
          </w:p>
        </w:tc>
        <w:tc>
          <w:tcPr>
            <w:tcW w:type="dxa" w:w="2448"/>
            <w:vAlign w:val="center"/>
            <w:shd w:fill="12304A"/>
          </w:tcPr>
          <w:p>
            <w:pPr>
              <w:spacing w:after="20"/>
            </w:pPr>
            <w:r/>
            <w:r>
              <w:rPr>
                <w:rFonts w:ascii="Aptos" w:hAnsi="Aptos"/>
                <w:b/>
                <w:color w:val="FFFFFF"/>
                <w:sz w:val="14"/>
              </w:rPr>
              <w:t>Storage / sharing</w:t>
            </w:r>
          </w:p>
        </w:tc>
        <w:tc>
          <w:tcPr>
            <w:tcW w:type="dxa" w:w="1296"/>
            <w:vAlign w:val="center"/>
            <w:shd w:fill="12304A"/>
          </w:tcPr>
          <w:p>
            <w:pPr>
              <w:spacing w:after="20"/>
            </w:pPr>
            <w:r/>
            <w:r>
              <w:rPr>
                <w:rFonts w:ascii="Aptos" w:hAnsi="Aptos"/>
                <w:b/>
                <w:color w:val="FFFFFF"/>
                <w:sz w:val="14"/>
              </w:rPr>
              <w:t>Retention</w:t>
            </w:r>
          </w:p>
        </w:tc>
        <w:tc>
          <w:tcPr>
            <w:tcW w:type="dxa" w:w="1152"/>
            <w:vAlign w:val="center"/>
            <w:shd w:fill="12304A"/>
          </w:tcPr>
          <w:p>
            <w:pPr>
              <w:spacing w:after="20"/>
            </w:pPr>
            <w:r/>
            <w:r>
              <w:rPr>
                <w:rFonts w:ascii="Aptos" w:hAnsi="Aptos"/>
                <w:b/>
                <w:color w:val="FFFFFF"/>
                <w:sz w:val="14"/>
              </w:rPr>
              <w:t>Evidence</w:t>
            </w:r>
          </w:p>
        </w:tc>
      </w:tr>
      <w:tr>
        <w:tc>
          <w:tcPr>
            <w:tcW w:type="dxa" w:w="1656"/>
            <w:vAlign w:val="center"/>
          </w:tcPr>
          <w:p>
            <w:pPr>
              <w:spacing w:after="20"/>
            </w:pPr>
            <w:r/>
            <w:r>
              <w:rPr>
                <w:rFonts w:ascii="Aptos" w:hAnsi="Aptos"/>
                <w:b w:val="0"/>
                <w:color w:val="2A3542"/>
                <w:sz w:val="14"/>
              </w:rPr>
              <w:t>Mobile number</w:t>
            </w:r>
          </w:p>
        </w:tc>
        <w:tc>
          <w:tcPr>
            <w:tcW w:type="dxa" w:w="1512"/>
            <w:vAlign w:val="center"/>
          </w:tcPr>
          <w:p>
            <w:pPr>
              <w:spacing w:after="20"/>
            </w:pPr>
            <w:r/>
            <w:r>
              <w:rPr>
                <w:rFonts w:ascii="Aptos" w:hAnsi="Aptos"/>
                <w:b w:val="0"/>
                <w:color w:val="2A3542"/>
                <w:sz w:val="14"/>
              </w:rPr>
              <w:t>Citizen</w:t>
            </w:r>
          </w:p>
        </w:tc>
        <w:tc>
          <w:tcPr>
            <w:tcW w:type="dxa" w:w="1656"/>
            <w:vAlign w:val="center"/>
          </w:tcPr>
          <w:p>
            <w:pPr>
              <w:spacing w:after="20"/>
            </w:pPr>
            <w:r/>
            <w:r>
              <w:rPr>
                <w:rFonts w:ascii="Aptos" w:hAnsi="Aptos"/>
                <w:b w:val="0"/>
                <w:color w:val="2A3542"/>
                <w:sz w:val="14"/>
              </w:rPr>
              <w:t>Authentication</w:t>
            </w:r>
          </w:p>
        </w:tc>
        <w:tc>
          <w:tcPr>
            <w:tcW w:type="dxa" w:w="2448"/>
            <w:vAlign w:val="center"/>
          </w:tcPr>
          <w:p>
            <w:pPr>
              <w:spacing w:after="20"/>
            </w:pPr>
            <w:r/>
            <w:r>
              <w:rPr>
                <w:rFonts w:ascii="Aptos" w:hAnsi="Aptos"/>
                <w:b w:val="0"/>
                <w:color w:val="2A3542"/>
                <w:sz w:val="14"/>
              </w:rPr>
              <w:t>DigiLocker; no sharing identified in scope</w:t>
            </w:r>
          </w:p>
        </w:tc>
        <w:tc>
          <w:tcPr>
            <w:tcW w:type="dxa" w:w="1296"/>
            <w:vAlign w:val="center"/>
          </w:tcPr>
          <w:p>
            <w:pPr>
              <w:spacing w:after="20"/>
            </w:pPr>
            <w:r/>
            <w:r>
              <w:rPr>
                <w:rFonts w:ascii="Aptos" w:hAnsi="Aptos"/>
                <w:b w:val="0"/>
                <w:color w:val="2A3542"/>
                <w:sz w:val="14"/>
              </w:rPr>
              <w:t>NV</w:t>
            </w:r>
          </w:p>
        </w:tc>
        <w:tc>
          <w:tcPr>
            <w:tcW w:type="dxa" w:w="1152"/>
            <w:vAlign w:val="center"/>
          </w:tcPr>
          <w:p>
            <w:pPr>
              <w:spacing w:after="20"/>
            </w:pPr>
            <w:r/>
            <w:r>
              <w:rPr>
                <w:rFonts w:ascii="Aptos" w:hAnsi="Aptos"/>
                <w:b w:val="0"/>
                <w:color w:val="2A3542"/>
                <w:sz w:val="14"/>
              </w:rPr>
              <w:t>O</w:t>
            </w:r>
          </w:p>
        </w:tc>
      </w:tr>
      <w:tr>
        <w:tc>
          <w:tcPr>
            <w:tcW w:type="dxa" w:w="1656"/>
            <w:vAlign w:val="center"/>
            <w:shd w:fill="F1F6F8"/>
          </w:tcPr>
          <w:p>
            <w:pPr>
              <w:spacing w:after="20"/>
            </w:pPr>
            <w:r/>
            <w:r>
              <w:rPr>
                <w:rFonts w:ascii="Aptos" w:hAnsi="Aptos"/>
                <w:b w:val="0"/>
                <w:color w:val="2A3542"/>
                <w:sz w:val="14"/>
              </w:rPr>
              <w:t>OTP / TOTP</w:t>
            </w:r>
          </w:p>
        </w:tc>
        <w:tc>
          <w:tcPr>
            <w:tcW w:type="dxa" w:w="1512"/>
            <w:vAlign w:val="center"/>
            <w:shd w:fill="F1F6F8"/>
          </w:tcPr>
          <w:p>
            <w:pPr>
              <w:spacing w:after="20"/>
            </w:pPr>
            <w:r/>
            <w:r>
              <w:rPr>
                <w:rFonts w:ascii="Aptos" w:hAnsi="Aptos"/>
                <w:b w:val="0"/>
                <w:color w:val="2A3542"/>
                <w:sz w:val="14"/>
              </w:rPr>
              <w:t>DigiLocker / app</w:t>
            </w:r>
          </w:p>
        </w:tc>
        <w:tc>
          <w:tcPr>
            <w:tcW w:type="dxa" w:w="1656"/>
            <w:vAlign w:val="center"/>
            <w:shd w:fill="F1F6F8"/>
          </w:tcPr>
          <w:p>
            <w:pPr>
              <w:spacing w:after="20"/>
            </w:pPr>
            <w:r/>
            <w:r>
              <w:rPr>
                <w:rFonts w:ascii="Aptos" w:hAnsi="Aptos"/>
                <w:b w:val="0"/>
                <w:color w:val="2A3542"/>
                <w:sz w:val="14"/>
              </w:rPr>
              <w:t>Authentication</w:t>
            </w:r>
          </w:p>
        </w:tc>
        <w:tc>
          <w:tcPr>
            <w:tcW w:type="dxa" w:w="2448"/>
            <w:vAlign w:val="center"/>
            <w:shd w:fill="F1F6F8"/>
          </w:tcPr>
          <w:p>
            <w:pPr>
              <w:spacing w:after="20"/>
            </w:pPr>
            <w:r/>
            <w:r>
              <w:rPr>
                <w:rFonts w:ascii="Aptos" w:hAnsi="Aptos"/>
                <w:b w:val="0"/>
                <w:color w:val="2A3542"/>
                <w:sz w:val="14"/>
              </w:rPr>
              <w:t>Ephemeral processing; details NV</w:t>
            </w:r>
          </w:p>
        </w:tc>
        <w:tc>
          <w:tcPr>
            <w:tcW w:type="dxa" w:w="1296"/>
            <w:vAlign w:val="center"/>
            <w:shd w:fill="F1F6F8"/>
          </w:tcPr>
          <w:p>
            <w:pPr>
              <w:spacing w:after="20"/>
            </w:pPr>
            <w:r/>
            <w:r>
              <w:rPr>
                <w:rFonts w:ascii="Aptos" w:hAnsi="Aptos"/>
                <w:b w:val="0"/>
                <w:color w:val="2A3542"/>
                <w:sz w:val="14"/>
              </w:rPr>
              <w:t>NV</w:t>
            </w:r>
          </w:p>
        </w:tc>
        <w:tc>
          <w:tcPr>
            <w:tcW w:type="dxa" w:w="1152"/>
            <w:vAlign w:val="center"/>
            <w:shd w:fill="F1F6F8"/>
          </w:tcPr>
          <w:p>
            <w:pPr>
              <w:spacing w:after="20"/>
            </w:pPr>
            <w:r/>
            <w:r>
              <w:rPr>
                <w:rFonts w:ascii="Aptos" w:hAnsi="Aptos"/>
                <w:b w:val="0"/>
                <w:color w:val="2A3542"/>
                <w:sz w:val="14"/>
              </w:rPr>
              <w:t>O</w:t>
            </w:r>
          </w:p>
        </w:tc>
      </w:tr>
      <w:tr>
        <w:tc>
          <w:tcPr>
            <w:tcW w:type="dxa" w:w="1656"/>
            <w:vAlign w:val="center"/>
          </w:tcPr>
          <w:p>
            <w:pPr>
              <w:spacing w:after="20"/>
            </w:pPr>
            <w:r/>
            <w:r>
              <w:rPr>
                <w:rFonts w:ascii="Aptos" w:hAnsi="Aptos"/>
                <w:b w:val="0"/>
                <w:color w:val="2A3542"/>
                <w:sz w:val="14"/>
              </w:rPr>
              <w:t>Aadhaar / VID</w:t>
            </w:r>
          </w:p>
        </w:tc>
        <w:tc>
          <w:tcPr>
            <w:tcW w:type="dxa" w:w="1512"/>
            <w:vAlign w:val="center"/>
          </w:tcPr>
          <w:p>
            <w:pPr>
              <w:spacing w:after="20"/>
            </w:pPr>
            <w:r/>
            <w:r>
              <w:rPr>
                <w:rFonts w:ascii="Aptos" w:hAnsi="Aptos"/>
                <w:b w:val="0"/>
                <w:color w:val="2A3542"/>
                <w:sz w:val="14"/>
              </w:rPr>
              <w:t>Citizen</w:t>
            </w:r>
          </w:p>
        </w:tc>
        <w:tc>
          <w:tcPr>
            <w:tcW w:type="dxa" w:w="1656"/>
            <w:vAlign w:val="center"/>
          </w:tcPr>
          <w:p>
            <w:pPr>
              <w:spacing w:after="20"/>
            </w:pPr>
            <w:r/>
            <w:r>
              <w:rPr>
                <w:rFonts w:ascii="Aptos" w:hAnsi="Aptos"/>
                <w:b w:val="0"/>
                <w:color w:val="2A3542"/>
                <w:sz w:val="14"/>
              </w:rPr>
              <w:t>Identity verification</w:t>
            </w:r>
          </w:p>
        </w:tc>
        <w:tc>
          <w:tcPr>
            <w:tcW w:type="dxa" w:w="2448"/>
            <w:vAlign w:val="center"/>
          </w:tcPr>
          <w:p>
            <w:pPr>
              <w:spacing w:after="20"/>
            </w:pPr>
            <w:r/>
            <w:r>
              <w:rPr>
                <w:rFonts w:ascii="Aptos" w:hAnsi="Aptos"/>
                <w:b w:val="0"/>
                <w:color w:val="2A3542"/>
                <w:sz w:val="14"/>
              </w:rPr>
              <w:t>DigiLocker / UIDAI, where applicable</w:t>
            </w:r>
          </w:p>
        </w:tc>
        <w:tc>
          <w:tcPr>
            <w:tcW w:type="dxa" w:w="1296"/>
            <w:vAlign w:val="center"/>
          </w:tcPr>
          <w:p>
            <w:pPr>
              <w:spacing w:after="20"/>
            </w:pPr>
            <w:r/>
            <w:r>
              <w:rPr>
                <w:rFonts w:ascii="Aptos" w:hAnsi="Aptos"/>
                <w:b w:val="0"/>
                <w:color w:val="2A3542"/>
                <w:sz w:val="14"/>
              </w:rPr>
              <w:t>NV</w:t>
            </w:r>
          </w:p>
        </w:tc>
        <w:tc>
          <w:tcPr>
            <w:tcW w:type="dxa" w:w="1152"/>
            <w:vAlign w:val="center"/>
          </w:tcPr>
          <w:p>
            <w:pPr>
              <w:spacing w:after="20"/>
            </w:pPr>
            <w:r/>
            <w:r>
              <w:rPr>
                <w:rFonts w:ascii="Aptos" w:hAnsi="Aptos"/>
                <w:b w:val="0"/>
                <w:color w:val="2A3542"/>
                <w:sz w:val="14"/>
              </w:rPr>
              <w:t>O</w:t>
            </w:r>
          </w:p>
        </w:tc>
      </w:tr>
      <w:tr>
        <w:tc>
          <w:tcPr>
            <w:tcW w:type="dxa" w:w="1656"/>
            <w:vAlign w:val="center"/>
            <w:shd w:fill="F1F6F8"/>
          </w:tcPr>
          <w:p>
            <w:pPr>
              <w:spacing w:after="20"/>
            </w:pPr>
            <w:r/>
            <w:r>
              <w:rPr>
                <w:rFonts w:ascii="Aptos" w:hAnsi="Aptos"/>
                <w:b w:val="0"/>
                <w:color w:val="2A3542"/>
                <w:sz w:val="14"/>
              </w:rPr>
              <w:t>Issued documents</w:t>
            </w:r>
          </w:p>
        </w:tc>
        <w:tc>
          <w:tcPr>
            <w:tcW w:type="dxa" w:w="1512"/>
            <w:vAlign w:val="center"/>
            <w:shd w:fill="F1F6F8"/>
          </w:tcPr>
          <w:p>
            <w:pPr>
              <w:spacing w:after="20"/>
            </w:pPr>
            <w:r/>
            <w:r>
              <w:rPr>
                <w:rFonts w:ascii="Aptos" w:hAnsi="Aptos"/>
                <w:b w:val="0"/>
                <w:color w:val="2A3542"/>
                <w:sz w:val="14"/>
              </w:rPr>
              <w:t>Issuer</w:t>
            </w:r>
          </w:p>
        </w:tc>
        <w:tc>
          <w:tcPr>
            <w:tcW w:type="dxa" w:w="1656"/>
            <w:vAlign w:val="center"/>
            <w:shd w:fill="F1F6F8"/>
          </w:tcPr>
          <w:p>
            <w:pPr>
              <w:spacing w:after="20"/>
            </w:pPr>
            <w:r/>
            <w:r>
              <w:rPr>
                <w:rFonts w:ascii="Aptos" w:hAnsi="Aptos"/>
                <w:b w:val="0"/>
                <w:color w:val="2A3542"/>
                <w:sz w:val="14"/>
              </w:rPr>
              <w:t>Document wallet</w:t>
            </w:r>
          </w:p>
        </w:tc>
        <w:tc>
          <w:tcPr>
            <w:tcW w:type="dxa" w:w="2448"/>
            <w:vAlign w:val="center"/>
            <w:shd w:fill="F1F6F8"/>
          </w:tcPr>
          <w:p>
            <w:pPr>
              <w:spacing w:after="20"/>
            </w:pPr>
            <w:r/>
            <w:r>
              <w:rPr>
                <w:rFonts w:ascii="Aptos" w:hAnsi="Aptos"/>
                <w:b w:val="0"/>
                <w:color w:val="2A3542"/>
                <w:sz w:val="14"/>
              </w:rPr>
              <w:t>DigiLocker; requester access with consent</w:t>
            </w:r>
          </w:p>
        </w:tc>
        <w:tc>
          <w:tcPr>
            <w:tcW w:type="dxa" w:w="1296"/>
            <w:vAlign w:val="center"/>
            <w:shd w:fill="F1F6F8"/>
          </w:tcPr>
          <w:p>
            <w:pPr>
              <w:spacing w:after="20"/>
            </w:pPr>
            <w:r/>
            <w:r>
              <w:rPr>
                <w:rFonts w:ascii="Aptos" w:hAnsi="Aptos"/>
                <w:b w:val="0"/>
                <w:color w:val="2A3542"/>
                <w:sz w:val="14"/>
              </w:rPr>
              <w:t>NV</w:t>
            </w:r>
          </w:p>
        </w:tc>
        <w:tc>
          <w:tcPr>
            <w:tcW w:type="dxa" w:w="1152"/>
            <w:vAlign w:val="center"/>
            <w:shd w:fill="F1F6F8"/>
          </w:tcPr>
          <w:p>
            <w:pPr>
              <w:spacing w:after="20"/>
            </w:pPr>
            <w:r/>
            <w:r>
              <w:rPr>
                <w:rFonts w:ascii="Aptos" w:hAnsi="Aptos"/>
                <w:b w:val="0"/>
                <w:color w:val="2A3542"/>
                <w:sz w:val="14"/>
              </w:rPr>
              <w:t>O</w:t>
            </w:r>
          </w:p>
        </w:tc>
      </w:tr>
      <w:tr>
        <w:tc>
          <w:tcPr>
            <w:tcW w:type="dxa" w:w="1656"/>
            <w:vAlign w:val="center"/>
          </w:tcPr>
          <w:p>
            <w:pPr>
              <w:spacing w:after="20"/>
            </w:pPr>
            <w:r/>
            <w:r>
              <w:rPr>
                <w:rFonts w:ascii="Aptos" w:hAnsi="Aptos"/>
                <w:b w:val="0"/>
                <w:color w:val="2A3542"/>
                <w:sz w:val="14"/>
              </w:rPr>
              <w:t>Document metadata</w:t>
            </w:r>
          </w:p>
        </w:tc>
        <w:tc>
          <w:tcPr>
            <w:tcW w:type="dxa" w:w="1512"/>
            <w:vAlign w:val="center"/>
          </w:tcPr>
          <w:p>
            <w:pPr>
              <w:spacing w:after="20"/>
            </w:pPr>
            <w:r/>
            <w:r>
              <w:rPr>
                <w:rFonts w:ascii="Aptos" w:hAnsi="Aptos"/>
                <w:b w:val="0"/>
                <w:color w:val="2A3542"/>
                <w:sz w:val="14"/>
              </w:rPr>
              <w:t>Issuer / platform</w:t>
            </w:r>
          </w:p>
        </w:tc>
        <w:tc>
          <w:tcPr>
            <w:tcW w:type="dxa" w:w="1656"/>
            <w:vAlign w:val="center"/>
          </w:tcPr>
          <w:p>
            <w:pPr>
              <w:spacing w:after="20"/>
            </w:pPr>
            <w:r/>
            <w:r>
              <w:rPr>
                <w:rFonts w:ascii="Aptos" w:hAnsi="Aptos"/>
                <w:b w:val="0"/>
                <w:color w:val="2A3542"/>
                <w:sz w:val="14"/>
              </w:rPr>
              <w:t>Issuance, search, audit</w:t>
            </w:r>
          </w:p>
        </w:tc>
        <w:tc>
          <w:tcPr>
            <w:tcW w:type="dxa" w:w="2448"/>
            <w:vAlign w:val="center"/>
          </w:tcPr>
          <w:p>
            <w:pPr>
              <w:spacing w:after="20"/>
            </w:pPr>
            <w:r/>
            <w:r>
              <w:rPr>
                <w:rFonts w:ascii="Aptos" w:hAnsi="Aptos"/>
                <w:b w:val="0"/>
                <w:color w:val="2A3542"/>
                <w:sz w:val="14"/>
              </w:rPr>
              <w:t>DigiLocker; sharing details NV</w:t>
            </w:r>
          </w:p>
        </w:tc>
        <w:tc>
          <w:tcPr>
            <w:tcW w:type="dxa" w:w="1296"/>
            <w:vAlign w:val="center"/>
          </w:tcPr>
          <w:p>
            <w:pPr>
              <w:spacing w:after="20"/>
            </w:pPr>
            <w:r/>
            <w:r>
              <w:rPr>
                <w:rFonts w:ascii="Aptos" w:hAnsi="Aptos"/>
                <w:b w:val="0"/>
                <w:color w:val="2A3542"/>
                <w:sz w:val="14"/>
              </w:rPr>
              <w:t>NV</w:t>
            </w:r>
          </w:p>
        </w:tc>
        <w:tc>
          <w:tcPr>
            <w:tcW w:type="dxa" w:w="1152"/>
            <w:vAlign w:val="center"/>
          </w:tcPr>
          <w:p>
            <w:pPr>
              <w:spacing w:after="20"/>
            </w:pPr>
            <w:r/>
            <w:r>
              <w:rPr>
                <w:rFonts w:ascii="Aptos" w:hAnsi="Aptos"/>
                <w:b w:val="0"/>
                <w:color w:val="2A3542"/>
                <w:sz w:val="14"/>
              </w:rPr>
              <w:t>O</w:t>
            </w:r>
          </w:p>
        </w:tc>
      </w:tr>
      <w:tr>
        <w:tc>
          <w:tcPr>
            <w:tcW w:type="dxa" w:w="1656"/>
            <w:vAlign w:val="center"/>
            <w:shd w:fill="F1F6F8"/>
          </w:tcPr>
          <w:p>
            <w:pPr>
              <w:spacing w:after="20"/>
            </w:pPr>
            <w:r/>
            <w:r>
              <w:rPr>
                <w:rFonts w:ascii="Aptos" w:hAnsi="Aptos"/>
                <w:b w:val="0"/>
                <w:color w:val="2A3542"/>
                <w:sz w:val="14"/>
              </w:rPr>
              <w:t>JWT / session token</w:t>
            </w:r>
          </w:p>
        </w:tc>
        <w:tc>
          <w:tcPr>
            <w:tcW w:type="dxa" w:w="1512"/>
            <w:vAlign w:val="center"/>
            <w:shd w:fill="F1F6F8"/>
          </w:tcPr>
          <w:p>
            <w:pPr>
              <w:spacing w:after="20"/>
            </w:pPr>
            <w:r/>
            <w:r>
              <w:rPr>
                <w:rFonts w:ascii="Aptos" w:hAnsi="Aptos"/>
                <w:b w:val="0"/>
                <w:color w:val="2A3542"/>
                <w:sz w:val="14"/>
              </w:rPr>
              <w:t>DigiLocker</w:t>
            </w:r>
          </w:p>
        </w:tc>
        <w:tc>
          <w:tcPr>
            <w:tcW w:type="dxa" w:w="1656"/>
            <w:vAlign w:val="center"/>
            <w:shd w:fill="F1F6F8"/>
          </w:tcPr>
          <w:p>
            <w:pPr>
              <w:spacing w:after="20"/>
            </w:pPr>
            <w:r/>
            <w:r>
              <w:rPr>
                <w:rFonts w:ascii="Aptos" w:hAnsi="Aptos"/>
                <w:b w:val="0"/>
                <w:color w:val="2A3542"/>
                <w:sz w:val="14"/>
              </w:rPr>
              <w:t>Session / API authentication</w:t>
            </w:r>
          </w:p>
        </w:tc>
        <w:tc>
          <w:tcPr>
            <w:tcW w:type="dxa" w:w="2448"/>
            <w:vAlign w:val="center"/>
            <w:shd w:fill="F1F6F8"/>
          </w:tcPr>
          <w:p>
            <w:pPr>
              <w:spacing w:after="20"/>
            </w:pPr>
            <w:r/>
            <w:r>
              <w:rPr>
                <w:rFonts w:ascii="Aptos" w:hAnsi="Aptos"/>
                <w:b w:val="0"/>
                <w:color w:val="2A3542"/>
                <w:sz w:val="14"/>
              </w:rPr>
              <w:t>Platform services; observed lifetime approximately 30 minutes</w:t>
            </w:r>
          </w:p>
        </w:tc>
        <w:tc>
          <w:tcPr>
            <w:tcW w:type="dxa" w:w="1296"/>
            <w:vAlign w:val="center"/>
            <w:shd w:fill="F1F6F8"/>
          </w:tcPr>
          <w:p>
            <w:pPr>
              <w:spacing w:after="20"/>
            </w:pPr>
            <w:r/>
            <w:r>
              <w:rPr>
                <w:rFonts w:ascii="Aptos" w:hAnsi="Aptos"/>
                <w:b w:val="0"/>
                <w:color w:val="2A3542"/>
                <w:sz w:val="14"/>
              </w:rPr>
              <w:t>Approx. 30 min observed</w:t>
            </w:r>
          </w:p>
        </w:tc>
        <w:tc>
          <w:tcPr>
            <w:tcW w:type="dxa" w:w="1152"/>
            <w:vAlign w:val="center"/>
            <w:shd w:fill="F1F6F8"/>
          </w:tcPr>
          <w:p>
            <w:pPr>
              <w:spacing w:after="20"/>
            </w:pPr>
            <w:r/>
            <w:r>
              <w:rPr>
                <w:rFonts w:ascii="Aptos" w:hAnsi="Aptos"/>
                <w:b w:val="0"/>
                <w:color w:val="2A3542"/>
                <w:sz w:val="14"/>
              </w:rPr>
              <w:t>O</w:t>
            </w:r>
          </w:p>
        </w:tc>
      </w:tr>
      <w:tr>
        <w:tc>
          <w:tcPr>
            <w:tcW w:type="dxa" w:w="1656"/>
            <w:vAlign w:val="center"/>
          </w:tcPr>
          <w:p>
            <w:pPr>
              <w:spacing w:after="20"/>
            </w:pPr>
            <w:r/>
            <w:r>
              <w:rPr>
                <w:rFonts w:ascii="Aptos" w:hAnsi="Aptos"/>
                <w:b w:val="0"/>
                <w:color w:val="2A3542"/>
                <w:sz w:val="14"/>
              </w:rPr>
              <w:t>Consent records</w:t>
            </w:r>
          </w:p>
        </w:tc>
        <w:tc>
          <w:tcPr>
            <w:tcW w:type="dxa" w:w="1512"/>
            <w:vAlign w:val="center"/>
          </w:tcPr>
          <w:p>
            <w:pPr>
              <w:spacing w:after="20"/>
            </w:pPr>
            <w:r/>
            <w:r>
              <w:rPr>
                <w:rFonts w:ascii="Aptos" w:hAnsi="Aptos"/>
                <w:b w:val="0"/>
                <w:color w:val="2A3542"/>
                <w:sz w:val="14"/>
              </w:rPr>
              <w:t>DigiLocker</w:t>
            </w:r>
          </w:p>
        </w:tc>
        <w:tc>
          <w:tcPr>
            <w:tcW w:type="dxa" w:w="1656"/>
            <w:vAlign w:val="center"/>
          </w:tcPr>
          <w:p>
            <w:pPr>
              <w:spacing w:after="20"/>
            </w:pPr>
            <w:r/>
            <w:r>
              <w:rPr>
                <w:rFonts w:ascii="Aptos" w:hAnsi="Aptos"/>
                <w:b w:val="0"/>
                <w:color w:val="2A3542"/>
                <w:sz w:val="14"/>
              </w:rPr>
              <w:t>Consent proof / audit</w:t>
            </w:r>
          </w:p>
        </w:tc>
        <w:tc>
          <w:tcPr>
            <w:tcW w:type="dxa" w:w="2448"/>
            <w:vAlign w:val="center"/>
          </w:tcPr>
          <w:p>
            <w:pPr>
              <w:spacing w:after="20"/>
            </w:pPr>
            <w:r/>
            <w:r>
              <w:rPr>
                <w:rFonts w:ascii="Aptos" w:hAnsi="Aptos"/>
                <w:b w:val="0"/>
                <w:color w:val="2A3542"/>
                <w:sz w:val="14"/>
              </w:rPr>
              <w:t>DigiLocker</w:t>
            </w:r>
          </w:p>
        </w:tc>
        <w:tc>
          <w:tcPr>
            <w:tcW w:type="dxa" w:w="1296"/>
            <w:vAlign w:val="center"/>
          </w:tcPr>
          <w:p>
            <w:pPr>
              <w:spacing w:after="20"/>
            </w:pPr>
            <w:r/>
            <w:r>
              <w:rPr>
                <w:rFonts w:ascii="Aptos" w:hAnsi="Aptos"/>
                <w:b w:val="0"/>
                <w:color w:val="2A3542"/>
                <w:sz w:val="14"/>
              </w:rPr>
              <w:t>NV</w:t>
            </w:r>
          </w:p>
        </w:tc>
        <w:tc>
          <w:tcPr>
            <w:tcW w:type="dxa" w:w="1152"/>
            <w:vAlign w:val="center"/>
          </w:tcPr>
          <w:p>
            <w:pPr>
              <w:spacing w:after="20"/>
            </w:pPr>
            <w:r/>
            <w:r>
              <w:rPr>
                <w:rFonts w:ascii="Aptos" w:hAnsi="Aptos"/>
                <w:b w:val="0"/>
                <w:color w:val="2A3542"/>
                <w:sz w:val="14"/>
              </w:rPr>
              <w:t>D</w:t>
            </w:r>
          </w:p>
        </w:tc>
      </w:tr>
      <w:tr>
        <w:tc>
          <w:tcPr>
            <w:tcW w:type="dxa" w:w="1656"/>
            <w:vAlign w:val="center"/>
            <w:shd w:fill="F1F6F8"/>
          </w:tcPr>
          <w:p>
            <w:pPr>
              <w:spacing w:after="20"/>
            </w:pPr>
            <w:r/>
            <w:r>
              <w:rPr>
                <w:rFonts w:ascii="Aptos" w:hAnsi="Aptos"/>
                <w:b w:val="0"/>
                <w:color w:val="2A3542"/>
                <w:sz w:val="14"/>
              </w:rPr>
              <w:t>Access logs</w:t>
            </w:r>
          </w:p>
        </w:tc>
        <w:tc>
          <w:tcPr>
            <w:tcW w:type="dxa" w:w="1512"/>
            <w:vAlign w:val="center"/>
            <w:shd w:fill="F1F6F8"/>
          </w:tcPr>
          <w:p>
            <w:pPr>
              <w:spacing w:after="20"/>
            </w:pPr>
            <w:r/>
            <w:r>
              <w:rPr>
                <w:rFonts w:ascii="Aptos" w:hAnsi="Aptos"/>
                <w:b w:val="0"/>
                <w:color w:val="2A3542"/>
                <w:sz w:val="14"/>
              </w:rPr>
              <w:t>Platform</w:t>
            </w:r>
          </w:p>
        </w:tc>
        <w:tc>
          <w:tcPr>
            <w:tcW w:type="dxa" w:w="1656"/>
            <w:vAlign w:val="center"/>
            <w:shd w:fill="F1F6F8"/>
          </w:tcPr>
          <w:p>
            <w:pPr>
              <w:spacing w:after="20"/>
            </w:pPr>
            <w:r/>
            <w:r>
              <w:rPr>
                <w:rFonts w:ascii="Aptos" w:hAnsi="Aptos"/>
                <w:b w:val="0"/>
                <w:color w:val="2A3542"/>
                <w:sz w:val="14"/>
              </w:rPr>
              <w:t>Security / operations</w:t>
            </w:r>
          </w:p>
        </w:tc>
        <w:tc>
          <w:tcPr>
            <w:tcW w:type="dxa" w:w="2448"/>
            <w:vAlign w:val="center"/>
            <w:shd w:fill="F1F6F8"/>
          </w:tcPr>
          <w:p>
            <w:pPr>
              <w:spacing w:after="20"/>
            </w:pPr>
            <w:r/>
            <w:r>
              <w:rPr>
                <w:rFonts w:ascii="Aptos" w:hAnsi="Aptos"/>
                <w:b w:val="0"/>
                <w:color w:val="2A3542"/>
                <w:sz w:val="14"/>
              </w:rPr>
              <w:t>DigiLocker</w:t>
            </w:r>
          </w:p>
        </w:tc>
        <w:tc>
          <w:tcPr>
            <w:tcW w:type="dxa" w:w="1296"/>
            <w:vAlign w:val="center"/>
            <w:shd w:fill="F1F6F8"/>
          </w:tcPr>
          <w:p>
            <w:pPr>
              <w:spacing w:after="20"/>
            </w:pPr>
            <w:r/>
            <w:r>
              <w:rPr>
                <w:rFonts w:ascii="Aptos" w:hAnsi="Aptos"/>
                <w:b w:val="0"/>
                <w:color w:val="2A3542"/>
                <w:sz w:val="14"/>
              </w:rPr>
              <w:t>NV</w:t>
            </w:r>
          </w:p>
        </w:tc>
        <w:tc>
          <w:tcPr>
            <w:tcW w:type="dxa" w:w="1152"/>
            <w:vAlign w:val="center"/>
            <w:shd w:fill="F1F6F8"/>
          </w:tcPr>
          <w:p>
            <w:pPr>
              <w:spacing w:after="20"/>
            </w:pPr>
            <w:r/>
            <w:r>
              <w:rPr>
                <w:rFonts w:ascii="Aptos" w:hAnsi="Aptos"/>
                <w:b w:val="0"/>
                <w:color w:val="2A3542"/>
                <w:sz w:val="14"/>
              </w:rPr>
              <w:t>I</w:t>
            </w:r>
          </w:p>
        </w:tc>
      </w:tr>
      <w:tr>
        <w:tc>
          <w:tcPr>
            <w:tcW w:type="dxa" w:w="1656"/>
            <w:vAlign w:val="center"/>
          </w:tcPr>
          <w:p>
            <w:pPr>
              <w:spacing w:after="20"/>
            </w:pPr>
            <w:r/>
            <w:r>
              <w:rPr>
                <w:rFonts w:ascii="Aptos" w:hAnsi="Aptos"/>
                <w:b w:val="0"/>
                <w:color w:val="2A3542"/>
                <w:sz w:val="14"/>
              </w:rPr>
              <w:t>Device security identifier</w:t>
            </w:r>
          </w:p>
        </w:tc>
        <w:tc>
          <w:tcPr>
            <w:tcW w:type="dxa" w:w="1512"/>
            <w:vAlign w:val="center"/>
          </w:tcPr>
          <w:p>
            <w:pPr>
              <w:spacing w:after="20"/>
            </w:pPr>
            <w:r/>
            <w:r>
              <w:rPr>
                <w:rFonts w:ascii="Aptos" w:hAnsi="Aptos"/>
                <w:b w:val="0"/>
                <w:color w:val="2A3542"/>
                <w:sz w:val="14"/>
              </w:rPr>
              <w:t>Citizen device</w:t>
            </w:r>
          </w:p>
        </w:tc>
        <w:tc>
          <w:tcPr>
            <w:tcW w:type="dxa" w:w="1656"/>
            <w:vAlign w:val="center"/>
          </w:tcPr>
          <w:p>
            <w:pPr>
              <w:spacing w:after="20"/>
            </w:pPr>
            <w:r/>
            <w:r>
              <w:rPr>
                <w:rFonts w:ascii="Aptos" w:hAnsi="Aptos"/>
                <w:b w:val="0"/>
                <w:color w:val="2A3542"/>
                <w:sz w:val="14"/>
              </w:rPr>
              <w:t>Device security / binding</w:t>
            </w:r>
          </w:p>
        </w:tc>
        <w:tc>
          <w:tcPr>
            <w:tcW w:type="dxa" w:w="2448"/>
            <w:vAlign w:val="center"/>
          </w:tcPr>
          <w:p>
            <w:pPr>
              <w:spacing w:after="20"/>
            </w:pPr>
            <w:r/>
            <w:r>
              <w:rPr>
                <w:rFonts w:ascii="Aptos" w:hAnsi="Aptos"/>
                <w:b w:val="0"/>
                <w:color w:val="2A3542"/>
                <w:sz w:val="14"/>
              </w:rPr>
              <w:t>DigiLocker</w:t>
            </w:r>
          </w:p>
        </w:tc>
        <w:tc>
          <w:tcPr>
            <w:tcW w:type="dxa" w:w="1296"/>
            <w:vAlign w:val="center"/>
          </w:tcPr>
          <w:p>
            <w:pPr>
              <w:spacing w:after="20"/>
            </w:pPr>
            <w:r/>
            <w:r>
              <w:rPr>
                <w:rFonts w:ascii="Aptos" w:hAnsi="Aptos"/>
                <w:b w:val="0"/>
                <w:color w:val="2A3542"/>
                <w:sz w:val="14"/>
              </w:rPr>
              <w:t>NV</w:t>
            </w:r>
          </w:p>
        </w:tc>
        <w:tc>
          <w:tcPr>
            <w:tcW w:type="dxa" w:w="1152"/>
            <w:vAlign w:val="center"/>
          </w:tcPr>
          <w:p>
            <w:pPr>
              <w:spacing w:after="20"/>
            </w:pPr>
            <w:r/>
            <w:r>
              <w:rPr>
                <w:rFonts w:ascii="Aptos" w:hAnsi="Aptos"/>
                <w:b w:val="0"/>
                <w:color w:val="2A3542"/>
                <w:sz w:val="14"/>
              </w:rPr>
              <w:t>O</w:t>
            </w:r>
          </w:p>
        </w:tc>
      </w:tr>
    </w:tbl>
    <w:p>
      <w:pPr>
        <w:spacing w:after="20"/>
      </w:pPr>
    </w:p>
    <w:p>
      <w:r>
        <w:t>Material verification gaps: exact retention periods, storage encryption, and cross-border transfer mechanisms were not verified (NV). These gaps limit conclusions about compliance and should be resolved through authoritative documentation and control testing.</w:t>
      </w:r>
    </w:p>
    <w:p>
      <w:pPr>
        <w:pStyle w:val="Heading1"/>
      </w:pPr>
      <w:r>
        <w:t>6. Necessity and Proportionality</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088"/>
            <w:vAlign w:val="center"/>
            <w:shd w:fill="12304A"/>
          </w:tcPr>
          <w:p>
            <w:pPr>
              <w:spacing w:after="20"/>
            </w:pPr>
            <w:r/>
            <w:r>
              <w:rPr>
                <w:rFonts w:ascii="Aptos" w:hAnsi="Aptos"/>
                <w:b/>
                <w:color w:val="FFFFFF"/>
                <w:sz w:val="15"/>
              </w:rPr>
              <w:t>Processing activity</w:t>
            </w:r>
          </w:p>
        </w:tc>
        <w:tc>
          <w:tcPr>
            <w:tcW w:type="dxa" w:w="3744"/>
            <w:vAlign w:val="center"/>
            <w:shd w:fill="12304A"/>
          </w:tcPr>
          <w:p>
            <w:pPr>
              <w:spacing w:after="20"/>
            </w:pPr>
            <w:r/>
            <w:r>
              <w:rPr>
                <w:rFonts w:ascii="Aptos" w:hAnsi="Aptos"/>
                <w:b/>
                <w:color w:val="FFFFFF"/>
                <w:sz w:val="15"/>
              </w:rPr>
              <w:t>Necessity</w:t>
            </w:r>
          </w:p>
        </w:tc>
        <w:tc>
          <w:tcPr>
            <w:tcW w:type="dxa" w:w="5184"/>
            <w:vAlign w:val="center"/>
            <w:shd w:fill="12304A"/>
          </w:tcPr>
          <w:p>
            <w:pPr>
              <w:spacing w:after="20"/>
            </w:pPr>
            <w:r/>
            <w:r>
              <w:rPr>
                <w:rFonts w:ascii="Aptos" w:hAnsi="Aptos"/>
                <w:b/>
                <w:color w:val="FFFFFF"/>
                <w:sz w:val="15"/>
              </w:rPr>
              <w:t>Proportionality / assessment</w:t>
            </w:r>
          </w:p>
        </w:tc>
      </w:tr>
      <w:tr>
        <w:tc>
          <w:tcPr>
            <w:tcW w:type="dxa" w:w="2088"/>
            <w:vAlign w:val="center"/>
          </w:tcPr>
          <w:p>
            <w:pPr>
              <w:spacing w:after="20"/>
            </w:pPr>
            <w:r/>
            <w:r>
              <w:rPr>
                <w:rFonts w:ascii="Aptos" w:hAnsi="Aptos"/>
                <w:b w:val="0"/>
                <w:color w:val="2A3542"/>
                <w:sz w:val="15"/>
              </w:rPr>
              <w:t>Mobile number for login</w:t>
            </w:r>
          </w:p>
        </w:tc>
        <w:tc>
          <w:tcPr>
            <w:tcW w:type="dxa" w:w="3744"/>
            <w:vAlign w:val="center"/>
          </w:tcPr>
          <w:p>
            <w:pPr>
              <w:spacing w:after="20"/>
            </w:pPr>
            <w:r/>
            <w:r>
              <w:rPr>
                <w:rFonts w:ascii="Aptos" w:hAnsi="Aptos"/>
                <w:b w:val="0"/>
                <w:color w:val="2A3542"/>
                <w:sz w:val="15"/>
              </w:rPr>
              <w:t>Supports OTP-based authentication.</w:t>
            </w:r>
          </w:p>
        </w:tc>
        <w:tc>
          <w:tcPr>
            <w:tcW w:type="dxa" w:w="5184"/>
            <w:vAlign w:val="center"/>
          </w:tcPr>
          <w:p>
            <w:pPr>
              <w:spacing w:after="20"/>
            </w:pPr>
            <w:r/>
            <w:r>
              <w:rPr>
                <w:rFonts w:ascii="Aptos" w:hAnsi="Aptos"/>
                <w:b w:val="0"/>
                <w:color w:val="2A3542"/>
                <w:sz w:val="15"/>
              </w:rPr>
              <w:t>A comparatively limited identifier; acceptable if access and use are limited to authentication and security needs.</w:t>
            </w:r>
          </w:p>
        </w:tc>
      </w:tr>
      <w:tr>
        <w:tc>
          <w:tcPr>
            <w:tcW w:type="dxa" w:w="2088"/>
            <w:vAlign w:val="center"/>
            <w:shd w:fill="F1F6F8"/>
          </w:tcPr>
          <w:p>
            <w:pPr>
              <w:spacing w:after="20"/>
            </w:pPr>
            <w:r/>
            <w:r>
              <w:rPr>
                <w:rFonts w:ascii="Aptos" w:hAnsi="Aptos"/>
                <w:b w:val="0"/>
                <w:color w:val="2A3542"/>
                <w:sz w:val="15"/>
              </w:rPr>
              <w:t>Aadhaar / VID for verification</w:t>
            </w:r>
          </w:p>
        </w:tc>
        <w:tc>
          <w:tcPr>
            <w:tcW w:type="dxa" w:w="3744"/>
            <w:vAlign w:val="center"/>
            <w:shd w:fill="F1F6F8"/>
          </w:tcPr>
          <w:p>
            <w:pPr>
              <w:spacing w:after="20"/>
            </w:pPr>
            <w:r/>
            <w:r>
              <w:rPr>
                <w:rFonts w:ascii="Aptos" w:hAnsi="Aptos"/>
                <w:b w:val="0"/>
                <w:color w:val="2A3542"/>
                <w:sz w:val="15"/>
              </w:rPr>
              <w:t>May be justified for high-assurance identity or services that require it.</w:t>
            </w:r>
          </w:p>
        </w:tc>
        <w:tc>
          <w:tcPr>
            <w:tcW w:type="dxa" w:w="5184"/>
            <w:vAlign w:val="center"/>
            <w:shd w:fill="F1F6F8"/>
          </w:tcPr>
          <w:p>
            <w:pPr>
              <w:spacing w:after="20"/>
            </w:pPr>
            <w:r/>
            <w:r>
              <w:rPr>
                <w:rFonts w:ascii="Aptos" w:hAnsi="Aptos"/>
                <w:b w:val="0"/>
                <w:color w:val="2A3542"/>
                <w:sz w:val="15"/>
              </w:rPr>
              <w:t>Over-collection risk if applied broadly. Justify necessity separately for each service and assess less intrusive alternatives.</w:t>
            </w:r>
          </w:p>
        </w:tc>
      </w:tr>
      <w:tr>
        <w:tc>
          <w:tcPr>
            <w:tcW w:type="dxa" w:w="2088"/>
            <w:vAlign w:val="center"/>
          </w:tcPr>
          <w:p>
            <w:pPr>
              <w:spacing w:after="20"/>
            </w:pPr>
            <w:r/>
            <w:r>
              <w:rPr>
                <w:rFonts w:ascii="Aptos" w:hAnsi="Aptos"/>
                <w:b w:val="0"/>
                <w:color w:val="2A3542"/>
                <w:sz w:val="15"/>
              </w:rPr>
              <w:t>Document metadata</w:t>
            </w:r>
          </w:p>
        </w:tc>
        <w:tc>
          <w:tcPr>
            <w:tcW w:type="dxa" w:w="3744"/>
            <w:vAlign w:val="center"/>
          </w:tcPr>
          <w:p>
            <w:pPr>
              <w:spacing w:after="20"/>
            </w:pPr>
            <w:r/>
            <w:r>
              <w:rPr>
                <w:rFonts w:ascii="Aptos" w:hAnsi="Aptos"/>
                <w:b w:val="0"/>
                <w:color w:val="2A3542"/>
                <w:sz w:val="15"/>
              </w:rPr>
              <w:t>Supports issuance, retrieval, and audit.</w:t>
            </w:r>
          </w:p>
        </w:tc>
        <w:tc>
          <w:tcPr>
            <w:tcW w:type="dxa" w:w="5184"/>
            <w:vAlign w:val="center"/>
          </w:tcPr>
          <w:p>
            <w:pPr>
              <w:spacing w:after="20"/>
            </w:pPr>
            <w:r/>
            <w:r>
              <w:rPr>
                <w:rFonts w:ascii="Aptos" w:hAnsi="Aptos"/>
                <w:b w:val="0"/>
                <w:color w:val="2A3542"/>
                <w:sz w:val="15"/>
              </w:rPr>
              <w:t>Potentially proportionate, subject to metadata minimization and linkage controls.</w:t>
            </w:r>
          </w:p>
        </w:tc>
      </w:tr>
      <w:tr>
        <w:tc>
          <w:tcPr>
            <w:tcW w:type="dxa" w:w="2088"/>
            <w:vAlign w:val="center"/>
            <w:shd w:fill="F1F6F8"/>
          </w:tcPr>
          <w:p>
            <w:pPr>
              <w:spacing w:after="20"/>
            </w:pPr>
            <w:r/>
            <w:r>
              <w:rPr>
                <w:rFonts w:ascii="Aptos" w:hAnsi="Aptos"/>
                <w:b w:val="0"/>
                <w:color w:val="2A3542"/>
                <w:sz w:val="15"/>
              </w:rPr>
              <w:t>Consent records</w:t>
            </w:r>
          </w:p>
        </w:tc>
        <w:tc>
          <w:tcPr>
            <w:tcW w:type="dxa" w:w="3744"/>
            <w:vAlign w:val="center"/>
            <w:shd w:fill="F1F6F8"/>
          </w:tcPr>
          <w:p>
            <w:pPr>
              <w:spacing w:after="20"/>
            </w:pPr>
            <w:r/>
            <w:r>
              <w:rPr>
                <w:rFonts w:ascii="Aptos" w:hAnsi="Aptos"/>
                <w:b w:val="0"/>
                <w:color w:val="2A3542"/>
                <w:sz w:val="15"/>
              </w:rPr>
              <w:t>Supports proof of user choices and accountability.</w:t>
            </w:r>
          </w:p>
        </w:tc>
        <w:tc>
          <w:tcPr>
            <w:tcW w:type="dxa" w:w="5184"/>
            <w:vAlign w:val="center"/>
            <w:shd w:fill="F1F6F8"/>
          </w:tcPr>
          <w:p>
            <w:pPr>
              <w:spacing w:after="20"/>
            </w:pPr>
            <w:r/>
            <w:r>
              <w:rPr>
                <w:rFonts w:ascii="Aptos" w:hAnsi="Aptos"/>
                <w:b w:val="0"/>
                <w:color w:val="2A3542"/>
                <w:sz w:val="15"/>
              </w:rPr>
              <w:t>Generally proportionate; ensure content is limited, protected, and retained under a defined schedule.</w:t>
            </w:r>
          </w:p>
        </w:tc>
      </w:tr>
      <w:tr>
        <w:tc>
          <w:tcPr>
            <w:tcW w:type="dxa" w:w="2088"/>
            <w:vAlign w:val="center"/>
          </w:tcPr>
          <w:p>
            <w:pPr>
              <w:spacing w:after="20"/>
            </w:pPr>
            <w:r/>
            <w:r>
              <w:rPr>
                <w:rFonts w:ascii="Aptos" w:hAnsi="Aptos"/>
                <w:b w:val="0"/>
                <w:color w:val="2A3542"/>
                <w:sz w:val="15"/>
              </w:rPr>
              <w:t>Access logs</w:t>
            </w:r>
          </w:p>
        </w:tc>
        <w:tc>
          <w:tcPr>
            <w:tcW w:type="dxa" w:w="3744"/>
            <w:vAlign w:val="center"/>
          </w:tcPr>
          <w:p>
            <w:pPr>
              <w:spacing w:after="20"/>
            </w:pPr>
            <w:r/>
            <w:r>
              <w:rPr>
                <w:rFonts w:ascii="Aptos" w:hAnsi="Aptos"/>
                <w:b w:val="0"/>
                <w:color w:val="2A3542"/>
                <w:sz w:val="15"/>
              </w:rPr>
              <w:t>Supports security and incident response.</w:t>
            </w:r>
          </w:p>
        </w:tc>
        <w:tc>
          <w:tcPr>
            <w:tcW w:type="dxa" w:w="5184"/>
            <w:vAlign w:val="center"/>
          </w:tcPr>
          <w:p>
            <w:pPr>
              <w:spacing w:after="20"/>
            </w:pPr>
            <w:r/>
            <w:r>
              <w:rPr>
                <w:rFonts w:ascii="Aptos" w:hAnsi="Aptos"/>
                <w:b w:val="0"/>
                <w:color w:val="2A3542"/>
                <w:sz w:val="15"/>
              </w:rPr>
              <w:t>Proportionate when purpose-limited, access-controlled, and retained only as needed.</w:t>
            </w:r>
          </w:p>
        </w:tc>
      </w:tr>
      <w:tr>
        <w:tc>
          <w:tcPr>
            <w:tcW w:type="dxa" w:w="2088"/>
            <w:vAlign w:val="center"/>
            <w:shd w:fill="F1F6F8"/>
          </w:tcPr>
          <w:p>
            <w:pPr>
              <w:spacing w:after="20"/>
            </w:pPr>
            <w:r/>
            <w:r>
              <w:rPr>
                <w:rFonts w:ascii="Aptos" w:hAnsi="Aptos"/>
                <w:b w:val="0"/>
                <w:color w:val="2A3542"/>
                <w:sz w:val="15"/>
              </w:rPr>
              <w:t>Device security identifier</w:t>
            </w:r>
          </w:p>
        </w:tc>
        <w:tc>
          <w:tcPr>
            <w:tcW w:type="dxa" w:w="3744"/>
            <w:vAlign w:val="center"/>
            <w:shd w:fill="F1F6F8"/>
          </w:tcPr>
          <w:p>
            <w:pPr>
              <w:spacing w:after="20"/>
            </w:pPr>
            <w:r/>
            <w:r>
              <w:rPr>
                <w:rFonts w:ascii="Aptos" w:hAnsi="Aptos"/>
                <w:b w:val="0"/>
                <w:color w:val="2A3542"/>
                <w:sz w:val="15"/>
              </w:rPr>
              <w:t>May support device security or anti-fraud.</w:t>
            </w:r>
          </w:p>
        </w:tc>
        <w:tc>
          <w:tcPr>
            <w:tcW w:type="dxa" w:w="5184"/>
            <w:vAlign w:val="center"/>
            <w:shd w:fill="F1F6F8"/>
          </w:tcPr>
          <w:p>
            <w:pPr>
              <w:spacing w:after="20"/>
            </w:pPr>
            <w:r/>
            <w:r>
              <w:rPr>
                <w:rFonts w:ascii="Aptos" w:hAnsi="Aptos"/>
                <w:b w:val="0"/>
                <w:color w:val="2A3542"/>
                <w:sz w:val="15"/>
              </w:rPr>
              <w:t>Proportionate only if it is not repurposed for unrelated tracking and has a defined retention period.</w:t>
            </w:r>
          </w:p>
        </w:tc>
      </w:tr>
    </w:tbl>
    <w:p>
      <w:pPr>
        <w:spacing w:after="20"/>
      </w:pPr>
    </w:p>
    <w:p>
      <w:r>
        <w:t>Key finding: Aadhaar/VID processing should be justified per service. Blanket verification for services that do not require it increases privacy risk and may be inconsistent with necessity and proportionality expectations.</w:t>
      </w:r>
    </w:p>
    <w:p>
      <w:pPr>
        <w:pStyle w:val="Heading1"/>
      </w:pPr>
      <w:r>
        <w:t>7. Privacy Risk Register</w:t>
      </w:r>
    </w:p>
    <w:p>
      <w:r>
        <w:t>Method: qualitative likelihood (L) and impact (I) ratings combine into an overall risk rating. Ratings reflect the current evidence and are not statistical probabilities. Residual ratings are target estimates conditional on recommended controls being implemented and verified.</w:t>
      </w:r>
    </w:p>
    <w:tbl>
      <w:tblPr>
        <w:tblStyle w:val="TableGrid"/>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c>
          <w:tcPr>
            <w:tcW w:type="dxa" w:w="605"/>
            <w:vAlign w:val="center"/>
            <w:shd w:fill="12304A"/>
          </w:tcPr>
          <w:p>
            <w:pPr>
              <w:spacing w:after="20"/>
            </w:pPr>
            <w:r/>
            <w:r>
              <w:rPr>
                <w:rFonts w:ascii="Aptos" w:hAnsi="Aptos"/>
                <w:b/>
                <w:color w:val="FFFFFF"/>
                <w:sz w:val="13"/>
              </w:rPr>
              <w:t>ID</w:t>
            </w:r>
          </w:p>
        </w:tc>
        <w:tc>
          <w:tcPr>
            <w:tcW w:type="dxa" w:w="2376"/>
            <w:vAlign w:val="center"/>
            <w:shd w:fill="12304A"/>
          </w:tcPr>
          <w:p>
            <w:pPr>
              <w:spacing w:after="20"/>
            </w:pPr>
            <w:r/>
            <w:r>
              <w:rPr>
                <w:rFonts w:ascii="Aptos" w:hAnsi="Aptos"/>
                <w:b/>
                <w:color w:val="FFFFFF"/>
                <w:sz w:val="13"/>
              </w:rPr>
              <w:t>Privacy risk</w:t>
            </w:r>
          </w:p>
        </w:tc>
        <w:tc>
          <w:tcPr>
            <w:tcW w:type="dxa" w:w="691"/>
            <w:vAlign w:val="center"/>
            <w:shd w:fill="12304A"/>
          </w:tcPr>
          <w:p>
            <w:pPr>
              <w:spacing w:after="20"/>
            </w:pPr>
            <w:r/>
            <w:r>
              <w:rPr>
                <w:rFonts w:ascii="Aptos" w:hAnsi="Aptos"/>
                <w:b/>
                <w:color w:val="FFFFFF"/>
                <w:sz w:val="13"/>
              </w:rPr>
              <w:t>L</w:t>
            </w:r>
          </w:p>
        </w:tc>
        <w:tc>
          <w:tcPr>
            <w:tcW w:type="dxa" w:w="792"/>
            <w:vAlign w:val="center"/>
            <w:shd w:fill="12304A"/>
          </w:tcPr>
          <w:p>
            <w:pPr>
              <w:spacing w:after="20"/>
            </w:pPr>
            <w:r/>
            <w:r>
              <w:rPr>
                <w:rFonts w:ascii="Aptos" w:hAnsi="Aptos"/>
                <w:b/>
                <w:color w:val="FFFFFF"/>
                <w:sz w:val="13"/>
              </w:rPr>
              <w:t>I</w:t>
            </w:r>
          </w:p>
        </w:tc>
        <w:tc>
          <w:tcPr>
            <w:tcW w:type="dxa" w:w="864"/>
            <w:vAlign w:val="center"/>
            <w:shd w:fill="12304A"/>
          </w:tcPr>
          <w:p>
            <w:pPr>
              <w:spacing w:after="20"/>
            </w:pPr>
            <w:r/>
            <w:r>
              <w:rPr>
                <w:rFonts w:ascii="Aptos" w:hAnsi="Aptos"/>
                <w:b/>
                <w:color w:val="FFFFFF"/>
                <w:sz w:val="13"/>
              </w:rPr>
              <w:t>Initial</w:t>
            </w:r>
          </w:p>
        </w:tc>
        <w:tc>
          <w:tcPr>
            <w:tcW w:type="dxa" w:w="4536"/>
            <w:vAlign w:val="center"/>
            <w:shd w:fill="12304A"/>
          </w:tcPr>
          <w:p>
            <w:pPr>
              <w:spacing w:after="20"/>
            </w:pPr>
            <w:r/>
            <w:r>
              <w:rPr>
                <w:rFonts w:ascii="Aptos" w:hAnsi="Aptos"/>
                <w:b/>
                <w:color w:val="FFFFFF"/>
                <w:sz w:val="13"/>
              </w:rPr>
              <w:t>Mitigation</w:t>
            </w:r>
          </w:p>
        </w:tc>
        <w:tc>
          <w:tcPr>
            <w:tcW w:type="dxa" w:w="1224"/>
            <w:vAlign w:val="center"/>
            <w:shd w:fill="12304A"/>
          </w:tcPr>
          <w:p>
            <w:pPr>
              <w:spacing w:after="20"/>
            </w:pPr>
            <w:r/>
            <w:r>
              <w:rPr>
                <w:rFonts w:ascii="Aptos" w:hAnsi="Aptos"/>
                <w:b/>
                <w:color w:val="FFFFFF"/>
                <w:sz w:val="13"/>
              </w:rPr>
              <w:t>Target residual</w:t>
            </w:r>
          </w:p>
        </w:tc>
      </w:tr>
      <w:tr>
        <w:tc>
          <w:tcPr>
            <w:tcW w:type="dxa" w:w="605"/>
            <w:vAlign w:val="center"/>
          </w:tcPr>
          <w:p>
            <w:pPr>
              <w:spacing w:after="20"/>
            </w:pPr>
            <w:r/>
            <w:r>
              <w:rPr>
                <w:rFonts w:ascii="Aptos" w:hAnsi="Aptos"/>
                <w:b w:val="0"/>
                <w:color w:val="2A3542"/>
                <w:sz w:val="13"/>
              </w:rPr>
              <w:t>P-01</w:t>
            </w:r>
          </w:p>
        </w:tc>
        <w:tc>
          <w:tcPr>
            <w:tcW w:type="dxa" w:w="2376"/>
            <w:vAlign w:val="center"/>
          </w:tcPr>
          <w:p>
            <w:pPr>
              <w:spacing w:after="20"/>
            </w:pPr>
            <w:r/>
            <w:r>
              <w:rPr>
                <w:rFonts w:ascii="Aptos" w:hAnsi="Aptos"/>
                <w:b w:val="0"/>
                <w:color w:val="2A3542"/>
                <w:sz w:val="13"/>
              </w:rPr>
              <w:t>Aadhaar/VID collected or retained beyond service necessity</w:t>
            </w:r>
          </w:p>
        </w:tc>
        <w:tc>
          <w:tcPr>
            <w:tcW w:type="dxa" w:w="691"/>
            <w:vAlign w:val="center"/>
          </w:tcPr>
          <w:p>
            <w:pPr>
              <w:spacing w:after="20"/>
            </w:pPr>
            <w:r/>
            <w:r>
              <w:rPr>
                <w:rFonts w:ascii="Aptos" w:hAnsi="Aptos"/>
                <w:b w:val="0"/>
                <w:color w:val="2A3542"/>
                <w:sz w:val="13"/>
              </w:rPr>
              <w:t>Medium</w:t>
            </w:r>
          </w:p>
        </w:tc>
        <w:tc>
          <w:tcPr>
            <w:tcW w:type="dxa" w:w="792"/>
            <w:vAlign w:val="center"/>
          </w:tcPr>
          <w:p>
            <w:pPr>
              <w:spacing w:after="20"/>
            </w:pPr>
            <w:r/>
            <w:r>
              <w:rPr>
                <w:rFonts w:ascii="Aptos" w:hAnsi="Aptos"/>
                <w:b w:val="0"/>
                <w:color w:val="2A3542"/>
                <w:sz w:val="13"/>
              </w:rPr>
              <w:t>High</w:t>
            </w:r>
          </w:p>
        </w:tc>
        <w:tc>
          <w:tcPr>
            <w:tcW w:type="dxa" w:w="864"/>
            <w:vAlign w:val="center"/>
          </w:tcPr>
          <w:p>
            <w:pPr>
              <w:spacing w:after="20"/>
            </w:pPr>
            <w:r/>
            <w:r>
              <w:rPr>
                <w:rFonts w:ascii="Aptos" w:hAnsi="Aptos"/>
                <w:b w:val="0"/>
                <w:color w:val="2A3542"/>
                <w:sz w:val="13"/>
              </w:rPr>
              <w:t>High</w:t>
            </w:r>
          </w:p>
        </w:tc>
        <w:tc>
          <w:tcPr>
            <w:tcW w:type="dxa" w:w="4536"/>
            <w:vAlign w:val="center"/>
          </w:tcPr>
          <w:p>
            <w:pPr>
              <w:spacing w:after="20"/>
            </w:pPr>
            <w:r/>
            <w:r>
              <w:rPr>
                <w:rFonts w:ascii="Aptos" w:hAnsi="Aptos"/>
                <w:b w:val="0"/>
                <w:color w:val="2A3542"/>
                <w:sz w:val="13"/>
              </w:rPr>
              <w:t>Minimize data; justify use per service; use derived/limited credentials where feasible.</w:t>
            </w:r>
          </w:p>
        </w:tc>
        <w:tc>
          <w:tcPr>
            <w:tcW w:type="dxa" w:w="1224"/>
            <w:vAlign w:val="center"/>
          </w:tcPr>
          <w:p>
            <w:pPr>
              <w:spacing w:after="20"/>
            </w:pPr>
            <w:r/>
            <w:r>
              <w:rPr>
                <w:rFonts w:ascii="Aptos" w:hAnsi="Aptos"/>
                <w:b w:val="0"/>
                <w:color w:val="2A3542"/>
                <w:sz w:val="13"/>
              </w:rPr>
              <w:t>Medium</w:t>
            </w:r>
          </w:p>
        </w:tc>
      </w:tr>
      <w:tr>
        <w:tc>
          <w:tcPr>
            <w:tcW w:type="dxa" w:w="605"/>
            <w:vAlign w:val="center"/>
            <w:shd w:fill="F1F6F8"/>
          </w:tcPr>
          <w:p>
            <w:pPr>
              <w:spacing w:after="20"/>
            </w:pPr>
            <w:r/>
            <w:r>
              <w:rPr>
                <w:rFonts w:ascii="Aptos" w:hAnsi="Aptos"/>
                <w:b w:val="0"/>
                <w:color w:val="2A3542"/>
                <w:sz w:val="13"/>
              </w:rPr>
              <w:t>P-02</w:t>
            </w:r>
          </w:p>
        </w:tc>
        <w:tc>
          <w:tcPr>
            <w:tcW w:type="dxa" w:w="2376"/>
            <w:vAlign w:val="center"/>
            <w:shd w:fill="F1F6F8"/>
          </w:tcPr>
          <w:p>
            <w:pPr>
              <w:spacing w:after="20"/>
            </w:pPr>
            <w:r/>
            <w:r>
              <w:rPr>
                <w:rFonts w:ascii="Aptos" w:hAnsi="Aptos"/>
                <w:b w:val="0"/>
                <w:color w:val="2A3542"/>
                <w:sz w:val="13"/>
              </w:rPr>
              <w:t>Consent is not granular across document types or purposes</w:t>
            </w:r>
          </w:p>
        </w:tc>
        <w:tc>
          <w:tcPr>
            <w:tcW w:type="dxa" w:w="691"/>
            <w:vAlign w:val="center"/>
            <w:shd w:fill="F1F6F8"/>
          </w:tcPr>
          <w:p>
            <w:pPr>
              <w:spacing w:after="20"/>
            </w:pPr>
            <w:r/>
            <w:r>
              <w:rPr>
                <w:rFonts w:ascii="Aptos" w:hAnsi="Aptos"/>
                <w:b w:val="0"/>
                <w:color w:val="2A3542"/>
                <w:sz w:val="13"/>
              </w:rPr>
              <w:t>Medium</w:t>
            </w:r>
          </w:p>
        </w:tc>
        <w:tc>
          <w:tcPr>
            <w:tcW w:type="dxa" w:w="792"/>
            <w:vAlign w:val="center"/>
            <w:shd w:fill="F1F6F8"/>
          </w:tcPr>
          <w:p>
            <w:pPr>
              <w:spacing w:after="20"/>
            </w:pPr>
            <w:r/>
            <w:r>
              <w:rPr>
                <w:rFonts w:ascii="Aptos" w:hAnsi="Aptos"/>
                <w:b w:val="0"/>
                <w:color w:val="2A3542"/>
                <w:sz w:val="13"/>
              </w:rPr>
              <w:t>High</w:t>
            </w:r>
          </w:p>
        </w:tc>
        <w:tc>
          <w:tcPr>
            <w:tcW w:type="dxa" w:w="864"/>
            <w:vAlign w:val="center"/>
            <w:shd w:fill="F1F6F8"/>
          </w:tcPr>
          <w:p>
            <w:pPr>
              <w:spacing w:after="20"/>
            </w:pPr>
            <w:r/>
            <w:r>
              <w:rPr>
                <w:rFonts w:ascii="Aptos" w:hAnsi="Aptos"/>
                <w:b w:val="0"/>
                <w:color w:val="2A3542"/>
                <w:sz w:val="13"/>
              </w:rPr>
              <w:t>High</w:t>
            </w:r>
          </w:p>
        </w:tc>
        <w:tc>
          <w:tcPr>
            <w:tcW w:type="dxa" w:w="4536"/>
            <w:vAlign w:val="center"/>
            <w:shd w:fill="F1F6F8"/>
          </w:tcPr>
          <w:p>
            <w:pPr>
              <w:spacing w:after="20"/>
            </w:pPr>
            <w:r/>
            <w:r>
              <w:rPr>
                <w:rFonts w:ascii="Aptos" w:hAnsi="Aptos"/>
                <w:b w:val="0"/>
                <w:color w:val="2A3542"/>
                <w:sz w:val="13"/>
              </w:rPr>
              <w:t>Separate, purpose-bound consent by document/service; clear consent receipts.</w:t>
            </w:r>
          </w:p>
        </w:tc>
        <w:tc>
          <w:tcPr>
            <w:tcW w:type="dxa" w:w="1224"/>
            <w:vAlign w:val="center"/>
            <w:shd w:fill="F1F6F8"/>
          </w:tcPr>
          <w:p>
            <w:pPr>
              <w:spacing w:after="20"/>
            </w:pPr>
            <w:r/>
            <w:r>
              <w:rPr>
                <w:rFonts w:ascii="Aptos" w:hAnsi="Aptos"/>
                <w:b w:val="0"/>
                <w:color w:val="2A3542"/>
                <w:sz w:val="13"/>
              </w:rPr>
              <w:t>Low–Medium</w:t>
            </w:r>
          </w:p>
        </w:tc>
      </w:tr>
      <w:tr>
        <w:tc>
          <w:tcPr>
            <w:tcW w:type="dxa" w:w="605"/>
            <w:vAlign w:val="center"/>
          </w:tcPr>
          <w:p>
            <w:pPr>
              <w:spacing w:after="20"/>
            </w:pPr>
            <w:r/>
            <w:r>
              <w:rPr>
                <w:rFonts w:ascii="Aptos" w:hAnsi="Aptos"/>
                <w:b w:val="0"/>
                <w:color w:val="2A3542"/>
                <w:sz w:val="13"/>
              </w:rPr>
              <w:t>P-03</w:t>
            </w:r>
          </w:p>
        </w:tc>
        <w:tc>
          <w:tcPr>
            <w:tcW w:type="dxa" w:w="2376"/>
            <w:vAlign w:val="center"/>
          </w:tcPr>
          <w:p>
            <w:pPr>
              <w:spacing w:after="20"/>
            </w:pPr>
            <w:r/>
            <w:r>
              <w:rPr>
                <w:rFonts w:ascii="Aptos" w:hAnsi="Aptos"/>
                <w:b w:val="0"/>
                <w:color w:val="2A3542"/>
                <w:sz w:val="13"/>
              </w:rPr>
              <w:t>Consent is difficult to withdraw or revocation does not propagate</w:t>
            </w:r>
          </w:p>
        </w:tc>
        <w:tc>
          <w:tcPr>
            <w:tcW w:type="dxa" w:w="691"/>
            <w:vAlign w:val="center"/>
          </w:tcPr>
          <w:p>
            <w:pPr>
              <w:spacing w:after="20"/>
            </w:pPr>
            <w:r/>
            <w:r>
              <w:rPr>
                <w:rFonts w:ascii="Aptos" w:hAnsi="Aptos"/>
                <w:b w:val="0"/>
                <w:color w:val="2A3542"/>
                <w:sz w:val="13"/>
              </w:rPr>
              <w:t>Medium</w:t>
            </w:r>
          </w:p>
        </w:tc>
        <w:tc>
          <w:tcPr>
            <w:tcW w:type="dxa" w:w="792"/>
            <w:vAlign w:val="center"/>
          </w:tcPr>
          <w:p>
            <w:pPr>
              <w:spacing w:after="20"/>
            </w:pPr>
            <w:r/>
            <w:r>
              <w:rPr>
                <w:rFonts w:ascii="Aptos" w:hAnsi="Aptos"/>
                <w:b w:val="0"/>
                <w:color w:val="2A3542"/>
                <w:sz w:val="13"/>
              </w:rPr>
              <w:t>High</w:t>
            </w:r>
          </w:p>
        </w:tc>
        <w:tc>
          <w:tcPr>
            <w:tcW w:type="dxa" w:w="864"/>
            <w:vAlign w:val="center"/>
          </w:tcPr>
          <w:p>
            <w:pPr>
              <w:spacing w:after="20"/>
            </w:pPr>
            <w:r/>
            <w:r>
              <w:rPr>
                <w:rFonts w:ascii="Aptos" w:hAnsi="Aptos"/>
                <w:b w:val="0"/>
                <w:color w:val="2A3542"/>
                <w:sz w:val="13"/>
              </w:rPr>
              <w:t>High</w:t>
            </w:r>
          </w:p>
        </w:tc>
        <w:tc>
          <w:tcPr>
            <w:tcW w:type="dxa" w:w="4536"/>
            <w:vAlign w:val="center"/>
          </w:tcPr>
          <w:p>
            <w:pPr>
              <w:spacing w:after="20"/>
            </w:pPr>
            <w:r/>
            <w:r>
              <w:rPr>
                <w:rFonts w:ascii="Aptos" w:hAnsi="Aptos"/>
                <w:b w:val="0"/>
                <w:color w:val="2A3542"/>
                <w:sz w:val="13"/>
              </w:rPr>
              <w:t>Provide accessible revocation; maintain audit trail; propagate withdrawal to relevant issuers/requesters.</w:t>
            </w:r>
          </w:p>
        </w:tc>
        <w:tc>
          <w:tcPr>
            <w:tcW w:type="dxa" w:w="1224"/>
            <w:vAlign w:val="center"/>
          </w:tcPr>
          <w:p>
            <w:pPr>
              <w:spacing w:after="20"/>
            </w:pPr>
            <w:r/>
            <w:r>
              <w:rPr>
                <w:rFonts w:ascii="Aptos" w:hAnsi="Aptos"/>
                <w:b w:val="0"/>
                <w:color w:val="2A3542"/>
                <w:sz w:val="13"/>
              </w:rPr>
              <w:t>Medium</w:t>
            </w:r>
          </w:p>
        </w:tc>
      </w:tr>
      <w:tr>
        <w:tc>
          <w:tcPr>
            <w:tcW w:type="dxa" w:w="605"/>
            <w:vAlign w:val="center"/>
            <w:shd w:fill="F1F6F8"/>
          </w:tcPr>
          <w:p>
            <w:pPr>
              <w:spacing w:after="20"/>
            </w:pPr>
            <w:r/>
            <w:r>
              <w:rPr>
                <w:rFonts w:ascii="Aptos" w:hAnsi="Aptos"/>
                <w:b w:val="0"/>
                <w:color w:val="2A3542"/>
                <w:sz w:val="13"/>
              </w:rPr>
              <w:t>P-04</w:t>
            </w:r>
          </w:p>
        </w:tc>
        <w:tc>
          <w:tcPr>
            <w:tcW w:type="dxa" w:w="2376"/>
            <w:vAlign w:val="center"/>
            <w:shd w:fill="F1F6F8"/>
          </w:tcPr>
          <w:p>
            <w:pPr>
              <w:spacing w:after="20"/>
            </w:pPr>
            <w:r/>
            <w:r>
              <w:rPr>
                <w:rFonts w:ascii="Aptos" w:hAnsi="Aptos"/>
                <w:b w:val="0"/>
                <w:color w:val="2A3542"/>
                <w:sz w:val="13"/>
              </w:rPr>
              <w:t>Aadhaar/VID appears in logs, URLs, or error messages</w:t>
            </w:r>
          </w:p>
        </w:tc>
        <w:tc>
          <w:tcPr>
            <w:tcW w:type="dxa" w:w="691"/>
            <w:vAlign w:val="center"/>
            <w:shd w:fill="F1F6F8"/>
          </w:tcPr>
          <w:p>
            <w:pPr>
              <w:spacing w:after="20"/>
            </w:pPr>
            <w:r/>
            <w:r>
              <w:rPr>
                <w:rFonts w:ascii="Aptos" w:hAnsi="Aptos"/>
                <w:b w:val="0"/>
                <w:color w:val="2A3542"/>
                <w:sz w:val="13"/>
              </w:rPr>
              <w:t>Low–Medium</w:t>
            </w:r>
          </w:p>
        </w:tc>
        <w:tc>
          <w:tcPr>
            <w:tcW w:type="dxa" w:w="792"/>
            <w:vAlign w:val="center"/>
            <w:shd w:fill="F1F6F8"/>
          </w:tcPr>
          <w:p>
            <w:pPr>
              <w:spacing w:after="20"/>
            </w:pPr>
            <w:r/>
            <w:r>
              <w:rPr>
                <w:rFonts w:ascii="Aptos" w:hAnsi="Aptos"/>
                <w:b w:val="0"/>
                <w:color w:val="2A3542"/>
                <w:sz w:val="13"/>
              </w:rPr>
              <w:t>Very High</w:t>
            </w:r>
          </w:p>
        </w:tc>
        <w:tc>
          <w:tcPr>
            <w:tcW w:type="dxa" w:w="864"/>
            <w:vAlign w:val="center"/>
            <w:shd w:fill="F1F6F8"/>
          </w:tcPr>
          <w:p>
            <w:pPr>
              <w:spacing w:after="20"/>
            </w:pPr>
            <w:r/>
            <w:r>
              <w:rPr>
                <w:rFonts w:ascii="Aptos" w:hAnsi="Aptos"/>
                <w:b w:val="0"/>
                <w:color w:val="2A3542"/>
                <w:sz w:val="13"/>
              </w:rPr>
              <w:t>High</w:t>
            </w:r>
          </w:p>
        </w:tc>
        <w:tc>
          <w:tcPr>
            <w:tcW w:type="dxa" w:w="4536"/>
            <w:vAlign w:val="center"/>
            <w:shd w:fill="F1F6F8"/>
          </w:tcPr>
          <w:p>
            <w:pPr>
              <w:spacing w:after="20"/>
            </w:pPr>
            <w:r/>
            <w:r>
              <w:rPr>
                <w:rFonts w:ascii="Aptos" w:hAnsi="Aptos"/>
                <w:b w:val="0"/>
                <w:color w:val="2A3542"/>
                <w:sz w:val="13"/>
              </w:rPr>
              <w:t>Never place identifiers in URLs; redact and sanitize logs/errors; monitor for leakage.</w:t>
            </w:r>
          </w:p>
        </w:tc>
        <w:tc>
          <w:tcPr>
            <w:tcW w:type="dxa" w:w="1224"/>
            <w:vAlign w:val="center"/>
            <w:shd w:fill="F1F6F8"/>
          </w:tcPr>
          <w:p>
            <w:pPr>
              <w:spacing w:after="20"/>
            </w:pPr>
            <w:r/>
            <w:r>
              <w:rPr>
                <w:rFonts w:ascii="Aptos" w:hAnsi="Aptos"/>
                <w:b w:val="0"/>
                <w:color w:val="2A3542"/>
                <w:sz w:val="13"/>
              </w:rPr>
              <w:t>Low</w:t>
            </w:r>
          </w:p>
        </w:tc>
      </w:tr>
      <w:tr>
        <w:tc>
          <w:tcPr>
            <w:tcW w:type="dxa" w:w="605"/>
            <w:vAlign w:val="center"/>
          </w:tcPr>
          <w:p>
            <w:pPr>
              <w:spacing w:after="20"/>
            </w:pPr>
            <w:r/>
            <w:r>
              <w:rPr>
                <w:rFonts w:ascii="Aptos" w:hAnsi="Aptos"/>
                <w:b w:val="0"/>
                <w:color w:val="2A3542"/>
                <w:sz w:val="13"/>
              </w:rPr>
              <w:t>P-05</w:t>
            </w:r>
          </w:p>
        </w:tc>
        <w:tc>
          <w:tcPr>
            <w:tcW w:type="dxa" w:w="2376"/>
            <w:vAlign w:val="center"/>
          </w:tcPr>
          <w:p>
            <w:pPr>
              <w:spacing w:after="20"/>
            </w:pPr>
            <w:r/>
            <w:r>
              <w:rPr>
                <w:rFonts w:ascii="Aptos" w:hAnsi="Aptos"/>
                <w:b w:val="0"/>
                <w:color w:val="2A3542"/>
                <w:sz w:val="13"/>
              </w:rPr>
              <w:t>Identity, session, or access data is retained excessively</w:t>
            </w:r>
          </w:p>
        </w:tc>
        <w:tc>
          <w:tcPr>
            <w:tcW w:type="dxa" w:w="691"/>
            <w:vAlign w:val="center"/>
          </w:tcPr>
          <w:p>
            <w:pPr>
              <w:spacing w:after="20"/>
            </w:pPr>
            <w:r/>
            <w:r>
              <w:rPr>
                <w:rFonts w:ascii="Aptos" w:hAnsi="Aptos"/>
                <w:b w:val="0"/>
                <w:color w:val="2A3542"/>
                <w:sz w:val="13"/>
              </w:rPr>
              <w:t>Medium</w:t>
            </w:r>
          </w:p>
        </w:tc>
        <w:tc>
          <w:tcPr>
            <w:tcW w:type="dxa" w:w="792"/>
            <w:vAlign w:val="center"/>
          </w:tcPr>
          <w:p>
            <w:pPr>
              <w:spacing w:after="20"/>
            </w:pPr>
            <w:r/>
            <w:r>
              <w:rPr>
                <w:rFonts w:ascii="Aptos" w:hAnsi="Aptos"/>
                <w:b w:val="0"/>
                <w:color w:val="2A3542"/>
                <w:sz w:val="13"/>
              </w:rPr>
              <w:t>Medium</w:t>
            </w:r>
          </w:p>
        </w:tc>
        <w:tc>
          <w:tcPr>
            <w:tcW w:type="dxa" w:w="864"/>
            <w:vAlign w:val="center"/>
          </w:tcPr>
          <w:p>
            <w:pPr>
              <w:spacing w:after="20"/>
            </w:pPr>
            <w:r/>
            <w:r>
              <w:rPr>
                <w:rFonts w:ascii="Aptos" w:hAnsi="Aptos"/>
                <w:b w:val="0"/>
                <w:color w:val="2A3542"/>
                <w:sz w:val="13"/>
              </w:rPr>
              <w:t>Medium</w:t>
            </w:r>
          </w:p>
        </w:tc>
        <w:tc>
          <w:tcPr>
            <w:tcW w:type="dxa" w:w="4536"/>
            <w:vAlign w:val="center"/>
          </w:tcPr>
          <w:p>
            <w:pPr>
              <w:spacing w:after="20"/>
            </w:pPr>
            <w:r/>
            <w:r>
              <w:rPr>
                <w:rFonts w:ascii="Aptos" w:hAnsi="Aptos"/>
                <w:b w:val="0"/>
                <w:color w:val="2A3542"/>
                <w:sz w:val="13"/>
              </w:rPr>
              <w:t>Publish retention schedules; automate deletion; apply legal holds narrowly.</w:t>
            </w:r>
          </w:p>
        </w:tc>
        <w:tc>
          <w:tcPr>
            <w:tcW w:type="dxa" w:w="1224"/>
            <w:vAlign w:val="center"/>
          </w:tcPr>
          <w:p>
            <w:pPr>
              <w:spacing w:after="20"/>
            </w:pPr>
            <w:r/>
            <w:r>
              <w:rPr>
                <w:rFonts w:ascii="Aptos" w:hAnsi="Aptos"/>
                <w:b w:val="0"/>
                <w:color w:val="2A3542"/>
                <w:sz w:val="13"/>
              </w:rPr>
              <w:t>Low</w:t>
            </w:r>
          </w:p>
        </w:tc>
      </w:tr>
      <w:tr>
        <w:tc>
          <w:tcPr>
            <w:tcW w:type="dxa" w:w="605"/>
            <w:vAlign w:val="center"/>
            <w:shd w:fill="F1F6F8"/>
          </w:tcPr>
          <w:p>
            <w:pPr>
              <w:spacing w:after="20"/>
            </w:pPr>
            <w:r/>
            <w:r>
              <w:rPr>
                <w:rFonts w:ascii="Aptos" w:hAnsi="Aptos"/>
                <w:b w:val="0"/>
                <w:color w:val="2A3542"/>
                <w:sz w:val="13"/>
              </w:rPr>
              <w:t>P-06</w:t>
            </w:r>
          </w:p>
        </w:tc>
        <w:tc>
          <w:tcPr>
            <w:tcW w:type="dxa" w:w="2376"/>
            <w:vAlign w:val="center"/>
            <w:shd w:fill="F1F6F8"/>
          </w:tcPr>
          <w:p>
            <w:pPr>
              <w:spacing w:after="20"/>
            </w:pPr>
            <w:r/>
            <w:r>
              <w:rPr>
                <w:rFonts w:ascii="Aptos" w:hAnsi="Aptos"/>
                <w:b w:val="0"/>
                <w:color w:val="2A3542"/>
                <w:sz w:val="13"/>
              </w:rPr>
              <w:t>Document metadata or pseudonymous identifiers enable re-identification</w:t>
            </w:r>
          </w:p>
        </w:tc>
        <w:tc>
          <w:tcPr>
            <w:tcW w:type="dxa" w:w="691"/>
            <w:vAlign w:val="center"/>
            <w:shd w:fill="F1F6F8"/>
          </w:tcPr>
          <w:p>
            <w:pPr>
              <w:spacing w:after="20"/>
            </w:pPr>
            <w:r/>
            <w:r>
              <w:rPr>
                <w:rFonts w:ascii="Aptos" w:hAnsi="Aptos"/>
                <w:b w:val="0"/>
                <w:color w:val="2A3542"/>
                <w:sz w:val="13"/>
              </w:rPr>
              <w:t>Medium</w:t>
            </w:r>
          </w:p>
        </w:tc>
        <w:tc>
          <w:tcPr>
            <w:tcW w:type="dxa" w:w="792"/>
            <w:vAlign w:val="center"/>
            <w:shd w:fill="F1F6F8"/>
          </w:tcPr>
          <w:p>
            <w:pPr>
              <w:spacing w:after="20"/>
            </w:pPr>
            <w:r/>
            <w:r>
              <w:rPr>
                <w:rFonts w:ascii="Aptos" w:hAnsi="Aptos"/>
                <w:b w:val="0"/>
                <w:color w:val="2A3542"/>
                <w:sz w:val="13"/>
              </w:rPr>
              <w:t>Medium</w:t>
            </w:r>
          </w:p>
        </w:tc>
        <w:tc>
          <w:tcPr>
            <w:tcW w:type="dxa" w:w="864"/>
            <w:vAlign w:val="center"/>
            <w:shd w:fill="F1F6F8"/>
          </w:tcPr>
          <w:p>
            <w:pPr>
              <w:spacing w:after="20"/>
            </w:pPr>
            <w:r/>
            <w:r>
              <w:rPr>
                <w:rFonts w:ascii="Aptos" w:hAnsi="Aptos"/>
                <w:b w:val="0"/>
                <w:color w:val="2A3542"/>
                <w:sz w:val="13"/>
              </w:rPr>
              <w:t>Medium</w:t>
            </w:r>
          </w:p>
        </w:tc>
        <w:tc>
          <w:tcPr>
            <w:tcW w:type="dxa" w:w="4536"/>
            <w:vAlign w:val="center"/>
            <w:shd w:fill="F1F6F8"/>
          </w:tcPr>
          <w:p>
            <w:pPr>
              <w:spacing w:after="20"/>
            </w:pPr>
            <w:r/>
            <w:r>
              <w:rPr>
                <w:rFonts w:ascii="Aptos" w:hAnsi="Aptos"/>
                <w:b w:val="0"/>
                <w:color w:val="2A3542"/>
                <w:sz w:val="13"/>
              </w:rPr>
              <w:t>Minimize metadata; pseudonymize; restrict linkage and access.</w:t>
            </w:r>
          </w:p>
        </w:tc>
        <w:tc>
          <w:tcPr>
            <w:tcW w:type="dxa" w:w="1224"/>
            <w:vAlign w:val="center"/>
            <w:shd w:fill="F1F6F8"/>
          </w:tcPr>
          <w:p>
            <w:pPr>
              <w:spacing w:after="20"/>
            </w:pPr>
            <w:r/>
            <w:r>
              <w:rPr>
                <w:rFonts w:ascii="Aptos" w:hAnsi="Aptos"/>
                <w:b w:val="0"/>
                <w:color w:val="2A3542"/>
                <w:sz w:val="13"/>
              </w:rPr>
              <w:t>Low–Medium</w:t>
            </w:r>
          </w:p>
        </w:tc>
      </w:tr>
      <w:tr>
        <w:tc>
          <w:tcPr>
            <w:tcW w:type="dxa" w:w="605"/>
            <w:vAlign w:val="center"/>
          </w:tcPr>
          <w:p>
            <w:pPr>
              <w:spacing w:after="20"/>
            </w:pPr>
            <w:r/>
            <w:r>
              <w:rPr>
                <w:rFonts w:ascii="Aptos" w:hAnsi="Aptos"/>
                <w:b w:val="0"/>
                <w:color w:val="2A3542"/>
                <w:sz w:val="13"/>
              </w:rPr>
              <w:t>P-07</w:t>
            </w:r>
          </w:p>
        </w:tc>
        <w:tc>
          <w:tcPr>
            <w:tcW w:type="dxa" w:w="2376"/>
            <w:vAlign w:val="center"/>
          </w:tcPr>
          <w:p>
            <w:pPr>
              <w:spacing w:after="20"/>
            </w:pPr>
            <w:r/>
            <w:r>
              <w:rPr>
                <w:rFonts w:ascii="Aptos" w:hAnsi="Aptos"/>
                <w:b w:val="0"/>
                <w:color w:val="2A3542"/>
                <w:sz w:val="13"/>
              </w:rPr>
              <w:t>Token theft or replay enables unauthorized document access</w:t>
            </w:r>
          </w:p>
        </w:tc>
        <w:tc>
          <w:tcPr>
            <w:tcW w:type="dxa" w:w="691"/>
            <w:vAlign w:val="center"/>
          </w:tcPr>
          <w:p>
            <w:pPr>
              <w:spacing w:after="20"/>
            </w:pPr>
            <w:r/>
            <w:r>
              <w:rPr>
                <w:rFonts w:ascii="Aptos" w:hAnsi="Aptos"/>
                <w:b w:val="0"/>
                <w:color w:val="2A3542"/>
                <w:sz w:val="13"/>
              </w:rPr>
              <w:t>Medium</w:t>
            </w:r>
          </w:p>
        </w:tc>
        <w:tc>
          <w:tcPr>
            <w:tcW w:type="dxa" w:w="792"/>
            <w:vAlign w:val="center"/>
          </w:tcPr>
          <w:p>
            <w:pPr>
              <w:spacing w:after="20"/>
            </w:pPr>
            <w:r/>
            <w:r>
              <w:rPr>
                <w:rFonts w:ascii="Aptos" w:hAnsi="Aptos"/>
                <w:b w:val="0"/>
                <w:color w:val="2A3542"/>
                <w:sz w:val="13"/>
              </w:rPr>
              <w:t>High</w:t>
            </w:r>
          </w:p>
        </w:tc>
        <w:tc>
          <w:tcPr>
            <w:tcW w:type="dxa" w:w="864"/>
            <w:vAlign w:val="center"/>
          </w:tcPr>
          <w:p>
            <w:pPr>
              <w:spacing w:after="20"/>
            </w:pPr>
            <w:r/>
            <w:r>
              <w:rPr>
                <w:rFonts w:ascii="Aptos" w:hAnsi="Aptos"/>
                <w:b w:val="0"/>
                <w:color w:val="2A3542"/>
                <w:sz w:val="13"/>
              </w:rPr>
              <w:t>High</w:t>
            </w:r>
          </w:p>
        </w:tc>
        <w:tc>
          <w:tcPr>
            <w:tcW w:type="dxa" w:w="4536"/>
            <w:vAlign w:val="center"/>
          </w:tcPr>
          <w:p>
            <w:pPr>
              <w:spacing w:after="20"/>
            </w:pPr>
            <w:r/>
            <w:r>
              <w:rPr>
                <w:rFonts w:ascii="Aptos" w:hAnsi="Aptos"/>
                <w:b w:val="0"/>
                <w:color w:val="2A3542"/>
                <w:sz w:val="13"/>
              </w:rPr>
              <w:t>Short-lived tokens; server-side validation and revocation; device binding where appropriate; rate limits and replay protection.</w:t>
            </w:r>
          </w:p>
        </w:tc>
        <w:tc>
          <w:tcPr>
            <w:tcW w:type="dxa" w:w="1224"/>
            <w:vAlign w:val="center"/>
          </w:tcPr>
          <w:p>
            <w:pPr>
              <w:spacing w:after="20"/>
            </w:pPr>
            <w:r/>
            <w:r>
              <w:rPr>
                <w:rFonts w:ascii="Aptos" w:hAnsi="Aptos"/>
                <w:b w:val="0"/>
                <w:color w:val="2A3542"/>
                <w:sz w:val="13"/>
              </w:rPr>
              <w:t>Medium</w:t>
            </w:r>
          </w:p>
        </w:tc>
      </w:tr>
      <w:tr>
        <w:tc>
          <w:tcPr>
            <w:tcW w:type="dxa" w:w="605"/>
            <w:vAlign w:val="center"/>
            <w:shd w:fill="F1F6F8"/>
          </w:tcPr>
          <w:p>
            <w:pPr>
              <w:spacing w:after="20"/>
            </w:pPr>
            <w:r/>
            <w:r>
              <w:rPr>
                <w:rFonts w:ascii="Aptos" w:hAnsi="Aptos"/>
                <w:b w:val="0"/>
                <w:color w:val="2A3542"/>
                <w:sz w:val="13"/>
              </w:rPr>
              <w:t>P-08</w:t>
            </w:r>
          </w:p>
        </w:tc>
        <w:tc>
          <w:tcPr>
            <w:tcW w:type="dxa" w:w="2376"/>
            <w:vAlign w:val="center"/>
            <w:shd w:fill="F1F6F8"/>
          </w:tcPr>
          <w:p>
            <w:pPr>
              <w:spacing w:after="20"/>
            </w:pPr>
            <w:r/>
            <w:r>
              <w:rPr>
                <w:rFonts w:ascii="Aptos" w:hAnsi="Aptos"/>
                <w:b w:val="0"/>
                <w:color w:val="2A3542"/>
                <w:sz w:val="13"/>
              </w:rPr>
              <w:t>Issuer-side breach exposes citizen documents or related data</w:t>
            </w:r>
          </w:p>
        </w:tc>
        <w:tc>
          <w:tcPr>
            <w:tcW w:type="dxa" w:w="691"/>
            <w:vAlign w:val="center"/>
            <w:shd w:fill="F1F6F8"/>
          </w:tcPr>
          <w:p>
            <w:pPr>
              <w:spacing w:after="20"/>
            </w:pPr>
            <w:r/>
            <w:r>
              <w:rPr>
                <w:rFonts w:ascii="Aptos" w:hAnsi="Aptos"/>
                <w:b w:val="0"/>
                <w:color w:val="2A3542"/>
                <w:sz w:val="13"/>
              </w:rPr>
              <w:t>Medium</w:t>
            </w:r>
          </w:p>
        </w:tc>
        <w:tc>
          <w:tcPr>
            <w:tcW w:type="dxa" w:w="792"/>
            <w:vAlign w:val="center"/>
            <w:shd w:fill="F1F6F8"/>
          </w:tcPr>
          <w:p>
            <w:pPr>
              <w:spacing w:after="20"/>
            </w:pPr>
            <w:r/>
            <w:r>
              <w:rPr>
                <w:rFonts w:ascii="Aptos" w:hAnsi="Aptos"/>
                <w:b w:val="0"/>
                <w:color w:val="2A3542"/>
                <w:sz w:val="13"/>
              </w:rPr>
              <w:t>High</w:t>
            </w:r>
          </w:p>
        </w:tc>
        <w:tc>
          <w:tcPr>
            <w:tcW w:type="dxa" w:w="864"/>
            <w:vAlign w:val="center"/>
            <w:shd w:fill="F1F6F8"/>
          </w:tcPr>
          <w:p>
            <w:pPr>
              <w:spacing w:after="20"/>
            </w:pPr>
            <w:r/>
            <w:r>
              <w:rPr>
                <w:rFonts w:ascii="Aptos" w:hAnsi="Aptos"/>
                <w:b w:val="0"/>
                <w:color w:val="2A3542"/>
                <w:sz w:val="13"/>
              </w:rPr>
              <w:t>High</w:t>
            </w:r>
          </w:p>
        </w:tc>
        <w:tc>
          <w:tcPr>
            <w:tcW w:type="dxa" w:w="4536"/>
            <w:vAlign w:val="center"/>
            <w:shd w:fill="F1F6F8"/>
          </w:tcPr>
          <w:p>
            <w:pPr>
              <w:spacing w:after="20"/>
            </w:pPr>
            <w:r/>
            <w:r>
              <w:rPr>
                <w:rFonts w:ascii="Aptos" w:hAnsi="Aptos"/>
                <w:b w:val="0"/>
                <w:color w:val="2A3542"/>
                <w:sz w:val="13"/>
              </w:rPr>
              <w:t>Issuer due diligence and audits; incident drills; contractual notification, cooperation, and accountability provisions.</w:t>
            </w:r>
          </w:p>
        </w:tc>
        <w:tc>
          <w:tcPr>
            <w:tcW w:type="dxa" w:w="1224"/>
            <w:vAlign w:val="center"/>
            <w:shd w:fill="F1F6F8"/>
          </w:tcPr>
          <w:p>
            <w:pPr>
              <w:spacing w:after="20"/>
            </w:pPr>
            <w:r/>
            <w:r>
              <w:rPr>
                <w:rFonts w:ascii="Aptos" w:hAnsi="Aptos"/>
                <w:b w:val="0"/>
                <w:color w:val="2A3542"/>
                <w:sz w:val="13"/>
              </w:rPr>
              <w:t>Medium</w:t>
            </w:r>
          </w:p>
        </w:tc>
      </w:tr>
      <w:tr>
        <w:tc>
          <w:tcPr>
            <w:tcW w:type="dxa" w:w="605"/>
            <w:vAlign w:val="center"/>
          </w:tcPr>
          <w:p>
            <w:pPr>
              <w:spacing w:after="20"/>
            </w:pPr>
            <w:r/>
            <w:r>
              <w:rPr>
                <w:rFonts w:ascii="Aptos" w:hAnsi="Aptos"/>
                <w:b w:val="0"/>
                <w:color w:val="2A3542"/>
                <w:sz w:val="13"/>
              </w:rPr>
              <w:t>P-09</w:t>
            </w:r>
          </w:p>
        </w:tc>
        <w:tc>
          <w:tcPr>
            <w:tcW w:type="dxa" w:w="2376"/>
            <w:vAlign w:val="center"/>
          </w:tcPr>
          <w:p>
            <w:pPr>
              <w:spacing w:after="20"/>
            </w:pPr>
            <w:r/>
            <w:r>
              <w:rPr>
                <w:rFonts w:ascii="Aptos" w:hAnsi="Aptos"/>
                <w:b w:val="0"/>
                <w:color w:val="2A3542"/>
                <w:sz w:val="13"/>
              </w:rPr>
              <w:t>Cross-origin or third-party API/CDN path leaks data</w:t>
            </w:r>
          </w:p>
        </w:tc>
        <w:tc>
          <w:tcPr>
            <w:tcW w:type="dxa" w:w="691"/>
            <w:vAlign w:val="center"/>
          </w:tcPr>
          <w:p>
            <w:pPr>
              <w:spacing w:after="20"/>
            </w:pPr>
            <w:r/>
            <w:r>
              <w:rPr>
                <w:rFonts w:ascii="Aptos" w:hAnsi="Aptos"/>
                <w:b w:val="0"/>
                <w:color w:val="2A3542"/>
                <w:sz w:val="13"/>
              </w:rPr>
              <w:t>Low</w:t>
            </w:r>
          </w:p>
        </w:tc>
        <w:tc>
          <w:tcPr>
            <w:tcW w:type="dxa" w:w="792"/>
            <w:vAlign w:val="center"/>
          </w:tcPr>
          <w:p>
            <w:pPr>
              <w:spacing w:after="20"/>
            </w:pPr>
            <w:r/>
            <w:r>
              <w:rPr>
                <w:rFonts w:ascii="Aptos" w:hAnsi="Aptos"/>
                <w:b w:val="0"/>
                <w:color w:val="2A3542"/>
                <w:sz w:val="13"/>
              </w:rPr>
              <w:t>Medium</w:t>
            </w:r>
          </w:p>
        </w:tc>
        <w:tc>
          <w:tcPr>
            <w:tcW w:type="dxa" w:w="864"/>
            <w:vAlign w:val="center"/>
          </w:tcPr>
          <w:p>
            <w:pPr>
              <w:spacing w:after="20"/>
            </w:pPr>
            <w:r/>
            <w:r>
              <w:rPr>
                <w:rFonts w:ascii="Aptos" w:hAnsi="Aptos"/>
                <w:b w:val="0"/>
                <w:color w:val="2A3542"/>
                <w:sz w:val="13"/>
              </w:rPr>
              <w:t>Medium</w:t>
            </w:r>
          </w:p>
        </w:tc>
        <w:tc>
          <w:tcPr>
            <w:tcW w:type="dxa" w:w="4536"/>
            <w:vAlign w:val="center"/>
          </w:tcPr>
          <w:p>
            <w:pPr>
              <w:spacing w:after="20"/>
            </w:pPr>
            <w:r/>
            <w:r>
              <w:rPr>
                <w:rFonts w:ascii="Aptos" w:hAnsi="Aptos"/>
                <w:b w:val="0"/>
                <w:color w:val="2A3542"/>
                <w:sz w:val="13"/>
              </w:rPr>
              <w:t>Strict CORS allowlists; third-party risk reviews; SRI/CSP where feasible; minimize third-party data exposure.</w:t>
            </w:r>
          </w:p>
        </w:tc>
        <w:tc>
          <w:tcPr>
            <w:tcW w:type="dxa" w:w="1224"/>
            <w:vAlign w:val="center"/>
          </w:tcPr>
          <w:p>
            <w:pPr>
              <w:spacing w:after="20"/>
            </w:pPr>
            <w:r/>
            <w:r>
              <w:rPr>
                <w:rFonts w:ascii="Aptos" w:hAnsi="Aptos"/>
                <w:b w:val="0"/>
                <w:color w:val="2A3542"/>
                <w:sz w:val="13"/>
              </w:rPr>
              <w:t>Low</w:t>
            </w:r>
          </w:p>
        </w:tc>
      </w:tr>
      <w:tr>
        <w:tc>
          <w:tcPr>
            <w:tcW w:type="dxa" w:w="605"/>
            <w:vAlign w:val="center"/>
            <w:shd w:fill="F1F6F8"/>
          </w:tcPr>
          <w:p>
            <w:pPr>
              <w:spacing w:after="20"/>
            </w:pPr>
            <w:r/>
            <w:r>
              <w:rPr>
                <w:rFonts w:ascii="Aptos" w:hAnsi="Aptos"/>
                <w:b w:val="0"/>
                <w:color w:val="2A3542"/>
                <w:sz w:val="13"/>
              </w:rPr>
              <w:t>P-10</w:t>
            </w:r>
          </w:p>
        </w:tc>
        <w:tc>
          <w:tcPr>
            <w:tcW w:type="dxa" w:w="2376"/>
            <w:vAlign w:val="center"/>
            <w:shd w:fill="F1F6F8"/>
          </w:tcPr>
          <w:p>
            <w:pPr>
              <w:spacing w:after="20"/>
            </w:pPr>
            <w:r/>
            <w:r>
              <w:rPr>
                <w:rFonts w:ascii="Aptos" w:hAnsi="Aptos"/>
                <w:b w:val="0"/>
                <w:color w:val="2A3542"/>
                <w:sz w:val="13"/>
              </w:rPr>
              <w:t>Citizens lack clear understanding of data flows and sharing</w:t>
            </w:r>
          </w:p>
        </w:tc>
        <w:tc>
          <w:tcPr>
            <w:tcW w:type="dxa" w:w="691"/>
            <w:vAlign w:val="center"/>
            <w:shd w:fill="F1F6F8"/>
          </w:tcPr>
          <w:p>
            <w:pPr>
              <w:spacing w:after="20"/>
            </w:pPr>
            <w:r/>
            <w:r>
              <w:rPr>
                <w:rFonts w:ascii="Aptos" w:hAnsi="Aptos"/>
                <w:b w:val="0"/>
                <w:color w:val="2A3542"/>
                <w:sz w:val="13"/>
              </w:rPr>
              <w:t>Medium</w:t>
            </w:r>
          </w:p>
        </w:tc>
        <w:tc>
          <w:tcPr>
            <w:tcW w:type="dxa" w:w="792"/>
            <w:vAlign w:val="center"/>
            <w:shd w:fill="F1F6F8"/>
          </w:tcPr>
          <w:p>
            <w:pPr>
              <w:spacing w:after="20"/>
            </w:pPr>
            <w:r/>
            <w:r>
              <w:rPr>
                <w:rFonts w:ascii="Aptos" w:hAnsi="Aptos"/>
                <w:b w:val="0"/>
                <w:color w:val="2A3542"/>
                <w:sz w:val="13"/>
              </w:rPr>
              <w:t>Medium</w:t>
            </w:r>
          </w:p>
        </w:tc>
        <w:tc>
          <w:tcPr>
            <w:tcW w:type="dxa" w:w="864"/>
            <w:vAlign w:val="center"/>
            <w:shd w:fill="F1F6F8"/>
          </w:tcPr>
          <w:p>
            <w:pPr>
              <w:spacing w:after="20"/>
            </w:pPr>
            <w:r/>
            <w:r>
              <w:rPr>
                <w:rFonts w:ascii="Aptos" w:hAnsi="Aptos"/>
                <w:b w:val="0"/>
                <w:color w:val="2A3542"/>
                <w:sz w:val="13"/>
              </w:rPr>
              <w:t>Medium</w:t>
            </w:r>
          </w:p>
        </w:tc>
        <w:tc>
          <w:tcPr>
            <w:tcW w:type="dxa" w:w="4536"/>
            <w:vAlign w:val="center"/>
            <w:shd w:fill="F1F6F8"/>
          </w:tcPr>
          <w:p>
            <w:pPr>
              <w:spacing w:after="20"/>
            </w:pPr>
            <w:r/>
            <w:r>
              <w:rPr>
                <w:rFonts w:ascii="Aptos" w:hAnsi="Aptos"/>
                <w:b w:val="0"/>
                <w:color w:val="2A3542"/>
                <w:sz w:val="13"/>
              </w:rPr>
              <w:t>Plain-language notices; sharing history; data-flow dashboard and consent receipts.</w:t>
            </w:r>
          </w:p>
        </w:tc>
        <w:tc>
          <w:tcPr>
            <w:tcW w:type="dxa" w:w="1224"/>
            <w:vAlign w:val="center"/>
            <w:shd w:fill="F1F6F8"/>
          </w:tcPr>
          <w:p>
            <w:pPr>
              <w:spacing w:after="20"/>
            </w:pPr>
            <w:r/>
            <w:r>
              <w:rPr>
                <w:rFonts w:ascii="Aptos" w:hAnsi="Aptos"/>
                <w:b w:val="0"/>
                <w:color w:val="2A3542"/>
                <w:sz w:val="13"/>
              </w:rPr>
              <w:t>Low</w:t>
            </w:r>
          </w:p>
        </w:tc>
      </w:tr>
      <w:tr>
        <w:tc>
          <w:tcPr>
            <w:tcW w:type="dxa" w:w="605"/>
            <w:vAlign w:val="center"/>
          </w:tcPr>
          <w:p>
            <w:pPr>
              <w:spacing w:after="20"/>
            </w:pPr>
            <w:r/>
            <w:r>
              <w:rPr>
                <w:rFonts w:ascii="Aptos" w:hAnsi="Aptos"/>
                <w:b w:val="0"/>
                <w:color w:val="2A3542"/>
                <w:sz w:val="13"/>
              </w:rPr>
              <w:t>P-11</w:t>
            </w:r>
          </w:p>
        </w:tc>
        <w:tc>
          <w:tcPr>
            <w:tcW w:type="dxa" w:w="2376"/>
            <w:vAlign w:val="center"/>
          </w:tcPr>
          <w:p>
            <w:pPr>
              <w:spacing w:after="20"/>
            </w:pPr>
            <w:r/>
            <w:r>
              <w:rPr>
                <w:rFonts w:ascii="Aptos" w:hAnsi="Aptos"/>
                <w:b w:val="0"/>
                <w:color w:val="2A3542"/>
                <w:sz w:val="13"/>
              </w:rPr>
              <w:t>Automated decision-making or profiling occurs without safeguards (if applicable)</w:t>
            </w:r>
          </w:p>
        </w:tc>
        <w:tc>
          <w:tcPr>
            <w:tcW w:type="dxa" w:w="691"/>
            <w:vAlign w:val="center"/>
          </w:tcPr>
          <w:p>
            <w:pPr>
              <w:spacing w:after="20"/>
            </w:pPr>
            <w:r/>
            <w:r>
              <w:rPr>
                <w:rFonts w:ascii="Aptos" w:hAnsi="Aptos"/>
                <w:b w:val="0"/>
                <w:color w:val="2A3542"/>
                <w:sz w:val="13"/>
              </w:rPr>
              <w:t>Low–Medium</w:t>
            </w:r>
          </w:p>
        </w:tc>
        <w:tc>
          <w:tcPr>
            <w:tcW w:type="dxa" w:w="792"/>
            <w:vAlign w:val="center"/>
          </w:tcPr>
          <w:p>
            <w:pPr>
              <w:spacing w:after="20"/>
            </w:pPr>
            <w:r/>
            <w:r>
              <w:rPr>
                <w:rFonts w:ascii="Aptos" w:hAnsi="Aptos"/>
                <w:b w:val="0"/>
                <w:color w:val="2A3542"/>
                <w:sz w:val="13"/>
              </w:rPr>
              <w:t>Medium</w:t>
            </w:r>
          </w:p>
        </w:tc>
        <w:tc>
          <w:tcPr>
            <w:tcW w:type="dxa" w:w="864"/>
            <w:vAlign w:val="center"/>
          </w:tcPr>
          <w:p>
            <w:pPr>
              <w:spacing w:after="20"/>
            </w:pPr>
            <w:r/>
            <w:r>
              <w:rPr>
                <w:rFonts w:ascii="Aptos" w:hAnsi="Aptos"/>
                <w:b w:val="0"/>
                <w:color w:val="2A3542"/>
                <w:sz w:val="13"/>
              </w:rPr>
              <w:t>Medium</w:t>
            </w:r>
          </w:p>
        </w:tc>
        <w:tc>
          <w:tcPr>
            <w:tcW w:type="dxa" w:w="4536"/>
            <w:vAlign w:val="center"/>
          </w:tcPr>
          <w:p>
            <w:pPr>
              <w:spacing w:after="20"/>
            </w:pPr>
            <w:r/>
            <w:r>
              <w:rPr>
                <w:rFonts w:ascii="Aptos" w:hAnsi="Aptos"/>
                <w:b w:val="0"/>
                <w:color w:val="2A3542"/>
                <w:sz w:val="13"/>
              </w:rPr>
              <w:t>Inventory automated decisions; explain outcomes; human review and appropriate choice mechanisms.</w:t>
            </w:r>
          </w:p>
        </w:tc>
        <w:tc>
          <w:tcPr>
            <w:tcW w:type="dxa" w:w="1224"/>
            <w:vAlign w:val="center"/>
          </w:tcPr>
          <w:p>
            <w:pPr>
              <w:spacing w:after="20"/>
            </w:pPr>
            <w:r/>
            <w:r>
              <w:rPr>
                <w:rFonts w:ascii="Aptos" w:hAnsi="Aptos"/>
                <w:b w:val="0"/>
                <w:color w:val="2A3542"/>
                <w:sz w:val="13"/>
              </w:rPr>
              <w:t>Low</w:t>
            </w:r>
          </w:p>
        </w:tc>
      </w:tr>
      <w:tr>
        <w:tc>
          <w:tcPr>
            <w:tcW w:type="dxa" w:w="605"/>
            <w:vAlign w:val="center"/>
            <w:shd w:fill="F1F6F8"/>
          </w:tcPr>
          <w:p>
            <w:pPr>
              <w:spacing w:after="20"/>
            </w:pPr>
            <w:r/>
            <w:r>
              <w:rPr>
                <w:rFonts w:ascii="Aptos" w:hAnsi="Aptos"/>
                <w:b w:val="0"/>
                <w:color w:val="2A3542"/>
                <w:sz w:val="13"/>
              </w:rPr>
              <w:t>P-12</w:t>
            </w:r>
          </w:p>
        </w:tc>
        <w:tc>
          <w:tcPr>
            <w:tcW w:type="dxa" w:w="2376"/>
            <w:vAlign w:val="center"/>
            <w:shd w:fill="F1F6F8"/>
          </w:tcPr>
          <w:p>
            <w:pPr>
              <w:spacing w:after="20"/>
            </w:pPr>
            <w:r/>
            <w:r>
              <w:rPr>
                <w:rFonts w:ascii="Aptos" w:hAnsi="Aptos"/>
                <w:b w:val="0"/>
                <w:color w:val="2A3542"/>
                <w:sz w:val="13"/>
              </w:rPr>
              <w:t>Children’s or vulnerable persons’ data lacks enhanced safeguards</w:t>
            </w:r>
          </w:p>
        </w:tc>
        <w:tc>
          <w:tcPr>
            <w:tcW w:type="dxa" w:w="691"/>
            <w:vAlign w:val="center"/>
            <w:shd w:fill="F1F6F8"/>
          </w:tcPr>
          <w:p>
            <w:pPr>
              <w:spacing w:after="20"/>
            </w:pPr>
            <w:r/>
            <w:r>
              <w:rPr>
                <w:rFonts w:ascii="Aptos" w:hAnsi="Aptos"/>
                <w:b w:val="0"/>
                <w:color w:val="2A3542"/>
                <w:sz w:val="13"/>
              </w:rPr>
              <w:t>Low–Medium</w:t>
            </w:r>
          </w:p>
        </w:tc>
        <w:tc>
          <w:tcPr>
            <w:tcW w:type="dxa" w:w="792"/>
            <w:vAlign w:val="center"/>
            <w:shd w:fill="F1F6F8"/>
          </w:tcPr>
          <w:p>
            <w:pPr>
              <w:spacing w:after="20"/>
            </w:pPr>
            <w:r/>
            <w:r>
              <w:rPr>
                <w:rFonts w:ascii="Aptos" w:hAnsi="Aptos"/>
                <w:b w:val="0"/>
                <w:color w:val="2A3542"/>
                <w:sz w:val="13"/>
              </w:rPr>
              <w:t>High</w:t>
            </w:r>
          </w:p>
        </w:tc>
        <w:tc>
          <w:tcPr>
            <w:tcW w:type="dxa" w:w="864"/>
            <w:vAlign w:val="center"/>
            <w:shd w:fill="F1F6F8"/>
          </w:tcPr>
          <w:p>
            <w:pPr>
              <w:spacing w:after="20"/>
            </w:pPr>
            <w:r/>
            <w:r>
              <w:rPr>
                <w:rFonts w:ascii="Aptos" w:hAnsi="Aptos"/>
                <w:b w:val="0"/>
                <w:color w:val="2A3542"/>
                <w:sz w:val="13"/>
              </w:rPr>
              <w:t>High</w:t>
            </w:r>
          </w:p>
        </w:tc>
        <w:tc>
          <w:tcPr>
            <w:tcW w:type="dxa" w:w="4536"/>
            <w:vAlign w:val="center"/>
            <w:shd w:fill="F1F6F8"/>
          </w:tcPr>
          <w:p>
            <w:pPr>
              <w:spacing w:after="20"/>
            </w:pPr>
            <w:r/>
            <w:r>
              <w:rPr>
                <w:rFonts w:ascii="Aptos" w:hAnsi="Aptos"/>
                <w:b w:val="0"/>
                <w:color w:val="2A3542"/>
                <w:sz w:val="13"/>
              </w:rPr>
              <w:t>Determine applicable age-related duties; apply suitable consent/assurance and enhanced safeguards.</w:t>
            </w:r>
          </w:p>
        </w:tc>
        <w:tc>
          <w:tcPr>
            <w:tcW w:type="dxa" w:w="1224"/>
            <w:vAlign w:val="center"/>
            <w:shd w:fill="F1F6F8"/>
          </w:tcPr>
          <w:p>
            <w:pPr>
              <w:spacing w:after="20"/>
            </w:pPr>
            <w:r/>
            <w:r>
              <w:rPr>
                <w:rFonts w:ascii="Aptos" w:hAnsi="Aptos"/>
                <w:b w:val="0"/>
                <w:color w:val="2A3542"/>
                <w:sz w:val="13"/>
              </w:rPr>
              <w:t>Medium</w:t>
            </w:r>
          </w:p>
        </w:tc>
      </w:tr>
      <w:tr>
        <w:tc>
          <w:tcPr>
            <w:tcW w:type="dxa" w:w="605"/>
            <w:vAlign w:val="center"/>
          </w:tcPr>
          <w:p>
            <w:pPr>
              <w:spacing w:after="20"/>
            </w:pPr>
            <w:r/>
            <w:r>
              <w:rPr>
                <w:rFonts w:ascii="Aptos" w:hAnsi="Aptos"/>
                <w:b w:val="0"/>
                <w:color w:val="2A3542"/>
                <w:sz w:val="13"/>
              </w:rPr>
              <w:t>P-13</w:t>
            </w:r>
          </w:p>
        </w:tc>
        <w:tc>
          <w:tcPr>
            <w:tcW w:type="dxa" w:w="2376"/>
            <w:vAlign w:val="center"/>
          </w:tcPr>
          <w:p>
            <w:pPr>
              <w:spacing w:after="20"/>
            </w:pPr>
            <w:r/>
            <w:r>
              <w:rPr>
                <w:rFonts w:ascii="Aptos" w:hAnsi="Aptos"/>
                <w:b w:val="0"/>
                <w:color w:val="2A3542"/>
                <w:sz w:val="13"/>
              </w:rPr>
              <w:t>Cross-border transfers occur without documented safeguards</w:t>
            </w:r>
          </w:p>
        </w:tc>
        <w:tc>
          <w:tcPr>
            <w:tcW w:type="dxa" w:w="691"/>
            <w:vAlign w:val="center"/>
          </w:tcPr>
          <w:p>
            <w:pPr>
              <w:spacing w:after="20"/>
            </w:pPr>
            <w:r/>
            <w:r>
              <w:rPr>
                <w:rFonts w:ascii="Aptos" w:hAnsi="Aptos"/>
                <w:b w:val="0"/>
                <w:color w:val="2A3542"/>
                <w:sz w:val="13"/>
              </w:rPr>
              <w:t>Low</w:t>
            </w:r>
          </w:p>
        </w:tc>
        <w:tc>
          <w:tcPr>
            <w:tcW w:type="dxa" w:w="792"/>
            <w:vAlign w:val="center"/>
          </w:tcPr>
          <w:p>
            <w:pPr>
              <w:spacing w:after="20"/>
            </w:pPr>
            <w:r/>
            <w:r>
              <w:rPr>
                <w:rFonts w:ascii="Aptos" w:hAnsi="Aptos"/>
                <w:b w:val="0"/>
                <w:color w:val="2A3542"/>
                <w:sz w:val="13"/>
              </w:rPr>
              <w:t>High</w:t>
            </w:r>
          </w:p>
        </w:tc>
        <w:tc>
          <w:tcPr>
            <w:tcW w:type="dxa" w:w="864"/>
            <w:vAlign w:val="center"/>
          </w:tcPr>
          <w:p>
            <w:pPr>
              <w:spacing w:after="20"/>
            </w:pPr>
            <w:r/>
            <w:r>
              <w:rPr>
                <w:rFonts w:ascii="Aptos" w:hAnsi="Aptos"/>
                <w:b w:val="0"/>
                <w:color w:val="2A3542"/>
                <w:sz w:val="13"/>
              </w:rPr>
              <w:t>High</w:t>
            </w:r>
          </w:p>
        </w:tc>
        <w:tc>
          <w:tcPr>
            <w:tcW w:type="dxa" w:w="4536"/>
            <w:vAlign w:val="center"/>
          </w:tcPr>
          <w:p>
            <w:pPr>
              <w:spacing w:after="20"/>
            </w:pPr>
            <w:r/>
            <w:r>
              <w:rPr>
                <w:rFonts w:ascii="Aptos" w:hAnsi="Aptos"/>
                <w:b w:val="0"/>
                <w:color w:val="2A3542"/>
                <w:sz w:val="13"/>
              </w:rPr>
              <w:t>Map hosting and access locations; assess applicable transfer rules; use required safeguards and contracts.</w:t>
            </w:r>
          </w:p>
        </w:tc>
        <w:tc>
          <w:tcPr>
            <w:tcW w:type="dxa" w:w="1224"/>
            <w:vAlign w:val="center"/>
          </w:tcPr>
          <w:p>
            <w:pPr>
              <w:spacing w:after="20"/>
            </w:pPr>
            <w:r/>
            <w:r>
              <w:rPr>
                <w:rFonts w:ascii="Aptos" w:hAnsi="Aptos"/>
                <w:b w:val="0"/>
                <w:color w:val="2A3542"/>
                <w:sz w:val="13"/>
              </w:rPr>
              <w:t>Low</w:t>
            </w:r>
          </w:p>
        </w:tc>
      </w:tr>
      <w:tr>
        <w:tc>
          <w:tcPr>
            <w:tcW w:type="dxa" w:w="605"/>
            <w:vAlign w:val="center"/>
            <w:shd w:fill="F1F6F8"/>
          </w:tcPr>
          <w:p>
            <w:pPr>
              <w:spacing w:after="20"/>
            </w:pPr>
            <w:r/>
            <w:r>
              <w:rPr>
                <w:rFonts w:ascii="Aptos" w:hAnsi="Aptos"/>
                <w:b w:val="0"/>
                <w:color w:val="2A3542"/>
                <w:sz w:val="13"/>
              </w:rPr>
              <w:t>P-14</w:t>
            </w:r>
          </w:p>
        </w:tc>
        <w:tc>
          <w:tcPr>
            <w:tcW w:type="dxa" w:w="2376"/>
            <w:vAlign w:val="center"/>
            <w:shd w:fill="F1F6F8"/>
          </w:tcPr>
          <w:p>
            <w:pPr>
              <w:spacing w:after="20"/>
            </w:pPr>
            <w:r/>
            <w:r>
              <w:rPr>
                <w:rFonts w:ascii="Aptos" w:hAnsi="Aptos"/>
                <w:b w:val="0"/>
                <w:color w:val="2A3542"/>
                <w:sz w:val="13"/>
              </w:rPr>
              <w:t>Privacy grievance handling is unclear or ineffective</w:t>
            </w:r>
          </w:p>
        </w:tc>
        <w:tc>
          <w:tcPr>
            <w:tcW w:type="dxa" w:w="691"/>
            <w:vAlign w:val="center"/>
            <w:shd w:fill="F1F6F8"/>
          </w:tcPr>
          <w:p>
            <w:pPr>
              <w:spacing w:after="20"/>
            </w:pPr>
            <w:r/>
            <w:r>
              <w:rPr>
                <w:rFonts w:ascii="Aptos" w:hAnsi="Aptos"/>
                <w:b w:val="0"/>
                <w:color w:val="2A3542"/>
                <w:sz w:val="13"/>
              </w:rPr>
              <w:t>Medium</w:t>
            </w:r>
          </w:p>
        </w:tc>
        <w:tc>
          <w:tcPr>
            <w:tcW w:type="dxa" w:w="792"/>
            <w:vAlign w:val="center"/>
            <w:shd w:fill="F1F6F8"/>
          </w:tcPr>
          <w:p>
            <w:pPr>
              <w:spacing w:after="20"/>
            </w:pPr>
            <w:r/>
            <w:r>
              <w:rPr>
                <w:rFonts w:ascii="Aptos" w:hAnsi="Aptos"/>
                <w:b w:val="0"/>
                <w:color w:val="2A3542"/>
                <w:sz w:val="13"/>
              </w:rPr>
              <w:t>Medium</w:t>
            </w:r>
          </w:p>
        </w:tc>
        <w:tc>
          <w:tcPr>
            <w:tcW w:type="dxa" w:w="864"/>
            <w:vAlign w:val="center"/>
            <w:shd w:fill="F1F6F8"/>
          </w:tcPr>
          <w:p>
            <w:pPr>
              <w:spacing w:after="20"/>
            </w:pPr>
            <w:r/>
            <w:r>
              <w:rPr>
                <w:rFonts w:ascii="Aptos" w:hAnsi="Aptos"/>
                <w:b w:val="0"/>
                <w:color w:val="2A3542"/>
                <w:sz w:val="13"/>
              </w:rPr>
              <w:t>Medium</w:t>
            </w:r>
          </w:p>
        </w:tc>
        <w:tc>
          <w:tcPr>
            <w:tcW w:type="dxa" w:w="4536"/>
            <w:vAlign w:val="center"/>
            <w:shd w:fill="F1F6F8"/>
          </w:tcPr>
          <w:p>
            <w:pPr>
              <w:spacing w:after="20"/>
            </w:pPr>
            <w:r/>
            <w:r>
              <w:rPr>
                <w:rFonts w:ascii="Aptos" w:hAnsi="Aptos"/>
                <w:b w:val="0"/>
                <w:color w:val="2A3542"/>
                <w:sz w:val="13"/>
              </w:rPr>
              <w:t>Publish privacy grievance contact and timelines; track and resolve complaints.</w:t>
            </w:r>
          </w:p>
        </w:tc>
        <w:tc>
          <w:tcPr>
            <w:tcW w:type="dxa" w:w="1224"/>
            <w:vAlign w:val="center"/>
            <w:shd w:fill="F1F6F8"/>
          </w:tcPr>
          <w:p>
            <w:pPr>
              <w:spacing w:after="20"/>
            </w:pPr>
            <w:r/>
            <w:r>
              <w:rPr>
                <w:rFonts w:ascii="Aptos" w:hAnsi="Aptos"/>
                <w:b w:val="0"/>
                <w:color w:val="2A3542"/>
                <w:sz w:val="13"/>
              </w:rPr>
              <w:t>Low</w:t>
            </w:r>
          </w:p>
        </w:tc>
      </w:tr>
      <w:tr>
        <w:tc>
          <w:tcPr>
            <w:tcW w:type="dxa" w:w="605"/>
            <w:vAlign w:val="center"/>
          </w:tcPr>
          <w:p>
            <w:pPr>
              <w:spacing w:after="20"/>
            </w:pPr>
            <w:r/>
            <w:r>
              <w:rPr>
                <w:rFonts w:ascii="Aptos" w:hAnsi="Aptos"/>
                <w:b w:val="0"/>
                <w:color w:val="2A3542"/>
                <w:sz w:val="13"/>
              </w:rPr>
              <w:t>P-15</w:t>
            </w:r>
          </w:p>
        </w:tc>
        <w:tc>
          <w:tcPr>
            <w:tcW w:type="dxa" w:w="2376"/>
            <w:vAlign w:val="center"/>
          </w:tcPr>
          <w:p>
            <w:pPr>
              <w:spacing w:after="20"/>
            </w:pPr>
            <w:r/>
            <w:r>
              <w:rPr>
                <w:rFonts w:ascii="Aptos" w:hAnsi="Aptos"/>
                <w:b w:val="0"/>
                <w:color w:val="2A3542"/>
                <w:sz w:val="13"/>
              </w:rPr>
              <w:t>Consent and access events are insufficiently logged or auditable</w:t>
            </w:r>
          </w:p>
        </w:tc>
        <w:tc>
          <w:tcPr>
            <w:tcW w:type="dxa" w:w="691"/>
            <w:vAlign w:val="center"/>
          </w:tcPr>
          <w:p>
            <w:pPr>
              <w:spacing w:after="20"/>
            </w:pPr>
            <w:r/>
            <w:r>
              <w:rPr>
                <w:rFonts w:ascii="Aptos" w:hAnsi="Aptos"/>
                <w:b w:val="0"/>
                <w:color w:val="2A3542"/>
                <w:sz w:val="13"/>
              </w:rPr>
              <w:t>Medium</w:t>
            </w:r>
          </w:p>
        </w:tc>
        <w:tc>
          <w:tcPr>
            <w:tcW w:type="dxa" w:w="792"/>
            <w:vAlign w:val="center"/>
          </w:tcPr>
          <w:p>
            <w:pPr>
              <w:spacing w:after="20"/>
            </w:pPr>
            <w:r/>
            <w:r>
              <w:rPr>
                <w:rFonts w:ascii="Aptos" w:hAnsi="Aptos"/>
                <w:b w:val="0"/>
                <w:color w:val="2A3542"/>
                <w:sz w:val="13"/>
              </w:rPr>
              <w:t>Medium</w:t>
            </w:r>
          </w:p>
        </w:tc>
        <w:tc>
          <w:tcPr>
            <w:tcW w:type="dxa" w:w="864"/>
            <w:vAlign w:val="center"/>
          </w:tcPr>
          <w:p>
            <w:pPr>
              <w:spacing w:after="20"/>
            </w:pPr>
            <w:r/>
            <w:r>
              <w:rPr>
                <w:rFonts w:ascii="Aptos" w:hAnsi="Aptos"/>
                <w:b w:val="0"/>
                <w:color w:val="2A3542"/>
                <w:sz w:val="13"/>
              </w:rPr>
              <w:t>Medium</w:t>
            </w:r>
          </w:p>
        </w:tc>
        <w:tc>
          <w:tcPr>
            <w:tcW w:type="dxa" w:w="4536"/>
            <w:vAlign w:val="center"/>
          </w:tcPr>
          <w:p>
            <w:pPr>
              <w:spacing w:after="20"/>
            </w:pPr>
            <w:r/>
            <w:r>
              <w:rPr>
                <w:rFonts w:ascii="Aptos" w:hAnsi="Aptos"/>
                <w:b w:val="0"/>
                <w:color w:val="2A3542"/>
                <w:sz w:val="13"/>
              </w:rPr>
              <w:t>Maintain tamper-resistant, access-controlled event records with defined purpose and retention.</w:t>
            </w:r>
          </w:p>
        </w:tc>
        <w:tc>
          <w:tcPr>
            <w:tcW w:type="dxa" w:w="1224"/>
            <w:vAlign w:val="center"/>
          </w:tcPr>
          <w:p>
            <w:pPr>
              <w:spacing w:after="20"/>
            </w:pPr>
            <w:r/>
            <w:r>
              <w:rPr>
                <w:rFonts w:ascii="Aptos" w:hAnsi="Aptos"/>
                <w:b w:val="0"/>
                <w:color w:val="2A3542"/>
                <w:sz w:val="13"/>
              </w:rPr>
              <w:t>Low</w:t>
            </w:r>
          </w:p>
        </w:tc>
      </w:tr>
    </w:tbl>
    <w:p>
      <w:pPr>
        <w:spacing w:after="20"/>
      </w:pPr>
    </w:p>
    <w:p>
      <w:r>
        <w:t>Risk profile: the register contains 8 High and 7 Medium initial risks. No Very High overall risk rating is assigned, although P-04 has Very High potential impact. Residual ratings are not a claim that controls already exist; they are conditional targets for sign-off.</w:t>
      </w:r>
    </w:p>
    <w:p>
      <w:pPr>
        <w:pStyle w:val="Heading1"/>
      </w:pPr>
      <w:r>
        <w:t>8. Data Principal Rights Assessment</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872"/>
            <w:vAlign w:val="center"/>
            <w:shd w:fill="12304A"/>
          </w:tcPr>
          <w:p>
            <w:pPr>
              <w:spacing w:after="20"/>
            </w:pPr>
            <w:r/>
            <w:r>
              <w:rPr>
                <w:rFonts w:ascii="Aptos" w:hAnsi="Aptos"/>
                <w:b/>
                <w:color w:val="FFFFFF"/>
                <w:sz w:val="15"/>
              </w:rPr>
              <w:t>Right / capability</w:t>
            </w:r>
          </w:p>
        </w:tc>
        <w:tc>
          <w:tcPr>
            <w:tcW w:type="dxa" w:w="3312"/>
            <w:vAlign w:val="center"/>
            <w:shd w:fill="12304A"/>
          </w:tcPr>
          <w:p>
            <w:pPr>
              <w:spacing w:after="20"/>
            </w:pPr>
            <w:r/>
            <w:r>
              <w:rPr>
                <w:rFonts w:ascii="Aptos" w:hAnsi="Aptos"/>
                <w:b/>
                <w:color w:val="FFFFFF"/>
                <w:sz w:val="15"/>
              </w:rPr>
              <w:t>Evidence-based current view</w:t>
            </w:r>
          </w:p>
        </w:tc>
        <w:tc>
          <w:tcPr>
            <w:tcW w:type="dxa" w:w="5760"/>
            <w:vAlign w:val="center"/>
            <w:shd w:fill="12304A"/>
          </w:tcPr>
          <w:p>
            <w:pPr>
              <w:spacing w:after="20"/>
            </w:pPr>
            <w:r/>
            <w:r>
              <w:rPr>
                <w:rFonts w:ascii="Aptos" w:hAnsi="Aptos"/>
                <w:b/>
                <w:color w:val="FFFFFF"/>
                <w:sz w:val="15"/>
              </w:rPr>
              <w:t>Gap / recommendation</w:t>
            </w:r>
          </w:p>
        </w:tc>
      </w:tr>
      <w:tr>
        <w:tc>
          <w:tcPr>
            <w:tcW w:type="dxa" w:w="1872"/>
            <w:vAlign w:val="center"/>
          </w:tcPr>
          <w:p>
            <w:pPr>
              <w:spacing w:after="20"/>
            </w:pPr>
            <w:r/>
            <w:r>
              <w:rPr>
                <w:rFonts w:ascii="Aptos" w:hAnsi="Aptos"/>
                <w:b w:val="0"/>
                <w:color w:val="2A3542"/>
                <w:sz w:val="15"/>
              </w:rPr>
              <w:t>Access</w:t>
            </w:r>
          </w:p>
        </w:tc>
        <w:tc>
          <w:tcPr>
            <w:tcW w:type="dxa" w:w="3312"/>
            <w:vAlign w:val="center"/>
          </w:tcPr>
          <w:p>
            <w:pPr>
              <w:spacing w:after="20"/>
            </w:pPr>
            <w:r/>
            <w:r>
              <w:rPr>
                <w:rFonts w:ascii="Aptos" w:hAnsi="Aptos"/>
                <w:b w:val="0"/>
                <w:color w:val="2A3542"/>
                <w:sz w:val="15"/>
              </w:rPr>
              <w:t>Partial: citizens can view documents.</w:t>
            </w:r>
          </w:p>
        </w:tc>
        <w:tc>
          <w:tcPr>
            <w:tcW w:type="dxa" w:w="5760"/>
            <w:vAlign w:val="center"/>
          </w:tcPr>
          <w:p>
            <w:pPr>
              <w:spacing w:after="20"/>
            </w:pPr>
            <w:r/>
            <w:r>
              <w:rPr>
                <w:rFonts w:ascii="Aptos" w:hAnsi="Aptos"/>
                <w:b w:val="0"/>
                <w:color w:val="2A3542"/>
                <w:sz w:val="15"/>
              </w:rPr>
              <w:t>Provide a consolidated view of personal data and sharing history, subject to applicable law.</w:t>
            </w:r>
          </w:p>
        </w:tc>
      </w:tr>
      <w:tr>
        <w:tc>
          <w:tcPr>
            <w:tcW w:type="dxa" w:w="1872"/>
            <w:vAlign w:val="center"/>
            <w:shd w:fill="F1F6F8"/>
          </w:tcPr>
          <w:p>
            <w:pPr>
              <w:spacing w:after="20"/>
            </w:pPr>
            <w:r/>
            <w:r>
              <w:rPr>
                <w:rFonts w:ascii="Aptos" w:hAnsi="Aptos"/>
                <w:b w:val="0"/>
                <w:color w:val="2A3542"/>
                <w:sz w:val="15"/>
              </w:rPr>
              <w:t>Correction</w:t>
            </w:r>
          </w:p>
        </w:tc>
        <w:tc>
          <w:tcPr>
            <w:tcW w:type="dxa" w:w="3312"/>
            <w:vAlign w:val="center"/>
            <w:shd w:fill="F1F6F8"/>
          </w:tcPr>
          <w:p>
            <w:pPr>
              <w:spacing w:after="20"/>
            </w:pPr>
            <w:r/>
            <w:r>
              <w:rPr>
                <w:rFonts w:ascii="Aptos" w:hAnsi="Aptos"/>
                <w:b w:val="0"/>
                <w:color w:val="2A3542"/>
                <w:sz w:val="15"/>
              </w:rPr>
              <w:t>Partial; may depend on issuer.</w:t>
            </w:r>
          </w:p>
        </w:tc>
        <w:tc>
          <w:tcPr>
            <w:tcW w:type="dxa" w:w="5760"/>
            <w:vAlign w:val="center"/>
            <w:shd w:fill="F1F6F8"/>
          </w:tcPr>
          <w:p>
            <w:pPr>
              <w:spacing w:after="20"/>
            </w:pPr>
            <w:r/>
            <w:r>
              <w:rPr>
                <w:rFonts w:ascii="Aptos" w:hAnsi="Aptos"/>
                <w:b w:val="0"/>
                <w:color w:val="2A3542"/>
                <w:sz w:val="15"/>
              </w:rPr>
              <w:t>Offer a clear correction request route and status tracking, with issuer hand-off where needed.</w:t>
            </w:r>
          </w:p>
        </w:tc>
      </w:tr>
      <w:tr>
        <w:tc>
          <w:tcPr>
            <w:tcW w:type="dxa" w:w="1872"/>
            <w:vAlign w:val="center"/>
          </w:tcPr>
          <w:p>
            <w:pPr>
              <w:spacing w:after="20"/>
            </w:pPr>
            <w:r/>
            <w:r>
              <w:rPr>
                <w:rFonts w:ascii="Aptos" w:hAnsi="Aptos"/>
                <w:b w:val="0"/>
                <w:color w:val="2A3542"/>
                <w:sz w:val="15"/>
              </w:rPr>
              <w:t>Erasure</w:t>
            </w:r>
          </w:p>
        </w:tc>
        <w:tc>
          <w:tcPr>
            <w:tcW w:type="dxa" w:w="3312"/>
            <w:vAlign w:val="center"/>
          </w:tcPr>
          <w:p>
            <w:pPr>
              <w:spacing w:after="20"/>
            </w:pPr>
            <w:r/>
            <w:r>
              <w:rPr>
                <w:rFonts w:ascii="Aptos" w:hAnsi="Aptos"/>
                <w:b w:val="0"/>
                <w:color w:val="2A3542"/>
                <w:sz w:val="15"/>
              </w:rPr>
              <w:t>Not verified.</w:t>
            </w:r>
          </w:p>
        </w:tc>
        <w:tc>
          <w:tcPr>
            <w:tcW w:type="dxa" w:w="5760"/>
            <w:vAlign w:val="center"/>
          </w:tcPr>
          <w:p>
            <w:pPr>
              <w:spacing w:after="20"/>
            </w:pPr>
            <w:r/>
            <w:r>
              <w:rPr>
                <w:rFonts w:ascii="Aptos" w:hAnsi="Aptos"/>
                <w:b w:val="0"/>
                <w:color w:val="2A3542"/>
                <w:sz w:val="15"/>
              </w:rPr>
              <w:t>Document eligibility, process, exceptions, and completion evidence; provide a usable request workflow.</w:t>
            </w:r>
          </w:p>
        </w:tc>
      </w:tr>
      <w:tr>
        <w:tc>
          <w:tcPr>
            <w:tcW w:type="dxa" w:w="1872"/>
            <w:vAlign w:val="center"/>
            <w:shd w:fill="F1F6F8"/>
          </w:tcPr>
          <w:p>
            <w:pPr>
              <w:spacing w:after="20"/>
            </w:pPr>
            <w:r/>
            <w:r>
              <w:rPr>
                <w:rFonts w:ascii="Aptos" w:hAnsi="Aptos"/>
                <w:b w:val="0"/>
                <w:color w:val="2A3542"/>
                <w:sz w:val="15"/>
              </w:rPr>
              <w:t>Withdraw consent</w:t>
            </w:r>
          </w:p>
        </w:tc>
        <w:tc>
          <w:tcPr>
            <w:tcW w:type="dxa" w:w="3312"/>
            <w:vAlign w:val="center"/>
            <w:shd w:fill="F1F6F8"/>
          </w:tcPr>
          <w:p>
            <w:pPr>
              <w:spacing w:after="20"/>
            </w:pPr>
            <w:r/>
            <w:r>
              <w:rPr>
                <w:rFonts w:ascii="Aptos" w:hAnsi="Aptos"/>
                <w:b w:val="0"/>
                <w:color w:val="2A3542"/>
                <w:sz w:val="15"/>
              </w:rPr>
              <w:t>Consent-based access is indicated; revocation not verified.</w:t>
            </w:r>
          </w:p>
        </w:tc>
        <w:tc>
          <w:tcPr>
            <w:tcW w:type="dxa" w:w="5760"/>
            <w:vAlign w:val="center"/>
            <w:shd w:fill="F1F6F8"/>
          </w:tcPr>
          <w:p>
            <w:pPr>
              <w:spacing w:after="20"/>
            </w:pPr>
            <w:r/>
            <w:r>
              <w:rPr>
                <w:rFonts w:ascii="Aptos" w:hAnsi="Aptos"/>
                <w:b w:val="0"/>
                <w:color w:val="2A3542"/>
                <w:sz w:val="15"/>
              </w:rPr>
              <w:t>Provide accessible revocation and confirm downstream propagation.</w:t>
            </w:r>
          </w:p>
        </w:tc>
      </w:tr>
      <w:tr>
        <w:tc>
          <w:tcPr>
            <w:tcW w:type="dxa" w:w="1872"/>
            <w:vAlign w:val="center"/>
          </w:tcPr>
          <w:p>
            <w:pPr>
              <w:spacing w:after="20"/>
            </w:pPr>
            <w:r/>
            <w:r>
              <w:rPr>
                <w:rFonts w:ascii="Aptos" w:hAnsi="Aptos"/>
                <w:b w:val="0"/>
                <w:color w:val="2A3542"/>
                <w:sz w:val="15"/>
              </w:rPr>
              <w:t>Grievance redressal</w:t>
            </w:r>
          </w:p>
        </w:tc>
        <w:tc>
          <w:tcPr>
            <w:tcW w:type="dxa" w:w="3312"/>
            <w:vAlign w:val="center"/>
          </w:tcPr>
          <w:p>
            <w:pPr>
              <w:spacing w:after="20"/>
            </w:pPr>
            <w:r/>
            <w:r>
              <w:rPr>
                <w:rFonts w:ascii="Aptos" w:hAnsi="Aptos"/>
                <w:b w:val="0"/>
                <w:color w:val="2A3542"/>
                <w:sz w:val="15"/>
              </w:rPr>
              <w:t>Not verified in this assessment.</w:t>
            </w:r>
          </w:p>
        </w:tc>
        <w:tc>
          <w:tcPr>
            <w:tcW w:type="dxa" w:w="5760"/>
            <w:vAlign w:val="center"/>
          </w:tcPr>
          <w:p>
            <w:pPr>
              <w:spacing w:after="20"/>
            </w:pPr>
            <w:r/>
            <w:r>
              <w:rPr>
                <w:rFonts w:ascii="Aptos" w:hAnsi="Aptos"/>
                <w:b w:val="0"/>
                <w:color w:val="2A3542"/>
                <w:sz w:val="15"/>
              </w:rPr>
              <w:t>Publish contact, escalation path, and applicable response timelines.</w:t>
            </w:r>
          </w:p>
        </w:tc>
      </w:tr>
      <w:tr>
        <w:tc>
          <w:tcPr>
            <w:tcW w:type="dxa" w:w="1872"/>
            <w:vAlign w:val="center"/>
            <w:shd w:fill="F1F6F8"/>
          </w:tcPr>
          <w:p>
            <w:pPr>
              <w:spacing w:after="20"/>
            </w:pPr>
            <w:r/>
            <w:r>
              <w:rPr>
                <w:rFonts w:ascii="Aptos" w:hAnsi="Aptos"/>
                <w:b w:val="0"/>
                <w:color w:val="2A3542"/>
                <w:sz w:val="15"/>
              </w:rPr>
              <w:t>Nomination</w:t>
            </w:r>
          </w:p>
        </w:tc>
        <w:tc>
          <w:tcPr>
            <w:tcW w:type="dxa" w:w="3312"/>
            <w:vAlign w:val="center"/>
            <w:shd w:fill="F1F6F8"/>
          </w:tcPr>
          <w:p>
            <w:pPr>
              <w:spacing w:after="20"/>
            </w:pPr>
            <w:r/>
            <w:r>
              <w:rPr>
                <w:rFonts w:ascii="Aptos" w:hAnsi="Aptos"/>
                <w:b w:val="0"/>
                <w:color w:val="2A3542"/>
                <w:sz w:val="15"/>
              </w:rPr>
              <w:t>Not verified.</w:t>
            </w:r>
          </w:p>
        </w:tc>
        <w:tc>
          <w:tcPr>
            <w:tcW w:type="dxa" w:w="5760"/>
            <w:vAlign w:val="center"/>
            <w:shd w:fill="F1F6F8"/>
          </w:tcPr>
          <w:p>
            <w:pPr>
              <w:spacing w:after="20"/>
            </w:pPr>
            <w:r/>
            <w:r>
              <w:rPr>
                <w:rFonts w:ascii="Aptos" w:hAnsi="Aptos"/>
                <w:b w:val="0"/>
                <w:color w:val="2A3542"/>
                <w:sz w:val="15"/>
              </w:rPr>
              <w:t>Confirm applicable requirements and implement a nomination workflow if required.</w:t>
            </w:r>
          </w:p>
        </w:tc>
      </w:tr>
      <w:tr>
        <w:tc>
          <w:tcPr>
            <w:tcW w:type="dxa" w:w="1872"/>
            <w:vAlign w:val="center"/>
          </w:tcPr>
          <w:p>
            <w:pPr>
              <w:spacing w:after="20"/>
            </w:pPr>
            <w:r/>
            <w:r>
              <w:rPr>
                <w:rFonts w:ascii="Aptos" w:hAnsi="Aptos"/>
                <w:b w:val="0"/>
                <w:color w:val="2A3542"/>
                <w:sz w:val="15"/>
              </w:rPr>
              <w:t>Know about sharing</w:t>
            </w:r>
          </w:p>
        </w:tc>
        <w:tc>
          <w:tcPr>
            <w:tcW w:type="dxa" w:w="3312"/>
            <w:vAlign w:val="center"/>
          </w:tcPr>
          <w:p>
            <w:pPr>
              <w:spacing w:after="20"/>
            </w:pPr>
            <w:r/>
            <w:r>
              <w:rPr>
                <w:rFonts w:ascii="Aptos" w:hAnsi="Aptos"/>
                <w:b w:val="0"/>
                <w:color w:val="2A3542"/>
                <w:sz w:val="15"/>
              </w:rPr>
              <w:t>Partial.</w:t>
            </w:r>
          </w:p>
        </w:tc>
        <w:tc>
          <w:tcPr>
            <w:tcW w:type="dxa" w:w="5760"/>
            <w:vAlign w:val="center"/>
          </w:tcPr>
          <w:p>
            <w:pPr>
              <w:spacing w:after="20"/>
            </w:pPr>
            <w:r/>
            <w:r>
              <w:rPr>
                <w:rFonts w:ascii="Aptos" w:hAnsi="Aptos"/>
                <w:b w:val="0"/>
                <w:color w:val="2A3542"/>
                <w:sz w:val="15"/>
              </w:rPr>
              <w:t>Provide a record of what was shared, with whom, when, and under which consent, where appropriate.</w:t>
            </w:r>
          </w:p>
        </w:tc>
      </w:tr>
    </w:tbl>
    <w:p>
      <w:pPr>
        <w:spacing w:after="20"/>
      </w:pPr>
    </w:p>
    <w:p>
      <w:r>
        <w:t>Overall assessment: support for rights appears partial based on the available evidence. Absence of verification is not proof that a mechanism does not exist.</w:t>
      </w:r>
    </w:p>
    <w:p>
      <w:pPr>
        <w:pStyle w:val="Heading1"/>
      </w:pPr>
      <w:r>
        <w:t>9. Mitigation Strategies</w:t>
      </w:r>
    </w:p>
    <w:p>
      <w:pPr>
        <w:pStyle w:val="Heading2"/>
      </w:pPr>
      <w:r>
        <w:t>9.1 Technical controls</w:t>
      </w:r>
    </w:p>
    <w:p>
      <w:pPr>
        <w:pStyle w:val="ListBullet"/>
        <w:spacing w:after="40"/>
      </w:pPr>
      <w:r>
        <w:t>Minimize Aadhaar/VID use and retention; avoid storing the identifier where a suitable derived token can serve the purpose.</w:t>
      </w:r>
    </w:p>
    <w:p>
      <w:pPr>
        <w:pStyle w:val="ListBullet"/>
        <w:spacing w:after="40"/>
      </w:pPr>
      <w:r>
        <w:t>Use granular consent records with a traceable, tamper-resistant audit trail; support withdrawal and downstream propagation.</w:t>
      </w:r>
    </w:p>
    <w:p>
      <w:pPr>
        <w:pStyle w:val="ListBullet"/>
        <w:spacing w:after="40"/>
      </w:pPr>
      <w:r>
        <w:t>Validate signed tokens server-side (including issuer, audience, expiry, and unique token identifier); implement revocation and replay protections.</w:t>
      </w:r>
    </w:p>
    <w:p>
      <w:pPr>
        <w:pStyle w:val="ListBullet"/>
        <w:spacing w:after="40"/>
      </w:pPr>
      <w:r>
        <w:t>Apply OTP/TOTP rate limits, retry limits, and replay protections; verify behavior through controlled testing.</w:t>
      </w:r>
    </w:p>
    <w:p>
      <w:pPr>
        <w:pStyle w:val="ListBullet"/>
        <w:spacing w:after="40"/>
      </w:pPr>
      <w:r>
        <w:t>Redact identifiers from URLs, logs, telemetry, and error messages.</w:t>
      </w:r>
    </w:p>
    <w:p>
      <w:pPr>
        <w:pStyle w:val="ListBullet"/>
        <w:spacing w:after="40"/>
      </w:pPr>
      <w:r>
        <w:t>Maintain strict CORS allowlists; apply CSP and SRI to third-party resources where feasible.</w:t>
      </w:r>
    </w:p>
    <w:p>
      <w:pPr>
        <w:pStyle w:val="ListBullet"/>
        <w:spacing w:after="40"/>
      </w:pPr>
      <w:r>
        <w:t>Set purpose-based retention schedules and automate deletion; pseudonymize metadata and restrict linkage.</w:t>
      </w:r>
    </w:p>
    <w:p>
      <w:pPr>
        <w:pStyle w:val="ListBullet"/>
        <w:spacing w:after="40"/>
      </w:pPr>
      <w:r>
        <w:t>Document encryption in transit and at rest, key management, and access controls; verify the actual implementation.</w:t>
      </w:r>
    </w:p>
    <w:p>
      <w:pPr>
        <w:pStyle w:val="Heading2"/>
      </w:pPr>
      <w:r>
        <w:t>9.2 Organizational controls</w:t>
      </w:r>
    </w:p>
    <w:p>
      <w:pPr>
        <w:pStyle w:val="ListBullet"/>
        <w:spacing w:after="40"/>
      </w:pPr>
      <w:r>
        <w:t>Assign a privacy lead and define accountable owners for each processing activity.</w:t>
      </w:r>
    </w:p>
    <w:p>
      <w:pPr>
        <w:pStyle w:val="ListBullet"/>
        <w:spacing w:after="40"/>
      </w:pPr>
      <w:r>
        <w:t>Embed privacy-by-design/default reviews into feature delivery and conduct focused PIAs for material changes.</w:t>
      </w:r>
    </w:p>
    <w:p>
      <w:pPr>
        <w:pStyle w:val="ListBullet"/>
        <w:spacing w:after="40"/>
      </w:pPr>
      <w:r>
        <w:t>Train staff and participating issuers on privacy, security, and incident handling.</w:t>
      </w:r>
    </w:p>
    <w:p>
      <w:pPr>
        <w:pStyle w:val="ListBullet"/>
        <w:spacing w:after="40"/>
      </w:pPr>
      <w:r>
        <w:t>Tier issuer/requester risk and conduct periodic assurance reviews.</w:t>
      </w:r>
    </w:p>
    <w:p>
      <w:pPr>
        <w:pStyle w:val="ListBullet"/>
        <w:spacing w:after="40"/>
      </w:pPr>
      <w:r>
        <w:t>Exercise incident response and privacy-breach notification processes.</w:t>
      </w:r>
    </w:p>
    <w:p>
      <w:pPr>
        <w:pStyle w:val="Heading2"/>
      </w:pPr>
      <w:r>
        <w:t>9.3 Contractual controls</w:t>
      </w:r>
    </w:p>
    <w:p>
      <w:pPr>
        <w:pStyle w:val="ListBullet"/>
        <w:spacing w:after="40"/>
      </w:pPr>
      <w:r>
        <w:t>Maintain clear issuer terms addressing consent, security, PKI, incident notification, cooperation, audit rights, and appropriate consequences.</w:t>
      </w:r>
    </w:p>
    <w:p>
      <w:pPr>
        <w:pStyle w:val="ListBullet"/>
        <w:spacing w:after="40"/>
      </w:pPr>
      <w:r>
        <w:t>Require requesters to use data only for stated purposes and prohibit unauthorized secondary use.</w:t>
      </w:r>
    </w:p>
    <w:p>
      <w:pPr>
        <w:pStyle w:val="ListBullet"/>
        <w:spacing w:after="40"/>
      </w:pPr>
      <w:r>
        <w:t>Use appropriate data-processing and security terms with processors and service providers.</w:t>
      </w:r>
    </w:p>
    <w:p>
      <w:pPr>
        <w:pStyle w:val="ListBullet"/>
        <w:spacing w:after="40"/>
      </w:pPr>
      <w:r>
        <w:t>Document cross-border transfer responsibilities and safeguards where relevant.</w:t>
      </w:r>
    </w:p>
    <w:p>
      <w:pPr>
        <w:pStyle w:val="Heading2"/>
      </w:pPr>
      <w:r>
        <w:t>9.4 Transparency and user experience</w:t>
      </w:r>
    </w:p>
    <w:p>
      <w:pPr>
        <w:pStyle w:val="ListBullet"/>
        <w:spacing w:after="40"/>
      </w:pPr>
      <w:r>
        <w:t>Provide a plain-language privacy notice describing purposes, data categories, recipients, retention, and user choices.</w:t>
      </w:r>
    </w:p>
    <w:p>
      <w:pPr>
        <w:pStyle w:val="ListBullet"/>
        <w:spacing w:after="40"/>
      </w:pPr>
      <w:r>
        <w:t>Issue understandable consent receipts and provide a sharing-history view.</w:t>
      </w:r>
    </w:p>
    <w:p>
      <w:pPr>
        <w:pStyle w:val="ListBullet"/>
        <w:spacing w:after="40"/>
      </w:pPr>
      <w:r>
        <w:t>Make withdrawal, grievance, and rights-request routes easy to find and use.</w:t>
      </w:r>
    </w:p>
    <w:p>
      <w:pPr>
        <w:pStyle w:val="ListBullet"/>
        <w:spacing w:after="40"/>
      </w:pPr>
      <w:r>
        <w:t>Maintain a dated change log for material privacy-notice changes.</w:t>
      </w:r>
    </w:p>
    <w:p>
      <w:pPr>
        <w:pStyle w:val="Heading1"/>
      </w:pPr>
      <w:r>
        <w:t>10. Residual Risk and Sign-Off</w:t>
      </w:r>
    </w:p>
    <w:p>
      <w:r>
        <w:t>Residual risk is expected to reduce only after controls are implemented and their operation is evidenced. Highest-priority residual concerns are issuer-side exposure, propagation of consent withdrawal, and effective safeguards for children or vulnerable persons. Risk owners should document acceptance or further treatment of any remaining Medium risk.</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880"/>
            <w:vAlign w:val="center"/>
            <w:shd w:fill="12304A"/>
          </w:tcPr>
          <w:p>
            <w:pPr>
              <w:spacing w:after="20"/>
            </w:pPr>
            <w:r/>
            <w:r>
              <w:rPr>
                <w:rFonts w:ascii="Aptos" w:hAnsi="Aptos"/>
                <w:b/>
                <w:color w:val="FFFFFF"/>
                <w:sz w:val="16"/>
              </w:rPr>
              <w:t>Rating</w:t>
            </w:r>
          </w:p>
        </w:tc>
        <w:tc>
          <w:tcPr>
            <w:tcW w:type="dxa" w:w="2448"/>
            <w:vAlign w:val="center"/>
            <w:shd w:fill="12304A"/>
          </w:tcPr>
          <w:p>
            <w:pPr>
              <w:spacing w:after="20"/>
            </w:pPr>
            <w:r/>
            <w:r>
              <w:rPr>
                <w:rFonts w:ascii="Aptos" w:hAnsi="Aptos"/>
                <w:b/>
                <w:color w:val="FFFFFF"/>
                <w:sz w:val="16"/>
              </w:rPr>
              <w:t>Initial risk count</w:t>
            </w:r>
          </w:p>
        </w:tc>
        <w:tc>
          <w:tcPr>
            <w:tcW w:type="dxa" w:w="5616"/>
            <w:vAlign w:val="center"/>
            <w:shd w:fill="12304A"/>
          </w:tcPr>
          <w:p>
            <w:pPr>
              <w:spacing w:after="20"/>
            </w:pPr>
            <w:r/>
            <w:r>
              <w:rPr>
                <w:rFonts w:ascii="Aptos" w:hAnsi="Aptos"/>
                <w:b/>
                <w:color w:val="FFFFFF"/>
                <w:sz w:val="16"/>
              </w:rPr>
              <w:t>Post-mitigation target</w:t>
            </w:r>
          </w:p>
        </w:tc>
      </w:tr>
      <w:tr>
        <w:tc>
          <w:tcPr>
            <w:tcW w:type="dxa" w:w="2880"/>
            <w:vAlign w:val="center"/>
          </w:tcPr>
          <w:p>
            <w:pPr>
              <w:spacing w:after="20"/>
            </w:pPr>
            <w:r/>
            <w:r>
              <w:rPr>
                <w:rFonts w:ascii="Aptos" w:hAnsi="Aptos"/>
                <w:b w:val="0"/>
                <w:color w:val="2A3542"/>
                <w:sz w:val="16"/>
              </w:rPr>
              <w:t>High</w:t>
            </w:r>
          </w:p>
        </w:tc>
        <w:tc>
          <w:tcPr>
            <w:tcW w:type="dxa" w:w="2448"/>
            <w:vAlign w:val="center"/>
          </w:tcPr>
          <w:p>
            <w:pPr>
              <w:spacing w:after="20"/>
            </w:pPr>
            <w:r/>
            <w:r>
              <w:rPr>
                <w:rFonts w:ascii="Aptos" w:hAnsi="Aptos"/>
                <w:b w:val="0"/>
                <w:color w:val="2A3542"/>
                <w:sz w:val="16"/>
              </w:rPr>
              <w:t>8</w:t>
            </w:r>
          </w:p>
        </w:tc>
        <w:tc>
          <w:tcPr>
            <w:tcW w:type="dxa" w:w="5616"/>
            <w:vAlign w:val="center"/>
          </w:tcPr>
          <w:p>
            <w:pPr>
              <w:spacing w:after="20"/>
            </w:pPr>
            <w:r/>
            <w:r>
              <w:rPr>
                <w:rFonts w:ascii="Aptos" w:hAnsi="Aptos"/>
                <w:b w:val="0"/>
                <w:color w:val="2A3542"/>
                <w:sz w:val="16"/>
              </w:rPr>
              <w:t>0 High expected if priority controls are implemented and verified</w:t>
            </w:r>
          </w:p>
        </w:tc>
      </w:tr>
      <w:tr>
        <w:tc>
          <w:tcPr>
            <w:tcW w:type="dxa" w:w="2880"/>
            <w:vAlign w:val="center"/>
            <w:shd w:fill="F1F6F8"/>
          </w:tcPr>
          <w:p>
            <w:pPr>
              <w:spacing w:after="20"/>
            </w:pPr>
            <w:r/>
            <w:r>
              <w:rPr>
                <w:rFonts w:ascii="Aptos" w:hAnsi="Aptos"/>
                <w:b w:val="0"/>
                <w:color w:val="2A3542"/>
                <w:sz w:val="16"/>
              </w:rPr>
              <w:t>Medium</w:t>
            </w:r>
          </w:p>
        </w:tc>
        <w:tc>
          <w:tcPr>
            <w:tcW w:type="dxa" w:w="2448"/>
            <w:vAlign w:val="center"/>
            <w:shd w:fill="F1F6F8"/>
          </w:tcPr>
          <w:p>
            <w:pPr>
              <w:spacing w:after="20"/>
            </w:pPr>
            <w:r/>
            <w:r>
              <w:rPr>
                <w:rFonts w:ascii="Aptos" w:hAnsi="Aptos"/>
                <w:b w:val="0"/>
                <w:color w:val="2A3542"/>
                <w:sz w:val="16"/>
              </w:rPr>
              <w:t>7</w:t>
            </w:r>
          </w:p>
        </w:tc>
        <w:tc>
          <w:tcPr>
            <w:tcW w:type="dxa" w:w="5616"/>
            <w:vAlign w:val="center"/>
            <w:shd w:fill="F1F6F8"/>
          </w:tcPr>
          <w:p>
            <w:pPr>
              <w:spacing w:after="20"/>
            </w:pPr>
            <w:r/>
            <w:r>
              <w:rPr>
                <w:rFonts w:ascii="Aptos" w:hAnsi="Aptos"/>
                <w:b w:val="0"/>
                <w:color w:val="2A3542"/>
                <w:sz w:val="16"/>
              </w:rPr>
              <w:t>Approximately 4–5 may remain, subject to evidence and risk-owner review</w:t>
            </w:r>
          </w:p>
        </w:tc>
      </w:tr>
      <w:tr>
        <w:tc>
          <w:tcPr>
            <w:tcW w:type="dxa" w:w="2880"/>
            <w:vAlign w:val="center"/>
          </w:tcPr>
          <w:p>
            <w:pPr>
              <w:spacing w:after="20"/>
            </w:pPr>
            <w:r/>
            <w:r>
              <w:rPr>
                <w:rFonts w:ascii="Aptos" w:hAnsi="Aptos"/>
                <w:b w:val="0"/>
                <w:color w:val="2A3542"/>
                <w:sz w:val="16"/>
              </w:rPr>
              <w:t>Low</w:t>
            </w:r>
          </w:p>
        </w:tc>
        <w:tc>
          <w:tcPr>
            <w:tcW w:type="dxa" w:w="2448"/>
            <w:vAlign w:val="center"/>
          </w:tcPr>
          <w:p>
            <w:pPr>
              <w:spacing w:after="20"/>
            </w:pPr>
            <w:r/>
            <w:r>
              <w:rPr>
                <w:rFonts w:ascii="Aptos" w:hAnsi="Aptos"/>
                <w:b w:val="0"/>
                <w:color w:val="2A3542"/>
                <w:sz w:val="16"/>
              </w:rPr>
              <w:t>0</w:t>
            </w:r>
          </w:p>
        </w:tc>
        <w:tc>
          <w:tcPr>
            <w:tcW w:type="dxa" w:w="5616"/>
            <w:vAlign w:val="center"/>
          </w:tcPr>
          <w:p>
            <w:pPr>
              <w:spacing w:after="20"/>
            </w:pPr>
            <w:r/>
            <w:r>
              <w:rPr>
                <w:rFonts w:ascii="Aptos" w:hAnsi="Aptos"/>
                <w:b w:val="0"/>
                <w:color w:val="2A3542"/>
                <w:sz w:val="16"/>
              </w:rPr>
              <w:t>Remaining risks may be reduced to Low; count depends on re-rating</w:t>
            </w:r>
          </w:p>
        </w:tc>
      </w:tr>
      <w:tr>
        <w:tc>
          <w:tcPr>
            <w:tcW w:type="dxa" w:w="2880"/>
            <w:vAlign w:val="center"/>
            <w:shd w:fill="F1F6F8"/>
          </w:tcPr>
          <w:p>
            <w:pPr>
              <w:spacing w:after="20"/>
            </w:pPr>
            <w:r/>
            <w:r>
              <w:rPr>
                <w:rFonts w:ascii="Aptos" w:hAnsi="Aptos"/>
                <w:b w:val="0"/>
                <w:color w:val="2A3542"/>
                <w:sz w:val="16"/>
              </w:rPr>
              <w:t>Very High overall</w:t>
            </w:r>
          </w:p>
        </w:tc>
        <w:tc>
          <w:tcPr>
            <w:tcW w:type="dxa" w:w="2448"/>
            <w:vAlign w:val="center"/>
            <w:shd w:fill="F1F6F8"/>
          </w:tcPr>
          <w:p>
            <w:pPr>
              <w:spacing w:after="20"/>
            </w:pPr>
            <w:r/>
            <w:r>
              <w:rPr>
                <w:rFonts w:ascii="Aptos" w:hAnsi="Aptos"/>
                <w:b w:val="0"/>
                <w:color w:val="2A3542"/>
                <w:sz w:val="16"/>
              </w:rPr>
              <w:t>0</w:t>
            </w:r>
          </w:p>
        </w:tc>
        <w:tc>
          <w:tcPr>
            <w:tcW w:type="dxa" w:w="5616"/>
            <w:vAlign w:val="center"/>
            <w:shd w:fill="F1F6F8"/>
          </w:tcPr>
          <w:p>
            <w:pPr>
              <w:spacing w:after="20"/>
            </w:pPr>
            <w:r/>
            <w:r>
              <w:rPr>
                <w:rFonts w:ascii="Aptos" w:hAnsi="Aptos"/>
                <w:b w:val="0"/>
                <w:color w:val="2A3542"/>
                <w:sz w:val="16"/>
              </w:rPr>
              <w:t>0</w:t>
            </w:r>
          </w:p>
        </w:tc>
      </w:tr>
    </w:tbl>
    <w:p>
      <w:pPr>
        <w:spacing w:after="20"/>
      </w:pPr>
    </w:p>
    <w:p>
      <w:r>
        <w:t>Sign-off: This is an academic exercise, so no operational sign-off is asserted. A real deployment should obtain review and approval from the system owner, privacy officer/DPO where applicable, security lead, and legal/compliance function. Record named risk owners, evidence, and acceptance decisions before deployment or material change.</w:t>
      </w:r>
    </w:p>
    <w:p>
      <w:pPr>
        <w:pStyle w:val="Heading1"/>
      </w:pPr>
      <w:r>
        <w:t>11. Monitoring and Review</w:t>
      </w:r>
    </w:p>
    <w:tbl>
      <w:tblPr>
        <w:tblStyle w:val="TableGrid"/>
        <w:tblW w:type="auto" w:w="0"/>
        <w:jc w:val="center"/>
        <w:tblLayout w:type="autofit"/>
        <w:tblLook w:firstColumn="1" w:firstRow="1" w:lastColumn="0" w:lastRow="0" w:noHBand="0" w:noVBand="1" w:val="04A0"/>
      </w:tblPr>
      <w:tblGrid>
        <w:gridCol w:w="4997"/>
        <w:gridCol w:w="4997"/>
      </w:tblGrid>
      <w:tr>
        <w:tc>
          <w:tcPr>
            <w:tcW w:type="dxa" w:w="3096"/>
            <w:vAlign w:val="center"/>
            <w:shd w:fill="12304A"/>
          </w:tcPr>
          <w:p>
            <w:pPr>
              <w:spacing w:after="20"/>
            </w:pPr>
            <w:r/>
            <w:r>
              <w:rPr>
                <w:rFonts w:ascii="Aptos" w:hAnsi="Aptos"/>
                <w:b/>
                <w:color w:val="FFFFFF"/>
                <w:sz w:val="16"/>
              </w:rPr>
              <w:t>Trigger</w:t>
            </w:r>
          </w:p>
        </w:tc>
        <w:tc>
          <w:tcPr>
            <w:tcW w:type="dxa" w:w="7488"/>
            <w:vAlign w:val="center"/>
            <w:shd w:fill="12304A"/>
          </w:tcPr>
          <w:p>
            <w:pPr>
              <w:spacing w:after="20"/>
            </w:pPr>
            <w:r/>
            <w:r>
              <w:rPr>
                <w:rFonts w:ascii="Aptos" w:hAnsi="Aptos"/>
                <w:b/>
                <w:color w:val="FFFFFF"/>
                <w:sz w:val="16"/>
              </w:rPr>
              <w:t>Required action</w:t>
            </w:r>
          </w:p>
        </w:tc>
      </w:tr>
      <w:tr>
        <w:tc>
          <w:tcPr>
            <w:tcW w:type="dxa" w:w="3096"/>
            <w:vAlign w:val="center"/>
          </w:tcPr>
          <w:p>
            <w:pPr>
              <w:spacing w:after="20"/>
            </w:pPr>
            <w:r/>
            <w:r>
              <w:rPr>
                <w:rFonts w:ascii="Aptos" w:hAnsi="Aptos"/>
                <w:b w:val="0"/>
                <w:color w:val="2A3542"/>
                <w:sz w:val="16"/>
              </w:rPr>
              <w:t>New feature or material system change</w:t>
            </w:r>
          </w:p>
        </w:tc>
        <w:tc>
          <w:tcPr>
            <w:tcW w:type="dxa" w:w="7488"/>
            <w:vAlign w:val="center"/>
          </w:tcPr>
          <w:p>
            <w:pPr>
              <w:spacing w:after="20"/>
            </w:pPr>
            <w:r/>
            <w:r>
              <w:rPr>
                <w:rFonts w:ascii="Aptos" w:hAnsi="Aptos"/>
                <w:b w:val="0"/>
                <w:color w:val="2A3542"/>
                <w:sz w:val="16"/>
              </w:rPr>
              <w:t>Conduct a focused PIA update before release; revise data-flow map and risk register.</w:t>
            </w:r>
          </w:p>
        </w:tc>
      </w:tr>
      <w:tr>
        <w:tc>
          <w:tcPr>
            <w:tcW w:type="dxa" w:w="3096"/>
            <w:vAlign w:val="center"/>
            <w:shd w:fill="F1F6F8"/>
          </w:tcPr>
          <w:p>
            <w:pPr>
              <w:spacing w:after="20"/>
            </w:pPr>
            <w:r/>
            <w:r>
              <w:rPr>
                <w:rFonts w:ascii="Aptos" w:hAnsi="Aptos"/>
                <w:b w:val="0"/>
                <w:color w:val="2A3542"/>
                <w:sz w:val="16"/>
              </w:rPr>
              <w:t>New law, rule, or regulatory direction</w:t>
            </w:r>
          </w:p>
        </w:tc>
        <w:tc>
          <w:tcPr>
            <w:tcW w:type="dxa" w:w="7488"/>
            <w:vAlign w:val="center"/>
            <w:shd w:fill="F1F6F8"/>
          </w:tcPr>
          <w:p>
            <w:pPr>
              <w:spacing w:after="20"/>
            </w:pPr>
            <w:r/>
            <w:r>
              <w:rPr>
                <w:rFonts w:ascii="Aptos" w:hAnsi="Aptos"/>
                <w:b w:val="0"/>
                <w:color w:val="2A3542"/>
                <w:sz w:val="16"/>
              </w:rPr>
              <w:t>Reassess legal basis, notices, rights workflows, retention, and controls.</w:t>
            </w:r>
          </w:p>
        </w:tc>
      </w:tr>
      <w:tr>
        <w:tc>
          <w:tcPr>
            <w:tcW w:type="dxa" w:w="3096"/>
            <w:vAlign w:val="center"/>
          </w:tcPr>
          <w:p>
            <w:pPr>
              <w:spacing w:after="20"/>
            </w:pPr>
            <w:r/>
            <w:r>
              <w:rPr>
                <w:rFonts w:ascii="Aptos" w:hAnsi="Aptos"/>
                <w:b w:val="0"/>
                <w:color w:val="2A3542"/>
                <w:sz w:val="16"/>
              </w:rPr>
              <w:t>Data breach or significant incident</w:t>
            </w:r>
          </w:p>
        </w:tc>
        <w:tc>
          <w:tcPr>
            <w:tcW w:type="dxa" w:w="7488"/>
            <w:vAlign w:val="center"/>
          </w:tcPr>
          <w:p>
            <w:pPr>
              <w:spacing w:after="20"/>
            </w:pPr>
            <w:r/>
            <w:r>
              <w:rPr>
                <w:rFonts w:ascii="Aptos" w:hAnsi="Aptos"/>
                <w:b w:val="0"/>
                <w:color w:val="2A3542"/>
                <w:sz w:val="16"/>
              </w:rPr>
              <w:t>Reassess affected risks; preserve evidence; update controls and response procedures.</w:t>
            </w:r>
          </w:p>
        </w:tc>
      </w:tr>
      <w:tr>
        <w:tc>
          <w:tcPr>
            <w:tcW w:type="dxa" w:w="3096"/>
            <w:vAlign w:val="center"/>
            <w:shd w:fill="F1F6F8"/>
          </w:tcPr>
          <w:p>
            <w:pPr>
              <w:spacing w:after="20"/>
            </w:pPr>
            <w:r/>
            <w:r>
              <w:rPr>
                <w:rFonts w:ascii="Aptos" w:hAnsi="Aptos"/>
                <w:b w:val="0"/>
                <w:color w:val="2A3542"/>
                <w:sz w:val="16"/>
              </w:rPr>
              <w:t>Annual review</w:t>
            </w:r>
          </w:p>
        </w:tc>
        <w:tc>
          <w:tcPr>
            <w:tcW w:type="dxa" w:w="7488"/>
            <w:vAlign w:val="center"/>
            <w:shd w:fill="F1F6F8"/>
          </w:tcPr>
          <w:p>
            <w:pPr>
              <w:spacing w:after="20"/>
            </w:pPr>
            <w:r/>
            <w:r>
              <w:rPr>
                <w:rFonts w:ascii="Aptos" w:hAnsi="Aptos"/>
                <w:b w:val="0"/>
                <w:color w:val="2A3542"/>
                <w:sz w:val="16"/>
              </w:rPr>
              <w:t>Refresh the full PIA and validate assumptions, controls, and residual ratings.</w:t>
            </w:r>
          </w:p>
        </w:tc>
      </w:tr>
      <w:tr>
        <w:tc>
          <w:tcPr>
            <w:tcW w:type="dxa" w:w="3096"/>
            <w:vAlign w:val="center"/>
          </w:tcPr>
          <w:p>
            <w:pPr>
              <w:spacing w:after="20"/>
            </w:pPr>
            <w:r/>
            <w:r>
              <w:rPr>
                <w:rFonts w:ascii="Aptos" w:hAnsi="Aptos"/>
                <w:b w:val="0"/>
                <w:color w:val="2A3542"/>
                <w:sz w:val="16"/>
              </w:rPr>
              <w:t>Citizen complaints or rights requests</w:t>
            </w:r>
          </w:p>
        </w:tc>
        <w:tc>
          <w:tcPr>
            <w:tcW w:type="dxa" w:w="7488"/>
            <w:vAlign w:val="center"/>
          </w:tcPr>
          <w:p>
            <w:pPr>
              <w:spacing w:after="20"/>
            </w:pPr>
            <w:r/>
            <w:r>
              <w:rPr>
                <w:rFonts w:ascii="Aptos" w:hAnsi="Aptos"/>
                <w:b w:val="0"/>
                <w:color w:val="2A3542"/>
                <w:sz w:val="16"/>
              </w:rPr>
              <w:t>Analyze root cause, resolution time, and whether design or controls need change.</w:t>
            </w:r>
          </w:p>
        </w:tc>
      </w:tr>
      <w:tr>
        <w:tc>
          <w:tcPr>
            <w:tcW w:type="dxa" w:w="3096"/>
            <w:vAlign w:val="center"/>
            <w:shd w:fill="F1F6F8"/>
          </w:tcPr>
          <w:p>
            <w:pPr>
              <w:spacing w:after="20"/>
            </w:pPr>
            <w:r/>
            <w:r>
              <w:rPr>
                <w:rFonts w:ascii="Aptos" w:hAnsi="Aptos"/>
                <w:b w:val="0"/>
                <w:color w:val="2A3542"/>
                <w:sz w:val="16"/>
              </w:rPr>
              <w:t>Issuer onboarding or material change</w:t>
            </w:r>
          </w:p>
        </w:tc>
        <w:tc>
          <w:tcPr>
            <w:tcW w:type="dxa" w:w="7488"/>
            <w:vAlign w:val="center"/>
            <w:shd w:fill="F1F6F8"/>
          </w:tcPr>
          <w:p>
            <w:pPr>
              <w:spacing w:after="20"/>
            </w:pPr>
            <w:r/>
            <w:r>
              <w:rPr>
                <w:rFonts w:ascii="Aptos" w:hAnsi="Aptos"/>
                <w:b w:val="0"/>
                <w:color w:val="2A3542"/>
                <w:sz w:val="16"/>
              </w:rPr>
              <w:t>Perform issuer-specific privacy/security assessment and confirm contractual requirements.</w:t>
            </w:r>
          </w:p>
        </w:tc>
      </w:tr>
    </w:tbl>
    <w:p>
      <w:pPr>
        <w:spacing w:after="20"/>
      </w:pPr>
    </w:p>
    <w:p>
      <w:pPr>
        <w:pStyle w:val="Heading1"/>
      </w:pPr>
      <w:r>
        <w:t>12. Consultation</w:t>
      </w:r>
    </w:p>
    <w:tbl>
      <w:tblPr>
        <w:tblStyle w:val="TableGrid"/>
        <w:tblW w:type="auto" w:w="0"/>
        <w:jc w:val="center"/>
        <w:tblLayout w:type="autofit"/>
        <w:tblLook w:firstColumn="1" w:firstRow="1" w:lastColumn="0" w:lastRow="0" w:noHBand="0" w:noVBand="1" w:val="04A0"/>
      </w:tblPr>
      <w:tblGrid>
        <w:gridCol w:w="4997"/>
        <w:gridCol w:w="4997"/>
      </w:tblGrid>
      <w:tr>
        <w:tc>
          <w:tcPr>
            <w:tcW w:type="dxa" w:w="2592"/>
            <w:vAlign w:val="center"/>
            <w:shd w:fill="12304A"/>
          </w:tcPr>
          <w:p>
            <w:pPr>
              <w:spacing w:after="20"/>
            </w:pPr>
            <w:r/>
            <w:r>
              <w:rPr>
                <w:rFonts w:ascii="Aptos" w:hAnsi="Aptos"/>
                <w:b/>
                <w:color w:val="FFFFFF"/>
                <w:sz w:val="16"/>
              </w:rPr>
              <w:t>Stakeholder</w:t>
            </w:r>
          </w:p>
        </w:tc>
        <w:tc>
          <w:tcPr>
            <w:tcW w:type="dxa" w:w="7992"/>
            <w:vAlign w:val="center"/>
            <w:shd w:fill="12304A"/>
          </w:tcPr>
          <w:p>
            <w:pPr>
              <w:spacing w:after="20"/>
            </w:pPr>
            <w:r/>
            <w:r>
              <w:rPr>
                <w:rFonts w:ascii="Aptos" w:hAnsi="Aptos"/>
                <w:b/>
                <w:color w:val="FFFFFF"/>
                <w:sz w:val="16"/>
              </w:rPr>
              <w:t>Consultation approach</w:t>
            </w:r>
          </w:p>
        </w:tc>
      </w:tr>
      <w:tr>
        <w:tc>
          <w:tcPr>
            <w:tcW w:type="dxa" w:w="2592"/>
            <w:vAlign w:val="center"/>
          </w:tcPr>
          <w:p>
            <w:pPr>
              <w:spacing w:after="20"/>
            </w:pPr>
            <w:r/>
            <w:r>
              <w:rPr>
                <w:rFonts w:ascii="Aptos" w:hAnsi="Aptos"/>
                <w:b w:val="0"/>
                <w:color w:val="2A3542"/>
                <w:sz w:val="16"/>
              </w:rPr>
              <w:t>Citizens / data principals</w:t>
            </w:r>
          </w:p>
        </w:tc>
        <w:tc>
          <w:tcPr>
            <w:tcW w:type="dxa" w:w="7992"/>
            <w:vAlign w:val="center"/>
          </w:tcPr>
          <w:p>
            <w:pPr>
              <w:spacing w:after="20"/>
            </w:pPr>
            <w:r/>
            <w:r>
              <w:rPr>
                <w:rFonts w:ascii="Aptos" w:hAnsi="Aptos"/>
                <w:b w:val="0"/>
                <w:color w:val="2A3542"/>
                <w:sz w:val="16"/>
              </w:rPr>
              <w:t>Usability testing of notices, consent, sharing history, withdrawal, and grievance routes; invite feedback.</w:t>
            </w:r>
          </w:p>
        </w:tc>
      </w:tr>
      <w:tr>
        <w:tc>
          <w:tcPr>
            <w:tcW w:type="dxa" w:w="2592"/>
            <w:vAlign w:val="center"/>
            <w:shd w:fill="F1F6F8"/>
          </w:tcPr>
          <w:p>
            <w:pPr>
              <w:spacing w:after="20"/>
            </w:pPr>
            <w:r/>
            <w:r>
              <w:rPr>
                <w:rFonts w:ascii="Aptos" w:hAnsi="Aptos"/>
                <w:b w:val="0"/>
                <w:color w:val="2A3542"/>
                <w:sz w:val="16"/>
              </w:rPr>
              <w:t>Issuers</w:t>
            </w:r>
          </w:p>
        </w:tc>
        <w:tc>
          <w:tcPr>
            <w:tcW w:type="dxa" w:w="7992"/>
            <w:vAlign w:val="center"/>
            <w:shd w:fill="F1F6F8"/>
          </w:tcPr>
          <w:p>
            <w:pPr>
              <w:spacing w:after="20"/>
            </w:pPr>
            <w:r/>
            <w:r>
              <w:rPr>
                <w:rFonts w:ascii="Aptos" w:hAnsi="Aptos"/>
                <w:b w:val="0"/>
                <w:color w:val="2A3542"/>
                <w:sz w:val="16"/>
              </w:rPr>
              <w:t>Review onboarding checklist, security controls, breach process, and audit rights.</w:t>
            </w:r>
          </w:p>
        </w:tc>
      </w:tr>
      <w:tr>
        <w:tc>
          <w:tcPr>
            <w:tcW w:type="dxa" w:w="2592"/>
            <w:vAlign w:val="center"/>
          </w:tcPr>
          <w:p>
            <w:pPr>
              <w:spacing w:after="20"/>
            </w:pPr>
            <w:r/>
            <w:r>
              <w:rPr>
                <w:rFonts w:ascii="Aptos" w:hAnsi="Aptos"/>
                <w:b w:val="0"/>
                <w:color w:val="2A3542"/>
                <w:sz w:val="16"/>
              </w:rPr>
              <w:t>Requesters</w:t>
            </w:r>
          </w:p>
        </w:tc>
        <w:tc>
          <w:tcPr>
            <w:tcW w:type="dxa" w:w="7992"/>
            <w:vAlign w:val="center"/>
          </w:tcPr>
          <w:p>
            <w:pPr>
              <w:spacing w:after="20"/>
            </w:pPr>
            <w:r/>
            <w:r>
              <w:rPr>
                <w:rFonts w:ascii="Aptos" w:hAnsi="Aptos"/>
                <w:b w:val="0"/>
                <w:color w:val="2A3542"/>
                <w:sz w:val="16"/>
              </w:rPr>
              <w:t>Confirm purpose limitation, consent verification, and restrictions on reuse.</w:t>
            </w:r>
          </w:p>
        </w:tc>
      </w:tr>
      <w:tr>
        <w:tc>
          <w:tcPr>
            <w:tcW w:type="dxa" w:w="2592"/>
            <w:vAlign w:val="center"/>
            <w:shd w:fill="F1F6F8"/>
          </w:tcPr>
          <w:p>
            <w:pPr>
              <w:spacing w:after="20"/>
            </w:pPr>
            <w:r/>
            <w:r>
              <w:rPr>
                <w:rFonts w:ascii="Aptos" w:hAnsi="Aptos"/>
                <w:b w:val="0"/>
                <w:color w:val="2A3542"/>
                <w:sz w:val="16"/>
              </w:rPr>
              <w:t>Regulators / authorities</w:t>
            </w:r>
          </w:p>
        </w:tc>
        <w:tc>
          <w:tcPr>
            <w:tcW w:type="dxa" w:w="7992"/>
            <w:vAlign w:val="center"/>
            <w:shd w:fill="F1F6F8"/>
          </w:tcPr>
          <w:p>
            <w:pPr>
              <w:spacing w:after="20"/>
            </w:pPr>
            <w:r/>
            <w:r>
              <w:rPr>
                <w:rFonts w:ascii="Aptos" w:hAnsi="Aptos"/>
                <w:b w:val="0"/>
                <w:color w:val="2A3542"/>
                <w:sz w:val="16"/>
              </w:rPr>
              <w:t>Seek formal guidance or engagement through appropriate channels where required.</w:t>
            </w:r>
          </w:p>
        </w:tc>
      </w:tr>
      <w:tr>
        <w:tc>
          <w:tcPr>
            <w:tcW w:type="dxa" w:w="2592"/>
            <w:vAlign w:val="center"/>
          </w:tcPr>
          <w:p>
            <w:pPr>
              <w:spacing w:after="20"/>
            </w:pPr>
            <w:r/>
            <w:r>
              <w:rPr>
                <w:rFonts w:ascii="Aptos" w:hAnsi="Aptos"/>
                <w:b w:val="0"/>
                <w:color w:val="2A3542"/>
                <w:sz w:val="16"/>
              </w:rPr>
              <w:t>Civil society / academia</w:t>
            </w:r>
          </w:p>
        </w:tc>
        <w:tc>
          <w:tcPr>
            <w:tcW w:type="dxa" w:w="7992"/>
            <w:vAlign w:val="center"/>
          </w:tcPr>
          <w:p>
            <w:pPr>
              <w:spacing w:after="20"/>
            </w:pPr>
            <w:r/>
            <w:r>
              <w:rPr>
                <w:rFonts w:ascii="Aptos" w:hAnsi="Aptos"/>
                <w:b w:val="0"/>
                <w:color w:val="2A3542"/>
                <w:sz w:val="16"/>
              </w:rPr>
              <w:t>Independent review and accessible feedback on privacy impacts and safeguards.</w:t>
            </w:r>
          </w:p>
        </w:tc>
      </w:tr>
    </w:tbl>
    <w:p>
      <w:pPr>
        <w:spacing w:after="20"/>
      </w:pPr>
    </w:p>
    <w:p>
      <w:r>
        <w:t>Consultation status: the approaches above are proposed; stakeholder consultation was not evidenced as completed in the supplied material.</w:t>
      </w:r>
    </w:p>
    <w:p>
      <w:pPr>
        <w:pStyle w:val="Heading1"/>
      </w:pPr>
      <w:r>
        <w:t>13. Conclusion</w:t>
      </w:r>
    </w:p>
    <w:p>
      <w:r>
        <w:t>This PIA reframes the Practical 1 audit as a forward-looking assessment of what could go wrong and how risks can be mitigated. The available evidence indicates privacy-enabling controls, but does not permit a complete backend or legal compliance determination. Priority actions are to minimize Aadhaar processing, make consent granular and revocable, strengthen issuer accountability, create clear rights and transparency workflows, and document retention, encryption, and transfer arrangements.</w:t>
      </w:r>
    </w:p>
    <w:p>
      <w:r>
        <w:t>No vulnerability was established within the passive scope. Storage encryption, token revocation, OTP/TOTP implementation, document-signature algorithms, and blockchain use remain unverified and should be confirmed through official documentation and controlled assessment. This PIA should be updated when those facts become available.</w:t>
      </w:r>
    </w:p>
    <w:p>
      <w:pPr>
        <w:pStyle w:val="Heading1"/>
      </w:pPr>
      <w:r>
        <w:t>14. Evidence Classification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152"/>
            <w:vAlign w:val="center"/>
            <w:shd w:fill="12304A"/>
          </w:tcPr>
          <w:p>
            <w:pPr>
              <w:spacing w:after="20"/>
            </w:pPr>
            <w:r/>
            <w:r>
              <w:rPr>
                <w:rFonts w:ascii="Aptos" w:hAnsi="Aptos"/>
                <w:b/>
                <w:color w:val="FFFFFF"/>
                <w:sz w:val="16"/>
              </w:rPr>
              <w:t>Code</w:t>
            </w:r>
          </w:p>
        </w:tc>
        <w:tc>
          <w:tcPr>
            <w:tcW w:type="dxa" w:w="2304"/>
            <w:vAlign w:val="center"/>
            <w:shd w:fill="12304A"/>
          </w:tcPr>
          <w:p>
            <w:pPr>
              <w:spacing w:after="20"/>
            </w:pPr>
            <w:r/>
            <w:r>
              <w:rPr>
                <w:rFonts w:ascii="Aptos" w:hAnsi="Aptos"/>
                <w:b/>
                <w:color w:val="FFFFFF"/>
                <w:sz w:val="16"/>
              </w:rPr>
              <w:t>Meaning</w:t>
            </w:r>
          </w:p>
        </w:tc>
        <w:tc>
          <w:tcPr>
            <w:tcW w:type="dxa" w:w="7128"/>
            <w:vAlign w:val="center"/>
            <w:shd w:fill="12304A"/>
          </w:tcPr>
          <w:p>
            <w:pPr>
              <w:spacing w:after="20"/>
            </w:pPr>
            <w:r/>
            <w:r>
              <w:rPr>
                <w:rFonts w:ascii="Aptos" w:hAnsi="Aptos"/>
                <w:b/>
                <w:color w:val="FFFFFF"/>
                <w:sz w:val="16"/>
              </w:rPr>
              <w:t>Use in this PIA</w:t>
            </w:r>
          </w:p>
        </w:tc>
      </w:tr>
      <w:tr>
        <w:tc>
          <w:tcPr>
            <w:tcW w:type="dxa" w:w="1152"/>
            <w:vAlign w:val="center"/>
          </w:tcPr>
          <w:p>
            <w:pPr>
              <w:spacing w:after="20"/>
            </w:pPr>
            <w:r/>
            <w:r>
              <w:rPr>
                <w:rFonts w:ascii="Aptos" w:hAnsi="Aptos"/>
                <w:b w:val="0"/>
                <w:color w:val="2A3542"/>
                <w:sz w:val="16"/>
              </w:rPr>
              <w:t>O</w:t>
            </w:r>
          </w:p>
        </w:tc>
        <w:tc>
          <w:tcPr>
            <w:tcW w:type="dxa" w:w="2304"/>
            <w:vAlign w:val="center"/>
          </w:tcPr>
          <w:p>
            <w:pPr>
              <w:spacing w:after="20"/>
            </w:pPr>
            <w:r/>
            <w:r>
              <w:rPr>
                <w:rFonts w:ascii="Aptos" w:hAnsi="Aptos"/>
                <w:b w:val="0"/>
                <w:color w:val="2A3542"/>
                <w:sz w:val="16"/>
              </w:rPr>
              <w:t>Observed</w:t>
            </w:r>
          </w:p>
        </w:tc>
        <w:tc>
          <w:tcPr>
            <w:tcW w:type="dxa" w:w="7128"/>
            <w:vAlign w:val="center"/>
          </w:tcPr>
          <w:p>
            <w:pPr>
              <w:spacing w:after="20"/>
            </w:pPr>
            <w:r/>
            <w:r>
              <w:rPr>
                <w:rFonts w:ascii="Aptos" w:hAnsi="Aptos"/>
                <w:b w:val="0"/>
                <w:color w:val="2A3542"/>
                <w:sz w:val="16"/>
              </w:rPr>
              <w:t>Directly visible in interface screenshots or captured browser traffic.</w:t>
            </w:r>
          </w:p>
        </w:tc>
      </w:tr>
      <w:tr>
        <w:tc>
          <w:tcPr>
            <w:tcW w:type="dxa" w:w="1152"/>
            <w:vAlign w:val="center"/>
            <w:shd w:fill="F1F6F8"/>
          </w:tcPr>
          <w:p>
            <w:pPr>
              <w:spacing w:after="20"/>
            </w:pPr>
            <w:r/>
            <w:r>
              <w:rPr>
                <w:rFonts w:ascii="Aptos" w:hAnsi="Aptos"/>
                <w:b w:val="0"/>
                <w:color w:val="2A3542"/>
                <w:sz w:val="16"/>
              </w:rPr>
              <w:t>D</w:t>
            </w:r>
          </w:p>
        </w:tc>
        <w:tc>
          <w:tcPr>
            <w:tcW w:type="dxa" w:w="2304"/>
            <w:vAlign w:val="center"/>
            <w:shd w:fill="F1F6F8"/>
          </w:tcPr>
          <w:p>
            <w:pPr>
              <w:spacing w:after="20"/>
            </w:pPr>
            <w:r/>
            <w:r>
              <w:rPr>
                <w:rFonts w:ascii="Aptos" w:hAnsi="Aptos"/>
                <w:b w:val="0"/>
                <w:color w:val="2A3542"/>
                <w:sz w:val="16"/>
              </w:rPr>
              <w:t>Officially documented</w:t>
            </w:r>
          </w:p>
        </w:tc>
        <w:tc>
          <w:tcPr>
            <w:tcW w:type="dxa" w:w="7128"/>
            <w:vAlign w:val="center"/>
            <w:shd w:fill="F1F6F8"/>
          </w:tcPr>
          <w:p>
            <w:pPr>
              <w:spacing w:after="20"/>
            </w:pPr>
            <w:r/>
            <w:r>
              <w:rPr>
                <w:rFonts w:ascii="Aptos" w:hAnsi="Aptos"/>
                <w:b w:val="0"/>
                <w:color w:val="2A3542"/>
                <w:sz w:val="16"/>
              </w:rPr>
              <w:t>Explicitly stated in reviewed official documentation or terms.</w:t>
            </w:r>
          </w:p>
        </w:tc>
      </w:tr>
      <w:tr>
        <w:tc>
          <w:tcPr>
            <w:tcW w:type="dxa" w:w="1152"/>
            <w:vAlign w:val="center"/>
          </w:tcPr>
          <w:p>
            <w:pPr>
              <w:spacing w:after="20"/>
            </w:pPr>
            <w:r/>
            <w:r>
              <w:rPr>
                <w:rFonts w:ascii="Aptos" w:hAnsi="Aptos"/>
                <w:b w:val="0"/>
                <w:color w:val="2A3542"/>
                <w:sz w:val="16"/>
              </w:rPr>
              <w:t>I</w:t>
            </w:r>
          </w:p>
        </w:tc>
        <w:tc>
          <w:tcPr>
            <w:tcW w:type="dxa" w:w="2304"/>
            <w:vAlign w:val="center"/>
          </w:tcPr>
          <w:p>
            <w:pPr>
              <w:spacing w:after="20"/>
            </w:pPr>
            <w:r/>
            <w:r>
              <w:rPr>
                <w:rFonts w:ascii="Aptos" w:hAnsi="Aptos"/>
                <w:b w:val="0"/>
                <w:color w:val="2A3542"/>
                <w:sz w:val="16"/>
              </w:rPr>
              <w:t>Inferred</w:t>
            </w:r>
          </w:p>
        </w:tc>
        <w:tc>
          <w:tcPr>
            <w:tcW w:type="dxa" w:w="7128"/>
            <w:vAlign w:val="center"/>
          </w:tcPr>
          <w:p>
            <w:pPr>
              <w:spacing w:after="20"/>
            </w:pPr>
            <w:r/>
            <w:r>
              <w:rPr>
                <w:rFonts w:ascii="Aptos" w:hAnsi="Aptos"/>
                <w:b w:val="0"/>
                <w:color w:val="2A3542"/>
                <w:sz w:val="16"/>
              </w:rPr>
              <w:t>Technical interpretation from evidence; not independently proven.</w:t>
            </w:r>
          </w:p>
        </w:tc>
      </w:tr>
      <w:tr>
        <w:tc>
          <w:tcPr>
            <w:tcW w:type="dxa" w:w="1152"/>
            <w:vAlign w:val="center"/>
            <w:shd w:fill="F1F6F8"/>
          </w:tcPr>
          <w:p>
            <w:pPr>
              <w:spacing w:after="20"/>
            </w:pPr>
            <w:r/>
            <w:r>
              <w:rPr>
                <w:rFonts w:ascii="Aptos" w:hAnsi="Aptos"/>
                <w:b w:val="0"/>
                <w:color w:val="2A3542"/>
                <w:sz w:val="16"/>
              </w:rPr>
              <w:t>NV</w:t>
            </w:r>
          </w:p>
        </w:tc>
        <w:tc>
          <w:tcPr>
            <w:tcW w:type="dxa" w:w="2304"/>
            <w:vAlign w:val="center"/>
            <w:shd w:fill="F1F6F8"/>
          </w:tcPr>
          <w:p>
            <w:pPr>
              <w:spacing w:after="20"/>
            </w:pPr>
            <w:r/>
            <w:r>
              <w:rPr>
                <w:rFonts w:ascii="Aptos" w:hAnsi="Aptos"/>
                <w:b w:val="0"/>
                <w:color w:val="2A3542"/>
                <w:sz w:val="16"/>
              </w:rPr>
              <w:t>Not verified</w:t>
            </w:r>
          </w:p>
        </w:tc>
        <w:tc>
          <w:tcPr>
            <w:tcW w:type="dxa" w:w="7128"/>
            <w:vAlign w:val="center"/>
            <w:shd w:fill="F1F6F8"/>
          </w:tcPr>
          <w:p>
            <w:pPr>
              <w:spacing w:after="20"/>
            </w:pPr>
            <w:r/>
            <w:r>
              <w:rPr>
                <w:rFonts w:ascii="Aptos" w:hAnsi="Aptos"/>
                <w:b w:val="0"/>
                <w:color w:val="2A3542"/>
                <w:sz w:val="16"/>
              </w:rPr>
              <w:t>No evidence collected within this assessment scope.</w:t>
            </w:r>
          </w:p>
        </w:tc>
      </w:tr>
    </w:tbl>
    <w:p>
      <w:pPr>
        <w:spacing w:after="20"/>
      </w:pPr>
    </w:p>
    <w:p>
      <w:pPr>
        <w:pStyle w:val="Heading1"/>
      </w:pPr>
      <w:r>
        <w:t>15. References</w:t>
      </w:r>
    </w:p>
    <w:p>
      <w:pPr>
        <w:pStyle w:val="ListNumber"/>
        <w:spacing w:after="40"/>
      </w:pPr>
      <w:r>
        <w:t>DigiLocker, Terms of Use – Issuer, updated 02 June 2025 (source supplied for related audit).</w:t>
      </w:r>
    </w:p>
    <w:p>
      <w:pPr>
        <w:pStyle w:val="ListNumber"/>
        <w:spacing w:after="40"/>
      </w:pPr>
      <w:r>
        <w:t>DigiLocker Security Architecture: https://www.digilocker.gov.in/web/security-architecture</w:t>
      </w:r>
    </w:p>
    <w:p>
      <w:pPr>
        <w:pStyle w:val="ListNumber"/>
        <w:spacing w:after="40"/>
      </w:pPr>
      <w:r>
        <w:t>DigiLocker Architecture: https://www.digilocker.gov.in/web/architecture</w:t>
      </w:r>
    </w:p>
    <w:p>
      <w:pPr>
        <w:pStyle w:val="ListNumber"/>
        <w:spacing w:after="40"/>
      </w:pPr>
      <w:r>
        <w:t>DigiLocker Requesters / OAuth 2.0 and OpenID Connect: https://www.digilocker.gov.in/web/partners/requesters</w:t>
      </w:r>
    </w:p>
    <w:p>
      <w:pPr>
        <w:pStyle w:val="ListNumber"/>
        <w:spacing w:after="40"/>
      </w:pPr>
      <w:r>
        <w:t>DigiLocker FAQ: https://www.digilocker.gov.in/web/about/faq</w:t>
      </w:r>
    </w:p>
    <w:p>
      <w:pPr>
        <w:pStyle w:val="ListNumber"/>
        <w:spacing w:after="40"/>
      </w:pPr>
      <w:r>
        <w:t>DigiLocker Privacy Policy: https://www.digilocker.gov.in/web/about/digilocker-policy</w:t>
      </w:r>
    </w:p>
    <w:p>
      <w:pPr>
        <w:pStyle w:val="ListNumber"/>
        <w:spacing w:after="40"/>
      </w:pPr>
      <w:r>
        <w:t>DigiLocker Terms of Use: https://www.digilocker.gov.in/web/about/tos</w:t>
      </w:r>
    </w:p>
    <w:p>
      <w:pPr>
        <w:pStyle w:val="ListNumber"/>
        <w:spacing w:after="40"/>
      </w:pPr>
      <w:r>
        <w:t>Digital Personal Data Protection Act, 2023.</w:t>
      </w:r>
    </w:p>
    <w:p>
      <w:pPr>
        <w:pStyle w:val="ListNumber"/>
        <w:spacing w:after="40"/>
      </w:pPr>
      <w:r>
        <w:t>Aadhaar Act, 2016.</w:t>
      </w:r>
    </w:p>
    <w:p>
      <w:pPr>
        <w:pStyle w:val="ListNumber"/>
        <w:spacing w:after="40"/>
      </w:pPr>
      <w:r>
        <w:t>Information Technology Act, 2000.</w:t>
      </w:r>
    </w:p>
    <w:p>
      <w:pPr>
        <w:pStyle w:val="ListNumber"/>
        <w:spacing w:after="40"/>
      </w:pPr>
      <w:r>
        <w:t>CERT-In Directions, 2022.</w:t>
      </w:r>
    </w:p>
    <w:p>
      <w:pPr>
        <w:pStyle w:val="ListNumber"/>
        <w:spacing w:after="40"/>
      </w:pPr>
      <w:r>
        <w:t>ISO/IEC 29134, Guidelines for privacy impact assessment.</w:t>
      </w:r>
    </w:p>
    <w:p>
      <w:pPr>
        <w:pStyle w:val="ListNumber"/>
        <w:spacing w:after="40"/>
      </w:pPr>
      <w:r>
        <w:t>NIST Privacy Framework.</w:t>
      </w:r>
    </w:p>
    <w:p>
      <w:pPr>
        <w:pStyle w:val="Heading1"/>
      </w:pPr>
      <w:r>
        <w:t>16. Viva / Practical Questions</w:t>
      </w:r>
    </w:p>
    <w:p>
      <w:pPr>
        <w:spacing w:after="20"/>
      </w:pPr>
      <w:r>
        <w:rPr>
          <w:b/>
          <w:color w:val="12304A"/>
        </w:rPr>
        <w:t>Q: What is a Privacy Impact Assessment (PIA)?</w:t>
      </w:r>
    </w:p>
    <w:p>
      <w:pPr>
        <w:spacing w:after="120"/>
        <w:ind w:left="288"/>
      </w:pPr>
      <w:r>
        <w:t>A: A structured process to identify privacy risks, assess necessity and proportionality, and define safeguards before or during deployment.</w:t>
      </w:r>
    </w:p>
    <w:p>
      <w:pPr>
        <w:spacing w:after="20"/>
      </w:pPr>
      <w:r>
        <w:rPr>
          <w:b/>
          <w:color w:val="12304A"/>
        </w:rPr>
        <w:t>Q: How is a PIA different from a privacy audit?</w:t>
      </w:r>
    </w:p>
    <w:p>
      <w:pPr>
        <w:spacing w:after="120"/>
        <w:ind w:left="288"/>
      </w:pPr>
      <w:r>
        <w:t>A: An audit evaluates current-state practices and controls; a PIA is prospective and focuses on potential impacts and mitigation.</w:t>
      </w:r>
    </w:p>
    <w:p>
      <w:pPr>
        <w:spacing w:after="20"/>
      </w:pPr>
      <w:r>
        <w:rPr>
          <w:b/>
          <w:color w:val="12304A"/>
        </w:rPr>
        <w:t>Q: What is the DPDP Act, 2023?</w:t>
      </w:r>
    </w:p>
    <w:p>
      <w:pPr>
        <w:spacing w:after="120"/>
        <w:ind w:left="288"/>
      </w:pPr>
      <w:r>
        <w:t>A: India’s Digital Personal Data Protection Act, which establishes obligations and rights for digital personal data processing, subject to applicable provisions.</w:t>
      </w:r>
    </w:p>
    <w:p>
      <w:pPr>
        <w:spacing w:after="20"/>
      </w:pPr>
      <w:r>
        <w:rPr>
          <w:b/>
          <w:color w:val="12304A"/>
        </w:rPr>
        <w:t>Q: What is data minimization?</w:t>
      </w:r>
    </w:p>
    <w:p>
      <w:pPr>
        <w:spacing w:after="120"/>
        <w:ind w:left="288"/>
      </w:pPr>
      <w:r>
        <w:t>A: Collecting, using, and retaining only the personal data needed for a specified purpose.</w:t>
      </w:r>
    </w:p>
    <w:p>
      <w:pPr>
        <w:spacing w:after="20"/>
      </w:pPr>
      <w:r>
        <w:rPr>
          <w:b/>
          <w:color w:val="12304A"/>
        </w:rPr>
        <w:t>Q: What is granular consent?</w:t>
      </w:r>
    </w:p>
    <w:p>
      <w:pPr>
        <w:spacing w:after="120"/>
        <w:ind w:left="288"/>
      </w:pPr>
      <w:r>
        <w:t>A: Consent choices separated by distinct purposes or data types rather than bundled into one blanket choice.</w:t>
      </w:r>
    </w:p>
    <w:p>
      <w:pPr>
        <w:spacing w:after="20"/>
      </w:pPr>
      <w:r>
        <w:rPr>
          <w:b/>
          <w:color w:val="12304A"/>
        </w:rPr>
        <w:t>Q: Why is Aadhaar processing high-risk?</w:t>
      </w:r>
    </w:p>
    <w:p>
      <w:pPr>
        <w:spacing w:after="120"/>
        <w:ind w:left="288"/>
      </w:pPr>
      <w:r>
        <w:t>A: Aadhaar is a unique identifier; exposure or linkage can cause significant privacy harm, and its use is subject to specific legal requirements.</w:t>
      </w:r>
    </w:p>
    <w:p>
      <w:pPr>
        <w:spacing w:after="20"/>
      </w:pPr>
      <w:r>
        <w:rPr>
          <w:b/>
          <w:color w:val="12304A"/>
        </w:rPr>
        <w:t>Q: What is residual risk?</w:t>
      </w:r>
    </w:p>
    <w:p>
      <w:pPr>
        <w:spacing w:after="120"/>
        <w:ind w:left="288"/>
      </w:pPr>
      <w:r>
        <w:t>A: Risk that remains after safeguards are applied and verified.</w:t>
      </w:r>
    </w:p>
    <w:p>
      <w:pPr>
        <w:spacing w:after="20"/>
      </w:pPr>
      <w:r>
        <w:rPr>
          <w:b/>
          <w:color w:val="12304A"/>
        </w:rPr>
        <w:t>Q: What rights are considered in this PIA?</w:t>
      </w:r>
    </w:p>
    <w:p>
      <w:pPr>
        <w:spacing w:after="120"/>
        <w:ind w:left="288"/>
      </w:pPr>
      <w:r>
        <w:t>A: Access, correction, erasure, withdrawal of consent, grievance redressal, nomination, and information about sharing, as applicable.</w:t>
      </w:r>
    </w:p>
    <w:p>
      <w:pPr>
        <w:spacing w:after="20"/>
      </w:pPr>
      <w:r>
        <w:rPr>
          <w:b/>
          <w:color w:val="12304A"/>
        </w:rPr>
        <w:t>Q: Why is an issuer-side breach relevant?</w:t>
      </w:r>
    </w:p>
    <w:p>
      <w:pPr>
        <w:spacing w:after="120"/>
        <w:ind w:left="288"/>
      </w:pPr>
      <w:r>
        <w:t>A: Issuers may hold or transmit citizen documents; exposure can occur within the wider ecosystem even if the citizen-facing platform is secure.</w:t>
      </w:r>
    </w:p>
    <w:p>
      <w:pPr>
        <w:spacing w:after="20"/>
      </w:pPr>
      <w:r>
        <w:rPr>
          <w:b/>
          <w:color w:val="12304A"/>
        </w:rPr>
        <w:t>Q: What is privacy by design?</w:t>
      </w:r>
    </w:p>
    <w:p>
      <w:pPr>
        <w:spacing w:after="120"/>
        <w:ind w:left="288"/>
      </w:pPr>
      <w:r>
        <w:t>A: Integrating privacy safeguards into system architecture and operating processes from the outset, rather than adding them after deployment.</w:t>
      </w:r>
    </w:p>
    <w:p>
      <w:pPr>
        <w:spacing w:before="280"/>
        <w:jc w:val="center"/>
      </w:pPr>
      <w:r>
        <w:rPr>
          <w:b/>
          <w:color w:val="167D8D"/>
        </w:rPr>
        <w:t>END OF PRACTICAL 2</w:t>
      </w:r>
    </w:p>
    <w:p>
      <w:pPr>
        <w:jc w:val="center"/>
      </w:pPr>
      <w:r>
        <w:rPr>
          <w:i/>
        </w:rPr>
        <w:t>Sensitive values such as OTPs, Aadhaar/VID, cookies, and JWT contents are intentionally omitted.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ACADEMIC PRACTICAL  •  DIGILOCKER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67D8D"/>
      </w:rPr>
      <w:t>PRACTICAL 2  /  PRIVACY IMPACT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5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67D8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