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foxb7nqks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dataset, we can derive key fields: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injury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timing: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Claim_Logged_On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Claim_Processed_On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details: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collision_type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incident_severity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indicators: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bodily_injuries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witnesses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police_report_available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linkage: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/>
      </w:pPr>
      <w:bookmarkStart w:colFirst="0" w:colLast="0" w:name="_1ajd5invjak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Fraud Detection Strategy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Z-score (for amount anomalies)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Rule-based scoring (for explainability)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score = weighted sum (0–100)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rdt0z0lmn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5 Fraud Rules (with Weights + Justification)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z5140rgl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High Claim Amount (Z-score based)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Amount = injury + property + vehicle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if Z-score &gt; 2.5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30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high weight?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 financial impact = strongest fraud signal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5nbwal44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Severity vs Amount Mismatch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incident_severity = Minor/Trivial</w:t>
      </w:r>
      <w:r w:rsidDel="00000000" w:rsidR="00000000" w:rsidRPr="00000000">
        <w:rPr>
          <w:rtl w:val="0"/>
        </w:rPr>
        <w:t xml:space="preserve"> BUT amount is high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from data: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Minor damage but high injury/vehicle cost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20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Classic fraud pattern (inflated claims)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5m6d6jt8u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Missing or Suspicious Documentation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police_report_available = NO / ?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property_damage = 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Many rows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"?"</w:t>
      </w:r>
      <w:r w:rsidDel="00000000" w:rsidR="00000000" w:rsidRPr="00000000">
        <w:rPr>
          <w:rtl w:val="0"/>
        </w:rPr>
        <w:t xml:space="preserve"> values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15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Fraudsters avoid documentation → medium signal</w:t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4: Repeat Claimant (PolicyID frequency)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claims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if &gt; threshold (e.g., &gt; 2)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15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Repeat claims = potential fraud rings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3pfmcm9m6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5: Delay or Suspicious Processing Time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 = Processed - Logged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high delay OR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Claim_Processed_On = NULL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Many claims not processed or delayed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20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cases often need investigation → delays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intentionally delayed filing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ri4djuhy2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Scoring Model</w:t>
      </w:r>
    </w:p>
    <w:tbl>
      <w:tblPr>
        <w:tblStyle w:val="Table1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965"/>
        <w:tblGridChange w:id="0">
          <w:tblGrid>
            <w:gridCol w:w="249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High Amount (Z-score)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Severity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Missing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Repeat Claimant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Delay /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0oc7iol8h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AI Investigation Brief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(example pattern):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Amount: ₹18,000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Severity: Minor Damage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police report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Delay: 45 days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Brief: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claim is flagged due to a high total claim amount (₹18,000) despite being classified as “Minor Damage”, indicating a potential severity mismatch. Additionally, no police report is available, reducing verification confidence. The claim also shows a delayed processing timeline of 45 days, which may indicate complexity or manipulation.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Factors: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High claim amount anomaly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 mismatch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Missing documentation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Delayed processing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Actions: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Request detailed repair invoices and medical reports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Verify incident with third-party sources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Contact witnesses (if available)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Conduct field investigation if discrepancies persist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