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A0F1E" w14:textId="77777777" w:rsidR="00FE1E03" w:rsidRPr="001C3852" w:rsidRDefault="00000000">
      <w:pPr>
        <w:pBdr>
          <w:bottom w:val="single" w:sz="6" w:space="8" w:color="2D5F8A"/>
        </w:pBdr>
        <w:spacing w:before="200" w:after="40"/>
        <w:jc w:val="center"/>
        <w:rPr>
          <w:rFonts w:ascii="Times New Roman" w:hAnsi="Times New Roman" w:cs="Times New Roman"/>
          <w:color w:val="000000" w:themeColor="text1"/>
        </w:rPr>
      </w:pPr>
      <w:r w:rsidRPr="001C3852">
        <w:rPr>
          <w:rFonts w:ascii="Times New Roman" w:hAnsi="Times New Roman" w:cs="Times New Roman"/>
          <w:b/>
          <w:bCs/>
          <w:color w:val="000000" w:themeColor="text1"/>
          <w:sz w:val="32"/>
          <w:szCs w:val="32"/>
        </w:rPr>
        <w:t>Interim Report: Exploratory Data Analysis</w:t>
      </w:r>
    </w:p>
    <w:p w14:paraId="2E72C419" w14:textId="77777777" w:rsidR="00FE1E03" w:rsidRPr="001C3852" w:rsidRDefault="00000000">
      <w:pPr>
        <w:spacing w:before="80" w:after="40"/>
        <w:jc w:val="center"/>
        <w:rPr>
          <w:rFonts w:ascii="Times New Roman" w:hAnsi="Times New Roman" w:cs="Times New Roman"/>
          <w:color w:val="000000" w:themeColor="text1"/>
        </w:rPr>
      </w:pPr>
      <w:r w:rsidRPr="001C3852">
        <w:rPr>
          <w:rFonts w:ascii="Times New Roman" w:hAnsi="Times New Roman" w:cs="Times New Roman"/>
          <w:color w:val="000000" w:themeColor="text1"/>
        </w:rPr>
        <w:t>MISO Student Survey — IT Services at Framingham State University</w:t>
      </w:r>
    </w:p>
    <w:p w14:paraId="03D9B087" w14:textId="77777777" w:rsidR="00FE1E03" w:rsidRPr="001C3852" w:rsidRDefault="00000000">
      <w:pPr>
        <w:spacing w:before="40" w:after="40"/>
        <w:jc w:val="center"/>
        <w:rPr>
          <w:rFonts w:ascii="Times New Roman" w:hAnsi="Times New Roman" w:cs="Times New Roman"/>
          <w:color w:val="000000" w:themeColor="text1"/>
        </w:rPr>
      </w:pPr>
      <w:r w:rsidRPr="001C3852">
        <w:rPr>
          <w:rFonts w:ascii="Times New Roman" w:hAnsi="Times New Roman" w:cs="Times New Roman"/>
          <w:i/>
          <w:iCs/>
          <w:color w:val="000000" w:themeColor="text1"/>
          <w:sz w:val="20"/>
          <w:szCs w:val="20"/>
        </w:rPr>
        <w:t>Pre-COVID (2018)  ·  During-COVID (2021)  ·  Post-COVID (2024)</w:t>
      </w:r>
    </w:p>
    <w:p w14:paraId="5155DC6C" w14:textId="77777777" w:rsidR="00FE1E03" w:rsidRPr="001C3852" w:rsidRDefault="00000000">
      <w:pPr>
        <w:spacing w:before="40" w:after="280"/>
        <w:jc w:val="center"/>
        <w:rPr>
          <w:rFonts w:ascii="Times New Roman" w:hAnsi="Times New Roman" w:cs="Times New Roman"/>
          <w:color w:val="000000" w:themeColor="text1"/>
        </w:rPr>
      </w:pPr>
      <w:r w:rsidRPr="001C3852">
        <w:rPr>
          <w:rFonts w:ascii="Times New Roman" w:hAnsi="Times New Roman" w:cs="Times New Roman"/>
          <w:color w:val="000000" w:themeColor="text1"/>
          <w:sz w:val="18"/>
          <w:szCs w:val="18"/>
        </w:rPr>
        <w:t>MISM 6213: Enterprise Data and Analytics Strategy  |  Northeastern University  |  March 2026</w:t>
      </w:r>
    </w:p>
    <w:p w14:paraId="65F5E99B" w14:textId="77777777" w:rsidR="00FE1E03" w:rsidRPr="001C3852" w:rsidRDefault="00000000">
      <w:pPr>
        <w:pStyle w:val="Heading1"/>
        <w:rPr>
          <w:rFonts w:ascii="Times New Roman" w:hAnsi="Times New Roman" w:cs="Times New Roman"/>
          <w:color w:val="000000" w:themeColor="text1"/>
        </w:rPr>
      </w:pPr>
      <w:r w:rsidRPr="001C3852">
        <w:rPr>
          <w:rFonts w:ascii="Times New Roman" w:hAnsi="Times New Roman" w:cs="Times New Roman"/>
          <w:color w:val="000000" w:themeColor="text1"/>
        </w:rPr>
        <w:t>1. Executive Summary</w:t>
      </w:r>
    </w:p>
    <w:p w14:paraId="260FDF5D" w14:textId="77777777" w:rsidR="00FE1E03" w:rsidRPr="001C3852" w:rsidRDefault="00000000">
      <w:pPr>
        <w:spacing w:before="120" w:after="120" w:line="276" w:lineRule="auto"/>
        <w:jc w:val="both"/>
        <w:rPr>
          <w:rFonts w:ascii="Times New Roman" w:hAnsi="Times New Roman" w:cs="Times New Roman"/>
          <w:color w:val="000000" w:themeColor="text1"/>
        </w:rPr>
      </w:pPr>
      <w:r w:rsidRPr="001C3852">
        <w:rPr>
          <w:rFonts w:ascii="Times New Roman" w:hAnsi="Times New Roman" w:cs="Times New Roman"/>
          <w:color w:val="000000" w:themeColor="text1"/>
        </w:rPr>
        <w:t>Our team analyzed student survey data from Framingham State University’s MISO (Measuring Information Service Outcomes) surveys across three periods—pre-COVID (2018), during-COVID (2021), and post-COVID (2024)—to understand how perceptions of IT services evolved. We merged and cleaned 815 student responses scoped exclusively to Information Technology Services and built composite scores enabling direct longitudinal comparison. Following the exploratory-to-explanatory progression described in Chapter 5 of Dykes’ Effective Data Storytelling, our analysis uncovered a central paradox: IT service usage declined 20% and never recovered, yet satisfaction improved continuously. At the same time, student awareness of available services has remained largely stagnant. This actionable insight points toward a strategic shift: the university should pivot from service improvement to service awareness and adoption. The quality investment has paid off—the next challenge is ensuring students know about and use what has been built for them.</w:t>
      </w:r>
    </w:p>
    <w:p w14:paraId="49F8B685" w14:textId="77777777" w:rsidR="00FE1E03" w:rsidRPr="001C3852" w:rsidRDefault="00000000">
      <w:pPr>
        <w:pStyle w:val="Heading1"/>
        <w:rPr>
          <w:rFonts w:ascii="Times New Roman" w:hAnsi="Times New Roman" w:cs="Times New Roman"/>
          <w:color w:val="000000" w:themeColor="text1"/>
        </w:rPr>
      </w:pPr>
      <w:r w:rsidRPr="001C3852">
        <w:rPr>
          <w:rFonts w:ascii="Times New Roman" w:hAnsi="Times New Roman" w:cs="Times New Roman"/>
          <w:color w:val="000000" w:themeColor="text1"/>
        </w:rPr>
        <w:t>2. Data Preparation</w:t>
      </w:r>
    </w:p>
    <w:p w14:paraId="657EEDF2" w14:textId="77777777" w:rsidR="00FE1E03" w:rsidRPr="001C3852" w:rsidRDefault="00000000">
      <w:pPr>
        <w:spacing w:before="120" w:after="120" w:line="276" w:lineRule="auto"/>
        <w:jc w:val="both"/>
        <w:rPr>
          <w:rFonts w:ascii="Times New Roman" w:hAnsi="Times New Roman" w:cs="Times New Roman"/>
          <w:color w:val="000000" w:themeColor="text1"/>
        </w:rPr>
      </w:pPr>
      <w:r w:rsidRPr="001C3852">
        <w:rPr>
          <w:rFonts w:ascii="Times New Roman" w:hAnsi="Times New Roman" w:cs="Times New Roman"/>
          <w:color w:val="000000" w:themeColor="text1"/>
        </w:rPr>
        <w:t>The dataset was built by merging three Qualtrics survey exports (2018, 2021, 2024) into a single analysis-ready file of 815 student respondents across 76 columns. All three raw CSVs used Latin-1 encoding and contained multi-row Qualtrics headers that were stripped before processing. An ordered categorical covid_period column was appended to enable longitudinal grouping.</w:t>
      </w:r>
    </w:p>
    <w:p w14:paraId="517B50C1" w14:textId="77777777" w:rsidR="00FE1E03" w:rsidRPr="001C3852" w:rsidRDefault="00000000">
      <w:pPr>
        <w:spacing w:before="120" w:after="120" w:line="276" w:lineRule="auto"/>
        <w:jc w:val="both"/>
        <w:rPr>
          <w:rFonts w:ascii="Times New Roman" w:hAnsi="Times New Roman" w:cs="Times New Roman"/>
          <w:color w:val="000000" w:themeColor="text1"/>
        </w:rPr>
      </w:pPr>
      <w:r w:rsidRPr="001C3852">
        <w:rPr>
          <w:rFonts w:ascii="Times New Roman" w:hAnsi="Times New Roman" w:cs="Times New Roman"/>
          <w:b/>
          <w:bCs/>
          <w:color w:val="000000" w:themeColor="text1"/>
        </w:rPr>
        <w:t xml:space="preserve">Scope restriction and sentinel treatment. </w:t>
      </w:r>
      <w:r w:rsidRPr="001C3852">
        <w:rPr>
          <w:rFonts w:ascii="Times New Roman" w:hAnsi="Times New Roman" w:cs="Times New Roman"/>
          <w:color w:val="000000" w:themeColor="text1"/>
        </w:rPr>
        <w:t>All Library Services columns were identified by substring matching on known library column codes and excluded per the assignment brief. Throughout all files, -99 represents “Not Applicable” and was converted to NaN. For Likert columns where the Not Applicable rate exceeded 10%, a separate boolean flag column was created to preserve the distinction between deliberate non-response and true missingness.</w:t>
      </w:r>
    </w:p>
    <w:p w14:paraId="02D5CEEA" w14:textId="77777777" w:rsidR="00FE1E03" w:rsidRPr="001C3852" w:rsidRDefault="00000000">
      <w:pPr>
        <w:spacing w:before="120" w:after="120" w:line="276" w:lineRule="auto"/>
        <w:jc w:val="both"/>
        <w:rPr>
          <w:rFonts w:ascii="Times New Roman" w:hAnsi="Times New Roman" w:cs="Times New Roman"/>
          <w:color w:val="000000" w:themeColor="text1"/>
        </w:rPr>
      </w:pPr>
      <w:r w:rsidRPr="001C3852">
        <w:rPr>
          <w:rFonts w:ascii="Times New Roman" w:hAnsi="Times New Roman" w:cs="Times New Roman"/>
          <w:b/>
          <w:bCs/>
          <w:color w:val="000000" w:themeColor="text1"/>
        </w:rPr>
        <w:t xml:space="preserve">Imputation and standardization. </w:t>
      </w:r>
      <w:r w:rsidRPr="001C3852">
        <w:rPr>
          <w:rFonts w:ascii="Times New Roman" w:hAnsi="Times New Roman" w:cs="Times New Roman"/>
          <w:color w:val="000000" w:themeColor="text1"/>
        </w:rPr>
        <w:t>Likert columns with less than 40% missing data were imputed using column median (chosen over mean because Likert scales are ordinal). Columns exceeding 40% were left as NaN. Demographic standardization addressed the university’s academic division reorganization between 2018 and 2021, unified gender codes, and corrected a HISP/INTER binary encoding bug that had reduced coverage from 76% to under 13%.</w:t>
      </w:r>
    </w:p>
    <w:p w14:paraId="5F6F8F78" w14:textId="77777777" w:rsidR="00FE1E03" w:rsidRPr="001C3852" w:rsidRDefault="00000000">
      <w:pPr>
        <w:spacing w:before="120" w:after="120" w:line="276" w:lineRule="auto"/>
        <w:jc w:val="both"/>
        <w:rPr>
          <w:rFonts w:ascii="Times New Roman" w:hAnsi="Times New Roman" w:cs="Times New Roman"/>
          <w:color w:val="000000" w:themeColor="text1"/>
        </w:rPr>
      </w:pPr>
      <w:r w:rsidRPr="001C3852">
        <w:rPr>
          <w:rFonts w:ascii="Times New Roman" w:hAnsi="Times New Roman" w:cs="Times New Roman"/>
          <w:b/>
          <w:bCs/>
          <w:color w:val="000000" w:themeColor="text1"/>
        </w:rPr>
        <w:t xml:space="preserve">Feature engineering. </w:t>
      </w:r>
      <w:r w:rsidRPr="001C3852">
        <w:rPr>
          <w:rFonts w:ascii="Times New Roman" w:hAnsi="Times New Roman" w:cs="Times New Roman"/>
          <w:color w:val="000000" w:themeColor="text1"/>
        </w:rPr>
        <w:t>USE_CMS (Blackboard Learn in 2018/2021, Canvas in 2024) was treated as continuous. Eight composite scores were engineered using only columns present in all three years for cross-period comparability, with a 50% missing-component threshold per respondent. Outliers were flagged using IQR (not removed), and 15 duplicate rows were identified and removed. The full pipeline was implemented in Python 3 (pandas, NumPy, matplotlib) and is fully reproducible.</w:t>
      </w:r>
    </w:p>
    <w:p w14:paraId="3C120F6E" w14:textId="77777777" w:rsidR="001C3852" w:rsidRDefault="001C3852">
      <w:pPr>
        <w:spacing w:before="200" w:after="120" w:line="276" w:lineRule="auto"/>
        <w:jc w:val="both"/>
        <w:rPr>
          <w:rFonts w:ascii="Times New Roman" w:hAnsi="Times New Roman" w:cs="Times New Roman"/>
          <w:b/>
          <w:bCs/>
          <w:color w:val="000000" w:themeColor="text1"/>
        </w:rPr>
      </w:pPr>
    </w:p>
    <w:p w14:paraId="317F59D6" w14:textId="77777777" w:rsidR="001C3852" w:rsidRDefault="001C3852">
      <w:pPr>
        <w:spacing w:before="200" w:after="120" w:line="276" w:lineRule="auto"/>
        <w:jc w:val="both"/>
        <w:rPr>
          <w:rFonts w:ascii="Times New Roman" w:hAnsi="Times New Roman" w:cs="Times New Roman"/>
          <w:b/>
          <w:bCs/>
          <w:color w:val="000000" w:themeColor="text1"/>
        </w:rPr>
      </w:pPr>
    </w:p>
    <w:p w14:paraId="7C9581E3" w14:textId="7DA62335" w:rsidR="001C3852" w:rsidRPr="001C3852" w:rsidRDefault="00000000">
      <w:pPr>
        <w:spacing w:before="200" w:after="120" w:line="276" w:lineRule="auto"/>
        <w:jc w:val="both"/>
        <w:rPr>
          <w:rFonts w:ascii="Times New Roman" w:hAnsi="Times New Roman" w:cs="Times New Roman"/>
          <w:i/>
          <w:iCs/>
          <w:color w:val="000000" w:themeColor="text1"/>
        </w:rPr>
      </w:pPr>
      <w:r w:rsidRPr="001C3852">
        <w:rPr>
          <w:rFonts w:ascii="Times New Roman" w:hAnsi="Times New Roman" w:cs="Times New Roman"/>
          <w:b/>
          <w:bCs/>
          <w:color w:val="000000" w:themeColor="text1"/>
        </w:rPr>
        <w:lastRenderedPageBreak/>
        <w:t xml:space="preserve">Table 1: </w:t>
      </w:r>
      <w:r w:rsidRPr="001C3852">
        <w:rPr>
          <w:rFonts w:ascii="Times New Roman" w:hAnsi="Times New Roman" w:cs="Times New Roman"/>
          <w:i/>
          <w:iCs/>
          <w:color w:val="000000" w:themeColor="text1"/>
        </w:rPr>
        <w:t>Composite Score Definitions (all built from cross-year core columns)</w:t>
      </w:r>
    </w:p>
    <w:tbl>
      <w:tblPr>
        <w:tblStyle w:val="ListTable3"/>
        <w:tblW w:w="10046" w:type="dxa"/>
        <w:tblLook w:val="0020" w:firstRow="1" w:lastRow="0" w:firstColumn="0" w:lastColumn="0" w:noHBand="0" w:noVBand="0"/>
      </w:tblPr>
      <w:tblGrid>
        <w:gridCol w:w="2708"/>
        <w:gridCol w:w="4632"/>
        <w:gridCol w:w="1353"/>
        <w:gridCol w:w="1353"/>
      </w:tblGrid>
      <w:tr w:rsidR="001C3852" w:rsidRPr="001C3852" w14:paraId="03A1CDEF" w14:textId="77777777" w:rsidTr="00F839B2">
        <w:trPr>
          <w:cnfStyle w:val="100000000000" w:firstRow="1" w:lastRow="0" w:firstColumn="0" w:lastColumn="0" w:oddVBand="0" w:evenVBand="0" w:oddHBand="0" w:evenHBand="0" w:firstRowFirstColumn="0" w:firstRowLastColumn="0" w:lastRowFirstColumn="0" w:lastRowLastColumn="0"/>
          <w:trHeight w:val="252"/>
        </w:trPr>
        <w:tc>
          <w:tcPr>
            <w:cnfStyle w:val="000010000000" w:firstRow="0" w:lastRow="0" w:firstColumn="0" w:lastColumn="0" w:oddVBand="1" w:evenVBand="0" w:oddHBand="0" w:evenHBand="0" w:firstRowFirstColumn="0" w:firstRowLastColumn="0" w:lastRowFirstColumn="0" w:lastRowLastColumn="0"/>
            <w:tcW w:w="2708" w:type="dxa"/>
          </w:tcPr>
          <w:p w14:paraId="0597AD50" w14:textId="77777777" w:rsidR="00FE1E03" w:rsidRPr="001E01C2" w:rsidRDefault="00000000">
            <w:pPr>
              <w:jc w:val="center"/>
              <w:rPr>
                <w:rFonts w:ascii="Times New Roman" w:hAnsi="Times New Roman" w:cs="Times New Roman"/>
              </w:rPr>
            </w:pPr>
            <w:r w:rsidRPr="001E01C2">
              <w:rPr>
                <w:rFonts w:ascii="Times New Roman" w:hAnsi="Times New Roman" w:cs="Times New Roman"/>
                <w:sz w:val="18"/>
                <w:szCs w:val="18"/>
              </w:rPr>
              <w:t>Composite</w:t>
            </w:r>
          </w:p>
        </w:tc>
        <w:tc>
          <w:tcPr>
            <w:tcW w:w="4632" w:type="dxa"/>
          </w:tcPr>
          <w:p w14:paraId="26E08A84" w14:textId="77777777" w:rsidR="00FE1E03" w:rsidRPr="001E01C2"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E01C2">
              <w:rPr>
                <w:rFonts w:ascii="Times New Roman" w:hAnsi="Times New Roman" w:cs="Times New Roman"/>
                <w:sz w:val="18"/>
                <w:szCs w:val="18"/>
              </w:rPr>
              <w:t>Component Columns</w:t>
            </w:r>
          </w:p>
        </w:tc>
        <w:tc>
          <w:tcPr>
            <w:cnfStyle w:val="000010000000" w:firstRow="0" w:lastRow="0" w:firstColumn="0" w:lastColumn="0" w:oddVBand="1" w:evenVBand="0" w:oddHBand="0" w:evenHBand="0" w:firstRowFirstColumn="0" w:firstRowLastColumn="0" w:lastRowFirstColumn="0" w:lastRowLastColumn="0"/>
            <w:tcW w:w="1353" w:type="dxa"/>
          </w:tcPr>
          <w:p w14:paraId="0F2EA320" w14:textId="77777777" w:rsidR="00FE1E03" w:rsidRPr="001E01C2" w:rsidRDefault="00000000">
            <w:pPr>
              <w:jc w:val="center"/>
              <w:rPr>
                <w:rFonts w:ascii="Times New Roman" w:hAnsi="Times New Roman" w:cs="Times New Roman"/>
              </w:rPr>
            </w:pPr>
            <w:r w:rsidRPr="001E01C2">
              <w:rPr>
                <w:rFonts w:ascii="Times New Roman" w:hAnsi="Times New Roman" w:cs="Times New Roman"/>
                <w:sz w:val="18"/>
                <w:szCs w:val="18"/>
              </w:rPr>
              <w:t>Scale</w:t>
            </w:r>
          </w:p>
        </w:tc>
        <w:tc>
          <w:tcPr>
            <w:tcW w:w="1353" w:type="dxa"/>
          </w:tcPr>
          <w:p w14:paraId="0B34CCCF" w14:textId="77777777" w:rsidR="00FE1E03" w:rsidRPr="001E01C2"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E01C2">
              <w:rPr>
                <w:rFonts w:ascii="Times New Roman" w:hAnsi="Times New Roman" w:cs="Times New Roman"/>
                <w:sz w:val="18"/>
                <w:szCs w:val="18"/>
              </w:rPr>
              <w:t>n Items</w:t>
            </w:r>
          </w:p>
        </w:tc>
      </w:tr>
      <w:tr w:rsidR="001C3852" w:rsidRPr="001C3852" w14:paraId="0748A95A" w14:textId="77777777" w:rsidTr="00F839B2">
        <w:trPr>
          <w:cnfStyle w:val="000000100000" w:firstRow="0" w:lastRow="0" w:firstColumn="0" w:lastColumn="0" w:oddVBand="0" w:evenVBand="0" w:oddHBand="1" w:evenHBand="0" w:firstRowFirstColumn="0" w:firstRowLastColumn="0" w:lastRowFirstColumn="0" w:lastRowLastColumn="0"/>
          <w:trHeight w:val="520"/>
        </w:trPr>
        <w:tc>
          <w:tcPr>
            <w:cnfStyle w:val="000010000000" w:firstRow="0" w:lastRow="0" w:firstColumn="0" w:lastColumn="0" w:oddVBand="1" w:evenVBand="0" w:oddHBand="0" w:evenHBand="0" w:firstRowFirstColumn="0" w:firstRowLastColumn="0" w:lastRowFirstColumn="0" w:lastRowLastColumn="0"/>
            <w:tcW w:w="2708" w:type="dxa"/>
          </w:tcPr>
          <w:p w14:paraId="71660E28" w14:textId="77777777" w:rsidR="00FE1E03" w:rsidRPr="001C3852" w:rsidRDefault="00000000">
            <w:pPr>
              <w:rPr>
                <w:rFonts w:ascii="Times New Roman" w:hAnsi="Times New Roman" w:cs="Times New Roman"/>
                <w:color w:val="000000" w:themeColor="text1"/>
              </w:rPr>
            </w:pPr>
            <w:r w:rsidRPr="001C3852">
              <w:rPr>
                <w:rFonts w:ascii="Times New Roman" w:hAnsi="Times New Roman" w:cs="Times New Roman"/>
                <w:b/>
                <w:bCs/>
                <w:color w:val="000000" w:themeColor="text1"/>
                <w:sz w:val="18"/>
                <w:szCs w:val="18"/>
              </w:rPr>
              <w:t>IT Usage</w:t>
            </w:r>
          </w:p>
        </w:tc>
        <w:tc>
          <w:tcPr>
            <w:tcW w:w="4632" w:type="dxa"/>
          </w:tcPr>
          <w:p w14:paraId="733A078B" w14:textId="77777777" w:rsidR="00FE1E03" w:rsidRPr="001C385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1C3852">
              <w:rPr>
                <w:rFonts w:ascii="Times New Roman" w:hAnsi="Times New Roman" w:cs="Times New Roman"/>
                <w:color w:val="000000" w:themeColor="text1"/>
                <w:sz w:val="18"/>
                <w:szCs w:val="18"/>
              </w:rPr>
              <w:t>USE_CMS, USE_FPC, USE_AORO, USE_ERPSS, USE_CWS</w:t>
            </w:r>
          </w:p>
        </w:tc>
        <w:tc>
          <w:tcPr>
            <w:cnfStyle w:val="000010000000" w:firstRow="0" w:lastRow="0" w:firstColumn="0" w:lastColumn="0" w:oddVBand="1" w:evenVBand="0" w:oddHBand="0" w:evenHBand="0" w:firstRowFirstColumn="0" w:firstRowLastColumn="0" w:lastRowFirstColumn="0" w:lastRowLastColumn="0"/>
            <w:tcW w:w="1353" w:type="dxa"/>
          </w:tcPr>
          <w:p w14:paraId="144058CF" w14:textId="77777777" w:rsidR="00FE1E03" w:rsidRPr="001C3852" w:rsidRDefault="00000000">
            <w:pPr>
              <w:jc w:val="center"/>
              <w:rPr>
                <w:rFonts w:ascii="Times New Roman" w:hAnsi="Times New Roman" w:cs="Times New Roman"/>
                <w:color w:val="000000" w:themeColor="text1"/>
              </w:rPr>
            </w:pPr>
            <w:r w:rsidRPr="001C3852">
              <w:rPr>
                <w:rFonts w:ascii="Times New Roman" w:hAnsi="Times New Roman" w:cs="Times New Roman"/>
                <w:color w:val="000000" w:themeColor="text1"/>
                <w:sz w:val="18"/>
                <w:szCs w:val="18"/>
              </w:rPr>
              <w:t>1–5</w:t>
            </w:r>
          </w:p>
        </w:tc>
        <w:tc>
          <w:tcPr>
            <w:tcW w:w="1353" w:type="dxa"/>
          </w:tcPr>
          <w:p w14:paraId="039BB3AD" w14:textId="77777777" w:rsidR="00FE1E03" w:rsidRPr="001C3852"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1C3852">
              <w:rPr>
                <w:rFonts w:ascii="Times New Roman" w:hAnsi="Times New Roman" w:cs="Times New Roman"/>
                <w:color w:val="000000" w:themeColor="text1"/>
                <w:sz w:val="18"/>
                <w:szCs w:val="18"/>
              </w:rPr>
              <w:t>5</w:t>
            </w:r>
          </w:p>
        </w:tc>
      </w:tr>
      <w:tr w:rsidR="001C3852" w:rsidRPr="001C3852" w14:paraId="66B2DF51" w14:textId="77777777" w:rsidTr="00F839B2">
        <w:trPr>
          <w:trHeight w:val="773"/>
        </w:trPr>
        <w:tc>
          <w:tcPr>
            <w:cnfStyle w:val="000010000000" w:firstRow="0" w:lastRow="0" w:firstColumn="0" w:lastColumn="0" w:oddVBand="1" w:evenVBand="0" w:oddHBand="0" w:evenHBand="0" w:firstRowFirstColumn="0" w:firstRowLastColumn="0" w:lastRowFirstColumn="0" w:lastRowLastColumn="0"/>
            <w:tcW w:w="2708" w:type="dxa"/>
          </w:tcPr>
          <w:p w14:paraId="09958956" w14:textId="77777777" w:rsidR="00FE1E03" w:rsidRPr="001C3852" w:rsidRDefault="00000000">
            <w:pPr>
              <w:rPr>
                <w:rFonts w:ascii="Times New Roman" w:hAnsi="Times New Roman" w:cs="Times New Roman"/>
                <w:color w:val="000000" w:themeColor="text1"/>
              </w:rPr>
            </w:pPr>
            <w:r w:rsidRPr="001C3852">
              <w:rPr>
                <w:rFonts w:ascii="Times New Roman" w:hAnsi="Times New Roman" w:cs="Times New Roman"/>
                <w:b/>
                <w:bCs/>
                <w:color w:val="000000" w:themeColor="text1"/>
                <w:sz w:val="18"/>
                <w:szCs w:val="18"/>
              </w:rPr>
              <w:t>IT Satisfaction</w:t>
            </w:r>
          </w:p>
        </w:tc>
        <w:tc>
          <w:tcPr>
            <w:tcW w:w="4632" w:type="dxa"/>
          </w:tcPr>
          <w:p w14:paraId="48C25F17" w14:textId="77777777" w:rsidR="00FE1E03" w:rsidRPr="001C385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C3852">
              <w:rPr>
                <w:rFonts w:ascii="Times New Roman" w:hAnsi="Times New Roman" w:cs="Times New Roman"/>
                <w:color w:val="000000" w:themeColor="text1"/>
                <w:sz w:val="18"/>
                <w:szCs w:val="18"/>
              </w:rPr>
              <w:t>DS_CMS, DS_CMSS, DS_FPC, DS_SICP, DS_SDCP, DS_AWAC, DS_PWAC, DS_AORO, DS_ERPSS, DS_SERPP, DS_CWS, DS_OCS</w:t>
            </w:r>
          </w:p>
        </w:tc>
        <w:tc>
          <w:tcPr>
            <w:cnfStyle w:val="000010000000" w:firstRow="0" w:lastRow="0" w:firstColumn="0" w:lastColumn="0" w:oddVBand="1" w:evenVBand="0" w:oddHBand="0" w:evenHBand="0" w:firstRowFirstColumn="0" w:firstRowLastColumn="0" w:lastRowFirstColumn="0" w:lastRowLastColumn="0"/>
            <w:tcW w:w="1353" w:type="dxa"/>
          </w:tcPr>
          <w:p w14:paraId="63C6CDB2" w14:textId="77777777" w:rsidR="00FE1E03" w:rsidRPr="001C3852" w:rsidRDefault="00000000">
            <w:pPr>
              <w:jc w:val="center"/>
              <w:rPr>
                <w:rFonts w:ascii="Times New Roman" w:hAnsi="Times New Roman" w:cs="Times New Roman"/>
                <w:color w:val="000000" w:themeColor="text1"/>
              </w:rPr>
            </w:pPr>
            <w:r w:rsidRPr="001C3852">
              <w:rPr>
                <w:rFonts w:ascii="Times New Roman" w:hAnsi="Times New Roman" w:cs="Times New Roman"/>
                <w:color w:val="000000" w:themeColor="text1"/>
                <w:sz w:val="18"/>
                <w:szCs w:val="18"/>
              </w:rPr>
              <w:t>1–4</w:t>
            </w:r>
          </w:p>
        </w:tc>
        <w:tc>
          <w:tcPr>
            <w:tcW w:w="1353" w:type="dxa"/>
          </w:tcPr>
          <w:p w14:paraId="5CCE056C" w14:textId="77777777" w:rsidR="00FE1E03" w:rsidRPr="001C385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C3852">
              <w:rPr>
                <w:rFonts w:ascii="Times New Roman" w:hAnsi="Times New Roman" w:cs="Times New Roman"/>
                <w:color w:val="000000" w:themeColor="text1"/>
                <w:sz w:val="18"/>
                <w:szCs w:val="18"/>
              </w:rPr>
              <w:t>12</w:t>
            </w:r>
          </w:p>
        </w:tc>
      </w:tr>
      <w:tr w:rsidR="001C3852" w:rsidRPr="001C3852" w14:paraId="0F3C81F0" w14:textId="77777777" w:rsidTr="00F839B2">
        <w:trPr>
          <w:cnfStyle w:val="000000100000" w:firstRow="0" w:lastRow="0" w:firstColumn="0" w:lastColumn="0" w:oddVBand="0" w:evenVBand="0" w:oddHBand="1" w:evenHBand="0" w:firstRowFirstColumn="0" w:firstRowLastColumn="0" w:lastRowFirstColumn="0" w:lastRowLastColumn="0"/>
          <w:trHeight w:val="757"/>
        </w:trPr>
        <w:tc>
          <w:tcPr>
            <w:cnfStyle w:val="000010000000" w:firstRow="0" w:lastRow="0" w:firstColumn="0" w:lastColumn="0" w:oddVBand="1" w:evenVBand="0" w:oddHBand="0" w:evenHBand="0" w:firstRowFirstColumn="0" w:firstRowLastColumn="0" w:lastRowFirstColumn="0" w:lastRowLastColumn="0"/>
            <w:tcW w:w="2708" w:type="dxa"/>
          </w:tcPr>
          <w:p w14:paraId="772E1385" w14:textId="77777777" w:rsidR="00FE1E03" w:rsidRPr="001C3852" w:rsidRDefault="00000000">
            <w:pPr>
              <w:rPr>
                <w:rFonts w:ascii="Times New Roman" w:hAnsi="Times New Roman" w:cs="Times New Roman"/>
                <w:color w:val="000000" w:themeColor="text1"/>
              </w:rPr>
            </w:pPr>
            <w:r w:rsidRPr="001C3852">
              <w:rPr>
                <w:rFonts w:ascii="Times New Roman" w:hAnsi="Times New Roman" w:cs="Times New Roman"/>
                <w:b/>
                <w:bCs/>
                <w:color w:val="000000" w:themeColor="text1"/>
                <w:sz w:val="18"/>
                <w:szCs w:val="18"/>
              </w:rPr>
              <w:t>IT Importance</w:t>
            </w:r>
          </w:p>
        </w:tc>
        <w:tc>
          <w:tcPr>
            <w:tcW w:w="4632" w:type="dxa"/>
          </w:tcPr>
          <w:p w14:paraId="3DAFC124" w14:textId="77777777" w:rsidR="00FE1E03" w:rsidRPr="001C385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1C3852">
              <w:rPr>
                <w:rFonts w:ascii="Times New Roman" w:hAnsi="Times New Roman" w:cs="Times New Roman"/>
                <w:color w:val="000000" w:themeColor="text1"/>
                <w:sz w:val="18"/>
                <w:szCs w:val="18"/>
              </w:rPr>
              <w:t>IMP_CMS, IMP_FPC, IMP_SICP, IMP_SDCP, IMP_AWAC, IMP_PWAC, IMP_AORO, IMP_ERPSS, IMP_SERPP, IMP_CWS, IMP_OCS</w:t>
            </w:r>
          </w:p>
        </w:tc>
        <w:tc>
          <w:tcPr>
            <w:cnfStyle w:val="000010000000" w:firstRow="0" w:lastRow="0" w:firstColumn="0" w:lastColumn="0" w:oddVBand="1" w:evenVBand="0" w:oddHBand="0" w:evenHBand="0" w:firstRowFirstColumn="0" w:firstRowLastColumn="0" w:lastRowFirstColumn="0" w:lastRowLastColumn="0"/>
            <w:tcW w:w="1353" w:type="dxa"/>
          </w:tcPr>
          <w:p w14:paraId="1A91443E" w14:textId="77777777" w:rsidR="00FE1E03" w:rsidRPr="001C3852" w:rsidRDefault="00000000">
            <w:pPr>
              <w:jc w:val="center"/>
              <w:rPr>
                <w:rFonts w:ascii="Times New Roman" w:hAnsi="Times New Roman" w:cs="Times New Roman"/>
                <w:color w:val="000000" w:themeColor="text1"/>
              </w:rPr>
            </w:pPr>
            <w:r w:rsidRPr="001C3852">
              <w:rPr>
                <w:rFonts w:ascii="Times New Roman" w:hAnsi="Times New Roman" w:cs="Times New Roman"/>
                <w:color w:val="000000" w:themeColor="text1"/>
                <w:sz w:val="18"/>
                <w:szCs w:val="18"/>
              </w:rPr>
              <w:t>1–4</w:t>
            </w:r>
          </w:p>
        </w:tc>
        <w:tc>
          <w:tcPr>
            <w:tcW w:w="1353" w:type="dxa"/>
          </w:tcPr>
          <w:p w14:paraId="51F3C0E9" w14:textId="77777777" w:rsidR="00FE1E03" w:rsidRPr="001C3852"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1C3852">
              <w:rPr>
                <w:rFonts w:ascii="Times New Roman" w:hAnsi="Times New Roman" w:cs="Times New Roman"/>
                <w:color w:val="000000" w:themeColor="text1"/>
                <w:sz w:val="18"/>
                <w:szCs w:val="18"/>
              </w:rPr>
              <w:t>11</w:t>
            </w:r>
          </w:p>
        </w:tc>
      </w:tr>
      <w:tr w:rsidR="001C3852" w:rsidRPr="001C3852" w14:paraId="5460C90E" w14:textId="77777777" w:rsidTr="00F839B2">
        <w:trPr>
          <w:trHeight w:val="268"/>
        </w:trPr>
        <w:tc>
          <w:tcPr>
            <w:cnfStyle w:val="000010000000" w:firstRow="0" w:lastRow="0" w:firstColumn="0" w:lastColumn="0" w:oddVBand="1" w:evenVBand="0" w:oddHBand="0" w:evenHBand="0" w:firstRowFirstColumn="0" w:firstRowLastColumn="0" w:lastRowFirstColumn="0" w:lastRowLastColumn="0"/>
            <w:tcW w:w="2708" w:type="dxa"/>
          </w:tcPr>
          <w:p w14:paraId="1F519F1E" w14:textId="77777777" w:rsidR="00FE1E03" w:rsidRPr="001C3852" w:rsidRDefault="00000000">
            <w:pPr>
              <w:rPr>
                <w:rFonts w:ascii="Times New Roman" w:hAnsi="Times New Roman" w:cs="Times New Roman"/>
                <w:color w:val="000000" w:themeColor="text1"/>
              </w:rPr>
            </w:pPr>
            <w:r w:rsidRPr="001C3852">
              <w:rPr>
                <w:rFonts w:ascii="Times New Roman" w:hAnsi="Times New Roman" w:cs="Times New Roman"/>
                <w:b/>
                <w:bCs/>
                <w:color w:val="000000" w:themeColor="text1"/>
                <w:sz w:val="18"/>
                <w:szCs w:val="18"/>
              </w:rPr>
              <w:t>Helpdesk Staff</w:t>
            </w:r>
          </w:p>
        </w:tc>
        <w:tc>
          <w:tcPr>
            <w:tcW w:w="4632" w:type="dxa"/>
          </w:tcPr>
          <w:p w14:paraId="19520DF4" w14:textId="77777777" w:rsidR="00FE1E03" w:rsidRPr="001C385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C3852">
              <w:rPr>
                <w:rFonts w:ascii="Times New Roman" w:hAnsi="Times New Roman" w:cs="Times New Roman"/>
                <w:color w:val="000000" w:themeColor="text1"/>
                <w:sz w:val="18"/>
                <w:szCs w:val="18"/>
              </w:rPr>
              <w:t>DAHD_F, DAHD_K, DAHD_RL, DAHD_RS</w:t>
            </w:r>
          </w:p>
        </w:tc>
        <w:tc>
          <w:tcPr>
            <w:cnfStyle w:val="000010000000" w:firstRow="0" w:lastRow="0" w:firstColumn="0" w:lastColumn="0" w:oddVBand="1" w:evenVBand="0" w:oddHBand="0" w:evenHBand="0" w:firstRowFirstColumn="0" w:firstRowLastColumn="0" w:lastRowFirstColumn="0" w:lastRowLastColumn="0"/>
            <w:tcW w:w="1353" w:type="dxa"/>
          </w:tcPr>
          <w:p w14:paraId="7BEE0B20" w14:textId="77777777" w:rsidR="00FE1E03" w:rsidRPr="001C3852" w:rsidRDefault="00000000">
            <w:pPr>
              <w:jc w:val="center"/>
              <w:rPr>
                <w:rFonts w:ascii="Times New Roman" w:hAnsi="Times New Roman" w:cs="Times New Roman"/>
                <w:color w:val="000000" w:themeColor="text1"/>
              </w:rPr>
            </w:pPr>
            <w:r w:rsidRPr="001C3852">
              <w:rPr>
                <w:rFonts w:ascii="Times New Roman" w:hAnsi="Times New Roman" w:cs="Times New Roman"/>
                <w:color w:val="000000" w:themeColor="text1"/>
                <w:sz w:val="18"/>
                <w:szCs w:val="18"/>
              </w:rPr>
              <w:t>1–4</w:t>
            </w:r>
          </w:p>
        </w:tc>
        <w:tc>
          <w:tcPr>
            <w:tcW w:w="1353" w:type="dxa"/>
          </w:tcPr>
          <w:p w14:paraId="762DC162" w14:textId="77777777" w:rsidR="00FE1E03" w:rsidRPr="001C385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C3852">
              <w:rPr>
                <w:rFonts w:ascii="Times New Roman" w:hAnsi="Times New Roman" w:cs="Times New Roman"/>
                <w:color w:val="000000" w:themeColor="text1"/>
                <w:sz w:val="18"/>
                <w:szCs w:val="18"/>
              </w:rPr>
              <w:t>4</w:t>
            </w:r>
          </w:p>
        </w:tc>
      </w:tr>
      <w:tr w:rsidR="001C3852" w:rsidRPr="001C3852" w14:paraId="760C9DC2" w14:textId="77777777" w:rsidTr="00F839B2">
        <w:trPr>
          <w:cnfStyle w:val="000000100000" w:firstRow="0" w:lastRow="0" w:firstColumn="0" w:lastColumn="0" w:oddVBand="0" w:evenVBand="0" w:oddHBand="1" w:evenHBand="0" w:firstRowFirstColumn="0" w:firstRowLastColumn="0" w:lastRowFirstColumn="0" w:lastRowLastColumn="0"/>
          <w:trHeight w:val="252"/>
        </w:trPr>
        <w:tc>
          <w:tcPr>
            <w:cnfStyle w:val="000010000000" w:firstRow="0" w:lastRow="0" w:firstColumn="0" w:lastColumn="0" w:oddVBand="1" w:evenVBand="0" w:oddHBand="0" w:evenHBand="0" w:firstRowFirstColumn="0" w:firstRowLastColumn="0" w:lastRowFirstColumn="0" w:lastRowLastColumn="0"/>
            <w:tcW w:w="2708" w:type="dxa"/>
          </w:tcPr>
          <w:p w14:paraId="200E130D" w14:textId="77777777" w:rsidR="00FE1E03" w:rsidRPr="001C3852" w:rsidRDefault="00000000">
            <w:pPr>
              <w:rPr>
                <w:rFonts w:ascii="Times New Roman" w:hAnsi="Times New Roman" w:cs="Times New Roman"/>
                <w:color w:val="000000" w:themeColor="text1"/>
              </w:rPr>
            </w:pPr>
            <w:r w:rsidRPr="001C3852">
              <w:rPr>
                <w:rFonts w:ascii="Times New Roman" w:hAnsi="Times New Roman" w:cs="Times New Roman"/>
                <w:b/>
                <w:bCs/>
                <w:color w:val="000000" w:themeColor="text1"/>
                <w:sz w:val="18"/>
                <w:szCs w:val="18"/>
              </w:rPr>
              <w:t>Digital Engagement</w:t>
            </w:r>
          </w:p>
        </w:tc>
        <w:tc>
          <w:tcPr>
            <w:tcW w:w="4632" w:type="dxa"/>
          </w:tcPr>
          <w:p w14:paraId="56FDA1F4" w14:textId="77777777" w:rsidR="00FE1E03" w:rsidRPr="001C385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1C3852">
              <w:rPr>
                <w:rFonts w:ascii="Times New Roman" w:hAnsi="Times New Roman" w:cs="Times New Roman"/>
                <w:color w:val="000000" w:themeColor="text1"/>
                <w:sz w:val="18"/>
                <w:szCs w:val="18"/>
              </w:rPr>
              <w:t>USE_CMS, USE_AORO, USE_CWS</w:t>
            </w:r>
          </w:p>
        </w:tc>
        <w:tc>
          <w:tcPr>
            <w:cnfStyle w:val="000010000000" w:firstRow="0" w:lastRow="0" w:firstColumn="0" w:lastColumn="0" w:oddVBand="1" w:evenVBand="0" w:oddHBand="0" w:evenHBand="0" w:firstRowFirstColumn="0" w:firstRowLastColumn="0" w:lastRowFirstColumn="0" w:lastRowLastColumn="0"/>
            <w:tcW w:w="1353" w:type="dxa"/>
          </w:tcPr>
          <w:p w14:paraId="5B3AEB60" w14:textId="77777777" w:rsidR="00FE1E03" w:rsidRPr="001C3852" w:rsidRDefault="00000000">
            <w:pPr>
              <w:jc w:val="center"/>
              <w:rPr>
                <w:rFonts w:ascii="Times New Roman" w:hAnsi="Times New Roman" w:cs="Times New Roman"/>
                <w:color w:val="000000" w:themeColor="text1"/>
              </w:rPr>
            </w:pPr>
            <w:r w:rsidRPr="001C3852">
              <w:rPr>
                <w:rFonts w:ascii="Times New Roman" w:hAnsi="Times New Roman" w:cs="Times New Roman"/>
                <w:color w:val="000000" w:themeColor="text1"/>
                <w:sz w:val="18"/>
                <w:szCs w:val="18"/>
              </w:rPr>
              <w:t>1–5</w:t>
            </w:r>
          </w:p>
        </w:tc>
        <w:tc>
          <w:tcPr>
            <w:tcW w:w="1353" w:type="dxa"/>
          </w:tcPr>
          <w:p w14:paraId="7E64A4A1" w14:textId="77777777" w:rsidR="00FE1E03" w:rsidRPr="001C3852"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1C3852">
              <w:rPr>
                <w:rFonts w:ascii="Times New Roman" w:hAnsi="Times New Roman" w:cs="Times New Roman"/>
                <w:color w:val="000000" w:themeColor="text1"/>
                <w:sz w:val="18"/>
                <w:szCs w:val="18"/>
              </w:rPr>
              <w:t>3</w:t>
            </w:r>
          </w:p>
        </w:tc>
      </w:tr>
      <w:tr w:rsidR="001C3852" w:rsidRPr="001C3852" w14:paraId="3CD06712" w14:textId="77777777" w:rsidTr="00F839B2">
        <w:trPr>
          <w:trHeight w:val="252"/>
        </w:trPr>
        <w:tc>
          <w:tcPr>
            <w:cnfStyle w:val="000010000000" w:firstRow="0" w:lastRow="0" w:firstColumn="0" w:lastColumn="0" w:oddVBand="1" w:evenVBand="0" w:oddHBand="0" w:evenHBand="0" w:firstRowFirstColumn="0" w:firstRowLastColumn="0" w:lastRowFirstColumn="0" w:lastRowLastColumn="0"/>
            <w:tcW w:w="2708" w:type="dxa"/>
          </w:tcPr>
          <w:p w14:paraId="5D0D239F" w14:textId="77777777" w:rsidR="00FE1E03" w:rsidRPr="001C3852" w:rsidRDefault="00000000">
            <w:pPr>
              <w:rPr>
                <w:rFonts w:ascii="Times New Roman" w:hAnsi="Times New Roman" w:cs="Times New Roman"/>
                <w:color w:val="000000" w:themeColor="text1"/>
              </w:rPr>
            </w:pPr>
            <w:r w:rsidRPr="001C3852">
              <w:rPr>
                <w:rFonts w:ascii="Times New Roman" w:hAnsi="Times New Roman" w:cs="Times New Roman"/>
                <w:b/>
                <w:bCs/>
                <w:color w:val="000000" w:themeColor="text1"/>
                <w:sz w:val="18"/>
                <w:szCs w:val="18"/>
              </w:rPr>
              <w:t>IT Awareness</w:t>
            </w:r>
          </w:p>
        </w:tc>
        <w:tc>
          <w:tcPr>
            <w:tcW w:w="4632" w:type="dxa"/>
          </w:tcPr>
          <w:p w14:paraId="5C1C663F" w14:textId="77777777" w:rsidR="00FE1E03" w:rsidRPr="001C385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C3852">
              <w:rPr>
                <w:rFonts w:ascii="Times New Roman" w:hAnsi="Times New Roman" w:cs="Times New Roman"/>
                <w:color w:val="000000" w:themeColor="text1"/>
                <w:sz w:val="18"/>
                <w:szCs w:val="18"/>
              </w:rPr>
              <w:t>INF_ATS (single item)</w:t>
            </w:r>
          </w:p>
        </w:tc>
        <w:tc>
          <w:tcPr>
            <w:cnfStyle w:val="000010000000" w:firstRow="0" w:lastRow="0" w:firstColumn="0" w:lastColumn="0" w:oddVBand="1" w:evenVBand="0" w:oddHBand="0" w:evenHBand="0" w:firstRowFirstColumn="0" w:firstRowLastColumn="0" w:lastRowFirstColumn="0" w:lastRowLastColumn="0"/>
            <w:tcW w:w="1353" w:type="dxa"/>
          </w:tcPr>
          <w:p w14:paraId="488B76C6" w14:textId="77777777" w:rsidR="00FE1E03" w:rsidRPr="001C3852" w:rsidRDefault="00000000">
            <w:pPr>
              <w:jc w:val="center"/>
              <w:rPr>
                <w:rFonts w:ascii="Times New Roman" w:hAnsi="Times New Roman" w:cs="Times New Roman"/>
                <w:color w:val="000000" w:themeColor="text1"/>
              </w:rPr>
            </w:pPr>
            <w:r w:rsidRPr="001C3852">
              <w:rPr>
                <w:rFonts w:ascii="Times New Roman" w:hAnsi="Times New Roman" w:cs="Times New Roman"/>
                <w:color w:val="000000" w:themeColor="text1"/>
                <w:sz w:val="18"/>
                <w:szCs w:val="18"/>
              </w:rPr>
              <w:t>1–4</w:t>
            </w:r>
          </w:p>
        </w:tc>
        <w:tc>
          <w:tcPr>
            <w:tcW w:w="1353" w:type="dxa"/>
          </w:tcPr>
          <w:p w14:paraId="29585562" w14:textId="77777777" w:rsidR="00FE1E03" w:rsidRPr="001C385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C3852">
              <w:rPr>
                <w:rFonts w:ascii="Times New Roman" w:hAnsi="Times New Roman" w:cs="Times New Roman"/>
                <w:color w:val="000000" w:themeColor="text1"/>
                <w:sz w:val="18"/>
                <w:szCs w:val="18"/>
              </w:rPr>
              <w:t>1</w:t>
            </w:r>
          </w:p>
        </w:tc>
      </w:tr>
    </w:tbl>
    <w:p w14:paraId="220EE88B" w14:textId="77777777" w:rsidR="00FE1E03" w:rsidRPr="001C3852" w:rsidRDefault="00000000">
      <w:pPr>
        <w:pStyle w:val="Heading1"/>
        <w:rPr>
          <w:rFonts w:ascii="Times New Roman" w:hAnsi="Times New Roman" w:cs="Times New Roman"/>
          <w:color w:val="000000" w:themeColor="text1"/>
        </w:rPr>
      </w:pPr>
      <w:r w:rsidRPr="001C3852">
        <w:rPr>
          <w:rFonts w:ascii="Times New Roman" w:hAnsi="Times New Roman" w:cs="Times New Roman"/>
          <w:color w:val="000000" w:themeColor="text1"/>
        </w:rPr>
        <w:t>3. Exploratory Data Analysis</w:t>
      </w:r>
    </w:p>
    <w:p w14:paraId="30FBEF85" w14:textId="77777777" w:rsidR="00FE1E03" w:rsidRPr="001C3852" w:rsidRDefault="00000000">
      <w:pPr>
        <w:spacing w:before="120" w:after="120" w:line="276" w:lineRule="auto"/>
        <w:jc w:val="both"/>
        <w:rPr>
          <w:rFonts w:ascii="Times New Roman" w:hAnsi="Times New Roman" w:cs="Times New Roman"/>
          <w:color w:val="000000" w:themeColor="text1"/>
        </w:rPr>
      </w:pPr>
      <w:r w:rsidRPr="001C3852">
        <w:rPr>
          <w:rFonts w:ascii="Times New Roman" w:hAnsi="Times New Roman" w:cs="Times New Roman"/>
          <w:color w:val="000000" w:themeColor="text1"/>
        </w:rPr>
        <w:t>Our exploratory analysis followed the progression Dykes describes in Chapter 5: beginning with broad composite-level trends to identify where the story lives, then drilling into individual services to understand what is driving the patterns, and finally applying statistical tests to distinguish signal from noise. This section documents the key patterns, anomalies, and comparisons that guided our movement toward an actionable insight.</w:t>
      </w:r>
    </w:p>
    <w:p w14:paraId="4C207EAF" w14:textId="77777777" w:rsidR="00FE1E03" w:rsidRPr="001C3852" w:rsidRDefault="00000000">
      <w:pPr>
        <w:spacing w:before="200" w:after="120" w:line="276" w:lineRule="auto"/>
        <w:jc w:val="both"/>
        <w:rPr>
          <w:rFonts w:ascii="Times New Roman" w:hAnsi="Times New Roman" w:cs="Times New Roman"/>
          <w:color w:val="000000" w:themeColor="text1"/>
        </w:rPr>
      </w:pPr>
      <w:r w:rsidRPr="001C3852">
        <w:rPr>
          <w:rFonts w:ascii="Times New Roman" w:hAnsi="Times New Roman" w:cs="Times New Roman"/>
          <w:b/>
          <w:bCs/>
          <w:color w:val="000000" w:themeColor="text1"/>
          <w:sz w:val="23"/>
          <w:szCs w:val="23"/>
        </w:rPr>
        <w:t>3.1  The Central Paradox: Usage Down, Satisfaction Up</w:t>
      </w:r>
    </w:p>
    <w:p w14:paraId="15A8D05A" w14:textId="77777777" w:rsidR="00FE1E03" w:rsidRPr="001C3852" w:rsidRDefault="00000000">
      <w:pPr>
        <w:spacing w:before="120" w:after="120" w:line="276" w:lineRule="auto"/>
        <w:jc w:val="both"/>
        <w:rPr>
          <w:rFonts w:ascii="Times New Roman" w:hAnsi="Times New Roman" w:cs="Times New Roman"/>
          <w:color w:val="000000" w:themeColor="text1"/>
        </w:rPr>
      </w:pPr>
      <w:r w:rsidRPr="001C3852">
        <w:rPr>
          <w:rFonts w:ascii="Times New Roman" w:hAnsi="Times New Roman" w:cs="Times New Roman"/>
          <w:color w:val="000000" w:themeColor="text1"/>
        </w:rPr>
        <w:t>The composite scores revealed a striking divergence. Mean IT service usage declined monotonically from 3.25 (pre-COVID) to 2.81 (during-COVID) to 2.60 (post-COVID), a cumulative drop of 0.66 points on a 5-point scale. This decline is statistically significant (Kruskal-Wallis H = 130.0, p &lt; 0.001), with large effect sizes between all period pairs. Meanwhile, mean IT satisfaction rose from 3.46 to 3.62 to 3.66 on its 4-point scale (H = 34.6, p &lt; 0.001). In other words, students are interacting with IT services significantly less often, but their experience when they do interact has measurably improved.</w:t>
      </w:r>
    </w:p>
    <w:p w14:paraId="084DB8D5" w14:textId="77777777" w:rsidR="00FE1E03" w:rsidRPr="001C3852" w:rsidRDefault="00000000">
      <w:pPr>
        <w:spacing w:before="200" w:after="120" w:line="276" w:lineRule="auto"/>
        <w:jc w:val="both"/>
        <w:rPr>
          <w:rFonts w:ascii="Times New Roman" w:hAnsi="Times New Roman" w:cs="Times New Roman"/>
          <w:color w:val="000000" w:themeColor="text1"/>
        </w:rPr>
      </w:pPr>
      <w:r w:rsidRPr="001C3852">
        <w:rPr>
          <w:rFonts w:ascii="Times New Roman" w:hAnsi="Times New Roman" w:cs="Times New Roman"/>
          <w:b/>
          <w:bCs/>
          <w:color w:val="000000" w:themeColor="text1"/>
        </w:rPr>
        <w:t xml:space="preserve">Table 2: </w:t>
      </w:r>
      <w:r w:rsidRPr="001C3852">
        <w:rPr>
          <w:rFonts w:ascii="Times New Roman" w:hAnsi="Times New Roman" w:cs="Times New Roman"/>
          <w:i/>
          <w:iCs/>
          <w:color w:val="000000" w:themeColor="text1"/>
        </w:rPr>
        <w:t>Composite Score Trends by COVID Period</w:t>
      </w:r>
    </w:p>
    <w:tbl>
      <w:tblPr>
        <w:tblStyle w:val="ListTable3"/>
        <w:tblW w:w="10098" w:type="dxa"/>
        <w:tblLook w:val="0020" w:firstRow="1" w:lastRow="0" w:firstColumn="0" w:lastColumn="0" w:noHBand="0" w:noVBand="0"/>
      </w:tblPr>
      <w:tblGrid>
        <w:gridCol w:w="2931"/>
        <w:gridCol w:w="1675"/>
        <w:gridCol w:w="1675"/>
        <w:gridCol w:w="1675"/>
        <w:gridCol w:w="1071"/>
        <w:gridCol w:w="1071"/>
      </w:tblGrid>
      <w:tr w:rsidR="001C3852" w:rsidRPr="001C3852" w14:paraId="5AE4BC71" w14:textId="77777777" w:rsidTr="00F839B2">
        <w:trPr>
          <w:cnfStyle w:val="100000000000" w:firstRow="1" w:lastRow="0" w:firstColumn="0" w:lastColumn="0" w:oddVBand="0" w:evenVBand="0" w:oddHBand="0" w:evenHBand="0" w:firstRowFirstColumn="0" w:firstRowLastColumn="0" w:lastRowFirstColumn="0" w:lastRowLastColumn="0"/>
          <w:trHeight w:val="315"/>
        </w:trPr>
        <w:tc>
          <w:tcPr>
            <w:cnfStyle w:val="000010000000" w:firstRow="0" w:lastRow="0" w:firstColumn="0" w:lastColumn="0" w:oddVBand="1" w:evenVBand="0" w:oddHBand="0" w:evenHBand="0" w:firstRowFirstColumn="0" w:firstRowLastColumn="0" w:lastRowFirstColumn="0" w:lastRowLastColumn="0"/>
            <w:tcW w:w="2931" w:type="dxa"/>
          </w:tcPr>
          <w:p w14:paraId="28B87655" w14:textId="77777777" w:rsidR="00FE1E03" w:rsidRPr="001E01C2" w:rsidRDefault="00000000">
            <w:pPr>
              <w:jc w:val="center"/>
              <w:rPr>
                <w:rFonts w:ascii="Times New Roman" w:hAnsi="Times New Roman" w:cs="Times New Roman"/>
              </w:rPr>
            </w:pPr>
            <w:r w:rsidRPr="001E01C2">
              <w:rPr>
                <w:rFonts w:ascii="Times New Roman" w:hAnsi="Times New Roman" w:cs="Times New Roman"/>
                <w:sz w:val="18"/>
                <w:szCs w:val="18"/>
              </w:rPr>
              <w:t>Metric</w:t>
            </w:r>
          </w:p>
        </w:tc>
        <w:tc>
          <w:tcPr>
            <w:tcW w:w="1675" w:type="dxa"/>
          </w:tcPr>
          <w:p w14:paraId="47A06223" w14:textId="77777777" w:rsidR="00FE1E03" w:rsidRPr="001E01C2"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E01C2">
              <w:rPr>
                <w:rFonts w:ascii="Times New Roman" w:hAnsi="Times New Roman" w:cs="Times New Roman"/>
                <w:sz w:val="18"/>
                <w:szCs w:val="18"/>
              </w:rPr>
              <w:t>Pre-COVID</w:t>
            </w:r>
          </w:p>
        </w:tc>
        <w:tc>
          <w:tcPr>
            <w:cnfStyle w:val="000010000000" w:firstRow="0" w:lastRow="0" w:firstColumn="0" w:lastColumn="0" w:oddVBand="1" w:evenVBand="0" w:oddHBand="0" w:evenHBand="0" w:firstRowFirstColumn="0" w:firstRowLastColumn="0" w:lastRowFirstColumn="0" w:lastRowLastColumn="0"/>
            <w:tcW w:w="1675" w:type="dxa"/>
          </w:tcPr>
          <w:p w14:paraId="6EE1A896" w14:textId="77777777" w:rsidR="00FE1E03" w:rsidRPr="001E01C2" w:rsidRDefault="00000000">
            <w:pPr>
              <w:jc w:val="center"/>
              <w:rPr>
                <w:rFonts w:ascii="Times New Roman" w:hAnsi="Times New Roman" w:cs="Times New Roman"/>
              </w:rPr>
            </w:pPr>
            <w:r w:rsidRPr="001E01C2">
              <w:rPr>
                <w:rFonts w:ascii="Times New Roman" w:hAnsi="Times New Roman" w:cs="Times New Roman"/>
                <w:sz w:val="18"/>
                <w:szCs w:val="18"/>
              </w:rPr>
              <w:t>During</w:t>
            </w:r>
          </w:p>
        </w:tc>
        <w:tc>
          <w:tcPr>
            <w:tcW w:w="1675" w:type="dxa"/>
          </w:tcPr>
          <w:p w14:paraId="620D7475" w14:textId="77777777" w:rsidR="00FE1E03" w:rsidRPr="001E01C2"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E01C2">
              <w:rPr>
                <w:rFonts w:ascii="Times New Roman" w:hAnsi="Times New Roman" w:cs="Times New Roman"/>
                <w:sz w:val="18"/>
                <w:szCs w:val="18"/>
              </w:rPr>
              <w:t>Post-COVID</w:t>
            </w:r>
          </w:p>
        </w:tc>
        <w:tc>
          <w:tcPr>
            <w:cnfStyle w:val="000010000000" w:firstRow="0" w:lastRow="0" w:firstColumn="0" w:lastColumn="0" w:oddVBand="1" w:evenVBand="0" w:oddHBand="0" w:evenHBand="0" w:firstRowFirstColumn="0" w:firstRowLastColumn="0" w:lastRowFirstColumn="0" w:lastRowLastColumn="0"/>
            <w:tcW w:w="1071" w:type="dxa"/>
          </w:tcPr>
          <w:p w14:paraId="393990FC" w14:textId="77777777" w:rsidR="00FE1E03" w:rsidRPr="001E01C2" w:rsidRDefault="00000000">
            <w:pPr>
              <w:jc w:val="center"/>
              <w:rPr>
                <w:rFonts w:ascii="Times New Roman" w:hAnsi="Times New Roman" w:cs="Times New Roman"/>
              </w:rPr>
            </w:pPr>
            <w:r w:rsidRPr="001E01C2">
              <w:rPr>
                <w:rFonts w:ascii="Times New Roman" w:hAnsi="Times New Roman" w:cs="Times New Roman"/>
                <w:sz w:val="18"/>
                <w:szCs w:val="18"/>
              </w:rPr>
              <w:t>Δ</w:t>
            </w:r>
          </w:p>
        </w:tc>
        <w:tc>
          <w:tcPr>
            <w:tcW w:w="1071" w:type="dxa"/>
          </w:tcPr>
          <w:p w14:paraId="707BDD46" w14:textId="77777777" w:rsidR="00FE1E03" w:rsidRPr="001E01C2"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E01C2">
              <w:rPr>
                <w:rFonts w:ascii="Times New Roman" w:hAnsi="Times New Roman" w:cs="Times New Roman"/>
                <w:sz w:val="18"/>
                <w:szCs w:val="18"/>
              </w:rPr>
              <w:t>p-value</w:t>
            </w:r>
          </w:p>
        </w:tc>
      </w:tr>
      <w:tr w:rsidR="001C3852" w:rsidRPr="001C3852" w14:paraId="45C1594F" w14:textId="77777777" w:rsidTr="00F839B2">
        <w:trPr>
          <w:cnfStyle w:val="000000100000" w:firstRow="0" w:lastRow="0" w:firstColumn="0" w:lastColumn="0" w:oddVBand="0" w:evenVBand="0" w:oddHBand="1" w:evenHBand="0" w:firstRowFirstColumn="0" w:firstRowLastColumn="0" w:lastRowFirstColumn="0" w:lastRowLastColumn="0"/>
          <w:trHeight w:val="315"/>
        </w:trPr>
        <w:tc>
          <w:tcPr>
            <w:cnfStyle w:val="000010000000" w:firstRow="0" w:lastRow="0" w:firstColumn="0" w:lastColumn="0" w:oddVBand="1" w:evenVBand="0" w:oddHBand="0" w:evenHBand="0" w:firstRowFirstColumn="0" w:firstRowLastColumn="0" w:lastRowFirstColumn="0" w:lastRowLastColumn="0"/>
            <w:tcW w:w="2931" w:type="dxa"/>
          </w:tcPr>
          <w:p w14:paraId="141E1831" w14:textId="77777777" w:rsidR="00FE1E03" w:rsidRPr="001C3852" w:rsidRDefault="00000000">
            <w:pPr>
              <w:rPr>
                <w:rFonts w:ascii="Times New Roman" w:hAnsi="Times New Roman" w:cs="Times New Roman"/>
                <w:color w:val="000000" w:themeColor="text1"/>
              </w:rPr>
            </w:pPr>
            <w:r w:rsidRPr="001C3852">
              <w:rPr>
                <w:rFonts w:ascii="Times New Roman" w:hAnsi="Times New Roman" w:cs="Times New Roman"/>
                <w:b/>
                <w:bCs/>
                <w:color w:val="000000" w:themeColor="text1"/>
                <w:sz w:val="18"/>
                <w:szCs w:val="18"/>
              </w:rPr>
              <w:t>IT Usage (1–5)</w:t>
            </w:r>
          </w:p>
        </w:tc>
        <w:tc>
          <w:tcPr>
            <w:tcW w:w="1675" w:type="dxa"/>
          </w:tcPr>
          <w:p w14:paraId="6192BACF" w14:textId="77777777" w:rsidR="00FE1E03" w:rsidRPr="001C3852"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1C3852">
              <w:rPr>
                <w:rFonts w:ascii="Times New Roman" w:hAnsi="Times New Roman" w:cs="Times New Roman"/>
                <w:color w:val="000000" w:themeColor="text1"/>
                <w:sz w:val="18"/>
                <w:szCs w:val="18"/>
              </w:rPr>
              <w:t>3.254</w:t>
            </w:r>
          </w:p>
        </w:tc>
        <w:tc>
          <w:tcPr>
            <w:cnfStyle w:val="000010000000" w:firstRow="0" w:lastRow="0" w:firstColumn="0" w:lastColumn="0" w:oddVBand="1" w:evenVBand="0" w:oddHBand="0" w:evenHBand="0" w:firstRowFirstColumn="0" w:firstRowLastColumn="0" w:lastRowFirstColumn="0" w:lastRowLastColumn="0"/>
            <w:tcW w:w="1675" w:type="dxa"/>
          </w:tcPr>
          <w:p w14:paraId="55157B14" w14:textId="77777777" w:rsidR="00FE1E03" w:rsidRPr="001C3852" w:rsidRDefault="00000000">
            <w:pPr>
              <w:jc w:val="center"/>
              <w:rPr>
                <w:rFonts w:ascii="Times New Roman" w:hAnsi="Times New Roman" w:cs="Times New Roman"/>
                <w:color w:val="000000" w:themeColor="text1"/>
              </w:rPr>
            </w:pPr>
            <w:r w:rsidRPr="001C3852">
              <w:rPr>
                <w:rFonts w:ascii="Times New Roman" w:hAnsi="Times New Roman" w:cs="Times New Roman"/>
                <w:color w:val="000000" w:themeColor="text1"/>
                <w:sz w:val="18"/>
                <w:szCs w:val="18"/>
              </w:rPr>
              <w:t>2.815</w:t>
            </w:r>
          </w:p>
        </w:tc>
        <w:tc>
          <w:tcPr>
            <w:tcW w:w="1675" w:type="dxa"/>
          </w:tcPr>
          <w:p w14:paraId="341F8CFA" w14:textId="77777777" w:rsidR="00FE1E03" w:rsidRPr="001C3852"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1C3852">
              <w:rPr>
                <w:rFonts w:ascii="Times New Roman" w:hAnsi="Times New Roman" w:cs="Times New Roman"/>
                <w:color w:val="000000" w:themeColor="text1"/>
                <w:sz w:val="18"/>
                <w:szCs w:val="18"/>
              </w:rPr>
              <w:t>2.596</w:t>
            </w:r>
          </w:p>
        </w:tc>
        <w:tc>
          <w:tcPr>
            <w:cnfStyle w:val="000010000000" w:firstRow="0" w:lastRow="0" w:firstColumn="0" w:lastColumn="0" w:oddVBand="1" w:evenVBand="0" w:oddHBand="0" w:evenHBand="0" w:firstRowFirstColumn="0" w:firstRowLastColumn="0" w:lastRowFirstColumn="0" w:lastRowLastColumn="0"/>
            <w:tcW w:w="1071" w:type="dxa"/>
          </w:tcPr>
          <w:p w14:paraId="39701D13" w14:textId="77777777" w:rsidR="00FE1E03" w:rsidRPr="001C3852" w:rsidRDefault="00000000">
            <w:pPr>
              <w:jc w:val="center"/>
              <w:rPr>
                <w:rFonts w:ascii="Times New Roman" w:hAnsi="Times New Roman" w:cs="Times New Roman"/>
                <w:color w:val="000000" w:themeColor="text1"/>
              </w:rPr>
            </w:pPr>
            <w:r w:rsidRPr="001C3852">
              <w:rPr>
                <w:rFonts w:ascii="Times New Roman" w:hAnsi="Times New Roman" w:cs="Times New Roman"/>
                <w:b/>
                <w:bCs/>
                <w:color w:val="000000" w:themeColor="text1"/>
                <w:sz w:val="18"/>
                <w:szCs w:val="18"/>
              </w:rPr>
              <w:t>−0.66</w:t>
            </w:r>
          </w:p>
        </w:tc>
        <w:tc>
          <w:tcPr>
            <w:tcW w:w="1071" w:type="dxa"/>
          </w:tcPr>
          <w:p w14:paraId="1D183BF8" w14:textId="77777777" w:rsidR="00FE1E03" w:rsidRPr="001C3852"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1C3852">
              <w:rPr>
                <w:rFonts w:ascii="Times New Roman" w:hAnsi="Times New Roman" w:cs="Times New Roman"/>
                <w:color w:val="000000" w:themeColor="text1"/>
                <w:sz w:val="18"/>
                <w:szCs w:val="18"/>
              </w:rPr>
              <w:t>&lt;0.001</w:t>
            </w:r>
          </w:p>
        </w:tc>
      </w:tr>
      <w:tr w:rsidR="001C3852" w:rsidRPr="001C3852" w14:paraId="3CD5584F" w14:textId="77777777" w:rsidTr="00F839B2">
        <w:trPr>
          <w:trHeight w:val="315"/>
        </w:trPr>
        <w:tc>
          <w:tcPr>
            <w:cnfStyle w:val="000010000000" w:firstRow="0" w:lastRow="0" w:firstColumn="0" w:lastColumn="0" w:oddVBand="1" w:evenVBand="0" w:oddHBand="0" w:evenHBand="0" w:firstRowFirstColumn="0" w:firstRowLastColumn="0" w:lastRowFirstColumn="0" w:lastRowLastColumn="0"/>
            <w:tcW w:w="2931" w:type="dxa"/>
          </w:tcPr>
          <w:p w14:paraId="258BF8BA" w14:textId="77777777" w:rsidR="00FE1E03" w:rsidRPr="001C3852" w:rsidRDefault="00000000">
            <w:pPr>
              <w:rPr>
                <w:rFonts w:ascii="Times New Roman" w:hAnsi="Times New Roman" w:cs="Times New Roman"/>
                <w:color w:val="000000" w:themeColor="text1"/>
              </w:rPr>
            </w:pPr>
            <w:r w:rsidRPr="001C3852">
              <w:rPr>
                <w:rFonts w:ascii="Times New Roman" w:hAnsi="Times New Roman" w:cs="Times New Roman"/>
                <w:b/>
                <w:bCs/>
                <w:color w:val="000000" w:themeColor="text1"/>
                <w:sz w:val="18"/>
                <w:szCs w:val="18"/>
              </w:rPr>
              <w:t>IT Satisfaction (1–4)</w:t>
            </w:r>
          </w:p>
        </w:tc>
        <w:tc>
          <w:tcPr>
            <w:tcW w:w="1675" w:type="dxa"/>
          </w:tcPr>
          <w:p w14:paraId="05D1C6EC" w14:textId="77777777" w:rsidR="00FE1E03" w:rsidRPr="001C385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C3852">
              <w:rPr>
                <w:rFonts w:ascii="Times New Roman" w:hAnsi="Times New Roman" w:cs="Times New Roman"/>
                <w:color w:val="000000" w:themeColor="text1"/>
                <w:sz w:val="18"/>
                <w:szCs w:val="18"/>
              </w:rPr>
              <w:t>3.464</w:t>
            </w:r>
          </w:p>
        </w:tc>
        <w:tc>
          <w:tcPr>
            <w:cnfStyle w:val="000010000000" w:firstRow="0" w:lastRow="0" w:firstColumn="0" w:lastColumn="0" w:oddVBand="1" w:evenVBand="0" w:oddHBand="0" w:evenHBand="0" w:firstRowFirstColumn="0" w:firstRowLastColumn="0" w:lastRowFirstColumn="0" w:lastRowLastColumn="0"/>
            <w:tcW w:w="1675" w:type="dxa"/>
          </w:tcPr>
          <w:p w14:paraId="5BC90CEC" w14:textId="77777777" w:rsidR="00FE1E03" w:rsidRPr="001C3852" w:rsidRDefault="00000000">
            <w:pPr>
              <w:jc w:val="center"/>
              <w:rPr>
                <w:rFonts w:ascii="Times New Roman" w:hAnsi="Times New Roman" w:cs="Times New Roman"/>
                <w:color w:val="000000" w:themeColor="text1"/>
              </w:rPr>
            </w:pPr>
            <w:r w:rsidRPr="001C3852">
              <w:rPr>
                <w:rFonts w:ascii="Times New Roman" w:hAnsi="Times New Roman" w:cs="Times New Roman"/>
                <w:color w:val="000000" w:themeColor="text1"/>
                <w:sz w:val="18"/>
                <w:szCs w:val="18"/>
              </w:rPr>
              <w:t>3.617</w:t>
            </w:r>
          </w:p>
        </w:tc>
        <w:tc>
          <w:tcPr>
            <w:tcW w:w="1675" w:type="dxa"/>
          </w:tcPr>
          <w:p w14:paraId="4B01949F" w14:textId="77777777" w:rsidR="00FE1E03" w:rsidRPr="001C385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C3852">
              <w:rPr>
                <w:rFonts w:ascii="Times New Roman" w:hAnsi="Times New Roman" w:cs="Times New Roman"/>
                <w:color w:val="000000" w:themeColor="text1"/>
                <w:sz w:val="18"/>
                <w:szCs w:val="18"/>
              </w:rPr>
              <w:t>3.664</w:t>
            </w:r>
          </w:p>
        </w:tc>
        <w:tc>
          <w:tcPr>
            <w:cnfStyle w:val="000010000000" w:firstRow="0" w:lastRow="0" w:firstColumn="0" w:lastColumn="0" w:oddVBand="1" w:evenVBand="0" w:oddHBand="0" w:evenHBand="0" w:firstRowFirstColumn="0" w:firstRowLastColumn="0" w:lastRowFirstColumn="0" w:lastRowLastColumn="0"/>
            <w:tcW w:w="1071" w:type="dxa"/>
          </w:tcPr>
          <w:p w14:paraId="16AF7E44" w14:textId="77777777" w:rsidR="00FE1E03" w:rsidRPr="001C3852" w:rsidRDefault="00000000">
            <w:pPr>
              <w:jc w:val="center"/>
              <w:rPr>
                <w:rFonts w:ascii="Times New Roman" w:hAnsi="Times New Roman" w:cs="Times New Roman"/>
                <w:color w:val="000000" w:themeColor="text1"/>
              </w:rPr>
            </w:pPr>
            <w:r w:rsidRPr="001C3852">
              <w:rPr>
                <w:rFonts w:ascii="Times New Roman" w:hAnsi="Times New Roman" w:cs="Times New Roman"/>
                <w:b/>
                <w:bCs/>
                <w:color w:val="000000" w:themeColor="text1"/>
                <w:sz w:val="18"/>
                <w:szCs w:val="18"/>
              </w:rPr>
              <w:t>+0.20</w:t>
            </w:r>
          </w:p>
        </w:tc>
        <w:tc>
          <w:tcPr>
            <w:tcW w:w="1071" w:type="dxa"/>
          </w:tcPr>
          <w:p w14:paraId="658BBCC2" w14:textId="77777777" w:rsidR="00FE1E03" w:rsidRPr="001C385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C3852">
              <w:rPr>
                <w:rFonts w:ascii="Times New Roman" w:hAnsi="Times New Roman" w:cs="Times New Roman"/>
                <w:color w:val="000000" w:themeColor="text1"/>
                <w:sz w:val="18"/>
                <w:szCs w:val="18"/>
              </w:rPr>
              <w:t>&lt;0.001</w:t>
            </w:r>
          </w:p>
        </w:tc>
      </w:tr>
      <w:tr w:rsidR="001C3852" w:rsidRPr="001C3852" w14:paraId="78771915" w14:textId="77777777" w:rsidTr="00F839B2">
        <w:trPr>
          <w:cnfStyle w:val="000000100000" w:firstRow="0" w:lastRow="0" w:firstColumn="0" w:lastColumn="0" w:oddVBand="0" w:evenVBand="0" w:oddHBand="1" w:evenHBand="0" w:firstRowFirstColumn="0" w:firstRowLastColumn="0" w:lastRowFirstColumn="0" w:lastRowLastColumn="0"/>
          <w:trHeight w:val="315"/>
        </w:trPr>
        <w:tc>
          <w:tcPr>
            <w:cnfStyle w:val="000010000000" w:firstRow="0" w:lastRow="0" w:firstColumn="0" w:lastColumn="0" w:oddVBand="1" w:evenVBand="0" w:oddHBand="0" w:evenHBand="0" w:firstRowFirstColumn="0" w:firstRowLastColumn="0" w:lastRowFirstColumn="0" w:lastRowLastColumn="0"/>
            <w:tcW w:w="2931" w:type="dxa"/>
          </w:tcPr>
          <w:p w14:paraId="5FA9B5E0" w14:textId="77777777" w:rsidR="00FE1E03" w:rsidRPr="001C3852" w:rsidRDefault="00000000">
            <w:pPr>
              <w:rPr>
                <w:rFonts w:ascii="Times New Roman" w:hAnsi="Times New Roman" w:cs="Times New Roman"/>
                <w:color w:val="000000" w:themeColor="text1"/>
              </w:rPr>
            </w:pPr>
            <w:r w:rsidRPr="001C3852">
              <w:rPr>
                <w:rFonts w:ascii="Times New Roman" w:hAnsi="Times New Roman" w:cs="Times New Roman"/>
                <w:b/>
                <w:bCs/>
                <w:color w:val="000000" w:themeColor="text1"/>
                <w:sz w:val="18"/>
                <w:szCs w:val="18"/>
              </w:rPr>
              <w:t>IT Importance (1–4)</w:t>
            </w:r>
          </w:p>
        </w:tc>
        <w:tc>
          <w:tcPr>
            <w:tcW w:w="1675" w:type="dxa"/>
          </w:tcPr>
          <w:p w14:paraId="0CB330CA" w14:textId="77777777" w:rsidR="00FE1E03" w:rsidRPr="001C3852"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1C3852">
              <w:rPr>
                <w:rFonts w:ascii="Times New Roman" w:hAnsi="Times New Roman" w:cs="Times New Roman"/>
                <w:color w:val="000000" w:themeColor="text1"/>
                <w:sz w:val="18"/>
                <w:szCs w:val="18"/>
              </w:rPr>
              <w:t>3.356</w:t>
            </w:r>
          </w:p>
        </w:tc>
        <w:tc>
          <w:tcPr>
            <w:cnfStyle w:val="000010000000" w:firstRow="0" w:lastRow="0" w:firstColumn="0" w:lastColumn="0" w:oddVBand="1" w:evenVBand="0" w:oddHBand="0" w:evenHBand="0" w:firstRowFirstColumn="0" w:firstRowLastColumn="0" w:lastRowFirstColumn="0" w:lastRowLastColumn="0"/>
            <w:tcW w:w="1675" w:type="dxa"/>
          </w:tcPr>
          <w:p w14:paraId="516363C3" w14:textId="77777777" w:rsidR="00FE1E03" w:rsidRPr="001C3852" w:rsidRDefault="00000000">
            <w:pPr>
              <w:jc w:val="center"/>
              <w:rPr>
                <w:rFonts w:ascii="Times New Roman" w:hAnsi="Times New Roman" w:cs="Times New Roman"/>
                <w:color w:val="000000" w:themeColor="text1"/>
              </w:rPr>
            </w:pPr>
            <w:r w:rsidRPr="001C3852">
              <w:rPr>
                <w:rFonts w:ascii="Times New Roman" w:hAnsi="Times New Roman" w:cs="Times New Roman"/>
                <w:color w:val="000000" w:themeColor="text1"/>
                <w:sz w:val="18"/>
                <w:szCs w:val="18"/>
              </w:rPr>
              <w:t>3.190</w:t>
            </w:r>
          </w:p>
        </w:tc>
        <w:tc>
          <w:tcPr>
            <w:tcW w:w="1675" w:type="dxa"/>
          </w:tcPr>
          <w:p w14:paraId="6CF71A63" w14:textId="77777777" w:rsidR="00FE1E03" w:rsidRPr="001C3852"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1C3852">
              <w:rPr>
                <w:rFonts w:ascii="Times New Roman" w:hAnsi="Times New Roman" w:cs="Times New Roman"/>
                <w:color w:val="000000" w:themeColor="text1"/>
                <w:sz w:val="18"/>
                <w:szCs w:val="18"/>
              </w:rPr>
              <w:t>3.095</w:t>
            </w:r>
          </w:p>
        </w:tc>
        <w:tc>
          <w:tcPr>
            <w:cnfStyle w:val="000010000000" w:firstRow="0" w:lastRow="0" w:firstColumn="0" w:lastColumn="0" w:oddVBand="1" w:evenVBand="0" w:oddHBand="0" w:evenHBand="0" w:firstRowFirstColumn="0" w:firstRowLastColumn="0" w:lastRowFirstColumn="0" w:lastRowLastColumn="0"/>
            <w:tcW w:w="1071" w:type="dxa"/>
          </w:tcPr>
          <w:p w14:paraId="5EBC2D0B" w14:textId="77777777" w:rsidR="00FE1E03" w:rsidRPr="001C3852" w:rsidRDefault="00000000">
            <w:pPr>
              <w:jc w:val="center"/>
              <w:rPr>
                <w:rFonts w:ascii="Times New Roman" w:hAnsi="Times New Roman" w:cs="Times New Roman"/>
                <w:color w:val="000000" w:themeColor="text1"/>
              </w:rPr>
            </w:pPr>
            <w:r w:rsidRPr="001C3852">
              <w:rPr>
                <w:rFonts w:ascii="Times New Roman" w:hAnsi="Times New Roman" w:cs="Times New Roman"/>
                <w:b/>
                <w:bCs/>
                <w:color w:val="000000" w:themeColor="text1"/>
                <w:sz w:val="18"/>
                <w:szCs w:val="18"/>
              </w:rPr>
              <w:t>−0.26</w:t>
            </w:r>
          </w:p>
        </w:tc>
        <w:tc>
          <w:tcPr>
            <w:tcW w:w="1071" w:type="dxa"/>
          </w:tcPr>
          <w:p w14:paraId="7418DA2E" w14:textId="77777777" w:rsidR="00FE1E03" w:rsidRPr="001C3852"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1C3852">
              <w:rPr>
                <w:rFonts w:ascii="Times New Roman" w:hAnsi="Times New Roman" w:cs="Times New Roman"/>
                <w:color w:val="000000" w:themeColor="text1"/>
                <w:sz w:val="18"/>
                <w:szCs w:val="18"/>
              </w:rPr>
              <w:t>&lt;0.001</w:t>
            </w:r>
          </w:p>
        </w:tc>
      </w:tr>
      <w:tr w:rsidR="001C3852" w:rsidRPr="001C3852" w14:paraId="223A882C" w14:textId="77777777" w:rsidTr="00F839B2">
        <w:trPr>
          <w:trHeight w:val="334"/>
        </w:trPr>
        <w:tc>
          <w:tcPr>
            <w:cnfStyle w:val="000010000000" w:firstRow="0" w:lastRow="0" w:firstColumn="0" w:lastColumn="0" w:oddVBand="1" w:evenVBand="0" w:oddHBand="0" w:evenHBand="0" w:firstRowFirstColumn="0" w:firstRowLastColumn="0" w:lastRowFirstColumn="0" w:lastRowLastColumn="0"/>
            <w:tcW w:w="2931" w:type="dxa"/>
          </w:tcPr>
          <w:p w14:paraId="0C0A3CEF" w14:textId="77777777" w:rsidR="00FE1E03" w:rsidRPr="001C3852" w:rsidRDefault="00000000">
            <w:pPr>
              <w:rPr>
                <w:rFonts w:ascii="Times New Roman" w:hAnsi="Times New Roman" w:cs="Times New Roman"/>
                <w:color w:val="000000" w:themeColor="text1"/>
              </w:rPr>
            </w:pPr>
            <w:r w:rsidRPr="001C3852">
              <w:rPr>
                <w:rFonts w:ascii="Times New Roman" w:hAnsi="Times New Roman" w:cs="Times New Roman"/>
                <w:b/>
                <w:bCs/>
                <w:color w:val="000000" w:themeColor="text1"/>
                <w:sz w:val="18"/>
                <w:szCs w:val="18"/>
              </w:rPr>
              <w:t>IT Awareness (1–4)</w:t>
            </w:r>
          </w:p>
        </w:tc>
        <w:tc>
          <w:tcPr>
            <w:tcW w:w="1675" w:type="dxa"/>
          </w:tcPr>
          <w:p w14:paraId="7FD04B80" w14:textId="77777777" w:rsidR="00FE1E03" w:rsidRPr="001C385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C3852">
              <w:rPr>
                <w:rFonts w:ascii="Times New Roman" w:hAnsi="Times New Roman" w:cs="Times New Roman"/>
                <w:color w:val="000000" w:themeColor="text1"/>
                <w:sz w:val="18"/>
                <w:szCs w:val="18"/>
              </w:rPr>
              <w:t>2.382</w:t>
            </w:r>
          </w:p>
        </w:tc>
        <w:tc>
          <w:tcPr>
            <w:cnfStyle w:val="000010000000" w:firstRow="0" w:lastRow="0" w:firstColumn="0" w:lastColumn="0" w:oddVBand="1" w:evenVBand="0" w:oddHBand="0" w:evenHBand="0" w:firstRowFirstColumn="0" w:firstRowLastColumn="0" w:lastRowFirstColumn="0" w:lastRowLastColumn="0"/>
            <w:tcW w:w="1675" w:type="dxa"/>
          </w:tcPr>
          <w:p w14:paraId="74ED73EB" w14:textId="77777777" w:rsidR="00FE1E03" w:rsidRPr="001C3852" w:rsidRDefault="00000000">
            <w:pPr>
              <w:jc w:val="center"/>
              <w:rPr>
                <w:rFonts w:ascii="Times New Roman" w:hAnsi="Times New Roman" w:cs="Times New Roman"/>
                <w:color w:val="000000" w:themeColor="text1"/>
              </w:rPr>
            </w:pPr>
            <w:r w:rsidRPr="001C3852">
              <w:rPr>
                <w:rFonts w:ascii="Times New Roman" w:hAnsi="Times New Roman" w:cs="Times New Roman"/>
                <w:color w:val="000000" w:themeColor="text1"/>
                <w:sz w:val="18"/>
                <w:szCs w:val="18"/>
              </w:rPr>
              <w:t>2.371</w:t>
            </w:r>
          </w:p>
        </w:tc>
        <w:tc>
          <w:tcPr>
            <w:tcW w:w="1675" w:type="dxa"/>
          </w:tcPr>
          <w:p w14:paraId="5484F954" w14:textId="77777777" w:rsidR="00FE1E03" w:rsidRPr="001C385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C3852">
              <w:rPr>
                <w:rFonts w:ascii="Times New Roman" w:hAnsi="Times New Roman" w:cs="Times New Roman"/>
                <w:color w:val="000000" w:themeColor="text1"/>
                <w:sz w:val="18"/>
                <w:szCs w:val="18"/>
              </w:rPr>
              <w:t>2.605</w:t>
            </w:r>
          </w:p>
        </w:tc>
        <w:tc>
          <w:tcPr>
            <w:cnfStyle w:val="000010000000" w:firstRow="0" w:lastRow="0" w:firstColumn="0" w:lastColumn="0" w:oddVBand="1" w:evenVBand="0" w:oddHBand="0" w:evenHBand="0" w:firstRowFirstColumn="0" w:firstRowLastColumn="0" w:lastRowFirstColumn="0" w:lastRowLastColumn="0"/>
            <w:tcW w:w="1071" w:type="dxa"/>
          </w:tcPr>
          <w:p w14:paraId="0C5DE835" w14:textId="77777777" w:rsidR="00FE1E03" w:rsidRPr="001C3852" w:rsidRDefault="00000000">
            <w:pPr>
              <w:jc w:val="center"/>
              <w:rPr>
                <w:rFonts w:ascii="Times New Roman" w:hAnsi="Times New Roman" w:cs="Times New Roman"/>
                <w:color w:val="000000" w:themeColor="text1"/>
              </w:rPr>
            </w:pPr>
            <w:r w:rsidRPr="001C3852">
              <w:rPr>
                <w:rFonts w:ascii="Times New Roman" w:hAnsi="Times New Roman" w:cs="Times New Roman"/>
                <w:b/>
                <w:bCs/>
                <w:color w:val="000000" w:themeColor="text1"/>
                <w:sz w:val="18"/>
                <w:szCs w:val="18"/>
              </w:rPr>
              <w:t>+0.22</w:t>
            </w:r>
          </w:p>
        </w:tc>
        <w:tc>
          <w:tcPr>
            <w:tcW w:w="1071" w:type="dxa"/>
          </w:tcPr>
          <w:p w14:paraId="09A1E0D2" w14:textId="77777777" w:rsidR="00FE1E03" w:rsidRPr="001C385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C3852">
              <w:rPr>
                <w:rFonts w:ascii="Times New Roman" w:hAnsi="Times New Roman" w:cs="Times New Roman"/>
                <w:color w:val="000000" w:themeColor="text1"/>
                <w:sz w:val="18"/>
                <w:szCs w:val="18"/>
              </w:rPr>
              <w:t>&lt;0.001</w:t>
            </w:r>
          </w:p>
        </w:tc>
      </w:tr>
      <w:tr w:rsidR="001C3852" w:rsidRPr="001C3852" w14:paraId="70612C78" w14:textId="77777777" w:rsidTr="00F839B2">
        <w:trPr>
          <w:cnfStyle w:val="000000100000" w:firstRow="0" w:lastRow="0" w:firstColumn="0" w:lastColumn="0" w:oddVBand="0" w:evenVBand="0" w:oddHBand="1" w:evenHBand="0" w:firstRowFirstColumn="0" w:firstRowLastColumn="0" w:lastRowFirstColumn="0" w:lastRowLastColumn="0"/>
          <w:trHeight w:val="315"/>
        </w:trPr>
        <w:tc>
          <w:tcPr>
            <w:cnfStyle w:val="000010000000" w:firstRow="0" w:lastRow="0" w:firstColumn="0" w:lastColumn="0" w:oddVBand="1" w:evenVBand="0" w:oddHBand="0" w:evenHBand="0" w:firstRowFirstColumn="0" w:firstRowLastColumn="0" w:lastRowFirstColumn="0" w:lastRowLastColumn="0"/>
            <w:tcW w:w="2931" w:type="dxa"/>
          </w:tcPr>
          <w:p w14:paraId="3A86B615" w14:textId="77777777" w:rsidR="00FE1E03" w:rsidRPr="001C3852" w:rsidRDefault="00000000">
            <w:pPr>
              <w:rPr>
                <w:rFonts w:ascii="Times New Roman" w:hAnsi="Times New Roman" w:cs="Times New Roman"/>
                <w:color w:val="000000" w:themeColor="text1"/>
              </w:rPr>
            </w:pPr>
            <w:r w:rsidRPr="001C3852">
              <w:rPr>
                <w:rFonts w:ascii="Times New Roman" w:hAnsi="Times New Roman" w:cs="Times New Roman"/>
                <w:b/>
                <w:bCs/>
                <w:color w:val="000000" w:themeColor="text1"/>
                <w:sz w:val="18"/>
                <w:szCs w:val="18"/>
              </w:rPr>
              <w:t>Digital Engagement (1–5)</w:t>
            </w:r>
          </w:p>
        </w:tc>
        <w:tc>
          <w:tcPr>
            <w:tcW w:w="1675" w:type="dxa"/>
          </w:tcPr>
          <w:p w14:paraId="5D042303" w14:textId="77777777" w:rsidR="00FE1E03" w:rsidRPr="001C3852"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1C3852">
              <w:rPr>
                <w:rFonts w:ascii="Times New Roman" w:hAnsi="Times New Roman" w:cs="Times New Roman"/>
                <w:color w:val="000000" w:themeColor="text1"/>
                <w:sz w:val="18"/>
                <w:szCs w:val="18"/>
              </w:rPr>
              <w:t>3.294</w:t>
            </w:r>
          </w:p>
        </w:tc>
        <w:tc>
          <w:tcPr>
            <w:cnfStyle w:val="000010000000" w:firstRow="0" w:lastRow="0" w:firstColumn="0" w:lastColumn="0" w:oddVBand="1" w:evenVBand="0" w:oddHBand="0" w:evenHBand="0" w:firstRowFirstColumn="0" w:firstRowLastColumn="0" w:lastRowFirstColumn="0" w:lastRowLastColumn="0"/>
            <w:tcW w:w="1675" w:type="dxa"/>
          </w:tcPr>
          <w:p w14:paraId="02C00CB3" w14:textId="77777777" w:rsidR="00FE1E03" w:rsidRPr="001C3852" w:rsidRDefault="00000000">
            <w:pPr>
              <w:jc w:val="center"/>
              <w:rPr>
                <w:rFonts w:ascii="Times New Roman" w:hAnsi="Times New Roman" w:cs="Times New Roman"/>
                <w:color w:val="000000" w:themeColor="text1"/>
              </w:rPr>
            </w:pPr>
            <w:r w:rsidRPr="001C3852">
              <w:rPr>
                <w:rFonts w:ascii="Times New Roman" w:hAnsi="Times New Roman" w:cs="Times New Roman"/>
                <w:color w:val="000000" w:themeColor="text1"/>
                <w:sz w:val="18"/>
                <w:szCs w:val="18"/>
              </w:rPr>
              <w:t>2.847</w:t>
            </w:r>
          </w:p>
        </w:tc>
        <w:tc>
          <w:tcPr>
            <w:tcW w:w="1675" w:type="dxa"/>
          </w:tcPr>
          <w:p w14:paraId="1CB3E401" w14:textId="77777777" w:rsidR="00FE1E03" w:rsidRPr="001C3852"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1C3852">
              <w:rPr>
                <w:rFonts w:ascii="Times New Roman" w:hAnsi="Times New Roman" w:cs="Times New Roman"/>
                <w:color w:val="000000" w:themeColor="text1"/>
                <w:sz w:val="18"/>
                <w:szCs w:val="18"/>
              </w:rPr>
              <w:t>3.012</w:t>
            </w:r>
          </w:p>
        </w:tc>
        <w:tc>
          <w:tcPr>
            <w:cnfStyle w:val="000010000000" w:firstRow="0" w:lastRow="0" w:firstColumn="0" w:lastColumn="0" w:oddVBand="1" w:evenVBand="0" w:oddHBand="0" w:evenHBand="0" w:firstRowFirstColumn="0" w:firstRowLastColumn="0" w:lastRowFirstColumn="0" w:lastRowLastColumn="0"/>
            <w:tcW w:w="1071" w:type="dxa"/>
          </w:tcPr>
          <w:p w14:paraId="3C3EBDF4" w14:textId="77777777" w:rsidR="00FE1E03" w:rsidRPr="001C3852" w:rsidRDefault="00000000">
            <w:pPr>
              <w:jc w:val="center"/>
              <w:rPr>
                <w:rFonts w:ascii="Times New Roman" w:hAnsi="Times New Roman" w:cs="Times New Roman"/>
                <w:color w:val="000000" w:themeColor="text1"/>
              </w:rPr>
            </w:pPr>
            <w:r w:rsidRPr="001C3852">
              <w:rPr>
                <w:rFonts w:ascii="Times New Roman" w:hAnsi="Times New Roman" w:cs="Times New Roman"/>
                <w:b/>
                <w:bCs/>
                <w:color w:val="000000" w:themeColor="text1"/>
                <w:sz w:val="18"/>
                <w:szCs w:val="18"/>
              </w:rPr>
              <w:t>−0.28</w:t>
            </w:r>
          </w:p>
        </w:tc>
        <w:tc>
          <w:tcPr>
            <w:tcW w:w="1071" w:type="dxa"/>
          </w:tcPr>
          <w:p w14:paraId="4E09FDFA" w14:textId="77777777" w:rsidR="00FE1E03" w:rsidRPr="001C3852"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1C3852">
              <w:rPr>
                <w:rFonts w:ascii="Times New Roman" w:hAnsi="Times New Roman" w:cs="Times New Roman"/>
                <w:color w:val="000000" w:themeColor="text1"/>
                <w:sz w:val="18"/>
                <w:szCs w:val="18"/>
              </w:rPr>
              <w:t>&lt;0.001</w:t>
            </w:r>
          </w:p>
        </w:tc>
      </w:tr>
      <w:tr w:rsidR="001C3852" w:rsidRPr="001C3852" w14:paraId="5D6E2CCD" w14:textId="77777777" w:rsidTr="00F839B2">
        <w:trPr>
          <w:trHeight w:val="315"/>
        </w:trPr>
        <w:tc>
          <w:tcPr>
            <w:cnfStyle w:val="000010000000" w:firstRow="0" w:lastRow="0" w:firstColumn="0" w:lastColumn="0" w:oddVBand="1" w:evenVBand="0" w:oddHBand="0" w:evenHBand="0" w:firstRowFirstColumn="0" w:firstRowLastColumn="0" w:lastRowFirstColumn="0" w:lastRowLastColumn="0"/>
            <w:tcW w:w="2931" w:type="dxa"/>
          </w:tcPr>
          <w:p w14:paraId="5AF3F0D4" w14:textId="77777777" w:rsidR="00FE1E03" w:rsidRPr="001C3852" w:rsidRDefault="00000000">
            <w:pPr>
              <w:rPr>
                <w:rFonts w:ascii="Times New Roman" w:hAnsi="Times New Roman" w:cs="Times New Roman"/>
                <w:color w:val="000000" w:themeColor="text1"/>
              </w:rPr>
            </w:pPr>
            <w:r w:rsidRPr="001C3852">
              <w:rPr>
                <w:rFonts w:ascii="Times New Roman" w:hAnsi="Times New Roman" w:cs="Times New Roman"/>
                <w:b/>
                <w:bCs/>
                <w:color w:val="000000" w:themeColor="text1"/>
                <w:sz w:val="18"/>
                <w:szCs w:val="18"/>
              </w:rPr>
              <w:t>Helpdesk Staff (1–4)</w:t>
            </w:r>
          </w:p>
        </w:tc>
        <w:tc>
          <w:tcPr>
            <w:tcW w:w="1675" w:type="dxa"/>
          </w:tcPr>
          <w:p w14:paraId="5B6ACACF" w14:textId="77777777" w:rsidR="00FE1E03" w:rsidRPr="001C385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C3852">
              <w:rPr>
                <w:rFonts w:ascii="Times New Roman" w:hAnsi="Times New Roman" w:cs="Times New Roman"/>
                <w:color w:val="000000" w:themeColor="text1"/>
                <w:sz w:val="18"/>
                <w:szCs w:val="18"/>
              </w:rPr>
              <w:t>3.788</w:t>
            </w:r>
          </w:p>
        </w:tc>
        <w:tc>
          <w:tcPr>
            <w:cnfStyle w:val="000010000000" w:firstRow="0" w:lastRow="0" w:firstColumn="0" w:lastColumn="0" w:oddVBand="1" w:evenVBand="0" w:oddHBand="0" w:evenHBand="0" w:firstRowFirstColumn="0" w:firstRowLastColumn="0" w:lastRowFirstColumn="0" w:lastRowLastColumn="0"/>
            <w:tcW w:w="1675" w:type="dxa"/>
          </w:tcPr>
          <w:p w14:paraId="2AF34037" w14:textId="77777777" w:rsidR="00FE1E03" w:rsidRPr="001C3852" w:rsidRDefault="00000000">
            <w:pPr>
              <w:jc w:val="center"/>
              <w:rPr>
                <w:rFonts w:ascii="Times New Roman" w:hAnsi="Times New Roman" w:cs="Times New Roman"/>
                <w:color w:val="000000" w:themeColor="text1"/>
              </w:rPr>
            </w:pPr>
            <w:r w:rsidRPr="001C3852">
              <w:rPr>
                <w:rFonts w:ascii="Times New Roman" w:hAnsi="Times New Roman" w:cs="Times New Roman"/>
                <w:color w:val="000000" w:themeColor="text1"/>
                <w:sz w:val="18"/>
                <w:szCs w:val="18"/>
              </w:rPr>
              <w:t>3.781</w:t>
            </w:r>
          </w:p>
        </w:tc>
        <w:tc>
          <w:tcPr>
            <w:tcW w:w="1675" w:type="dxa"/>
          </w:tcPr>
          <w:p w14:paraId="50F34FBA" w14:textId="77777777" w:rsidR="00FE1E03" w:rsidRPr="001C385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C3852">
              <w:rPr>
                <w:rFonts w:ascii="Times New Roman" w:hAnsi="Times New Roman" w:cs="Times New Roman"/>
                <w:color w:val="000000" w:themeColor="text1"/>
                <w:sz w:val="18"/>
                <w:szCs w:val="18"/>
              </w:rPr>
              <w:t>3.823</w:t>
            </w:r>
          </w:p>
        </w:tc>
        <w:tc>
          <w:tcPr>
            <w:cnfStyle w:val="000010000000" w:firstRow="0" w:lastRow="0" w:firstColumn="0" w:lastColumn="0" w:oddVBand="1" w:evenVBand="0" w:oddHBand="0" w:evenHBand="0" w:firstRowFirstColumn="0" w:firstRowLastColumn="0" w:lastRowFirstColumn="0" w:lastRowLastColumn="0"/>
            <w:tcW w:w="1071" w:type="dxa"/>
          </w:tcPr>
          <w:p w14:paraId="214672EE" w14:textId="77777777" w:rsidR="00FE1E03" w:rsidRPr="001C3852" w:rsidRDefault="00000000">
            <w:pPr>
              <w:jc w:val="center"/>
              <w:rPr>
                <w:rFonts w:ascii="Times New Roman" w:hAnsi="Times New Roman" w:cs="Times New Roman"/>
                <w:color w:val="000000" w:themeColor="text1"/>
              </w:rPr>
            </w:pPr>
            <w:r w:rsidRPr="001C3852">
              <w:rPr>
                <w:rFonts w:ascii="Times New Roman" w:hAnsi="Times New Roman" w:cs="Times New Roman"/>
                <w:color w:val="000000" w:themeColor="text1"/>
                <w:sz w:val="18"/>
                <w:szCs w:val="18"/>
              </w:rPr>
              <w:t>+0.04</w:t>
            </w:r>
          </w:p>
        </w:tc>
        <w:tc>
          <w:tcPr>
            <w:tcW w:w="1071" w:type="dxa"/>
          </w:tcPr>
          <w:p w14:paraId="26B3DE91" w14:textId="77777777" w:rsidR="00FE1E03" w:rsidRPr="001C385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C3852">
              <w:rPr>
                <w:rFonts w:ascii="Times New Roman" w:hAnsi="Times New Roman" w:cs="Times New Roman"/>
                <w:color w:val="000000" w:themeColor="text1"/>
                <w:sz w:val="18"/>
                <w:szCs w:val="18"/>
              </w:rPr>
              <w:t>0.562</w:t>
            </w:r>
          </w:p>
        </w:tc>
      </w:tr>
    </w:tbl>
    <w:p w14:paraId="66B9A34A" w14:textId="5E8E688F" w:rsidR="00FE1E03" w:rsidRPr="001C3852" w:rsidRDefault="00000000">
      <w:pPr>
        <w:spacing w:before="240" w:after="120" w:line="276" w:lineRule="auto"/>
        <w:jc w:val="both"/>
        <w:rPr>
          <w:rFonts w:ascii="Times New Roman" w:hAnsi="Times New Roman" w:cs="Times New Roman"/>
          <w:color w:val="000000" w:themeColor="text1"/>
        </w:rPr>
      </w:pPr>
      <w:r w:rsidRPr="001C3852">
        <w:rPr>
          <w:rFonts w:ascii="Times New Roman" w:hAnsi="Times New Roman" w:cs="Times New Roman"/>
          <w:b/>
          <w:bCs/>
          <w:color w:val="000000" w:themeColor="text1"/>
          <w:sz w:val="23"/>
          <w:szCs w:val="23"/>
        </w:rPr>
        <w:t xml:space="preserve">3.2  Where Satisfaction Improved: </w:t>
      </w:r>
      <w:r w:rsidR="001C3852" w:rsidRPr="001C3852">
        <w:rPr>
          <w:rFonts w:ascii="Times New Roman" w:hAnsi="Times New Roman" w:cs="Times New Roman"/>
          <w:b/>
          <w:bCs/>
          <w:color w:val="000000" w:themeColor="text1"/>
          <w:sz w:val="23"/>
          <w:szCs w:val="23"/>
        </w:rPr>
        <w:t>Wi-Fi</w:t>
      </w:r>
      <w:r w:rsidRPr="001C3852">
        <w:rPr>
          <w:rFonts w:ascii="Times New Roman" w:hAnsi="Times New Roman" w:cs="Times New Roman"/>
          <w:b/>
          <w:bCs/>
          <w:color w:val="000000" w:themeColor="text1"/>
          <w:sz w:val="23"/>
          <w:szCs w:val="23"/>
        </w:rPr>
        <w:t xml:space="preserve"> as the Success Story</w:t>
      </w:r>
    </w:p>
    <w:p w14:paraId="7ABA4085" w14:textId="78B73B96" w:rsidR="00FE1E03" w:rsidRPr="001C3852" w:rsidRDefault="00000000">
      <w:pPr>
        <w:spacing w:before="120" w:after="120" w:line="276" w:lineRule="auto"/>
        <w:jc w:val="both"/>
        <w:rPr>
          <w:rFonts w:ascii="Times New Roman" w:hAnsi="Times New Roman" w:cs="Times New Roman"/>
          <w:color w:val="000000" w:themeColor="text1"/>
        </w:rPr>
      </w:pPr>
      <w:r w:rsidRPr="001C3852">
        <w:rPr>
          <w:rFonts w:ascii="Times New Roman" w:hAnsi="Times New Roman" w:cs="Times New Roman"/>
          <w:color w:val="000000" w:themeColor="text1"/>
        </w:rPr>
        <w:t xml:space="preserve">Drilling into individual services, </w:t>
      </w:r>
      <w:r w:rsidR="001C3852" w:rsidRPr="001C3852">
        <w:rPr>
          <w:rFonts w:ascii="Times New Roman" w:hAnsi="Times New Roman" w:cs="Times New Roman"/>
          <w:color w:val="000000" w:themeColor="text1"/>
        </w:rPr>
        <w:t>Wi-Fi</w:t>
      </w:r>
      <w:r w:rsidRPr="001C3852">
        <w:rPr>
          <w:rFonts w:ascii="Times New Roman" w:hAnsi="Times New Roman" w:cs="Times New Roman"/>
          <w:color w:val="000000" w:themeColor="text1"/>
        </w:rPr>
        <w:t xml:space="preserve"> emerged as the most dramatic improvement. Satisfaction with </w:t>
      </w:r>
      <w:r w:rsidR="001C3852" w:rsidRPr="001C3852">
        <w:rPr>
          <w:rFonts w:ascii="Times New Roman" w:hAnsi="Times New Roman" w:cs="Times New Roman"/>
          <w:color w:val="000000" w:themeColor="text1"/>
        </w:rPr>
        <w:t>Wi-Fi</w:t>
      </w:r>
      <w:r w:rsidRPr="001C3852">
        <w:rPr>
          <w:rFonts w:ascii="Times New Roman" w:hAnsi="Times New Roman" w:cs="Times New Roman"/>
          <w:color w:val="000000" w:themeColor="text1"/>
        </w:rPr>
        <w:t xml:space="preserve"> performance rose from 2.70 to 3.41 (+0.71), and </w:t>
      </w:r>
      <w:r w:rsidR="001C3852" w:rsidRPr="001C3852">
        <w:rPr>
          <w:rFonts w:ascii="Times New Roman" w:hAnsi="Times New Roman" w:cs="Times New Roman"/>
          <w:color w:val="000000" w:themeColor="text1"/>
        </w:rPr>
        <w:t>Wi-Fi</w:t>
      </w:r>
      <w:r w:rsidRPr="001C3852">
        <w:rPr>
          <w:rFonts w:ascii="Times New Roman" w:hAnsi="Times New Roman" w:cs="Times New Roman"/>
          <w:color w:val="000000" w:themeColor="text1"/>
        </w:rPr>
        <w:t xml:space="preserve"> availability rose from 2.90 to 3.58 (+0.68). The share of students reporting dissatisfaction (scores of 1 or 2) with </w:t>
      </w:r>
      <w:r w:rsidR="001C3852" w:rsidRPr="001C3852">
        <w:rPr>
          <w:rFonts w:ascii="Times New Roman" w:hAnsi="Times New Roman" w:cs="Times New Roman"/>
          <w:color w:val="000000" w:themeColor="text1"/>
        </w:rPr>
        <w:t>Wi-Fi</w:t>
      </w:r>
      <w:r w:rsidRPr="001C3852">
        <w:rPr>
          <w:rFonts w:ascii="Times New Roman" w:hAnsi="Times New Roman" w:cs="Times New Roman"/>
          <w:color w:val="000000" w:themeColor="text1"/>
        </w:rPr>
        <w:t xml:space="preserve"> performance dropped from 36.0% in 2018 to 15.6% in 2024. In 2018, </w:t>
      </w:r>
      <w:r w:rsidR="001C3852" w:rsidRPr="001C3852">
        <w:rPr>
          <w:rFonts w:ascii="Times New Roman" w:hAnsi="Times New Roman" w:cs="Times New Roman"/>
          <w:color w:val="000000" w:themeColor="text1"/>
        </w:rPr>
        <w:t>Wi-Fi</w:t>
      </w:r>
      <w:r w:rsidRPr="001C3852">
        <w:rPr>
          <w:rFonts w:ascii="Times New Roman" w:hAnsi="Times New Roman" w:cs="Times New Roman"/>
          <w:color w:val="000000" w:themeColor="text1"/>
        </w:rPr>
        <w:t xml:space="preserve"> had the largest importance-satisfaction gap of any IT service (+1.17 for performance, +0.99 for availability). By 2024, those gaps had narrowed to +0.14 and near zero respectively. This represents a clear case </w:t>
      </w:r>
      <w:r w:rsidRPr="001C3852">
        <w:rPr>
          <w:rFonts w:ascii="Times New Roman" w:hAnsi="Times New Roman" w:cs="Times New Roman"/>
          <w:color w:val="000000" w:themeColor="text1"/>
        </w:rPr>
        <w:lastRenderedPageBreak/>
        <w:t>of data-informed investment paying off: the university identified its most acute service gap and successfully closed it.</w:t>
      </w:r>
    </w:p>
    <w:p w14:paraId="352AD9EE" w14:textId="77777777" w:rsidR="001E01C2" w:rsidRDefault="001E01C2">
      <w:pPr>
        <w:spacing w:before="240" w:after="120" w:line="276" w:lineRule="auto"/>
        <w:jc w:val="both"/>
        <w:rPr>
          <w:rFonts w:ascii="Times New Roman" w:hAnsi="Times New Roman" w:cs="Times New Roman"/>
          <w:b/>
          <w:bCs/>
          <w:color w:val="000000" w:themeColor="text1"/>
          <w:sz w:val="23"/>
          <w:szCs w:val="23"/>
        </w:rPr>
      </w:pPr>
    </w:p>
    <w:p w14:paraId="564A2B12" w14:textId="1426F251" w:rsidR="00FE1E03" w:rsidRPr="001C3852" w:rsidRDefault="00000000">
      <w:pPr>
        <w:spacing w:before="240" w:after="120" w:line="276" w:lineRule="auto"/>
        <w:jc w:val="both"/>
        <w:rPr>
          <w:rFonts w:ascii="Times New Roman" w:hAnsi="Times New Roman" w:cs="Times New Roman"/>
          <w:color w:val="000000" w:themeColor="text1"/>
        </w:rPr>
      </w:pPr>
      <w:r w:rsidRPr="001C3852">
        <w:rPr>
          <w:rFonts w:ascii="Times New Roman" w:hAnsi="Times New Roman" w:cs="Times New Roman"/>
          <w:b/>
          <w:bCs/>
          <w:color w:val="000000" w:themeColor="text1"/>
          <w:sz w:val="23"/>
          <w:szCs w:val="23"/>
        </w:rPr>
        <w:t>3.3  Where Usage Collapsed: The Banner/MyFramingham Exodus</w:t>
      </w:r>
    </w:p>
    <w:p w14:paraId="76633C02" w14:textId="77777777" w:rsidR="00FE1E03" w:rsidRPr="001C3852" w:rsidRDefault="00000000">
      <w:pPr>
        <w:spacing w:before="120" w:after="120" w:line="276" w:lineRule="auto"/>
        <w:jc w:val="both"/>
        <w:rPr>
          <w:rFonts w:ascii="Times New Roman" w:hAnsi="Times New Roman" w:cs="Times New Roman"/>
          <w:color w:val="000000" w:themeColor="text1"/>
        </w:rPr>
      </w:pPr>
      <w:r w:rsidRPr="001C3852">
        <w:rPr>
          <w:rFonts w:ascii="Times New Roman" w:hAnsi="Times New Roman" w:cs="Times New Roman"/>
          <w:color w:val="000000" w:themeColor="text1"/>
        </w:rPr>
        <w:t>The most dramatic shift in the entire dataset is Banner/MyFramingham usage. Pre-COVID, 64.6% of students used it more than three times per week. Post-COVID, 46.1% of students have never used it. Usage dropped 2.26 points on the 5-point scale, and importance ratings fell in parallel (3.82 → 2.83, a decline of 0.99). This is not a service failure—satisfaction with Banner itself remained stable (3.70 → 3.73). Rather, it reflects platform consolidation: Canvas/LMS usage simultaneously reached near-universal adoption, with 98.4% of post-COVID students using it more than three times per week (up from 81.3% pre-COVID). Canvas appears to have absorbed functions that students previously accessed through Banner.</w:t>
      </w:r>
    </w:p>
    <w:p w14:paraId="58021D33" w14:textId="77777777" w:rsidR="00FE1E03" w:rsidRPr="001C3852" w:rsidRDefault="00000000">
      <w:pPr>
        <w:spacing w:before="240" w:after="120" w:line="276" w:lineRule="auto"/>
        <w:jc w:val="both"/>
        <w:rPr>
          <w:rFonts w:ascii="Times New Roman" w:hAnsi="Times New Roman" w:cs="Times New Roman"/>
          <w:color w:val="000000" w:themeColor="text1"/>
        </w:rPr>
      </w:pPr>
      <w:r w:rsidRPr="001C3852">
        <w:rPr>
          <w:rFonts w:ascii="Times New Roman" w:hAnsi="Times New Roman" w:cs="Times New Roman"/>
          <w:b/>
          <w:bCs/>
          <w:color w:val="000000" w:themeColor="text1"/>
          <w:sz w:val="23"/>
          <w:szCs w:val="23"/>
        </w:rPr>
        <w:t>3.4  The Importance-Satisfaction Gap Flipped</w:t>
      </w:r>
    </w:p>
    <w:p w14:paraId="64270CC2" w14:textId="77777777" w:rsidR="00FE1E03" w:rsidRPr="001C3852" w:rsidRDefault="00000000">
      <w:pPr>
        <w:spacing w:before="120" w:after="120" w:line="276" w:lineRule="auto"/>
        <w:jc w:val="both"/>
        <w:rPr>
          <w:rFonts w:ascii="Times New Roman" w:hAnsi="Times New Roman" w:cs="Times New Roman"/>
          <w:color w:val="000000" w:themeColor="text1"/>
        </w:rPr>
      </w:pPr>
      <w:r w:rsidRPr="001C3852">
        <w:rPr>
          <w:rFonts w:ascii="Times New Roman" w:hAnsi="Times New Roman" w:cs="Times New Roman"/>
          <w:color w:val="000000" w:themeColor="text1"/>
        </w:rPr>
        <w:t>The composite importance-satisfaction gap shifted from −0.08 (pre-COVID) to −0.57 (post-COVID). The share of students with a positive gap (importance exceeding satisfaction, indicating unmet needs) fell from 35.0% to 16.0%. This means the institution has moved from a position where roughly one-third of students felt underserved to one where nearly four in five students rate their satisfaction higher than the importance they assign to IT services. This is a meaningful structural shift in the student-IT relationship.</w:t>
      </w:r>
    </w:p>
    <w:p w14:paraId="49216982" w14:textId="77777777" w:rsidR="00FE1E03" w:rsidRPr="001C3852" w:rsidRDefault="00000000">
      <w:pPr>
        <w:spacing w:before="240" w:after="120" w:line="276" w:lineRule="auto"/>
        <w:jc w:val="both"/>
        <w:rPr>
          <w:rFonts w:ascii="Times New Roman" w:hAnsi="Times New Roman" w:cs="Times New Roman"/>
          <w:color w:val="000000" w:themeColor="text1"/>
        </w:rPr>
      </w:pPr>
      <w:r w:rsidRPr="001C3852">
        <w:rPr>
          <w:rFonts w:ascii="Times New Roman" w:hAnsi="Times New Roman" w:cs="Times New Roman"/>
          <w:b/>
          <w:bCs/>
          <w:color w:val="000000" w:themeColor="text1"/>
          <w:sz w:val="23"/>
          <w:szCs w:val="23"/>
        </w:rPr>
        <w:t>3.5  Awareness Remained the Weak Link</w:t>
      </w:r>
    </w:p>
    <w:p w14:paraId="21D983CF" w14:textId="77777777" w:rsidR="00FE1E03" w:rsidRPr="001C3852" w:rsidRDefault="00000000">
      <w:pPr>
        <w:spacing w:before="120" w:after="120" w:line="276" w:lineRule="auto"/>
        <w:jc w:val="both"/>
        <w:rPr>
          <w:rFonts w:ascii="Times New Roman" w:hAnsi="Times New Roman" w:cs="Times New Roman"/>
          <w:color w:val="000000" w:themeColor="text1"/>
        </w:rPr>
      </w:pPr>
      <w:r w:rsidRPr="001C3852">
        <w:rPr>
          <w:rFonts w:ascii="Times New Roman" w:hAnsi="Times New Roman" w:cs="Times New Roman"/>
          <w:color w:val="000000" w:themeColor="text1"/>
        </w:rPr>
        <w:t>Despite satisfaction improvements, student awareness of available technology services (INF_ATS) remained low. The mean awareness score moved only from 2.38 to 2.61 on the 4-point scale over six years. The share describing themselves as “Somewhat Informed” dropped from 56.5% to 36.7%, with gains going primarily to “Informed” (26.8% → 53.1%), while “Very Informed” actually declined (9.3% → 5.9%). Students have moved from “I barely know what’s available” to “I have a general sense”—but not to confident knowledge. Correlation analysis showed awareness has a positive association with satisfaction (Spearman r = +0.21 post-COVID), suggesting better-informed students tend to be more satisfied.</w:t>
      </w:r>
    </w:p>
    <w:p w14:paraId="30A25F09" w14:textId="77777777" w:rsidR="00FE1E03" w:rsidRPr="001C3852" w:rsidRDefault="00000000">
      <w:pPr>
        <w:spacing w:before="240" w:after="120" w:line="276" w:lineRule="auto"/>
        <w:jc w:val="both"/>
        <w:rPr>
          <w:rFonts w:ascii="Times New Roman" w:hAnsi="Times New Roman" w:cs="Times New Roman"/>
          <w:color w:val="000000" w:themeColor="text1"/>
        </w:rPr>
      </w:pPr>
      <w:r w:rsidRPr="001C3852">
        <w:rPr>
          <w:rFonts w:ascii="Times New Roman" w:hAnsi="Times New Roman" w:cs="Times New Roman"/>
          <w:b/>
          <w:bCs/>
          <w:color w:val="000000" w:themeColor="text1"/>
          <w:sz w:val="23"/>
          <w:szCs w:val="23"/>
        </w:rPr>
        <w:t>3.6  Stability and Sensitivity Checks</w:t>
      </w:r>
    </w:p>
    <w:p w14:paraId="6024B702" w14:textId="77777777" w:rsidR="00FE1E03" w:rsidRPr="001C3852" w:rsidRDefault="00000000">
      <w:pPr>
        <w:spacing w:before="120" w:after="120" w:line="276" w:lineRule="auto"/>
        <w:jc w:val="both"/>
        <w:rPr>
          <w:rFonts w:ascii="Times New Roman" w:hAnsi="Times New Roman" w:cs="Times New Roman"/>
          <w:color w:val="000000" w:themeColor="text1"/>
        </w:rPr>
      </w:pPr>
      <w:r w:rsidRPr="001C3852">
        <w:rPr>
          <w:rFonts w:ascii="Times New Roman" w:hAnsi="Times New Roman" w:cs="Times New Roman"/>
          <w:color w:val="000000" w:themeColor="text1"/>
        </w:rPr>
        <w:t>Helpdesk staff ratings held at 3.79–3.82 across all periods with no statistically significant change (p = 0.56), confirming a stable human service layer. Outlier sensitivity analysis confirmed core trends hold with or without flagged respondents (2018 has a 48% outlier rate reflecting greater baseline variability). Gender-based comparisons showed no substantive differences. Academic division breakdowns revealed STEM and Arts &amp; Humanities students reported slightly lower satisfaction, though all divisions followed the same upward trajectory.</w:t>
      </w:r>
    </w:p>
    <w:p w14:paraId="7B8DA04A" w14:textId="77777777" w:rsidR="00FE1E03" w:rsidRPr="001C3852" w:rsidRDefault="00000000">
      <w:pPr>
        <w:pStyle w:val="Heading1"/>
        <w:rPr>
          <w:rFonts w:ascii="Times New Roman" w:hAnsi="Times New Roman" w:cs="Times New Roman"/>
          <w:color w:val="000000" w:themeColor="text1"/>
        </w:rPr>
      </w:pPr>
      <w:r w:rsidRPr="001C3852">
        <w:rPr>
          <w:rFonts w:ascii="Times New Roman" w:hAnsi="Times New Roman" w:cs="Times New Roman"/>
          <w:color w:val="000000" w:themeColor="text1"/>
        </w:rPr>
        <w:t>4. Identification of a Central Actionable Insight</w:t>
      </w:r>
    </w:p>
    <w:p w14:paraId="034B2B8D" w14:textId="77777777" w:rsidR="00FE1E03" w:rsidRPr="001C3852" w:rsidRDefault="00000000">
      <w:pPr>
        <w:spacing w:before="120" w:after="120" w:line="276" w:lineRule="auto"/>
        <w:jc w:val="both"/>
        <w:rPr>
          <w:rFonts w:ascii="Times New Roman" w:hAnsi="Times New Roman" w:cs="Times New Roman"/>
          <w:color w:val="000000" w:themeColor="text1"/>
        </w:rPr>
      </w:pPr>
      <w:r w:rsidRPr="001C3852">
        <w:rPr>
          <w:rFonts w:ascii="Times New Roman" w:hAnsi="Times New Roman" w:cs="Times New Roman"/>
          <w:color w:val="000000" w:themeColor="text1"/>
        </w:rPr>
        <w:t>Dykes (Chapter 5) distinguishes between observations—things we notice in data—and actionable insights that clearly point toward a specific decision or change. Our analysis surfaced many observations, but the central insight connects them into a single actionable finding:</w:t>
      </w:r>
    </w:p>
    <w:p w14:paraId="75D26CA7" w14:textId="77777777" w:rsidR="00FE1E03" w:rsidRPr="001C3852" w:rsidRDefault="00000000">
      <w:pPr>
        <w:spacing w:before="160" w:after="160" w:line="276" w:lineRule="auto"/>
        <w:jc w:val="both"/>
        <w:rPr>
          <w:rFonts w:ascii="Times New Roman" w:hAnsi="Times New Roman" w:cs="Times New Roman"/>
          <w:color w:val="000000" w:themeColor="text1"/>
        </w:rPr>
      </w:pPr>
      <w:r w:rsidRPr="001C3852">
        <w:rPr>
          <w:rFonts w:ascii="Times New Roman" w:hAnsi="Times New Roman" w:cs="Times New Roman"/>
          <w:b/>
          <w:bCs/>
          <w:i/>
          <w:iCs/>
          <w:color w:val="000000" w:themeColor="text1"/>
        </w:rPr>
        <w:lastRenderedPageBreak/>
        <w:t>Framingham State’s IT investments have successfully closed the service-quality gap, but students are not fully benefiting because they do not know what services exist. The strategic priority should shift from improving IT service delivery to driving IT service awareness and adoption.</w:t>
      </w:r>
    </w:p>
    <w:p w14:paraId="249F37DC" w14:textId="77777777" w:rsidR="00FE1E03" w:rsidRPr="001C3852" w:rsidRDefault="00000000">
      <w:pPr>
        <w:spacing w:before="120" w:after="120" w:line="276" w:lineRule="auto"/>
        <w:jc w:val="both"/>
        <w:rPr>
          <w:rFonts w:ascii="Times New Roman" w:hAnsi="Times New Roman" w:cs="Times New Roman"/>
          <w:color w:val="000000" w:themeColor="text1"/>
        </w:rPr>
      </w:pPr>
      <w:r w:rsidRPr="001C3852">
        <w:rPr>
          <w:rFonts w:ascii="Times New Roman" w:hAnsi="Times New Roman" w:cs="Times New Roman"/>
          <w:color w:val="000000" w:themeColor="text1"/>
        </w:rPr>
        <w:t>This meets Dykes’ criteria for an actionable insight on multiple dimensions. It is specific: it identifies awareness and adoption—not satisfaction or quality—as the binding constraint. It is supported by converging evidence: usage declined 20% while satisfaction rose 6% and awareness barely moved. It points toward concrete action: a shift in IT communications strategy, targeted onboarding for underutilized services, and redesign of how students discover IT resources. And it carries urgency: with only 16% of students reporting unmet needs, further investment in service improvement faces diminishing returns, while the awareness gap represents unrealized value from investments already made.</w:t>
      </w:r>
    </w:p>
    <w:p w14:paraId="0B2EC0A0" w14:textId="5491F595" w:rsidR="00FE1E03" w:rsidRPr="001C3852" w:rsidRDefault="00000000">
      <w:pPr>
        <w:spacing w:before="120" w:after="120" w:line="276" w:lineRule="auto"/>
        <w:jc w:val="both"/>
        <w:rPr>
          <w:rFonts w:ascii="Times New Roman" w:hAnsi="Times New Roman" w:cs="Times New Roman"/>
          <w:color w:val="000000" w:themeColor="text1"/>
        </w:rPr>
      </w:pPr>
      <w:r w:rsidRPr="001C3852">
        <w:rPr>
          <w:rFonts w:ascii="Times New Roman" w:hAnsi="Times New Roman" w:cs="Times New Roman"/>
          <w:color w:val="000000" w:themeColor="text1"/>
        </w:rPr>
        <w:t xml:space="preserve">The </w:t>
      </w:r>
      <w:r w:rsidR="001C3852" w:rsidRPr="001C3852">
        <w:rPr>
          <w:rFonts w:ascii="Times New Roman" w:hAnsi="Times New Roman" w:cs="Times New Roman"/>
          <w:color w:val="000000" w:themeColor="text1"/>
        </w:rPr>
        <w:t>Wi-Fi</w:t>
      </w:r>
      <w:r w:rsidRPr="001C3852">
        <w:rPr>
          <w:rFonts w:ascii="Times New Roman" w:hAnsi="Times New Roman" w:cs="Times New Roman"/>
          <w:color w:val="000000" w:themeColor="text1"/>
        </w:rPr>
        <w:t xml:space="preserve"> success story provides a built-in proof of concept. When the university identified </w:t>
      </w:r>
      <w:r w:rsidR="001C3852" w:rsidRPr="001C3852">
        <w:rPr>
          <w:rFonts w:ascii="Times New Roman" w:hAnsi="Times New Roman" w:cs="Times New Roman"/>
          <w:color w:val="000000" w:themeColor="text1"/>
        </w:rPr>
        <w:t>Wi-Fi</w:t>
      </w:r>
      <w:r w:rsidRPr="001C3852">
        <w:rPr>
          <w:rFonts w:ascii="Times New Roman" w:hAnsi="Times New Roman" w:cs="Times New Roman"/>
          <w:color w:val="000000" w:themeColor="text1"/>
        </w:rPr>
        <w:t xml:space="preserve"> as the top service gap and invested accordingly, satisfaction improved by 0.71 points and dissatisfaction dropped by 20 percentage points. That same data-informed approach—identify the gap, invest, measure—can now be applied to the awareness challenge. The difference is that the next gap to close is not technical infrastructure; it is communication infrastructure. This insight is designed to inform the CIO’s strategic planning: where to allocate the next wave of IT investment and why continuing to invest primarily in service quality will yield diminishing returns compared to investing in service visibility and student engagement.</w:t>
      </w:r>
    </w:p>
    <w:p w14:paraId="1BA07B77" w14:textId="77777777" w:rsidR="00FE1E03" w:rsidRPr="001C3852" w:rsidRDefault="00000000">
      <w:pPr>
        <w:pBdr>
          <w:top w:val="single" w:sz="1" w:space="8" w:color="CCCCCC"/>
        </w:pBdr>
        <w:spacing w:before="300" w:after="60"/>
        <w:rPr>
          <w:rFonts w:ascii="Times New Roman" w:hAnsi="Times New Roman" w:cs="Times New Roman"/>
          <w:color w:val="000000" w:themeColor="text1"/>
        </w:rPr>
      </w:pPr>
      <w:r w:rsidRPr="001C3852">
        <w:rPr>
          <w:rFonts w:ascii="Times New Roman" w:hAnsi="Times New Roman" w:cs="Times New Roman"/>
          <w:b/>
          <w:bCs/>
          <w:color w:val="000000" w:themeColor="text1"/>
        </w:rPr>
        <w:t>References</w:t>
      </w:r>
    </w:p>
    <w:p w14:paraId="76AD46B0" w14:textId="77777777" w:rsidR="00FE1E03" w:rsidRPr="001C3852" w:rsidRDefault="00000000">
      <w:pPr>
        <w:spacing w:before="120" w:after="120" w:line="276" w:lineRule="auto"/>
        <w:jc w:val="both"/>
        <w:rPr>
          <w:rFonts w:ascii="Times New Roman" w:hAnsi="Times New Roman" w:cs="Times New Roman"/>
          <w:color w:val="000000" w:themeColor="text1"/>
        </w:rPr>
      </w:pPr>
      <w:r w:rsidRPr="001C3852">
        <w:rPr>
          <w:rFonts w:ascii="Times New Roman" w:hAnsi="Times New Roman" w:cs="Times New Roman"/>
          <w:color w:val="000000" w:themeColor="text1"/>
          <w:sz w:val="20"/>
          <w:szCs w:val="20"/>
        </w:rPr>
        <w:t xml:space="preserve">Dykes, B. (2020). </w:t>
      </w:r>
      <w:r w:rsidRPr="001C3852">
        <w:rPr>
          <w:rFonts w:ascii="Times New Roman" w:hAnsi="Times New Roman" w:cs="Times New Roman"/>
          <w:i/>
          <w:iCs/>
          <w:color w:val="000000" w:themeColor="text1"/>
          <w:sz w:val="20"/>
          <w:szCs w:val="20"/>
        </w:rPr>
        <w:t xml:space="preserve">Effective Data Storytelling: How to Drive Change with Data, Narrative and Visuals. </w:t>
      </w:r>
      <w:r w:rsidRPr="001C3852">
        <w:rPr>
          <w:rFonts w:ascii="Times New Roman" w:hAnsi="Times New Roman" w:cs="Times New Roman"/>
          <w:color w:val="000000" w:themeColor="text1"/>
          <w:sz w:val="20"/>
          <w:szCs w:val="20"/>
        </w:rPr>
        <w:t>John Wiley &amp; Sons. Chapter 5: Cultivating an Insight.</w:t>
      </w:r>
    </w:p>
    <w:p w14:paraId="707DD28F" w14:textId="77777777" w:rsidR="00FE1E03" w:rsidRPr="001C3852" w:rsidRDefault="00000000">
      <w:pPr>
        <w:spacing w:before="120" w:after="120" w:line="276" w:lineRule="auto"/>
        <w:jc w:val="both"/>
        <w:rPr>
          <w:rFonts w:ascii="Times New Roman" w:hAnsi="Times New Roman" w:cs="Times New Roman"/>
          <w:color w:val="000000" w:themeColor="text1"/>
        </w:rPr>
      </w:pPr>
      <w:r w:rsidRPr="001C3852">
        <w:rPr>
          <w:rFonts w:ascii="Times New Roman" w:hAnsi="Times New Roman" w:cs="Times New Roman"/>
          <w:color w:val="000000" w:themeColor="text1"/>
          <w:sz w:val="20"/>
          <w:szCs w:val="20"/>
        </w:rPr>
        <w:t>MISO Survey (n.d.). Measuring Information Service Outcomes. Retrieved from https://www.misosurvey.org/</w:t>
      </w:r>
    </w:p>
    <w:p w14:paraId="2603A51F" w14:textId="7423CF11" w:rsidR="00FE1E03" w:rsidRPr="001C3852" w:rsidRDefault="00000000">
      <w:pPr>
        <w:spacing w:before="160" w:after="120" w:line="276" w:lineRule="auto"/>
        <w:jc w:val="both"/>
        <w:rPr>
          <w:rFonts w:ascii="Times New Roman" w:hAnsi="Times New Roman" w:cs="Times New Roman"/>
          <w:color w:val="000000" w:themeColor="text1"/>
        </w:rPr>
      </w:pPr>
      <w:r w:rsidRPr="001C3852">
        <w:rPr>
          <w:rFonts w:ascii="Times New Roman" w:hAnsi="Times New Roman" w:cs="Times New Roman"/>
          <w:b/>
          <w:bCs/>
          <w:color w:val="000000" w:themeColor="text1"/>
          <w:sz w:val="20"/>
          <w:szCs w:val="20"/>
        </w:rPr>
        <w:t xml:space="preserve">Note: </w:t>
      </w:r>
      <w:r w:rsidRPr="001C3852">
        <w:rPr>
          <w:rFonts w:ascii="Times New Roman" w:hAnsi="Times New Roman" w:cs="Times New Roman"/>
          <w:i/>
          <w:iCs/>
          <w:color w:val="000000" w:themeColor="text1"/>
          <w:sz w:val="20"/>
          <w:szCs w:val="20"/>
        </w:rPr>
        <w:t>Generative AI (Claude, Anthropic) was used to assist with data preparation scripting</w:t>
      </w:r>
      <w:r w:rsidR="001C3852" w:rsidRPr="001C3852">
        <w:rPr>
          <w:rFonts w:ascii="Times New Roman" w:hAnsi="Times New Roman" w:cs="Times New Roman"/>
          <w:i/>
          <w:iCs/>
          <w:color w:val="000000" w:themeColor="text1"/>
          <w:sz w:val="20"/>
          <w:szCs w:val="20"/>
        </w:rPr>
        <w:t xml:space="preserve"> and</w:t>
      </w:r>
      <w:r w:rsidRPr="001C3852">
        <w:rPr>
          <w:rFonts w:ascii="Times New Roman" w:hAnsi="Times New Roman" w:cs="Times New Roman"/>
          <w:i/>
          <w:iCs/>
          <w:color w:val="000000" w:themeColor="text1"/>
          <w:sz w:val="20"/>
          <w:szCs w:val="20"/>
        </w:rPr>
        <w:t xml:space="preserve"> exploratory analysis automation. All analytical decisions, insight identification, and interpretation were conducted by the team.</w:t>
      </w:r>
    </w:p>
    <w:sectPr w:rsidR="00FE1E03" w:rsidRPr="001C3852" w:rsidSect="001C3852">
      <w:footerReference w:type="default" r:id="rId7"/>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67254" w14:textId="77777777" w:rsidR="008531FC" w:rsidRDefault="008531FC">
      <w:r>
        <w:separator/>
      </w:r>
    </w:p>
  </w:endnote>
  <w:endnote w:type="continuationSeparator" w:id="0">
    <w:p w14:paraId="5515F77C" w14:textId="77777777" w:rsidR="008531FC" w:rsidRDefault="008531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A4AB6" w14:textId="77777777" w:rsidR="00FE1E03" w:rsidRDefault="00000000">
    <w:pPr>
      <w:pBdr>
        <w:top w:val="single" w:sz="1" w:space="4" w:color="CCCCCC"/>
      </w:pBd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1C3852">
      <w:rPr>
        <w:noProof/>
        <w:color w:val="666666"/>
        <w:sz w:val="16"/>
        <w:szCs w:val="16"/>
      </w:rPr>
      <w:t>1</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sidR="001C3852">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2637C" w14:textId="77777777" w:rsidR="008531FC" w:rsidRDefault="008531FC">
      <w:r>
        <w:separator/>
      </w:r>
    </w:p>
  </w:footnote>
  <w:footnote w:type="continuationSeparator" w:id="0">
    <w:p w14:paraId="7185C65C" w14:textId="77777777" w:rsidR="008531FC" w:rsidRDefault="008531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DD7ADF"/>
    <w:multiLevelType w:val="hybridMultilevel"/>
    <w:tmpl w:val="7CD0BACA"/>
    <w:lvl w:ilvl="0" w:tplc="86CA7E80">
      <w:start w:val="1"/>
      <w:numFmt w:val="bullet"/>
      <w:lvlText w:val="●"/>
      <w:lvlJc w:val="left"/>
      <w:pPr>
        <w:ind w:left="720" w:hanging="360"/>
      </w:pPr>
    </w:lvl>
    <w:lvl w:ilvl="1" w:tplc="7ADA5BB0">
      <w:start w:val="1"/>
      <w:numFmt w:val="bullet"/>
      <w:lvlText w:val="○"/>
      <w:lvlJc w:val="left"/>
      <w:pPr>
        <w:ind w:left="1440" w:hanging="360"/>
      </w:pPr>
    </w:lvl>
    <w:lvl w:ilvl="2" w:tplc="EA7C38EA">
      <w:start w:val="1"/>
      <w:numFmt w:val="bullet"/>
      <w:lvlText w:val="■"/>
      <w:lvlJc w:val="left"/>
      <w:pPr>
        <w:ind w:left="2160" w:hanging="360"/>
      </w:pPr>
    </w:lvl>
    <w:lvl w:ilvl="3" w:tplc="FA7C1DE4">
      <w:start w:val="1"/>
      <w:numFmt w:val="bullet"/>
      <w:lvlText w:val="●"/>
      <w:lvlJc w:val="left"/>
      <w:pPr>
        <w:ind w:left="2880" w:hanging="360"/>
      </w:pPr>
    </w:lvl>
    <w:lvl w:ilvl="4" w:tplc="0E681AB0">
      <w:start w:val="1"/>
      <w:numFmt w:val="bullet"/>
      <w:lvlText w:val="○"/>
      <w:lvlJc w:val="left"/>
      <w:pPr>
        <w:ind w:left="3600" w:hanging="360"/>
      </w:pPr>
    </w:lvl>
    <w:lvl w:ilvl="5" w:tplc="27B6D270">
      <w:start w:val="1"/>
      <w:numFmt w:val="bullet"/>
      <w:lvlText w:val="■"/>
      <w:lvlJc w:val="left"/>
      <w:pPr>
        <w:ind w:left="4320" w:hanging="360"/>
      </w:pPr>
    </w:lvl>
    <w:lvl w:ilvl="6" w:tplc="92181C8A">
      <w:start w:val="1"/>
      <w:numFmt w:val="bullet"/>
      <w:lvlText w:val="●"/>
      <w:lvlJc w:val="left"/>
      <w:pPr>
        <w:ind w:left="5040" w:hanging="360"/>
      </w:pPr>
    </w:lvl>
    <w:lvl w:ilvl="7" w:tplc="2932E5E4">
      <w:start w:val="1"/>
      <w:numFmt w:val="bullet"/>
      <w:lvlText w:val="●"/>
      <w:lvlJc w:val="left"/>
      <w:pPr>
        <w:ind w:left="5760" w:hanging="360"/>
      </w:pPr>
    </w:lvl>
    <w:lvl w:ilvl="8" w:tplc="F844E82E">
      <w:start w:val="1"/>
      <w:numFmt w:val="bullet"/>
      <w:lvlText w:val="●"/>
      <w:lvlJc w:val="left"/>
      <w:pPr>
        <w:ind w:left="6480" w:hanging="360"/>
      </w:pPr>
    </w:lvl>
  </w:abstractNum>
  <w:num w:numId="1" w16cid:durableId="11692943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1E03"/>
    <w:rsid w:val="001C3852"/>
    <w:rsid w:val="001E01C2"/>
    <w:rsid w:val="008531FC"/>
    <w:rsid w:val="008C0641"/>
    <w:rsid w:val="00E15AA2"/>
    <w:rsid w:val="00F839B2"/>
    <w:rsid w:val="00FE1E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827BB1F"/>
  <w15:docId w15:val="{61D22122-DA5D-6D4C-8DC2-9AAAE0CD4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2D5F8A"/>
      <w:sz w:val="28"/>
      <w:szCs w:val="28"/>
    </w:rPr>
  </w:style>
  <w:style w:type="paragraph" w:styleId="Heading2">
    <w:name w:val="heading 2"/>
    <w:uiPriority w:val="9"/>
    <w:semiHidden/>
    <w:unhideWhenUsed/>
    <w:qFormat/>
    <w:pPr>
      <w:spacing w:before="240" w:after="120"/>
      <w:outlineLvl w:val="1"/>
    </w:pPr>
    <w:rPr>
      <w:b/>
      <w:bCs/>
      <w:color w:val="2D5F8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C3852"/>
    <w:pPr>
      <w:tabs>
        <w:tab w:val="center" w:pos="4513"/>
        <w:tab w:val="right" w:pos="9026"/>
      </w:tabs>
    </w:pPr>
  </w:style>
  <w:style w:type="character" w:customStyle="1" w:styleId="HeaderChar">
    <w:name w:val="Header Char"/>
    <w:basedOn w:val="DefaultParagraphFont"/>
    <w:link w:val="Header"/>
    <w:uiPriority w:val="99"/>
    <w:rsid w:val="001C3852"/>
  </w:style>
  <w:style w:type="paragraph" w:styleId="Footer">
    <w:name w:val="footer"/>
    <w:basedOn w:val="Normal"/>
    <w:link w:val="FooterChar"/>
    <w:uiPriority w:val="99"/>
    <w:unhideWhenUsed/>
    <w:rsid w:val="001C3852"/>
    <w:pPr>
      <w:tabs>
        <w:tab w:val="center" w:pos="4513"/>
        <w:tab w:val="right" w:pos="9026"/>
      </w:tabs>
    </w:pPr>
  </w:style>
  <w:style w:type="character" w:customStyle="1" w:styleId="FooterChar">
    <w:name w:val="Footer Char"/>
    <w:basedOn w:val="DefaultParagraphFont"/>
    <w:link w:val="Footer"/>
    <w:uiPriority w:val="99"/>
    <w:rsid w:val="001C3852"/>
  </w:style>
  <w:style w:type="table" w:styleId="GridTable7ColourfulAccent4">
    <w:name w:val="Grid Table 7 Colorful Accent 4"/>
    <w:basedOn w:val="TableNormal"/>
    <w:uiPriority w:val="52"/>
    <w:rsid w:val="001C3852"/>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urful">
    <w:name w:val="Grid Table 7 Colorful"/>
    <w:basedOn w:val="TableNormal"/>
    <w:uiPriority w:val="52"/>
    <w:rsid w:val="001E01C2"/>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PlainTable5">
    <w:name w:val="Plain Table 5"/>
    <w:basedOn w:val="TableNormal"/>
    <w:uiPriority w:val="45"/>
    <w:rsid w:val="001E01C2"/>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1E01C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1E01C2"/>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E01C2"/>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1E01C2"/>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ListTable7Colourful">
    <w:name w:val="List Table 7 Colorful"/>
    <w:basedOn w:val="TableNormal"/>
    <w:uiPriority w:val="52"/>
    <w:rsid w:val="001E01C2"/>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6ColourfulAccent5">
    <w:name w:val="List Table 6 Colorful Accent 5"/>
    <w:basedOn w:val="TableNormal"/>
    <w:uiPriority w:val="51"/>
    <w:rsid w:val="001E01C2"/>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5Dark">
    <w:name w:val="List Table 5 Dark"/>
    <w:basedOn w:val="TableNormal"/>
    <w:uiPriority w:val="50"/>
    <w:rsid w:val="001E01C2"/>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3-Accent3">
    <w:name w:val="List Table 3 Accent 3"/>
    <w:basedOn w:val="TableNormal"/>
    <w:uiPriority w:val="48"/>
    <w:rsid w:val="001E01C2"/>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1">
    <w:name w:val="List Table 3 Accent 1"/>
    <w:basedOn w:val="TableNormal"/>
    <w:uiPriority w:val="48"/>
    <w:rsid w:val="001E01C2"/>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4">
    <w:name w:val="List Table 3 Accent 4"/>
    <w:basedOn w:val="TableNormal"/>
    <w:uiPriority w:val="48"/>
    <w:rsid w:val="001E01C2"/>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2">
    <w:name w:val="List Table 3 Accent 2"/>
    <w:basedOn w:val="TableNormal"/>
    <w:uiPriority w:val="48"/>
    <w:rsid w:val="001E01C2"/>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GridTable5Dark-Accent4">
    <w:name w:val="Grid Table 5 Dark Accent 4"/>
    <w:basedOn w:val="TableNormal"/>
    <w:uiPriority w:val="50"/>
    <w:rsid w:val="001E01C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ListTable3">
    <w:name w:val="List Table 3"/>
    <w:basedOn w:val="TableNormal"/>
    <w:uiPriority w:val="48"/>
    <w:rsid w:val="001E01C2"/>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1659</Words>
  <Characters>9479</Characters>
  <Application>Microsoft Office Word</Application>
  <DocSecurity>0</DocSecurity>
  <Lines>193</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Mayank Bhardwaj</cp:lastModifiedBy>
  <cp:revision>2</cp:revision>
  <dcterms:created xsi:type="dcterms:W3CDTF">2026-03-25T04:50:00Z</dcterms:created>
  <dcterms:modified xsi:type="dcterms:W3CDTF">2026-03-25T04:50:00Z</dcterms:modified>
</cp:coreProperties>
</file>