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066"/>
      </w:tblGrid>
      <w:tr w:rsidR="00DC483E" w14:paraId="19120ABC" w14:textId="77777777">
        <w:tc>
          <w:tcPr>
            <w:tcW w:w="9066" w:type="dxa"/>
            <w:shd w:val="clear" w:color="auto" w:fill="2D1F6E"/>
          </w:tcPr>
          <w:p w14:paraId="2BB68A20" w14:textId="77777777" w:rsidR="00DC483E" w:rsidRDefault="00000000">
            <w:pPr>
              <w:spacing w:before="280" w:after="40"/>
            </w:pPr>
            <w:r>
              <w:rPr>
                <w:b/>
                <w:color w:val="FFFFFF"/>
                <w:sz w:val="52"/>
              </w:rPr>
              <w:t>Expense on Demand</w:t>
            </w:r>
          </w:p>
          <w:p w14:paraId="14DDB915" w14:textId="77777777" w:rsidR="00DC483E" w:rsidRDefault="00000000">
            <w:pPr>
              <w:spacing w:after="280"/>
            </w:pPr>
            <w:r>
              <w:rPr>
                <w:color w:val="BBAAFF"/>
                <w:sz w:val="24"/>
              </w:rPr>
              <w:t>Phase 3 Analytics Vision — Customer Intelligence &amp; Product Health Platform</w:t>
            </w:r>
          </w:p>
        </w:tc>
      </w:tr>
    </w:tbl>
    <w:p w14:paraId="6432994C" w14:textId="77777777" w:rsidR="00DC483E" w:rsidRDefault="00DC483E">
      <w:pPr>
        <w:spacing w:after="40"/>
      </w:pPr>
    </w:p>
    <w:p w14:paraId="042FF1FF" w14:textId="77777777" w:rsidR="00DC483E" w:rsidRDefault="00000000">
      <w:pPr>
        <w:spacing w:after="240"/>
      </w:pPr>
      <w:r>
        <w:rPr>
          <w:b/>
          <w:color w:val="444466"/>
          <w:sz w:val="20"/>
        </w:rPr>
        <w:t xml:space="preserve">Prepared for: </w:t>
      </w:r>
      <w:r>
        <w:rPr>
          <w:color w:val="10101A"/>
          <w:sz w:val="20"/>
        </w:rPr>
        <w:t xml:space="preserve">Management Review    </w:t>
      </w:r>
      <w:r>
        <w:rPr>
          <w:b/>
          <w:color w:val="444466"/>
          <w:sz w:val="20"/>
        </w:rPr>
        <w:t xml:space="preserve">Date: </w:t>
      </w:r>
      <w:r>
        <w:rPr>
          <w:color w:val="10101A"/>
          <w:sz w:val="20"/>
        </w:rPr>
        <w:t>March 2026</w:t>
      </w:r>
    </w:p>
    <w:p w14:paraId="3E638101" w14:textId="77777777" w:rsidR="00DC483E" w:rsidRDefault="00DC483E">
      <w:pPr>
        <w:pBdr>
          <w:bottom w:val="single" w:sz="4" w:space="1" w:color="D0D0E8"/>
        </w:pBdr>
        <w:spacing w:before="120" w:after="120"/>
      </w:pPr>
    </w:p>
    <w:p w14:paraId="0A58D424" w14:textId="77777777" w:rsidR="00DC483E" w:rsidRDefault="00000000">
      <w:pPr>
        <w:spacing w:before="360" w:after="80"/>
      </w:pPr>
      <w:r>
        <w:rPr>
          <w:b/>
          <w:color w:val="6B53E0"/>
          <w:sz w:val="28"/>
        </w:rPr>
        <w:t>Executive Summary</w:t>
      </w:r>
    </w:p>
    <w:p w14:paraId="0CCF1537" w14:textId="77777777" w:rsidR="00DC483E" w:rsidRDefault="00000000">
      <w:pPr>
        <w:spacing w:before="40" w:after="120"/>
      </w:pPr>
      <w:r>
        <w:rPr>
          <w:color w:val="10101A"/>
          <w:sz w:val="21"/>
        </w:rPr>
        <w:t>Over the past two phases, we have built an internal analytics platform that gives our delivery teams real-time visibility into sprint health, bug trends, QA output, team capacity, and release readiness. That foundation is now mature and operational.</w:t>
      </w:r>
    </w:p>
    <w:p w14:paraId="7F6D91EE" w14:textId="77777777" w:rsidR="00DC483E" w:rsidRDefault="00000000">
      <w:pPr>
        <w:spacing w:before="40" w:after="120"/>
      </w:pPr>
      <w:r>
        <w:rPr>
          <w:i/>
          <w:color w:val="6B53E0"/>
          <w:sz w:val="21"/>
        </w:rPr>
        <w:t>Phase 3 is about turning that analytical capability outward — toward our customers.</w:t>
      </w:r>
    </w:p>
    <w:p w14:paraId="29844515" w14:textId="77777777" w:rsidR="00DC483E" w:rsidRDefault="00000000">
      <w:pPr>
        <w:spacing w:before="40" w:after="120"/>
      </w:pPr>
      <w:r>
        <w:rPr>
          <w:color w:val="10101A"/>
          <w:sz w:val="21"/>
        </w:rPr>
        <w:t>The goal is to build a Customer Intelligence layer that tells us, at any point in time: which companies are thriving on Expense on Demand, which are quietly slipping away, where our product is creating friction, and what actions we can take — proactively — before a customer churns, escalates, or disengages.</w:t>
      </w:r>
    </w:p>
    <w:p w14:paraId="525B0694" w14:textId="77777777" w:rsidR="00DC483E" w:rsidRDefault="00000000">
      <w:pPr>
        <w:spacing w:before="40" w:after="120"/>
      </w:pPr>
      <w:r>
        <w:rPr>
          <w:color w:val="10101A"/>
          <w:sz w:val="21"/>
        </w:rPr>
        <w:t>This is not a reporting exercise. It is a strategic shift from reactive customer management to data-driven account intelligence.</w:t>
      </w:r>
    </w:p>
    <w:p w14:paraId="09182E57" w14:textId="77777777" w:rsidR="00DC483E" w:rsidRDefault="00000000">
      <w:pPr>
        <w:spacing w:before="360" w:after="80"/>
      </w:pPr>
      <w:r>
        <w:rPr>
          <w:b/>
          <w:color w:val="6B53E0"/>
          <w:sz w:val="28"/>
        </w:rPr>
        <w:t>Where We Are Today</w:t>
      </w:r>
    </w:p>
    <w:tbl>
      <w:tblPr>
        <w:tblStyle w:val="TableGrid"/>
        <w:tblW w:w="0" w:type="auto"/>
        <w:tblLook w:val="04A0" w:firstRow="1" w:lastRow="0" w:firstColumn="1" w:lastColumn="0" w:noHBand="0" w:noVBand="1"/>
      </w:tblPr>
      <w:tblGrid>
        <w:gridCol w:w="3022"/>
        <w:gridCol w:w="3022"/>
        <w:gridCol w:w="3022"/>
      </w:tblGrid>
      <w:tr w:rsidR="00DC483E" w14:paraId="5097D473" w14:textId="77777777">
        <w:tc>
          <w:tcPr>
            <w:tcW w:w="3022" w:type="dxa"/>
            <w:shd w:val="clear" w:color="auto" w:fill="2D1F6E"/>
          </w:tcPr>
          <w:p w14:paraId="7FB67985" w14:textId="77777777" w:rsidR="00DC483E" w:rsidRDefault="00000000">
            <w:r>
              <w:rPr>
                <w:b/>
                <w:color w:val="FFFFFF"/>
                <w:sz w:val="19"/>
              </w:rPr>
              <w:t>Phase</w:t>
            </w:r>
          </w:p>
        </w:tc>
        <w:tc>
          <w:tcPr>
            <w:tcW w:w="3022" w:type="dxa"/>
            <w:shd w:val="clear" w:color="auto" w:fill="2D1F6E"/>
          </w:tcPr>
          <w:p w14:paraId="1660F32E" w14:textId="77777777" w:rsidR="00DC483E" w:rsidRDefault="00000000">
            <w:r>
              <w:rPr>
                <w:b/>
                <w:color w:val="FFFFFF"/>
                <w:sz w:val="19"/>
              </w:rPr>
              <w:t>Focus</w:t>
            </w:r>
          </w:p>
        </w:tc>
        <w:tc>
          <w:tcPr>
            <w:tcW w:w="3022" w:type="dxa"/>
            <w:shd w:val="clear" w:color="auto" w:fill="2D1F6E"/>
          </w:tcPr>
          <w:p w14:paraId="205DFBF6" w14:textId="77777777" w:rsidR="00DC483E" w:rsidRDefault="00000000">
            <w:r>
              <w:rPr>
                <w:b/>
                <w:color w:val="FFFFFF"/>
                <w:sz w:val="19"/>
              </w:rPr>
              <w:t>Status</w:t>
            </w:r>
          </w:p>
        </w:tc>
      </w:tr>
      <w:tr w:rsidR="00DC483E" w14:paraId="402F3097" w14:textId="77777777">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6BBE0F93" w14:textId="77777777" w:rsidR="00DC483E" w:rsidRDefault="00000000">
            <w:r>
              <w:rPr>
                <w:color w:val="10101A"/>
                <w:sz w:val="19"/>
              </w:rPr>
              <w:t>Phase 1</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75686566" w14:textId="77777777" w:rsidR="00DC483E" w:rsidRDefault="00000000">
            <w:r>
              <w:rPr>
                <w:color w:val="10101A"/>
                <w:sz w:val="19"/>
              </w:rPr>
              <w:t>Internal delivery metrics — sprint tracking, burndown, team velocity</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4106E294" w14:textId="77777777" w:rsidR="00DC483E" w:rsidRDefault="00000000">
            <w:r>
              <w:rPr>
                <w:color w:val="10101A"/>
                <w:sz w:val="19"/>
              </w:rPr>
              <w:t>Complete</w:t>
            </w:r>
          </w:p>
        </w:tc>
      </w:tr>
      <w:tr w:rsidR="00DC483E" w14:paraId="33DF3CE9" w14:textId="77777777">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6D67EF1D" w14:textId="77777777" w:rsidR="00DC483E" w:rsidRDefault="00000000">
            <w:r>
              <w:rPr>
                <w:color w:val="10101A"/>
                <w:sz w:val="19"/>
              </w:rPr>
              <w:t>Phase 2</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474D18B5" w14:textId="77777777" w:rsidR="00DC483E" w:rsidRDefault="00000000">
            <w:r>
              <w:rPr>
                <w:color w:val="10101A"/>
                <w:sz w:val="19"/>
              </w:rPr>
              <w:t>Quality &amp; release health — bug trends, QA output, capacity planning</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73B9A441" w14:textId="77777777" w:rsidR="00DC483E" w:rsidRDefault="00000000">
            <w:r>
              <w:rPr>
                <w:color w:val="10101A"/>
                <w:sz w:val="19"/>
              </w:rPr>
              <w:t>Complete</w:t>
            </w:r>
          </w:p>
        </w:tc>
      </w:tr>
      <w:tr w:rsidR="00DC483E" w14:paraId="54E67960" w14:textId="77777777">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163094AF" w14:textId="77777777" w:rsidR="00DC483E" w:rsidRDefault="00000000">
            <w:r>
              <w:rPr>
                <w:color w:val="10101A"/>
                <w:sz w:val="19"/>
              </w:rPr>
              <w:t>Phase 3</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60C4AF7A" w14:textId="77777777" w:rsidR="00DC483E" w:rsidRDefault="00000000">
            <w:r>
              <w:rPr>
                <w:color w:val="10101A"/>
                <w:sz w:val="19"/>
              </w:rPr>
              <w:t>Customer intelligence — product usage, churn risk, approval health</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748CB41C" w14:textId="77777777" w:rsidR="00DC483E" w:rsidRDefault="00000000">
            <w:r>
              <w:rPr>
                <w:color w:val="10101A"/>
                <w:sz w:val="19"/>
              </w:rPr>
              <w:t>Proposed</w:t>
            </w:r>
          </w:p>
        </w:tc>
      </w:tr>
    </w:tbl>
    <w:p w14:paraId="28CB4499" w14:textId="77777777" w:rsidR="00DC483E" w:rsidRDefault="00DC483E">
      <w:pPr>
        <w:spacing w:after="120"/>
      </w:pPr>
    </w:p>
    <w:p w14:paraId="19136A91" w14:textId="77777777" w:rsidR="00DC483E" w:rsidRDefault="00000000">
      <w:pPr>
        <w:spacing w:before="40" w:after="120"/>
      </w:pPr>
      <w:r>
        <w:rPr>
          <w:color w:val="10101A"/>
          <w:sz w:val="21"/>
        </w:rPr>
        <w:t>Our current platform answers: "How is our team performing?"</w:t>
      </w:r>
    </w:p>
    <w:p w14:paraId="18EBED02" w14:textId="77777777" w:rsidR="00DC483E" w:rsidRDefault="00000000">
      <w:pPr>
        <w:spacing w:before="40" w:after="120"/>
      </w:pPr>
      <w:r>
        <w:rPr>
          <w:i/>
          <w:color w:val="6B53E0"/>
          <w:sz w:val="21"/>
        </w:rPr>
        <w:t>Phase 3 answers: "How are our customers performing — and what does that mean for us?"</w:t>
      </w:r>
    </w:p>
    <w:p w14:paraId="2DF01F46" w14:textId="77777777" w:rsidR="00DC483E" w:rsidRDefault="00000000">
      <w:pPr>
        <w:spacing w:before="360" w:after="80"/>
      </w:pPr>
      <w:r>
        <w:rPr>
          <w:b/>
          <w:color w:val="6B53E0"/>
          <w:sz w:val="28"/>
        </w:rPr>
        <w:t>The Business Case</w:t>
      </w:r>
    </w:p>
    <w:p w14:paraId="6FEC8716" w14:textId="77777777" w:rsidR="00DC483E" w:rsidRDefault="00000000">
      <w:pPr>
        <w:spacing w:before="40" w:after="120"/>
      </w:pPr>
      <w:r>
        <w:rPr>
          <w:color w:val="10101A"/>
          <w:sz w:val="21"/>
        </w:rPr>
        <w:t>Expense management is a workflow product. Customers do not evaluate it on features alone — they evaluate it on whether it makes expense submission and reimbursement fast and effortless for their employees. If approval cycles are slow, if employees abandon claims halfway through, if finance teams are manually chasing down rejections — the product feels broken even if it isn't.</w:t>
      </w:r>
    </w:p>
    <w:p w14:paraId="60073BD8" w14:textId="77777777" w:rsidR="00DC483E" w:rsidRDefault="00000000">
      <w:pPr>
        <w:spacing w:before="40" w:after="120"/>
      </w:pPr>
      <w:r>
        <w:rPr>
          <w:color w:val="10101A"/>
          <w:sz w:val="21"/>
        </w:rPr>
        <w:t>We currently have no systematic visibility into any of this at a customer level.</w:t>
      </w:r>
    </w:p>
    <w:p w14:paraId="108FBA31" w14:textId="77777777" w:rsidR="00DC483E" w:rsidRDefault="00000000">
      <w:pPr>
        <w:spacing w:before="240" w:after="40"/>
      </w:pPr>
      <w:r>
        <w:rPr>
          <w:b/>
          <w:color w:val="444466"/>
        </w:rPr>
        <w:lastRenderedPageBreak/>
        <w:t>The Risk of Flying Blind</w:t>
      </w:r>
    </w:p>
    <w:p w14:paraId="74E6B2C7" w14:textId="77777777" w:rsidR="00DC483E" w:rsidRDefault="00000000">
      <w:pPr>
        <w:pStyle w:val="ListBullet"/>
        <w:spacing w:after="60"/>
      </w:pPr>
      <w:r>
        <w:rPr>
          <w:b/>
          <w:color w:val="10101A"/>
          <w:sz w:val="21"/>
        </w:rPr>
        <w:t>Scenario 1:</w:t>
      </w:r>
      <w:r>
        <w:rPr>
          <w:color w:val="10101A"/>
          <w:sz w:val="21"/>
        </w:rPr>
        <w:t xml:space="preserve"> A customer's submission volume drops 60% over three months. We find out when they submit a cancellation request.</w:t>
      </w:r>
    </w:p>
    <w:p w14:paraId="51657959" w14:textId="77777777" w:rsidR="00DC483E" w:rsidRDefault="00000000">
      <w:pPr>
        <w:pStyle w:val="ListBullet"/>
        <w:spacing w:after="60"/>
      </w:pPr>
      <w:r>
        <w:rPr>
          <w:b/>
          <w:color w:val="10101A"/>
          <w:sz w:val="21"/>
        </w:rPr>
        <w:t>Scenario 2:</w:t>
      </w:r>
      <w:r>
        <w:rPr>
          <w:color w:val="10101A"/>
          <w:sz w:val="21"/>
        </w:rPr>
        <w:t xml:space="preserve"> A mid-market client has a 14-day average approval cycle because two managers are not actioning claims. Their employees complain to HR. HR blames the software.</w:t>
      </w:r>
    </w:p>
    <w:p w14:paraId="3CED2B51" w14:textId="77777777" w:rsidR="00DC483E" w:rsidRDefault="00000000">
      <w:pPr>
        <w:pStyle w:val="ListBullet"/>
        <w:spacing w:after="60"/>
      </w:pPr>
      <w:r>
        <w:rPr>
          <w:b/>
          <w:color w:val="10101A"/>
          <w:sz w:val="21"/>
        </w:rPr>
        <w:t>Scenario 3:</w:t>
      </w:r>
      <w:r>
        <w:rPr>
          <w:color w:val="10101A"/>
          <w:sz w:val="21"/>
        </w:rPr>
        <w:t xml:space="preserve"> A new client goes live but only 15% of their employees ever submit a claim. Low adoption leads to low perceived value. They do not renew.</w:t>
      </w:r>
    </w:p>
    <w:p w14:paraId="71A3900C" w14:textId="77777777" w:rsidR="00DC483E" w:rsidRDefault="00000000">
      <w:pPr>
        <w:spacing w:before="40" w:after="120"/>
      </w:pPr>
      <w:r>
        <w:rPr>
          <w:i/>
          <w:color w:val="10101A"/>
          <w:sz w:val="21"/>
        </w:rPr>
        <w:t>Each of these scenarios is detectable weeks or months in advance with the right data. Phase 3 builds that detection.</w:t>
      </w:r>
    </w:p>
    <w:p w14:paraId="2ADA2375" w14:textId="77777777" w:rsidR="00DC483E" w:rsidRDefault="00000000">
      <w:pPr>
        <w:spacing w:before="360" w:after="80"/>
      </w:pPr>
      <w:r>
        <w:rPr>
          <w:b/>
          <w:color w:val="6B53E0"/>
          <w:sz w:val="28"/>
        </w:rPr>
        <w:t>Vision: What We Are Building</w:t>
      </w:r>
    </w:p>
    <w:p w14:paraId="0D8F062A" w14:textId="77777777" w:rsidR="00DC483E" w:rsidRDefault="00000000">
      <w:pPr>
        <w:spacing w:before="40" w:after="120"/>
      </w:pPr>
      <w:r>
        <w:rPr>
          <w:color w:val="10101A"/>
          <w:sz w:val="21"/>
        </w:rPr>
        <w:t>A Customer Health Dashboard integrated into our existing analytics platform, providing five core capabilities:</w:t>
      </w:r>
    </w:p>
    <w:p w14:paraId="42EC37C0" w14:textId="77777777" w:rsidR="00DC483E" w:rsidRDefault="00000000">
      <w:pPr>
        <w:spacing w:before="240" w:after="40"/>
      </w:pPr>
      <w:r>
        <w:rPr>
          <w:b/>
          <w:color w:val="444466"/>
        </w:rPr>
        <w:t>1. Company Health Scorecards</w:t>
      </w:r>
    </w:p>
    <w:p w14:paraId="7B2386F4" w14:textId="77777777" w:rsidR="00DC483E" w:rsidRDefault="00000000">
      <w:pPr>
        <w:spacing w:before="40" w:after="120"/>
      </w:pPr>
      <w:r>
        <w:rPr>
          <w:color w:val="10101A"/>
          <w:sz w:val="21"/>
        </w:rPr>
        <w:t>A per-client view showing submission volume trends, user adoption rates, approval cycle times, and reimbursement SLA compliance. Each account gets a health score — green, amber, or red — updated on a rolling basis.</w:t>
      </w:r>
    </w:p>
    <w:p w14:paraId="1CFD466A" w14:textId="77777777" w:rsidR="00DC483E" w:rsidRDefault="00000000">
      <w:pPr>
        <w:spacing w:after="120"/>
      </w:pPr>
      <w:r>
        <w:rPr>
          <w:b/>
          <w:color w:val="6B53E0"/>
          <w:sz w:val="21"/>
        </w:rPr>
        <w:t xml:space="preserve">Output: </w:t>
      </w:r>
      <w:r>
        <w:rPr>
          <w:i/>
          <w:color w:val="444466"/>
          <w:sz w:val="21"/>
        </w:rPr>
        <w:t>The output: Customer Success and Account Management walk into every QBR knowing exactly which metrics are healthy and which need a conversation.</w:t>
      </w:r>
    </w:p>
    <w:p w14:paraId="3B830914" w14:textId="77777777" w:rsidR="00DC483E" w:rsidRDefault="00000000">
      <w:pPr>
        <w:spacing w:before="240" w:after="40"/>
      </w:pPr>
      <w:r>
        <w:rPr>
          <w:b/>
          <w:color w:val="444466"/>
        </w:rPr>
        <w:t>2. Churn Risk Detection</w:t>
      </w:r>
    </w:p>
    <w:p w14:paraId="2D00236D" w14:textId="77777777" w:rsidR="00DC483E" w:rsidRDefault="00000000">
      <w:pPr>
        <w:spacing w:before="40" w:after="120"/>
      </w:pPr>
      <w:r>
        <w:rPr>
          <w:color w:val="10101A"/>
          <w:sz w:val="21"/>
        </w:rPr>
        <w:t>Automated flagging of accounts showing early churn signals — declining submission volume, falling active user counts, or unusually high rejection rates. Flagged accounts surface on a watchlist with the specific signal that triggered them.</w:t>
      </w:r>
    </w:p>
    <w:p w14:paraId="795BDA4C" w14:textId="77777777" w:rsidR="00DC483E" w:rsidRDefault="00000000">
      <w:pPr>
        <w:spacing w:after="120"/>
      </w:pPr>
      <w:r>
        <w:rPr>
          <w:b/>
          <w:color w:val="6B53E0"/>
          <w:sz w:val="21"/>
        </w:rPr>
        <w:t xml:space="preserve">Output: </w:t>
      </w:r>
      <w:r>
        <w:rPr>
          <w:i/>
          <w:color w:val="444466"/>
          <w:sz w:val="21"/>
        </w:rPr>
        <w:t>The output: CS teams intervene before the customer has even considered leaving.</w:t>
      </w:r>
    </w:p>
    <w:p w14:paraId="53D27D4F" w14:textId="77777777" w:rsidR="00DC483E" w:rsidRDefault="00000000">
      <w:pPr>
        <w:spacing w:before="240" w:after="40"/>
      </w:pPr>
      <w:r>
        <w:rPr>
          <w:b/>
          <w:color w:val="444466"/>
        </w:rPr>
        <w:t>3. Approval Chain Intelligence</w:t>
      </w:r>
    </w:p>
    <w:p w14:paraId="4D1E2886" w14:textId="77777777" w:rsidR="00DC483E" w:rsidRDefault="00000000">
      <w:pPr>
        <w:spacing w:before="40" w:after="120"/>
      </w:pPr>
      <w:r>
        <w:rPr>
          <w:color w:val="10101A"/>
          <w:sz w:val="21"/>
        </w:rPr>
        <w:t>Company-level visibility into where the approval process breaks down. Which companies have the slowest manager approval cycles? Where are claims sitting for more than 5 days? Where are rejection rates high — and why?</w:t>
      </w:r>
    </w:p>
    <w:p w14:paraId="19057AF1" w14:textId="77777777" w:rsidR="00DC483E" w:rsidRDefault="00000000">
      <w:pPr>
        <w:spacing w:after="120"/>
      </w:pPr>
      <w:r>
        <w:rPr>
          <w:b/>
          <w:color w:val="6B53E0"/>
          <w:sz w:val="21"/>
        </w:rPr>
        <w:t xml:space="preserve">Output: </w:t>
      </w:r>
      <w:r>
        <w:rPr>
          <w:i/>
          <w:color w:val="444466"/>
          <w:sz w:val="21"/>
        </w:rPr>
        <w:t>The output: A targeted conversation with the client admin or a product improvement insight.</w:t>
      </w:r>
    </w:p>
    <w:p w14:paraId="024A365D" w14:textId="77777777" w:rsidR="00DC483E" w:rsidRDefault="00000000">
      <w:pPr>
        <w:spacing w:before="240" w:after="40"/>
      </w:pPr>
      <w:r>
        <w:rPr>
          <w:b/>
          <w:color w:val="444466"/>
        </w:rPr>
        <w:t>4. Product Funnel Analysis</w:t>
      </w:r>
    </w:p>
    <w:p w14:paraId="741433D9" w14:textId="77777777" w:rsidR="00DC483E" w:rsidRDefault="00000000">
      <w:pPr>
        <w:spacing w:before="40" w:after="120"/>
      </w:pPr>
      <w:r>
        <w:rPr>
          <w:color w:val="10101A"/>
          <w:sz w:val="21"/>
        </w:rPr>
        <w:t>Where in the claim submission flow do employees drop off? Do mobile users complete at the same rate as web users? Which expense categories generate the most rejections?</w:t>
      </w:r>
    </w:p>
    <w:p w14:paraId="4615F02A" w14:textId="77777777" w:rsidR="00DC483E" w:rsidRDefault="00000000">
      <w:pPr>
        <w:spacing w:after="120"/>
      </w:pPr>
      <w:r>
        <w:rPr>
          <w:b/>
          <w:color w:val="6B53E0"/>
          <w:sz w:val="21"/>
        </w:rPr>
        <w:t xml:space="preserve">Output: </w:t>
      </w:r>
      <w:r>
        <w:rPr>
          <w:i/>
          <w:color w:val="444466"/>
          <w:sz w:val="21"/>
        </w:rPr>
        <w:t>The output: Direct input to the product roadmap — validated by real usage data, not assumptions.</w:t>
      </w:r>
    </w:p>
    <w:p w14:paraId="52AB4E0E" w14:textId="77777777" w:rsidR="00DC483E" w:rsidRDefault="00000000">
      <w:pPr>
        <w:spacing w:before="240" w:after="40"/>
      </w:pPr>
      <w:r>
        <w:rPr>
          <w:b/>
          <w:color w:val="444466"/>
        </w:rPr>
        <w:t>5. Release Impact Correlation</w:t>
      </w:r>
    </w:p>
    <w:p w14:paraId="10DE3DEA" w14:textId="77777777" w:rsidR="00DC483E" w:rsidRDefault="00000000">
      <w:pPr>
        <w:spacing w:before="40" w:after="120"/>
      </w:pPr>
      <w:r>
        <w:rPr>
          <w:color w:val="10101A"/>
          <w:sz w:val="21"/>
        </w:rPr>
        <w:t>Connecting our internal release data (which we already track) with customer-facing outcomes — did support ticket volume spike after a release? Did approval cycle times change?</w:t>
      </w:r>
    </w:p>
    <w:p w14:paraId="38F9F0C8" w14:textId="77777777" w:rsidR="00DC483E" w:rsidRDefault="00000000">
      <w:pPr>
        <w:spacing w:after="120"/>
      </w:pPr>
      <w:r>
        <w:rPr>
          <w:b/>
          <w:color w:val="6B53E0"/>
          <w:sz w:val="21"/>
        </w:rPr>
        <w:t xml:space="preserve">Output: </w:t>
      </w:r>
      <w:r>
        <w:rPr>
          <w:i/>
          <w:color w:val="444466"/>
          <w:sz w:val="21"/>
        </w:rPr>
        <w:t>The output: Closes the loop between engineering decisions and customer experience.</w:t>
      </w:r>
    </w:p>
    <w:p w14:paraId="6796FA07" w14:textId="77777777" w:rsidR="00DC483E" w:rsidRDefault="00000000">
      <w:pPr>
        <w:spacing w:before="360" w:after="80"/>
      </w:pPr>
      <w:r>
        <w:rPr>
          <w:b/>
          <w:color w:val="6B53E0"/>
          <w:sz w:val="28"/>
        </w:rPr>
        <w:lastRenderedPageBreak/>
        <w:t>Data Requirements</w:t>
      </w:r>
    </w:p>
    <w:p w14:paraId="2602C26D" w14:textId="77777777" w:rsidR="00DC483E" w:rsidRDefault="00000000">
      <w:pPr>
        <w:spacing w:before="40" w:after="120"/>
      </w:pPr>
      <w:r>
        <w:rPr>
          <w:color w:val="10101A"/>
          <w:sz w:val="21"/>
        </w:rPr>
        <w:t>The following data is required from the relevant engineering and data teams. The majority exists in the Expense on Demand transactional database today — no new data collection is needed to begin Phase 3a.</w:t>
      </w:r>
    </w:p>
    <w:p w14:paraId="52E987F1" w14:textId="77777777" w:rsidR="00DC483E" w:rsidRDefault="00000000">
      <w:pPr>
        <w:spacing w:before="240" w:after="40"/>
      </w:pPr>
      <w:r>
        <w:rPr>
          <w:b/>
          <w:color w:val="444466"/>
        </w:rPr>
        <w:t>Priority 1 — Core (required to start)</w:t>
      </w:r>
    </w:p>
    <w:tbl>
      <w:tblPr>
        <w:tblStyle w:val="TableGrid"/>
        <w:tblW w:w="0" w:type="auto"/>
        <w:tblLook w:val="04A0" w:firstRow="1" w:lastRow="0" w:firstColumn="1" w:lastColumn="0" w:noHBand="0" w:noVBand="1"/>
      </w:tblPr>
      <w:tblGrid>
        <w:gridCol w:w="3022"/>
        <w:gridCol w:w="3022"/>
        <w:gridCol w:w="3022"/>
      </w:tblGrid>
      <w:tr w:rsidR="00DC483E" w14:paraId="276BA545" w14:textId="77777777">
        <w:tc>
          <w:tcPr>
            <w:tcW w:w="3022" w:type="dxa"/>
            <w:shd w:val="clear" w:color="auto" w:fill="2D1F6E"/>
          </w:tcPr>
          <w:p w14:paraId="6411192B" w14:textId="77777777" w:rsidR="00DC483E" w:rsidRDefault="00000000">
            <w:r>
              <w:rPr>
                <w:b/>
                <w:color w:val="FFFFFF"/>
                <w:sz w:val="19"/>
              </w:rPr>
              <w:t>Data Point</w:t>
            </w:r>
          </w:p>
        </w:tc>
        <w:tc>
          <w:tcPr>
            <w:tcW w:w="3022" w:type="dxa"/>
            <w:shd w:val="clear" w:color="auto" w:fill="2D1F6E"/>
          </w:tcPr>
          <w:p w14:paraId="7EFF60AE" w14:textId="77777777" w:rsidR="00DC483E" w:rsidRDefault="00000000">
            <w:r>
              <w:rPr>
                <w:b/>
                <w:color w:val="FFFFFF"/>
                <w:sz w:val="19"/>
              </w:rPr>
              <w:t>Source</w:t>
            </w:r>
          </w:p>
        </w:tc>
        <w:tc>
          <w:tcPr>
            <w:tcW w:w="3022" w:type="dxa"/>
            <w:shd w:val="clear" w:color="auto" w:fill="2D1F6E"/>
          </w:tcPr>
          <w:p w14:paraId="262D0027" w14:textId="77777777" w:rsidR="00DC483E" w:rsidRDefault="00000000">
            <w:r>
              <w:rPr>
                <w:b/>
                <w:color w:val="FFFFFF"/>
                <w:sz w:val="19"/>
              </w:rPr>
              <w:t>Notes</w:t>
            </w:r>
          </w:p>
        </w:tc>
      </w:tr>
      <w:tr w:rsidR="00DC483E" w14:paraId="2E506B9A" w14:textId="77777777">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67B01E62" w14:textId="77777777" w:rsidR="00DC483E" w:rsidRDefault="00000000">
            <w:r>
              <w:rPr>
                <w:color w:val="10101A"/>
                <w:sz w:val="19"/>
              </w:rPr>
              <w:t>Claim records with timestamps</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6A8A7907" w14:textId="77777777" w:rsidR="00DC483E" w:rsidRDefault="00000000">
            <w:r>
              <w:rPr>
                <w:color w:val="10101A"/>
                <w:sz w:val="19"/>
              </w:rPr>
              <w:t>EoD App DB</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5D52032B" w14:textId="77777777" w:rsidR="00DC483E" w:rsidRDefault="00000000">
            <w:r>
              <w:rPr>
                <w:color w:val="10101A"/>
                <w:sz w:val="19"/>
              </w:rPr>
              <w:t>Submitted at, approved at, paid at, rejected at</w:t>
            </w:r>
          </w:p>
        </w:tc>
      </w:tr>
      <w:tr w:rsidR="00DC483E" w14:paraId="09F8CE0E" w14:textId="77777777">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5E3CCAC2" w14:textId="77777777" w:rsidR="00DC483E" w:rsidRDefault="00000000">
            <w:r>
              <w:rPr>
                <w:color w:val="10101A"/>
                <w:sz w:val="19"/>
              </w:rPr>
              <w:t>Claim status history</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5D3B702F" w14:textId="77777777" w:rsidR="00DC483E" w:rsidRDefault="00000000">
            <w:r>
              <w:rPr>
                <w:color w:val="10101A"/>
                <w:sz w:val="19"/>
              </w:rPr>
              <w:t>EoD App DB</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4C4B90A4" w14:textId="77777777" w:rsidR="00DC483E" w:rsidRDefault="00000000">
            <w:r>
              <w:rPr>
                <w:color w:val="10101A"/>
                <w:sz w:val="19"/>
              </w:rPr>
              <w:t>Full status trail per claim, not just current state</w:t>
            </w:r>
          </w:p>
        </w:tc>
      </w:tr>
      <w:tr w:rsidR="00DC483E" w14:paraId="02F7C3F9" w14:textId="77777777">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2905A6D6" w14:textId="77777777" w:rsidR="00DC483E" w:rsidRDefault="00000000">
            <w:r>
              <w:rPr>
                <w:color w:val="10101A"/>
                <w:sz w:val="19"/>
              </w:rPr>
              <w:t>Rejection reason codes</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58DE189D" w14:textId="77777777" w:rsidR="00DC483E" w:rsidRDefault="00000000">
            <w:r>
              <w:rPr>
                <w:color w:val="10101A"/>
                <w:sz w:val="19"/>
              </w:rPr>
              <w:t>EoD App DB</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5B6313B4" w14:textId="77777777" w:rsidR="00DC483E" w:rsidRDefault="00000000">
            <w:r>
              <w:rPr>
                <w:color w:val="10101A"/>
                <w:sz w:val="19"/>
              </w:rPr>
              <w:t>Structured reason codes, not free text</w:t>
            </w:r>
          </w:p>
        </w:tc>
      </w:tr>
      <w:tr w:rsidR="00DC483E" w14:paraId="0680EC23" w14:textId="77777777">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7625EA4A" w14:textId="77777777" w:rsidR="00DC483E" w:rsidRDefault="00000000">
            <w:r>
              <w:rPr>
                <w:color w:val="10101A"/>
                <w:sz w:val="19"/>
              </w:rPr>
              <w:t>Company / tenant identifiers</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279A19FD" w14:textId="77777777" w:rsidR="00DC483E" w:rsidRDefault="00000000">
            <w:r>
              <w:rPr>
                <w:color w:val="10101A"/>
                <w:sz w:val="19"/>
              </w:rPr>
              <w:t>EoD App DB</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5DE3C81D" w14:textId="77777777" w:rsidR="00DC483E" w:rsidRDefault="00000000">
            <w:r>
              <w:rPr>
                <w:color w:val="10101A"/>
                <w:sz w:val="19"/>
              </w:rPr>
              <w:t>Company ID linked to each user and claim</w:t>
            </w:r>
          </w:p>
        </w:tc>
      </w:tr>
      <w:tr w:rsidR="00DC483E" w14:paraId="664A9999" w14:textId="77777777">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1AEFA7E6" w14:textId="77777777" w:rsidR="00DC483E" w:rsidRDefault="00000000">
            <w:r>
              <w:rPr>
                <w:color w:val="10101A"/>
                <w:sz w:val="19"/>
              </w:rPr>
              <w:t>User records per company</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7708EA55" w14:textId="77777777" w:rsidR="00DC483E" w:rsidRDefault="00000000">
            <w:r>
              <w:rPr>
                <w:color w:val="10101A"/>
                <w:sz w:val="19"/>
              </w:rPr>
              <w:t>EoD App DB</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2C12BF88" w14:textId="77777777" w:rsidR="00DC483E" w:rsidRDefault="00000000">
            <w:r>
              <w:rPr>
                <w:color w:val="10101A"/>
                <w:sz w:val="19"/>
              </w:rPr>
              <w:t>Total registered vs. active (submitted in last 30 days)</w:t>
            </w:r>
          </w:p>
        </w:tc>
      </w:tr>
      <w:tr w:rsidR="00DC483E" w14:paraId="5D56B041" w14:textId="77777777">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56F37093" w14:textId="77777777" w:rsidR="00DC483E" w:rsidRDefault="00000000">
            <w:r>
              <w:rPr>
                <w:color w:val="10101A"/>
                <w:sz w:val="19"/>
              </w:rPr>
              <w:t>Approver assignment per claim</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5432AA1E" w14:textId="77777777" w:rsidR="00DC483E" w:rsidRDefault="00000000">
            <w:r>
              <w:rPr>
                <w:color w:val="10101A"/>
                <w:sz w:val="19"/>
              </w:rPr>
              <w:t>EoD App DB</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36B51E43" w14:textId="77777777" w:rsidR="00DC483E" w:rsidRDefault="00000000">
            <w:r>
              <w:rPr>
                <w:color w:val="10101A"/>
                <w:sz w:val="19"/>
              </w:rPr>
              <w:t>Which manager is responsible for each pending claim</w:t>
            </w:r>
          </w:p>
        </w:tc>
      </w:tr>
    </w:tbl>
    <w:p w14:paraId="61B48521" w14:textId="77777777" w:rsidR="00DC483E" w:rsidRDefault="00DC483E">
      <w:pPr>
        <w:spacing w:after="120"/>
      </w:pPr>
    </w:p>
    <w:p w14:paraId="656422D2" w14:textId="77777777" w:rsidR="00DC483E" w:rsidRDefault="00000000">
      <w:pPr>
        <w:spacing w:before="40" w:after="120"/>
      </w:pPr>
      <w:r>
        <w:rPr>
          <w:i/>
          <w:color w:val="10101A"/>
          <w:sz w:val="21"/>
        </w:rPr>
        <w:t>Delivery ask: Read-only access to a reporting replica of the EoD production database, or a scheduled daily/hourly export of the above tables into our analytics environment.</w:t>
      </w:r>
    </w:p>
    <w:p w14:paraId="4D98B857" w14:textId="77777777" w:rsidR="00DC483E" w:rsidRDefault="00000000">
      <w:pPr>
        <w:spacing w:before="240" w:after="40"/>
      </w:pPr>
      <w:r>
        <w:rPr>
          <w:b/>
          <w:color w:val="444466"/>
        </w:rPr>
        <w:t>Priority 2 — Behavioural / Funnel (for drop-off analysis)</w:t>
      </w:r>
    </w:p>
    <w:tbl>
      <w:tblPr>
        <w:tblStyle w:val="TableGrid"/>
        <w:tblW w:w="0" w:type="auto"/>
        <w:tblLook w:val="04A0" w:firstRow="1" w:lastRow="0" w:firstColumn="1" w:lastColumn="0" w:noHBand="0" w:noVBand="1"/>
      </w:tblPr>
      <w:tblGrid>
        <w:gridCol w:w="3022"/>
        <w:gridCol w:w="3022"/>
        <w:gridCol w:w="3022"/>
      </w:tblGrid>
      <w:tr w:rsidR="00DC483E" w14:paraId="4C433DC9" w14:textId="77777777">
        <w:tc>
          <w:tcPr>
            <w:tcW w:w="3022" w:type="dxa"/>
            <w:shd w:val="clear" w:color="auto" w:fill="2D1F6E"/>
          </w:tcPr>
          <w:p w14:paraId="76E4CA94" w14:textId="77777777" w:rsidR="00DC483E" w:rsidRDefault="00000000">
            <w:r>
              <w:rPr>
                <w:b/>
                <w:color w:val="FFFFFF"/>
                <w:sz w:val="19"/>
              </w:rPr>
              <w:t>Data Point</w:t>
            </w:r>
          </w:p>
        </w:tc>
        <w:tc>
          <w:tcPr>
            <w:tcW w:w="3022" w:type="dxa"/>
            <w:shd w:val="clear" w:color="auto" w:fill="2D1F6E"/>
          </w:tcPr>
          <w:p w14:paraId="423C7BF6" w14:textId="77777777" w:rsidR="00DC483E" w:rsidRDefault="00000000">
            <w:r>
              <w:rPr>
                <w:b/>
                <w:color w:val="FFFFFF"/>
                <w:sz w:val="19"/>
              </w:rPr>
              <w:t>Source</w:t>
            </w:r>
          </w:p>
        </w:tc>
        <w:tc>
          <w:tcPr>
            <w:tcW w:w="3022" w:type="dxa"/>
            <w:shd w:val="clear" w:color="auto" w:fill="2D1F6E"/>
          </w:tcPr>
          <w:p w14:paraId="256C714C" w14:textId="77777777" w:rsidR="00DC483E" w:rsidRDefault="00000000">
            <w:r>
              <w:rPr>
                <w:b/>
                <w:color w:val="FFFFFF"/>
                <w:sz w:val="19"/>
              </w:rPr>
              <w:t>Notes</w:t>
            </w:r>
          </w:p>
        </w:tc>
      </w:tr>
      <w:tr w:rsidR="00DC483E" w14:paraId="65EA2E39" w14:textId="77777777">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4AA6254E" w14:textId="77777777" w:rsidR="00DC483E" w:rsidRDefault="00000000">
            <w:r>
              <w:rPr>
                <w:color w:val="10101A"/>
                <w:sz w:val="19"/>
              </w:rPr>
              <w:t>Claim draft / session start events</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62F200A5" w14:textId="77777777" w:rsidR="00DC483E" w:rsidRDefault="00000000">
            <w:r>
              <w:rPr>
                <w:color w:val="10101A"/>
                <w:sz w:val="19"/>
              </w:rPr>
              <w:t>App instrumentation</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790F9593" w14:textId="77777777" w:rsidR="00DC483E" w:rsidRDefault="00000000">
            <w:r>
              <w:rPr>
                <w:color w:val="10101A"/>
                <w:sz w:val="19"/>
              </w:rPr>
              <w:t>Event listeners at claim creation entry points</w:t>
            </w:r>
          </w:p>
        </w:tc>
      </w:tr>
      <w:tr w:rsidR="00DC483E" w14:paraId="6B6D8B52" w14:textId="77777777">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63FC2A6E" w14:textId="77777777" w:rsidR="00DC483E" w:rsidRDefault="00000000">
            <w:r>
              <w:rPr>
                <w:color w:val="10101A"/>
                <w:sz w:val="19"/>
              </w:rPr>
              <w:t>Receipt upload attempts &amp; outcomes</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5BF4A31D" w14:textId="77777777" w:rsidR="00DC483E" w:rsidRDefault="00000000">
            <w:r>
              <w:rPr>
                <w:color w:val="10101A"/>
                <w:sz w:val="19"/>
              </w:rPr>
              <w:t>App instrumentation</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5322719E" w14:textId="77777777" w:rsidR="00DC483E" w:rsidRDefault="00000000">
            <w:r>
              <w:rPr>
                <w:color w:val="10101A"/>
                <w:sz w:val="19"/>
              </w:rPr>
              <w:t>Success, failure, reason</w:t>
            </w:r>
          </w:p>
        </w:tc>
      </w:tr>
      <w:tr w:rsidR="00DC483E" w14:paraId="23112C7B" w14:textId="77777777">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6486A938" w14:textId="77777777" w:rsidR="00DC483E" w:rsidRDefault="00000000">
            <w:r>
              <w:rPr>
                <w:color w:val="10101A"/>
                <w:sz w:val="19"/>
              </w:rPr>
              <w:t>Mobile vs. web session split</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1D16C0DB" w14:textId="77777777" w:rsidR="00DC483E" w:rsidRDefault="00000000">
            <w:r>
              <w:rPr>
                <w:color w:val="10101A"/>
                <w:sz w:val="19"/>
              </w:rPr>
              <w:t>App instrumentation</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0CF16089" w14:textId="77777777" w:rsidR="00DC483E" w:rsidRDefault="00000000">
            <w:r>
              <w:rPr>
                <w:color w:val="10101A"/>
                <w:sz w:val="19"/>
              </w:rPr>
              <w:t>Per user, per session</w:t>
            </w:r>
          </w:p>
        </w:tc>
      </w:tr>
      <w:tr w:rsidR="00DC483E" w14:paraId="07236501" w14:textId="77777777">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64E433D0" w14:textId="77777777" w:rsidR="00DC483E" w:rsidRDefault="00000000">
            <w:r>
              <w:rPr>
                <w:color w:val="10101A"/>
                <w:sz w:val="19"/>
              </w:rPr>
              <w:t>Feature interaction events</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21A49732" w14:textId="77777777" w:rsidR="00DC483E" w:rsidRDefault="00000000">
            <w:r>
              <w:rPr>
                <w:color w:val="10101A"/>
                <w:sz w:val="19"/>
              </w:rPr>
              <w:t>App instrumentation</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42490A78" w14:textId="77777777" w:rsidR="00DC483E" w:rsidRDefault="00000000">
            <w:r>
              <w:rPr>
                <w:color w:val="10101A"/>
                <w:sz w:val="19"/>
              </w:rPr>
              <w:t>Which features used, by whom, how often</w:t>
            </w:r>
          </w:p>
        </w:tc>
      </w:tr>
    </w:tbl>
    <w:p w14:paraId="73E68ECF" w14:textId="77777777" w:rsidR="00DC483E" w:rsidRDefault="00DC483E">
      <w:pPr>
        <w:spacing w:after="120"/>
      </w:pPr>
    </w:p>
    <w:p w14:paraId="6F0184EC" w14:textId="77777777" w:rsidR="00DC483E" w:rsidRDefault="00000000">
      <w:pPr>
        <w:spacing w:before="40" w:after="120"/>
      </w:pPr>
      <w:r>
        <w:rPr>
          <w:i/>
          <w:color w:val="10101A"/>
          <w:sz w:val="21"/>
        </w:rPr>
        <w:t>Delivery ask: Instrumentation of key user journey touchpoints using an agreed event schema. Events routed to a collector we will provide.</w:t>
      </w:r>
    </w:p>
    <w:p w14:paraId="285536F7" w14:textId="77777777" w:rsidR="00DC483E" w:rsidRDefault="00000000">
      <w:pPr>
        <w:spacing w:before="240" w:after="40"/>
      </w:pPr>
      <w:r>
        <w:rPr>
          <w:b/>
          <w:color w:val="444466"/>
        </w:rPr>
        <w:t>Priority 3 — Support Correlation (enhances churn model)</w:t>
      </w:r>
    </w:p>
    <w:tbl>
      <w:tblPr>
        <w:tblStyle w:val="TableGrid"/>
        <w:tblW w:w="0" w:type="auto"/>
        <w:tblLook w:val="04A0" w:firstRow="1" w:lastRow="0" w:firstColumn="1" w:lastColumn="0" w:noHBand="0" w:noVBand="1"/>
      </w:tblPr>
      <w:tblGrid>
        <w:gridCol w:w="3022"/>
        <w:gridCol w:w="3022"/>
        <w:gridCol w:w="3022"/>
      </w:tblGrid>
      <w:tr w:rsidR="00DC483E" w14:paraId="49113700" w14:textId="77777777">
        <w:tc>
          <w:tcPr>
            <w:tcW w:w="3022" w:type="dxa"/>
            <w:shd w:val="clear" w:color="auto" w:fill="2D1F6E"/>
          </w:tcPr>
          <w:p w14:paraId="682A647D" w14:textId="77777777" w:rsidR="00DC483E" w:rsidRDefault="00000000">
            <w:r>
              <w:rPr>
                <w:b/>
                <w:color w:val="FFFFFF"/>
                <w:sz w:val="19"/>
              </w:rPr>
              <w:t>Data Point</w:t>
            </w:r>
          </w:p>
        </w:tc>
        <w:tc>
          <w:tcPr>
            <w:tcW w:w="3022" w:type="dxa"/>
            <w:shd w:val="clear" w:color="auto" w:fill="2D1F6E"/>
          </w:tcPr>
          <w:p w14:paraId="3D5E098B" w14:textId="77777777" w:rsidR="00DC483E" w:rsidRDefault="00000000">
            <w:r>
              <w:rPr>
                <w:b/>
                <w:color w:val="FFFFFF"/>
                <w:sz w:val="19"/>
              </w:rPr>
              <w:t>Source</w:t>
            </w:r>
          </w:p>
        </w:tc>
        <w:tc>
          <w:tcPr>
            <w:tcW w:w="3022" w:type="dxa"/>
            <w:shd w:val="clear" w:color="auto" w:fill="2D1F6E"/>
          </w:tcPr>
          <w:p w14:paraId="5BA0F62E" w14:textId="77777777" w:rsidR="00DC483E" w:rsidRDefault="00000000">
            <w:r>
              <w:rPr>
                <w:b/>
                <w:color w:val="FFFFFF"/>
                <w:sz w:val="19"/>
              </w:rPr>
              <w:t>Notes</w:t>
            </w:r>
          </w:p>
        </w:tc>
      </w:tr>
      <w:tr w:rsidR="00DC483E" w14:paraId="5DB25224" w14:textId="77777777">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3477D13E" w14:textId="77777777" w:rsidR="00DC483E" w:rsidRDefault="00000000">
            <w:r>
              <w:rPr>
                <w:color w:val="10101A"/>
                <w:sz w:val="19"/>
              </w:rPr>
              <w:t>Support ticket volume per company</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73A313FB" w14:textId="77777777" w:rsidR="00DC483E" w:rsidRDefault="00000000">
            <w:r>
              <w:rPr>
                <w:color w:val="10101A"/>
                <w:sz w:val="19"/>
              </w:rPr>
              <w:t>Zendesk / Freshdesk API</w:t>
            </w:r>
          </w:p>
        </w:tc>
        <w:tc>
          <w:tcPr>
            <w:tcW w:w="3022" w:type="dxa"/>
            <w:tcBorders>
              <w:top w:val="single" w:sz="4" w:space="0" w:color="D8D8EC"/>
              <w:left w:val="single" w:sz="4" w:space="0" w:color="D8D8EC"/>
              <w:bottom w:val="single" w:sz="4" w:space="0" w:color="D8D8EC"/>
              <w:right w:val="single" w:sz="4" w:space="0" w:color="D8D8EC"/>
            </w:tcBorders>
            <w:shd w:val="clear" w:color="auto" w:fill="F7F6FF"/>
          </w:tcPr>
          <w:p w14:paraId="524289EE" w14:textId="77777777" w:rsidR="00DC483E" w:rsidRDefault="00000000">
            <w:r>
              <w:rPr>
                <w:color w:val="10101A"/>
                <w:sz w:val="19"/>
              </w:rPr>
              <w:t>Open date, category, resolution time</w:t>
            </w:r>
          </w:p>
        </w:tc>
      </w:tr>
      <w:tr w:rsidR="00DC483E" w14:paraId="70A3671A" w14:textId="77777777">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1D061163" w14:textId="77777777" w:rsidR="00DC483E" w:rsidRDefault="00000000">
            <w:r>
              <w:rPr>
                <w:color w:val="10101A"/>
                <w:sz w:val="19"/>
              </w:rPr>
              <w:t>NPS or CSAT scores per company</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0CD5C26F" w14:textId="77777777" w:rsidR="00DC483E" w:rsidRDefault="00000000">
            <w:r>
              <w:rPr>
                <w:color w:val="10101A"/>
                <w:sz w:val="19"/>
              </w:rPr>
              <w:t>Survey tool (if in use)</w:t>
            </w:r>
          </w:p>
        </w:tc>
        <w:tc>
          <w:tcPr>
            <w:tcW w:w="3022" w:type="dxa"/>
            <w:tcBorders>
              <w:top w:val="single" w:sz="4" w:space="0" w:color="D8D8EC"/>
              <w:left w:val="single" w:sz="4" w:space="0" w:color="D8D8EC"/>
              <w:bottom w:val="single" w:sz="4" w:space="0" w:color="D8D8EC"/>
              <w:right w:val="single" w:sz="4" w:space="0" w:color="D8D8EC"/>
            </w:tcBorders>
            <w:shd w:val="clear" w:color="auto" w:fill="FFFFFF"/>
          </w:tcPr>
          <w:p w14:paraId="7F90CA07" w14:textId="77777777" w:rsidR="00DC483E" w:rsidRDefault="00000000">
            <w:r>
              <w:rPr>
                <w:color w:val="10101A"/>
                <w:sz w:val="19"/>
              </w:rPr>
              <w:t>Linked by company ID</w:t>
            </w:r>
          </w:p>
        </w:tc>
      </w:tr>
    </w:tbl>
    <w:p w14:paraId="47B73453" w14:textId="77777777" w:rsidR="00DC483E" w:rsidRDefault="00DC483E">
      <w:pPr>
        <w:spacing w:after="120"/>
      </w:pPr>
    </w:p>
    <w:p w14:paraId="5A5F32EF" w14:textId="77777777" w:rsidR="00DC483E" w:rsidRDefault="00000000">
      <w:pPr>
        <w:spacing w:before="40" w:after="120"/>
      </w:pPr>
      <w:r>
        <w:rPr>
          <w:i/>
          <w:color w:val="10101A"/>
          <w:sz w:val="21"/>
        </w:rPr>
        <w:t>Delivery ask: API credentials for support platform. We will write the integration.</w:t>
      </w:r>
    </w:p>
    <w:p w14:paraId="1131F26A" w14:textId="77777777" w:rsidR="00DC483E" w:rsidRDefault="00000000">
      <w:pPr>
        <w:spacing w:before="360" w:after="80"/>
      </w:pPr>
      <w:r>
        <w:rPr>
          <w:b/>
          <w:color w:val="6B53E0"/>
          <w:sz w:val="28"/>
        </w:rPr>
        <w:t>What We Are NOT Building</w:t>
      </w:r>
    </w:p>
    <w:p w14:paraId="442D7C16" w14:textId="77777777" w:rsidR="00DC483E" w:rsidRDefault="00000000">
      <w:pPr>
        <w:pStyle w:val="ListBullet"/>
        <w:spacing w:after="60"/>
      </w:pPr>
      <w:r>
        <w:rPr>
          <w:color w:val="10101A"/>
          <w:sz w:val="21"/>
        </w:rPr>
        <w:t>A CRM replacement — Salesforce/HubSpot remains the record of commercial relationships.</w:t>
      </w:r>
    </w:p>
    <w:p w14:paraId="1FFE3EF2" w14:textId="77777777" w:rsidR="00DC483E" w:rsidRDefault="00000000">
      <w:pPr>
        <w:pStyle w:val="ListBullet"/>
        <w:spacing w:after="60"/>
      </w:pPr>
      <w:r>
        <w:rPr>
          <w:color w:val="10101A"/>
          <w:sz w:val="21"/>
        </w:rPr>
        <w:t>A billing or revenue analytics tool.</w:t>
      </w:r>
    </w:p>
    <w:p w14:paraId="77C1936A" w14:textId="77777777" w:rsidR="00DC483E" w:rsidRDefault="00000000">
      <w:pPr>
        <w:pStyle w:val="ListBullet"/>
        <w:spacing w:after="60"/>
      </w:pPr>
      <w:r>
        <w:rPr>
          <w:color w:val="10101A"/>
          <w:sz w:val="21"/>
        </w:rPr>
        <w:t>An external-facing customer portal — this is an internal intelligence tool.</w:t>
      </w:r>
    </w:p>
    <w:p w14:paraId="584150FA" w14:textId="77777777" w:rsidR="00DC483E" w:rsidRDefault="00000000">
      <w:pPr>
        <w:pStyle w:val="ListBullet"/>
        <w:spacing w:after="60"/>
      </w:pPr>
      <w:r>
        <w:rPr>
          <w:color w:val="10101A"/>
          <w:sz w:val="21"/>
        </w:rPr>
        <w:lastRenderedPageBreak/>
        <w:t>A replacement for Customer Success workflows — we are informing them, not replacing them.</w:t>
      </w:r>
    </w:p>
    <w:p w14:paraId="5CCC703E" w14:textId="77777777" w:rsidR="00DC483E" w:rsidRDefault="00000000">
      <w:pPr>
        <w:spacing w:before="360" w:after="80"/>
      </w:pPr>
      <w:r>
        <w:rPr>
          <w:b/>
          <w:color w:val="6B53E0"/>
          <w:sz w:val="28"/>
        </w:rPr>
        <w:t>Proposed Roadmap</w:t>
      </w:r>
    </w:p>
    <w:tbl>
      <w:tblPr>
        <w:tblStyle w:val="TableGrid"/>
        <w:tblW w:w="0" w:type="auto"/>
        <w:tblLook w:val="04A0" w:firstRow="1" w:lastRow="0" w:firstColumn="1" w:lastColumn="0" w:noHBand="0" w:noVBand="1"/>
      </w:tblPr>
      <w:tblGrid>
        <w:gridCol w:w="2266"/>
        <w:gridCol w:w="2266"/>
        <w:gridCol w:w="2266"/>
        <w:gridCol w:w="2266"/>
      </w:tblGrid>
      <w:tr w:rsidR="00DC483E" w14:paraId="4C81EA00" w14:textId="77777777">
        <w:tc>
          <w:tcPr>
            <w:tcW w:w="2266" w:type="dxa"/>
            <w:shd w:val="clear" w:color="auto" w:fill="2D1F6E"/>
          </w:tcPr>
          <w:p w14:paraId="29FAEA2B" w14:textId="77777777" w:rsidR="00DC483E" w:rsidRDefault="00000000">
            <w:r>
              <w:rPr>
                <w:b/>
                <w:color w:val="FFFFFF"/>
                <w:sz w:val="19"/>
              </w:rPr>
              <w:t>Phase</w:t>
            </w:r>
          </w:p>
        </w:tc>
        <w:tc>
          <w:tcPr>
            <w:tcW w:w="2266" w:type="dxa"/>
            <w:shd w:val="clear" w:color="auto" w:fill="2D1F6E"/>
          </w:tcPr>
          <w:p w14:paraId="19F63FD3" w14:textId="77777777" w:rsidR="00DC483E" w:rsidRDefault="00000000">
            <w:r>
              <w:rPr>
                <w:b/>
                <w:color w:val="FFFFFF"/>
                <w:sz w:val="19"/>
              </w:rPr>
              <w:t>Scope</w:t>
            </w:r>
          </w:p>
        </w:tc>
        <w:tc>
          <w:tcPr>
            <w:tcW w:w="2266" w:type="dxa"/>
            <w:shd w:val="clear" w:color="auto" w:fill="2D1F6E"/>
          </w:tcPr>
          <w:p w14:paraId="16FB5114" w14:textId="77777777" w:rsidR="00DC483E" w:rsidRDefault="00000000">
            <w:r>
              <w:rPr>
                <w:b/>
                <w:color w:val="FFFFFF"/>
                <w:sz w:val="19"/>
              </w:rPr>
              <w:t>Data Needed</w:t>
            </w:r>
          </w:p>
        </w:tc>
        <w:tc>
          <w:tcPr>
            <w:tcW w:w="2266" w:type="dxa"/>
            <w:shd w:val="clear" w:color="auto" w:fill="2D1F6E"/>
          </w:tcPr>
          <w:p w14:paraId="4262346C" w14:textId="77777777" w:rsidR="00DC483E" w:rsidRDefault="00000000">
            <w:r>
              <w:rPr>
                <w:b/>
                <w:color w:val="FFFFFF"/>
                <w:sz w:val="19"/>
              </w:rPr>
              <w:t>Timeline</w:t>
            </w:r>
          </w:p>
        </w:tc>
      </w:tr>
      <w:tr w:rsidR="00DC483E" w14:paraId="794A8C4C" w14:textId="77777777">
        <w:tc>
          <w:tcPr>
            <w:tcW w:w="2266" w:type="dxa"/>
            <w:tcBorders>
              <w:top w:val="single" w:sz="4" w:space="0" w:color="D8D8EC"/>
              <w:left w:val="single" w:sz="4" w:space="0" w:color="D8D8EC"/>
              <w:bottom w:val="single" w:sz="4" w:space="0" w:color="D8D8EC"/>
              <w:right w:val="single" w:sz="4" w:space="0" w:color="D8D8EC"/>
            </w:tcBorders>
            <w:shd w:val="clear" w:color="auto" w:fill="F7F6FF"/>
          </w:tcPr>
          <w:p w14:paraId="2EFAE8E1" w14:textId="77777777" w:rsidR="00DC483E" w:rsidRDefault="00000000">
            <w:r>
              <w:rPr>
                <w:color w:val="10101A"/>
                <w:sz w:val="19"/>
              </w:rPr>
              <w:t>3a — Company Health &amp; Churn</w:t>
            </w:r>
          </w:p>
        </w:tc>
        <w:tc>
          <w:tcPr>
            <w:tcW w:w="2266" w:type="dxa"/>
            <w:tcBorders>
              <w:top w:val="single" w:sz="4" w:space="0" w:color="D8D8EC"/>
              <w:left w:val="single" w:sz="4" w:space="0" w:color="D8D8EC"/>
              <w:bottom w:val="single" w:sz="4" w:space="0" w:color="D8D8EC"/>
              <w:right w:val="single" w:sz="4" w:space="0" w:color="D8D8EC"/>
            </w:tcBorders>
            <w:shd w:val="clear" w:color="auto" w:fill="F7F6FF"/>
          </w:tcPr>
          <w:p w14:paraId="6AC4C246" w14:textId="77777777" w:rsidR="00DC483E" w:rsidRDefault="00000000">
            <w:r>
              <w:rPr>
                <w:color w:val="10101A"/>
                <w:sz w:val="19"/>
              </w:rPr>
              <w:t>Company scorecards, churn watchlist, approval chain visibility</w:t>
            </w:r>
          </w:p>
        </w:tc>
        <w:tc>
          <w:tcPr>
            <w:tcW w:w="2266" w:type="dxa"/>
            <w:tcBorders>
              <w:top w:val="single" w:sz="4" w:space="0" w:color="D8D8EC"/>
              <w:left w:val="single" w:sz="4" w:space="0" w:color="D8D8EC"/>
              <w:bottom w:val="single" w:sz="4" w:space="0" w:color="D8D8EC"/>
              <w:right w:val="single" w:sz="4" w:space="0" w:color="D8D8EC"/>
            </w:tcBorders>
            <w:shd w:val="clear" w:color="auto" w:fill="F7F6FF"/>
          </w:tcPr>
          <w:p w14:paraId="195DDCA9" w14:textId="77777777" w:rsidR="00DC483E" w:rsidRDefault="00000000">
            <w:r>
              <w:rPr>
                <w:color w:val="10101A"/>
                <w:sz w:val="19"/>
              </w:rPr>
              <w:t>Priority 1 only</w:t>
            </w:r>
          </w:p>
        </w:tc>
        <w:tc>
          <w:tcPr>
            <w:tcW w:w="2266" w:type="dxa"/>
            <w:tcBorders>
              <w:top w:val="single" w:sz="4" w:space="0" w:color="D8D8EC"/>
              <w:left w:val="single" w:sz="4" w:space="0" w:color="D8D8EC"/>
              <w:bottom w:val="single" w:sz="4" w:space="0" w:color="D8D8EC"/>
              <w:right w:val="single" w:sz="4" w:space="0" w:color="D8D8EC"/>
            </w:tcBorders>
            <w:shd w:val="clear" w:color="auto" w:fill="F7F6FF"/>
          </w:tcPr>
          <w:p w14:paraId="40E70228" w14:textId="77777777" w:rsidR="00DC483E" w:rsidRDefault="00000000">
            <w:r>
              <w:rPr>
                <w:color w:val="10101A"/>
                <w:sz w:val="19"/>
              </w:rPr>
              <w:t>Weeks 1–6</w:t>
            </w:r>
          </w:p>
        </w:tc>
      </w:tr>
      <w:tr w:rsidR="00DC483E" w14:paraId="21665FBD" w14:textId="77777777">
        <w:tc>
          <w:tcPr>
            <w:tcW w:w="2266" w:type="dxa"/>
            <w:tcBorders>
              <w:top w:val="single" w:sz="4" w:space="0" w:color="D8D8EC"/>
              <w:left w:val="single" w:sz="4" w:space="0" w:color="D8D8EC"/>
              <w:bottom w:val="single" w:sz="4" w:space="0" w:color="D8D8EC"/>
              <w:right w:val="single" w:sz="4" w:space="0" w:color="D8D8EC"/>
            </w:tcBorders>
            <w:shd w:val="clear" w:color="auto" w:fill="FFFFFF"/>
          </w:tcPr>
          <w:p w14:paraId="3BF542A9" w14:textId="77777777" w:rsidR="00DC483E" w:rsidRDefault="00000000">
            <w:r>
              <w:rPr>
                <w:color w:val="10101A"/>
                <w:sz w:val="19"/>
              </w:rPr>
              <w:t>3b — Product Funnel Analytics</w:t>
            </w:r>
          </w:p>
        </w:tc>
        <w:tc>
          <w:tcPr>
            <w:tcW w:w="2266" w:type="dxa"/>
            <w:tcBorders>
              <w:top w:val="single" w:sz="4" w:space="0" w:color="D8D8EC"/>
              <w:left w:val="single" w:sz="4" w:space="0" w:color="D8D8EC"/>
              <w:bottom w:val="single" w:sz="4" w:space="0" w:color="D8D8EC"/>
              <w:right w:val="single" w:sz="4" w:space="0" w:color="D8D8EC"/>
            </w:tcBorders>
            <w:shd w:val="clear" w:color="auto" w:fill="FFFFFF"/>
          </w:tcPr>
          <w:p w14:paraId="4B0B1B65" w14:textId="77777777" w:rsidR="00DC483E" w:rsidRDefault="00000000">
            <w:r>
              <w:rPr>
                <w:color w:val="10101A"/>
                <w:sz w:val="19"/>
              </w:rPr>
              <w:t>Drop-off analysis, mobile/web split, feature adoption heatmaps</w:t>
            </w:r>
          </w:p>
        </w:tc>
        <w:tc>
          <w:tcPr>
            <w:tcW w:w="2266" w:type="dxa"/>
            <w:tcBorders>
              <w:top w:val="single" w:sz="4" w:space="0" w:color="D8D8EC"/>
              <w:left w:val="single" w:sz="4" w:space="0" w:color="D8D8EC"/>
              <w:bottom w:val="single" w:sz="4" w:space="0" w:color="D8D8EC"/>
              <w:right w:val="single" w:sz="4" w:space="0" w:color="D8D8EC"/>
            </w:tcBorders>
            <w:shd w:val="clear" w:color="auto" w:fill="FFFFFF"/>
          </w:tcPr>
          <w:p w14:paraId="0426CEE8" w14:textId="77777777" w:rsidR="00DC483E" w:rsidRDefault="00000000">
            <w:r>
              <w:rPr>
                <w:color w:val="10101A"/>
                <w:sz w:val="19"/>
              </w:rPr>
              <w:t>Priority 1 + 2</w:t>
            </w:r>
          </w:p>
        </w:tc>
        <w:tc>
          <w:tcPr>
            <w:tcW w:w="2266" w:type="dxa"/>
            <w:tcBorders>
              <w:top w:val="single" w:sz="4" w:space="0" w:color="D8D8EC"/>
              <w:left w:val="single" w:sz="4" w:space="0" w:color="D8D8EC"/>
              <w:bottom w:val="single" w:sz="4" w:space="0" w:color="D8D8EC"/>
              <w:right w:val="single" w:sz="4" w:space="0" w:color="D8D8EC"/>
            </w:tcBorders>
            <w:shd w:val="clear" w:color="auto" w:fill="FFFFFF"/>
          </w:tcPr>
          <w:p w14:paraId="5FDC4C42" w14:textId="77777777" w:rsidR="00DC483E" w:rsidRDefault="00000000">
            <w:r>
              <w:rPr>
                <w:color w:val="10101A"/>
                <w:sz w:val="19"/>
              </w:rPr>
              <w:t>Weeks 7–14</w:t>
            </w:r>
          </w:p>
        </w:tc>
      </w:tr>
      <w:tr w:rsidR="00DC483E" w14:paraId="67AF3D1A" w14:textId="77777777">
        <w:tc>
          <w:tcPr>
            <w:tcW w:w="2266" w:type="dxa"/>
            <w:tcBorders>
              <w:top w:val="single" w:sz="4" w:space="0" w:color="D8D8EC"/>
              <w:left w:val="single" w:sz="4" w:space="0" w:color="D8D8EC"/>
              <w:bottom w:val="single" w:sz="4" w:space="0" w:color="D8D8EC"/>
              <w:right w:val="single" w:sz="4" w:space="0" w:color="D8D8EC"/>
            </w:tcBorders>
            <w:shd w:val="clear" w:color="auto" w:fill="F7F6FF"/>
          </w:tcPr>
          <w:p w14:paraId="6F738E61" w14:textId="77777777" w:rsidR="00DC483E" w:rsidRDefault="00000000">
            <w:r>
              <w:rPr>
                <w:color w:val="10101A"/>
                <w:sz w:val="19"/>
              </w:rPr>
              <w:t>3c — Release Impact</w:t>
            </w:r>
          </w:p>
        </w:tc>
        <w:tc>
          <w:tcPr>
            <w:tcW w:w="2266" w:type="dxa"/>
            <w:tcBorders>
              <w:top w:val="single" w:sz="4" w:space="0" w:color="D8D8EC"/>
              <w:left w:val="single" w:sz="4" w:space="0" w:color="D8D8EC"/>
              <w:bottom w:val="single" w:sz="4" w:space="0" w:color="D8D8EC"/>
              <w:right w:val="single" w:sz="4" w:space="0" w:color="D8D8EC"/>
            </w:tcBorders>
            <w:shd w:val="clear" w:color="auto" w:fill="F7F6FF"/>
          </w:tcPr>
          <w:p w14:paraId="3F2A0C56" w14:textId="77777777" w:rsidR="00DC483E" w:rsidRDefault="00000000">
            <w:r>
              <w:rPr>
                <w:color w:val="10101A"/>
                <w:sz w:val="19"/>
              </w:rPr>
              <w:t>Engineering ↔ customer outcome correlation, support integration</w:t>
            </w:r>
          </w:p>
        </w:tc>
        <w:tc>
          <w:tcPr>
            <w:tcW w:w="2266" w:type="dxa"/>
            <w:tcBorders>
              <w:top w:val="single" w:sz="4" w:space="0" w:color="D8D8EC"/>
              <w:left w:val="single" w:sz="4" w:space="0" w:color="D8D8EC"/>
              <w:bottom w:val="single" w:sz="4" w:space="0" w:color="D8D8EC"/>
              <w:right w:val="single" w:sz="4" w:space="0" w:color="D8D8EC"/>
            </w:tcBorders>
            <w:shd w:val="clear" w:color="auto" w:fill="F7F6FF"/>
          </w:tcPr>
          <w:p w14:paraId="4B2804B3" w14:textId="77777777" w:rsidR="00DC483E" w:rsidRDefault="00000000">
            <w:r>
              <w:rPr>
                <w:color w:val="10101A"/>
                <w:sz w:val="19"/>
              </w:rPr>
              <w:t>Priority 1 + 2 + 3</w:t>
            </w:r>
          </w:p>
        </w:tc>
        <w:tc>
          <w:tcPr>
            <w:tcW w:w="2266" w:type="dxa"/>
            <w:tcBorders>
              <w:top w:val="single" w:sz="4" w:space="0" w:color="D8D8EC"/>
              <w:left w:val="single" w:sz="4" w:space="0" w:color="D8D8EC"/>
              <w:bottom w:val="single" w:sz="4" w:space="0" w:color="D8D8EC"/>
              <w:right w:val="single" w:sz="4" w:space="0" w:color="D8D8EC"/>
            </w:tcBorders>
            <w:shd w:val="clear" w:color="auto" w:fill="F7F6FF"/>
          </w:tcPr>
          <w:p w14:paraId="59492F7A" w14:textId="77777777" w:rsidR="00DC483E" w:rsidRDefault="00000000">
            <w:r>
              <w:rPr>
                <w:color w:val="10101A"/>
                <w:sz w:val="19"/>
              </w:rPr>
              <w:t>Weeks 15–20</w:t>
            </w:r>
          </w:p>
        </w:tc>
      </w:tr>
    </w:tbl>
    <w:p w14:paraId="48C7E9DC" w14:textId="77777777" w:rsidR="00DC483E" w:rsidRDefault="00DC483E">
      <w:pPr>
        <w:spacing w:after="120"/>
      </w:pPr>
    </w:p>
    <w:p w14:paraId="3863677A" w14:textId="77777777" w:rsidR="00DC483E" w:rsidRDefault="00000000">
      <w:pPr>
        <w:spacing w:before="40" w:after="120"/>
      </w:pPr>
      <w:r>
        <w:rPr>
          <w:color w:val="10101A"/>
          <w:sz w:val="21"/>
        </w:rPr>
        <w:t>Phase 3a can begin as soon as Priority 1 database access is granted. No new infrastructure is required — we extend the platform we have already built.</w:t>
      </w:r>
    </w:p>
    <w:p w14:paraId="588582E5" w14:textId="77777777" w:rsidR="00DC483E" w:rsidRDefault="00000000">
      <w:pPr>
        <w:spacing w:before="360" w:after="80"/>
      </w:pPr>
      <w:r>
        <w:rPr>
          <w:b/>
          <w:color w:val="6B53E0"/>
          <w:sz w:val="28"/>
        </w:rPr>
        <w:t>What We Need to Proceed</w:t>
      </w:r>
    </w:p>
    <w:p w14:paraId="14FB6149" w14:textId="77777777" w:rsidR="00DC483E" w:rsidRDefault="00000000">
      <w:pPr>
        <w:spacing w:after="80"/>
      </w:pPr>
      <w:r>
        <w:rPr>
          <w:b/>
          <w:color w:val="1F1F2E"/>
          <w:sz w:val="21"/>
        </w:rPr>
        <w:t xml:space="preserve">1.  Management sign-off: </w:t>
      </w:r>
      <w:r>
        <w:rPr>
          <w:color w:val="10101A"/>
          <w:sz w:val="21"/>
        </w:rPr>
        <w:t>on Phase 3 scope and roadmap</w:t>
      </w:r>
    </w:p>
    <w:p w14:paraId="0ACFFC0C" w14:textId="77777777" w:rsidR="00DC483E" w:rsidRDefault="00000000">
      <w:pPr>
        <w:spacing w:after="80"/>
      </w:pPr>
      <w:r>
        <w:rPr>
          <w:b/>
          <w:color w:val="1F1F2E"/>
          <w:sz w:val="21"/>
        </w:rPr>
        <w:t xml:space="preserve">2.  Data / engineering engagement: </w:t>
      </w:r>
      <w:r>
        <w:rPr>
          <w:color w:val="10101A"/>
          <w:sz w:val="21"/>
        </w:rPr>
        <w:t>to provide Priority 1 database access or export pipeline</w:t>
      </w:r>
    </w:p>
    <w:p w14:paraId="6805199F" w14:textId="77777777" w:rsidR="00DC483E" w:rsidRDefault="00000000">
      <w:pPr>
        <w:spacing w:after="80"/>
      </w:pPr>
      <w:r>
        <w:rPr>
          <w:b/>
          <w:color w:val="1F1F2E"/>
          <w:sz w:val="21"/>
        </w:rPr>
        <w:t xml:space="preserve">3.  CS and AM alignment: </w:t>
      </w:r>
      <w:r>
        <w:rPr>
          <w:color w:val="10101A"/>
          <w:sz w:val="21"/>
        </w:rPr>
        <w:t>define what a churn risk flag should trigger operationally</w:t>
      </w:r>
    </w:p>
    <w:p w14:paraId="26B4CA9F" w14:textId="77777777" w:rsidR="00DC483E" w:rsidRDefault="00000000">
      <w:pPr>
        <w:spacing w:after="80"/>
      </w:pPr>
      <w:r>
        <w:rPr>
          <w:b/>
          <w:color w:val="1F1F2E"/>
          <w:sz w:val="21"/>
        </w:rPr>
        <w:t xml:space="preserve">4.  Instrumentation agreement: </w:t>
      </w:r>
      <w:r>
        <w:rPr>
          <w:color w:val="10101A"/>
          <w:sz w:val="21"/>
        </w:rPr>
        <w:t>engineering team to agree on event schema for Phase 3b</w:t>
      </w:r>
    </w:p>
    <w:p w14:paraId="00CDF1C9" w14:textId="77777777" w:rsidR="00DC483E" w:rsidRDefault="00DC483E">
      <w:pPr>
        <w:pBdr>
          <w:bottom w:val="single" w:sz="4" w:space="1" w:color="D0D0E8"/>
        </w:pBdr>
        <w:spacing w:before="120" w:after="120"/>
      </w:pPr>
    </w:p>
    <w:p w14:paraId="77C14C16" w14:textId="77777777" w:rsidR="00DC483E" w:rsidRDefault="00000000">
      <w:pPr>
        <w:spacing w:before="280" w:after="280"/>
        <w:jc w:val="center"/>
      </w:pPr>
      <w:r>
        <w:rPr>
          <w:i/>
          <w:color w:val="6B53E0"/>
        </w:rPr>
        <w:t>We have the platform. We have the pattern. We have done this for our own teams across two phases and it works.</w:t>
      </w:r>
      <w:r>
        <w:rPr>
          <w:i/>
          <w:color w:val="6B53E0"/>
        </w:rPr>
        <w:br/>
        <w:t>Phase 3 applies the same rigour to the customers who pay for our product.</w:t>
      </w:r>
      <w:r>
        <w:rPr>
          <w:i/>
          <w:color w:val="6B53E0"/>
        </w:rPr>
        <w:br/>
        <w:t>The data is already there. We just need to connect to it.</w:t>
      </w:r>
    </w:p>
    <w:p w14:paraId="4D90DE4E" w14:textId="77777777" w:rsidR="00DC483E" w:rsidRDefault="00DC483E">
      <w:pPr>
        <w:pBdr>
          <w:bottom w:val="single" w:sz="4" w:space="1" w:color="D0D0E8"/>
        </w:pBdr>
        <w:spacing w:before="120" w:after="120"/>
      </w:pPr>
    </w:p>
    <w:p w14:paraId="49AD3485" w14:textId="77777777" w:rsidR="00DC483E" w:rsidRDefault="00000000">
      <w:pPr>
        <w:jc w:val="center"/>
      </w:pPr>
      <w:r>
        <w:rPr>
          <w:color w:val="8A8AAA"/>
          <w:sz w:val="17"/>
        </w:rPr>
        <w:t>Expense on Demand  ·  Release Analytics Team  ·  Internal Document  ·  March 2026</w:t>
      </w:r>
    </w:p>
    <w:sectPr w:rsidR="00DC483E"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776213">
    <w:abstractNumId w:val="8"/>
  </w:num>
  <w:num w:numId="2" w16cid:durableId="1985354197">
    <w:abstractNumId w:val="6"/>
  </w:num>
  <w:num w:numId="3" w16cid:durableId="1190072563">
    <w:abstractNumId w:val="5"/>
  </w:num>
  <w:num w:numId="4" w16cid:durableId="161969585">
    <w:abstractNumId w:val="4"/>
  </w:num>
  <w:num w:numId="5" w16cid:durableId="1307396034">
    <w:abstractNumId w:val="7"/>
  </w:num>
  <w:num w:numId="6" w16cid:durableId="188683024">
    <w:abstractNumId w:val="3"/>
  </w:num>
  <w:num w:numId="7" w16cid:durableId="1239294212">
    <w:abstractNumId w:val="2"/>
  </w:num>
  <w:num w:numId="8" w16cid:durableId="241138516">
    <w:abstractNumId w:val="1"/>
  </w:num>
  <w:num w:numId="9" w16cid:durableId="1865944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648"/>
    <w:rsid w:val="00AA1D8D"/>
    <w:rsid w:val="00B32F10"/>
    <w:rsid w:val="00B47730"/>
    <w:rsid w:val="00CB0664"/>
    <w:rsid w:val="00DC483E"/>
    <w:rsid w:val="00F66F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B89D6"/>
  <w14:defaultImageDpi w14:val="300"/>
  <w15:docId w15:val="{64FA69DA-9418-434A-A9C3-7620634C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1</Pages>
  <Words>1201</Words>
  <Characters>6502</Characters>
  <Application>Microsoft Office Word</Application>
  <DocSecurity>0</DocSecurity>
  <Lines>203</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Joshi</cp:lastModifiedBy>
  <cp:revision>3</cp:revision>
  <dcterms:created xsi:type="dcterms:W3CDTF">2013-12-23T23:15:00Z</dcterms:created>
  <dcterms:modified xsi:type="dcterms:W3CDTF">2026-03-26T13:41:00Z</dcterms:modified>
  <cp:category/>
</cp:coreProperties>
</file>