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 w:after="80"/>
        <w:rPr/>
      </w:pPr>
      <w:r>
        <w:rPr/>
      </w:r>
    </w:p>
    <w:tbl>
      <w:tblPr>
        <w:tblW w:w="9720" w:type="dxa"/>
        <w:jc w:val="left"/>
        <w:tblInd w:w="0" w:type="dxa"/>
        <w:tblLayout w:type="fixed"/>
        <w:tblCellMar>
          <w:top w:w="80" w:type="dxa"/>
          <w:left w:w="160" w:type="dxa"/>
          <w:bottom w:w="80" w:type="dxa"/>
          <w:right w:w="120" w:type="dxa"/>
        </w:tblCellMar>
        <w:tblLook w:val="04a0" w:noHBand="0" w:noVBand="1" w:firstColumn="1" w:lastRow="0" w:lastColumn="0" w:firstRow="1"/>
      </w:tblPr>
      <w:tblGrid>
        <w:gridCol w:w="2492"/>
        <w:gridCol w:w="7227"/>
      </w:tblGrid>
      <w:tr>
        <w:trPr/>
        <w:tc>
          <w:tcPr>
            <w:tcW w:w="2492" w:type="dxa"/>
            <w:tcBorders>
              <w:top w:val="single" w:sz="2" w:space="0" w:color="DDDDDD"/>
              <w:left w:val="single" w:sz="2" w:space="0" w:color="DDDDDD"/>
              <w:bottom w:val="single" w:sz="2" w:space="0" w:color="DDDDDD"/>
              <w:right w:val="single" w:sz="2" w:space="0" w:color="DDDDDD"/>
            </w:tcBorders>
            <w:shd w:color="auto" w:fill="F5F5F5" w:val="clear"/>
          </w:tcPr>
          <w:p>
            <w:pPr>
              <w:pStyle w:val="Normal"/>
              <w:rPr/>
            </w:pPr>
            <w:r>
              <w:rPr>
                <w:b/>
                <w:bCs/>
                <w:color w:val="1E3A5F"/>
                <w:sz w:val="21"/>
                <w:szCs w:val="21"/>
              </w:rPr>
              <w:t>Experience</w:t>
            </w:r>
          </w:p>
        </w:tc>
        <w:tc>
          <w:tcPr>
            <w:tcW w:w="7227" w:type="dxa"/>
            <w:tcBorders>
              <w:top w:val="single" w:sz="2" w:space="0" w:color="DDDDDD"/>
              <w:left w:val="single" w:sz="2" w:space="0" w:color="DDDDDD"/>
              <w:bottom w:val="single" w:sz="2" w:space="0" w:color="DDDDDD"/>
              <w:right w:val="single" w:sz="2" w:space="0" w:color="DDDDDD"/>
            </w:tcBorders>
          </w:tcPr>
          <w:p>
            <w:pPr>
              <w:pStyle w:val="Normal"/>
              <w:rPr>
                <w:color w:val="1A1A1A"/>
                <w:sz w:val="21"/>
                <w:szCs w:val="21"/>
              </w:rPr>
            </w:pPr>
            <w:r>
              <w:rPr>
                <w:color w:val="1A1A1A"/>
                <w:sz w:val="21"/>
                <w:szCs w:val="21"/>
              </w:rPr>
              <w:t>10 – 15 Years</w:t>
            </w:r>
          </w:p>
        </w:tc>
      </w:tr>
      <w:tr>
        <w:trPr/>
        <w:tc>
          <w:tcPr>
            <w:tcW w:w="2492" w:type="dxa"/>
            <w:tcBorders>
              <w:top w:val="single" w:sz="2" w:space="0" w:color="DDDDDD"/>
              <w:left w:val="single" w:sz="2" w:space="0" w:color="DDDDDD"/>
              <w:bottom w:val="single" w:sz="2" w:space="0" w:color="DDDDDD"/>
              <w:right w:val="single" w:sz="2" w:space="0" w:color="DDDDDD"/>
            </w:tcBorders>
            <w:shd w:color="auto" w:fill="F5F5F5" w:val="clear"/>
          </w:tcPr>
          <w:p>
            <w:pPr>
              <w:pStyle w:val="Normal"/>
              <w:rPr/>
            </w:pPr>
            <w:r>
              <w:rPr>
                <w:b/>
                <w:bCs/>
                <w:color w:val="1E3A5F"/>
                <w:sz w:val="21"/>
                <w:szCs w:val="21"/>
              </w:rPr>
              <w:t>Level</w:t>
            </w:r>
          </w:p>
        </w:tc>
        <w:tc>
          <w:tcPr>
            <w:tcW w:w="7227" w:type="dxa"/>
            <w:tcBorders>
              <w:top w:val="single" w:sz="2" w:space="0" w:color="DDDDDD"/>
              <w:left w:val="single" w:sz="2" w:space="0" w:color="DDDDDD"/>
              <w:bottom w:val="single" w:sz="2" w:space="0" w:color="DDDDDD"/>
              <w:right w:val="single" w:sz="2" w:space="0" w:color="DDDDDD"/>
            </w:tcBorders>
          </w:tcPr>
          <w:p>
            <w:pPr>
              <w:pStyle w:val="Normal"/>
              <w:rPr>
                <w:color w:val="1A1A1A"/>
                <w:sz w:val="21"/>
                <w:szCs w:val="21"/>
              </w:rPr>
            </w:pPr>
            <w:r>
              <w:rPr>
                <w:color w:val="1A1A1A"/>
                <w:sz w:val="21"/>
                <w:szCs w:val="21"/>
              </w:rPr>
              <w:t>Technical Architect</w:t>
            </w:r>
          </w:p>
        </w:tc>
      </w:tr>
      <w:tr>
        <w:trPr/>
        <w:tc>
          <w:tcPr>
            <w:tcW w:w="2492" w:type="dxa"/>
            <w:tcBorders>
              <w:top w:val="single" w:sz="2" w:space="0" w:color="DDDDDD"/>
              <w:left w:val="single" w:sz="2" w:space="0" w:color="DDDDDD"/>
              <w:bottom w:val="single" w:sz="2" w:space="0" w:color="DDDDDD"/>
              <w:right w:val="single" w:sz="2" w:space="0" w:color="DDDDDD"/>
            </w:tcBorders>
            <w:shd w:color="auto" w:fill="F5F5F5" w:val="clear"/>
          </w:tcPr>
          <w:p>
            <w:pPr>
              <w:pStyle w:val="Normal"/>
              <w:rPr/>
            </w:pPr>
            <w:r>
              <w:rPr>
                <w:b/>
                <w:bCs/>
                <w:color w:val="1E3A5F"/>
                <w:sz w:val="21"/>
                <w:szCs w:val="21"/>
              </w:rPr>
              <w:t>Type</w:t>
            </w:r>
          </w:p>
        </w:tc>
        <w:tc>
          <w:tcPr>
            <w:tcW w:w="7227" w:type="dxa"/>
            <w:tcBorders>
              <w:top w:val="single" w:sz="2" w:space="0" w:color="DDDDDD"/>
              <w:left w:val="single" w:sz="2" w:space="0" w:color="DDDDDD"/>
              <w:bottom w:val="single" w:sz="2" w:space="0" w:color="DDDDDD"/>
              <w:right w:val="single" w:sz="2" w:space="0" w:color="DDDDDD"/>
            </w:tcBorders>
          </w:tcPr>
          <w:p>
            <w:pPr>
              <w:pStyle w:val="Normal"/>
              <w:rPr/>
            </w:pPr>
            <w:r>
              <w:rPr>
                <w:color w:val="1A1A1A"/>
                <w:sz w:val="21"/>
                <w:szCs w:val="21"/>
              </w:rPr>
              <w:t>Full-Time</w:t>
            </w:r>
          </w:p>
        </w:tc>
      </w:tr>
      <w:tr>
        <w:trPr/>
        <w:tc>
          <w:tcPr>
            <w:tcW w:w="2492" w:type="dxa"/>
            <w:tcBorders>
              <w:top w:val="single" w:sz="2" w:space="0" w:color="DDDDDD"/>
              <w:left w:val="single" w:sz="2" w:space="0" w:color="DDDDDD"/>
              <w:bottom w:val="single" w:sz="2" w:space="0" w:color="DDDDDD"/>
              <w:right w:val="single" w:sz="2" w:space="0" w:color="DDDDDD"/>
            </w:tcBorders>
            <w:shd w:color="auto" w:fill="F5F5F5" w:val="clear"/>
          </w:tcPr>
          <w:p>
            <w:pPr>
              <w:pStyle w:val="Normal"/>
              <w:rPr/>
            </w:pPr>
            <w:r>
              <w:rPr>
                <w:b/>
                <w:bCs/>
                <w:color w:val="1E3A5F"/>
                <w:sz w:val="21"/>
                <w:szCs w:val="21"/>
              </w:rPr>
              <w:t>Department</w:t>
            </w:r>
          </w:p>
        </w:tc>
        <w:tc>
          <w:tcPr>
            <w:tcW w:w="7227" w:type="dxa"/>
            <w:tcBorders>
              <w:top w:val="single" w:sz="2" w:space="0" w:color="DDDDDD"/>
              <w:left w:val="single" w:sz="2" w:space="0" w:color="DDDDDD"/>
              <w:bottom w:val="single" w:sz="2" w:space="0" w:color="DDDDDD"/>
              <w:right w:val="single" w:sz="2" w:space="0" w:color="DDDDDD"/>
            </w:tcBorders>
          </w:tcPr>
          <w:p>
            <w:pPr>
              <w:pStyle w:val="Normal"/>
              <w:rPr/>
            </w:pPr>
            <w:r>
              <w:rPr>
                <w:color w:val="1A1A1A"/>
                <w:sz w:val="21"/>
                <w:szCs w:val="21"/>
              </w:rPr>
              <w:t>Engineering</w:t>
            </w:r>
          </w:p>
        </w:tc>
      </w:tr>
    </w:tbl>
    <w:p>
      <w:pPr>
        <w:pStyle w:val="Normal"/>
        <w:spacing w:before="120" w:after="60"/>
        <w:rPr/>
      </w:pPr>
      <w:r>
        <w:rPr/>
      </w:r>
    </w:p>
    <w:p>
      <w:pPr>
        <w:pStyle w:val="Heading2"/>
        <w:rPr/>
      </w:pPr>
      <w:r>
        <w:rPr/>
        <w:t>Role Overview</w:t>
      </w:r>
    </w:p>
    <w:p>
      <w:pPr>
        <w:pStyle w:val="Normal"/>
        <w:pBdr>
          <w:bottom w:val="single" w:sz="6" w:space="1" w:color="1E3A5F"/>
        </w:pBdr>
        <w:spacing w:before="0" w:after="140"/>
        <w:rPr/>
      </w:pPr>
      <w:r>
        <w:rPr/>
      </w:r>
    </w:p>
    <w:p>
      <w:pPr>
        <w:pStyle w:val="Normal"/>
        <w:spacing w:before="60" w:after="100"/>
        <w:rPr/>
      </w:pPr>
      <w:r>
        <w:rPr>
          <w:color w:val="1A1A1A"/>
        </w:rPr>
        <w:t>We are looking for a seasoned .NET Technical Architect with 10–15 years of hands-on engineering development and solution design experience. As Technical Architect — you will own high-level system design, enforce engineering standards, drive AI-assisted development practices, and collaborate the engineers around you. If you think in patterns, architect for scale, and already have AI tools embedded in your daily workflow, this role was built for you.</w:t>
      </w:r>
    </w:p>
    <w:p>
      <w:pPr>
        <w:pStyle w:val="Normal"/>
        <w:spacing w:before="60" w:after="60"/>
        <w:rPr/>
      </w:pPr>
      <w:r>
        <w:rPr/>
      </w:r>
    </w:p>
    <w:p>
      <w:pPr>
        <w:pStyle w:val="Heading2"/>
        <w:rPr/>
      </w:pPr>
      <w:r>
        <w:rPr/>
        <w:t>Key Responsibilities</w:t>
      </w:r>
    </w:p>
    <w:p>
      <w:pPr>
        <w:pStyle w:val="Normal"/>
        <w:pBdr>
          <w:bottom w:val="single" w:sz="6" w:space="1" w:color="1E3A5F"/>
        </w:pBdr>
        <w:spacing w:before="0" w:after="140"/>
        <w:rPr/>
      </w:pPr>
      <w:r>
        <w:rPr/>
      </w:r>
    </w:p>
    <w:p>
      <w:pPr>
        <w:pStyle w:val="Normal"/>
        <w:spacing w:before="160" w:after="40"/>
        <w:rPr/>
      </w:pPr>
      <w:r>
        <w:rPr>
          <w:b/>
          <w:bCs/>
          <w:color w:val="1A1A1A"/>
        </w:rPr>
        <w:t>Engineering Excellence</w:t>
      </w:r>
    </w:p>
    <w:p>
      <w:pPr>
        <w:pStyle w:val="ListParagraph"/>
        <w:numPr>
          <w:ilvl w:val="0"/>
          <w:numId w:val="3"/>
        </w:numPr>
        <w:spacing w:before="40" w:after="40"/>
        <w:rPr/>
      </w:pPr>
      <w:r>
        <w:rPr>
          <w:color w:val="1A1A1A"/>
        </w:rPr>
        <w:t>Build, scale, and maintain enterprise-grade applications using ASP.NET Core, C# 10+, and .NET 6/7/8.</w:t>
      </w:r>
    </w:p>
    <w:p>
      <w:pPr>
        <w:pStyle w:val="ListParagraph"/>
        <w:numPr>
          <w:ilvl w:val="0"/>
          <w:numId w:val="1"/>
        </w:numPr>
        <w:spacing w:before="40" w:after="40"/>
        <w:rPr/>
      </w:pPr>
      <w:r>
        <w:rPr>
          <w:color w:val="1A1A1A"/>
        </w:rPr>
        <w:t>Apply and enforce .NET design patterns — CQRS, Repository, Mediator, Decorator, Factory, Strategy, Event Sourcing — across the codebase.</w:t>
      </w:r>
    </w:p>
    <w:p>
      <w:pPr>
        <w:pStyle w:val="ListParagraph"/>
        <w:numPr>
          <w:ilvl w:val="0"/>
          <w:numId w:val="1"/>
        </w:numPr>
        <w:spacing w:before="40" w:after="40"/>
        <w:rPr/>
      </w:pPr>
      <w:r>
        <w:rPr>
          <w:color w:val="1A1A1A"/>
        </w:rPr>
        <w:t>Own performance tuning, memory profiling, and bottleneck resolution at the application and infrastructure layers.</w:t>
      </w:r>
    </w:p>
    <w:p>
      <w:pPr>
        <w:pStyle w:val="ListParagraph"/>
        <w:numPr>
          <w:ilvl w:val="0"/>
          <w:numId w:val="1"/>
        </w:numPr>
        <w:spacing w:before="40" w:after="40"/>
        <w:rPr/>
      </w:pPr>
      <w:r>
        <w:rPr>
          <w:color w:val="1A1A1A"/>
        </w:rPr>
        <w:t>Lead code reviews with a focus on patterns, security, and long-term maintainability.</w:t>
      </w:r>
    </w:p>
    <w:p>
      <w:pPr>
        <w:pStyle w:val="Normal"/>
        <w:spacing w:before="160" w:after="40"/>
        <w:rPr/>
      </w:pPr>
      <w:r>
        <w:rPr>
          <w:b/>
          <w:bCs/>
          <w:color w:val="1A1A1A"/>
        </w:rPr>
        <w:t>AI-Augmented Development</w:t>
      </w:r>
    </w:p>
    <w:p>
      <w:pPr>
        <w:pStyle w:val="ListParagraph"/>
        <w:numPr>
          <w:ilvl w:val="0"/>
          <w:numId w:val="1"/>
        </w:numPr>
        <w:spacing w:before="40" w:after="40"/>
        <w:rPr/>
      </w:pPr>
      <w:r>
        <w:rPr>
          <w:color w:val="1A1A1A"/>
        </w:rPr>
        <w:t>Leverage GitHub Copilot, Claude, ChatGPT, and similar AI coding assistants to accelerate design, code generation, and review workflows.</w:t>
      </w:r>
    </w:p>
    <w:p>
      <w:pPr>
        <w:pStyle w:val="ListParagraph"/>
        <w:numPr>
          <w:ilvl w:val="0"/>
          <w:numId w:val="1"/>
        </w:numPr>
        <w:spacing w:before="40" w:after="40"/>
        <w:rPr/>
      </w:pPr>
      <w:r>
        <w:rPr>
          <w:color w:val="1A1A1A"/>
        </w:rPr>
        <w:t>Evaluate and introduce AI tools to improve team productivity, code quality, and sprint velocity.</w:t>
      </w:r>
    </w:p>
    <w:p>
      <w:pPr>
        <w:pStyle w:val="ListParagraph"/>
        <w:numPr>
          <w:ilvl w:val="0"/>
          <w:numId w:val="1"/>
        </w:numPr>
        <w:spacing w:before="40" w:after="40"/>
        <w:rPr/>
      </w:pPr>
      <w:r>
        <w:rPr>
          <w:color w:val="1A1A1A"/>
        </w:rPr>
        <w:t>Align with team guidelines and best practices for responsible, effective use of AI in a professional engineering context.</w:t>
      </w:r>
    </w:p>
    <w:p>
      <w:pPr>
        <w:pStyle w:val="ListParagraph"/>
        <w:numPr>
          <w:ilvl w:val="0"/>
          <w:numId w:val="1"/>
        </w:numPr>
        <w:spacing w:before="40" w:after="40"/>
        <w:rPr/>
      </w:pPr>
      <w:r>
        <w:rPr>
          <w:color w:val="1A1A1A"/>
        </w:rPr>
        <w:t>Apply AI-assisted analysis for performance profiling, vulnerability scanning, and large codebase refactoring.</w:t>
      </w:r>
    </w:p>
    <w:p>
      <w:pPr>
        <w:pStyle w:val="Normal"/>
        <w:spacing w:before="160" w:after="40"/>
        <w:rPr/>
      </w:pPr>
      <w:r>
        <w:rPr>
          <w:b/>
          <w:bCs/>
          <w:color w:val="1A1A1A"/>
        </w:rPr>
        <w:t>Delivery &amp; Collaboration</w:t>
      </w:r>
    </w:p>
    <w:p>
      <w:pPr>
        <w:pStyle w:val="ListParagraph"/>
        <w:numPr>
          <w:ilvl w:val="0"/>
          <w:numId w:val="1"/>
        </w:numPr>
        <w:spacing w:before="40" w:after="40"/>
        <w:rPr/>
      </w:pPr>
      <w:r>
        <w:rPr>
          <w:color w:val="1A1A1A"/>
        </w:rPr>
        <w:t>Partner with Product Managers, UX leads, and business stakeholders to shape roadmap and sprint scope.</w:t>
      </w:r>
    </w:p>
    <w:p>
      <w:pPr>
        <w:pStyle w:val="ListParagraph"/>
        <w:numPr>
          <w:ilvl w:val="0"/>
          <w:numId w:val="1"/>
        </w:numPr>
        <w:spacing w:before="40" w:after="40"/>
        <w:rPr/>
      </w:pPr>
      <w:r>
        <w:rPr>
          <w:color w:val="1A1A1A"/>
        </w:rPr>
        <w:t>Good to have knowledge on CI/CD pipeline architecture and platform reliability SLOs in partnership with DevOps/SRE teams.</w:t>
      </w:r>
    </w:p>
    <w:p>
      <w:pPr>
        <w:pStyle w:val="ListParagraph"/>
        <w:numPr>
          <w:ilvl w:val="0"/>
          <w:numId w:val="1"/>
        </w:numPr>
        <w:spacing w:before="40" w:after="40"/>
        <w:rPr/>
      </w:pPr>
      <w:r>
        <w:rPr>
          <w:color w:val="1A1A1A"/>
        </w:rPr>
        <w:t>Identify and escalate technical debt, delivery risks, and third-party dependency concerns early.</w:t>
      </w:r>
    </w:p>
    <w:p>
      <w:pPr>
        <w:pStyle w:val="Normal"/>
        <w:spacing w:before="60" w:after="60"/>
        <w:rPr/>
      </w:pPr>
      <w:r>
        <w:rPr/>
      </w:r>
    </w:p>
    <w:p>
      <w:pPr>
        <w:pStyle w:val="Heading2"/>
        <w:rPr/>
      </w:pPr>
      <w:r>
        <w:rPr/>
        <w:t>Required Skills &amp; Expertise</w:t>
      </w:r>
    </w:p>
    <w:p>
      <w:pPr>
        <w:pStyle w:val="Normal"/>
        <w:pBdr>
          <w:bottom w:val="single" w:sz="6" w:space="1" w:color="1E3A5F"/>
        </w:pBdr>
        <w:spacing w:before="0" w:after="140"/>
        <w:rPr/>
      </w:pPr>
      <w:r>
        <w:rPr/>
      </w:r>
    </w:p>
    <w:p>
      <w:pPr>
        <w:pStyle w:val="Normal"/>
        <w:spacing w:before="160" w:after="40"/>
        <w:rPr/>
      </w:pPr>
      <w:r>
        <w:rPr>
          <w:b/>
          <w:bCs/>
          <w:color w:val="1A1A1A"/>
        </w:rPr>
        <w:t>Core .NET &amp; C#</w:t>
      </w:r>
    </w:p>
    <w:p>
      <w:pPr>
        <w:pStyle w:val="ListParagraph"/>
        <w:numPr>
          <w:ilvl w:val="0"/>
          <w:numId w:val="1"/>
        </w:numPr>
        <w:spacing w:before="40" w:after="40"/>
        <w:rPr/>
      </w:pPr>
      <w:r>
        <w:rPr>
          <w:color w:val="1A1A1A"/>
        </w:rPr>
        <w:t>.NET 6 / 7 / 8, ASP.NET Core, C# 10+</w:t>
      </w:r>
    </w:p>
    <w:p>
      <w:pPr>
        <w:pStyle w:val="ListParagraph"/>
        <w:numPr>
          <w:ilvl w:val="0"/>
          <w:numId w:val="1"/>
        </w:numPr>
        <w:spacing w:before="40" w:after="40"/>
        <w:rPr/>
      </w:pPr>
      <w:r>
        <w:rPr>
          <w:color w:val="1A1A1A"/>
        </w:rPr>
        <w:t>Entity Framework Core, Minimal APIs, Background Services / Hosted Workers</w:t>
      </w:r>
    </w:p>
    <w:p>
      <w:pPr>
        <w:pStyle w:val="ListParagraph"/>
        <w:numPr>
          <w:ilvl w:val="0"/>
          <w:numId w:val="1"/>
        </w:numPr>
        <w:spacing w:before="40" w:after="40"/>
        <w:rPr/>
      </w:pPr>
      <w:r>
        <w:rPr>
          <w:color w:val="1A1A1A"/>
        </w:rPr>
        <w:t>Asynchronous programming — async/await, Task Parallel Library, Channels</w:t>
      </w:r>
    </w:p>
    <w:p>
      <w:pPr>
        <w:pStyle w:val="Normal"/>
        <w:spacing w:before="160" w:after="40"/>
        <w:rPr/>
      </w:pPr>
      <w:r>
        <w:rPr>
          <w:b/>
          <w:bCs/>
          <w:color w:val="1A1A1A"/>
        </w:rPr>
        <w:t>Design Patterns &amp; Architecture</w:t>
      </w:r>
    </w:p>
    <w:p>
      <w:pPr>
        <w:pStyle w:val="ListParagraph"/>
        <w:numPr>
          <w:ilvl w:val="0"/>
          <w:numId w:val="1"/>
        </w:numPr>
        <w:spacing w:before="40" w:after="40"/>
        <w:rPr/>
      </w:pPr>
      <w:r>
        <w:rPr>
          <w:color w:val="1A1A1A"/>
        </w:rPr>
        <w:t>SOLID principles applied at system scale, not just class level</w:t>
      </w:r>
    </w:p>
    <w:p>
      <w:pPr>
        <w:pStyle w:val="ListParagraph"/>
        <w:numPr>
          <w:ilvl w:val="0"/>
          <w:numId w:val="1"/>
        </w:numPr>
        <w:spacing w:before="40" w:after="40"/>
        <w:rPr/>
      </w:pPr>
      <w:r>
        <w:rPr>
          <w:color w:val="1A1A1A"/>
        </w:rPr>
        <w:t>CQRS, Repository Pattern, Domain-Driven Design (DDD)</w:t>
      </w:r>
    </w:p>
    <w:p>
      <w:pPr>
        <w:pStyle w:val="ListParagraph"/>
        <w:numPr>
          <w:ilvl w:val="0"/>
          <w:numId w:val="1"/>
        </w:numPr>
        <w:spacing w:before="40" w:after="40"/>
        <w:rPr/>
      </w:pPr>
      <w:r>
        <w:rPr>
          <w:color w:val="1A1A1A"/>
        </w:rPr>
        <w:t>Event Sourcing, Outbox Pattern, Saga / Choreography for distributed workflows.</w:t>
      </w:r>
    </w:p>
    <w:p>
      <w:pPr>
        <w:pStyle w:val="ListParagraph"/>
        <w:numPr>
          <w:ilvl w:val="0"/>
          <w:numId w:val="1"/>
        </w:numPr>
        <w:spacing w:before="40" w:after="40"/>
        <w:rPr/>
      </w:pPr>
      <w:r>
        <w:rPr>
          <w:color w:val="1A1A1A"/>
        </w:rPr>
        <w:t>Microservices.</w:t>
      </w:r>
      <w:r>
        <w:rPr/>
        <w:br/>
        <w:br/>
      </w:r>
    </w:p>
    <w:p>
      <w:pPr>
        <w:pStyle w:val="Normal"/>
        <w:spacing w:before="160" w:after="40"/>
        <w:rPr/>
      </w:pPr>
      <w:r>
        <w:rPr>
          <w:b/>
          <w:bCs/>
          <w:color w:val="1A1A1A"/>
        </w:rPr>
        <w:t>AI Tools — Mandatory Proficiency</w:t>
      </w:r>
    </w:p>
    <w:p>
      <w:pPr>
        <w:pStyle w:val="ListParagraph"/>
        <w:numPr>
          <w:ilvl w:val="0"/>
          <w:numId w:val="1"/>
        </w:numPr>
        <w:spacing w:before="40" w:after="40"/>
        <w:rPr/>
      </w:pPr>
      <w:r>
        <w:rPr>
          <w:color w:val="1A1A1A"/>
        </w:rPr>
        <w:t>GitHub Copilot — active day-to-day usage for code generation, completion, and refactoring</w:t>
      </w:r>
    </w:p>
    <w:p>
      <w:pPr>
        <w:pStyle w:val="ListParagraph"/>
        <w:numPr>
          <w:ilvl w:val="0"/>
          <w:numId w:val="1"/>
        </w:numPr>
        <w:spacing w:before="40" w:after="40"/>
        <w:rPr/>
      </w:pPr>
      <w:r>
        <w:rPr>
          <w:color w:val="1A1A1A"/>
        </w:rPr>
        <w:t>Claude (Anthropic) — used for design review, documentation generation, and code analysis</w:t>
      </w:r>
    </w:p>
    <w:p>
      <w:pPr>
        <w:pStyle w:val="ListParagraph"/>
        <w:numPr>
          <w:ilvl w:val="0"/>
          <w:numId w:val="1"/>
        </w:numPr>
        <w:spacing w:before="40" w:after="40"/>
        <w:rPr/>
      </w:pPr>
      <w:r>
        <w:rPr>
          <w:color w:val="1A1A1A"/>
        </w:rPr>
        <w:t>ChatGPT / GPT-4 or equivalent LLMs integrated into development and review workflows</w:t>
      </w:r>
    </w:p>
    <w:p>
      <w:pPr>
        <w:pStyle w:val="ListParagraph"/>
        <w:numPr>
          <w:ilvl w:val="0"/>
          <w:numId w:val="1"/>
        </w:numPr>
        <w:spacing w:before="40" w:after="40"/>
        <w:rPr/>
      </w:pPr>
      <w:r>
        <w:rPr>
          <w:color w:val="1A1A1A"/>
        </w:rPr>
        <w:t>Prompt engineering fundamentals — ability to craft effective prompts for code and architecture tasks</w:t>
      </w:r>
    </w:p>
    <w:p>
      <w:pPr>
        <w:pStyle w:val="Normal"/>
        <w:spacing w:before="160" w:after="40"/>
        <w:rPr/>
      </w:pPr>
      <w:r>
        <w:rPr>
          <w:b/>
          <w:bCs/>
          <w:color w:val="1A1A1A"/>
        </w:rPr>
        <w:t>Data &amp; Messaging</w:t>
      </w:r>
    </w:p>
    <w:p>
      <w:pPr>
        <w:pStyle w:val="ListParagraph"/>
        <w:numPr>
          <w:ilvl w:val="0"/>
          <w:numId w:val="1"/>
        </w:numPr>
        <w:spacing w:before="40" w:after="40"/>
        <w:rPr/>
      </w:pPr>
      <w:r>
        <w:rPr>
          <w:color w:val="1A1A1A"/>
        </w:rPr>
        <w:t>SQL Server / T-SQL, PostgreSQL — query optimization and schema design</w:t>
      </w:r>
    </w:p>
    <w:p>
      <w:pPr>
        <w:pStyle w:val="ListParagraph"/>
        <w:numPr>
          <w:ilvl w:val="0"/>
          <w:numId w:val="1"/>
        </w:numPr>
        <w:spacing w:before="40" w:after="40"/>
        <w:rPr>
          <w:color w:val="1A1A1A"/>
        </w:rPr>
      </w:pPr>
      <w:r>
        <w:rPr>
          <w:color w:val="1A1A1A"/>
        </w:rPr>
        <w:t>Messaging — Azure Service Bus, Event Grid.</w:t>
      </w:r>
    </w:p>
    <w:p>
      <w:pPr>
        <w:pStyle w:val="ListParagraph"/>
        <w:numPr>
          <w:ilvl w:val="0"/>
          <w:numId w:val="1"/>
        </w:numPr>
        <w:spacing w:before="40" w:after="40"/>
        <w:rPr>
          <w:color w:val="1A1A1A"/>
        </w:rPr>
      </w:pPr>
      <w:r>
        <w:rPr>
          <w:color w:val="1A1A1A"/>
        </w:rPr>
        <w:t>NoSQL databases — Cosmos DB</w:t>
      </w:r>
    </w:p>
    <w:p>
      <w:pPr>
        <w:pStyle w:val="Normal"/>
        <w:spacing w:before="160" w:after="40"/>
        <w:rPr/>
      </w:pPr>
      <w:r>
        <w:rPr>
          <w:b/>
          <w:bCs/>
          <w:color w:val="1A1A1A"/>
        </w:rPr>
        <w:t>Cloud, DevOps &amp; Observability</w:t>
      </w:r>
    </w:p>
    <w:p>
      <w:pPr>
        <w:pStyle w:val="ListParagraph"/>
        <w:numPr>
          <w:ilvl w:val="0"/>
          <w:numId w:val="1"/>
        </w:numPr>
        <w:spacing w:before="40" w:after="40"/>
        <w:rPr/>
      </w:pPr>
      <w:r>
        <w:rPr>
          <w:color w:val="1A1A1A"/>
        </w:rPr>
        <w:t>Microsoft Azure — App Services, AKS, Azure Functions, Key Vault, Service Bus</w:t>
      </w:r>
    </w:p>
    <w:p>
      <w:pPr>
        <w:pStyle w:val="ListParagraph"/>
        <w:numPr>
          <w:ilvl w:val="0"/>
          <w:numId w:val="1"/>
        </w:numPr>
        <w:spacing w:before="40" w:after="40"/>
        <w:rPr/>
      </w:pPr>
      <w:r>
        <w:rPr>
          <w:color w:val="1A1A1A"/>
        </w:rPr>
        <w:t>CI/CD — Azure DevOps, GitHub Actions</w:t>
      </w:r>
    </w:p>
    <w:p>
      <w:pPr>
        <w:pStyle w:val="ListParagraph"/>
        <w:numPr>
          <w:ilvl w:val="0"/>
          <w:numId w:val="1"/>
        </w:numPr>
        <w:spacing w:before="40" w:after="40"/>
        <w:rPr/>
      </w:pPr>
      <w:r>
        <w:rPr>
          <w:color w:val="1A1A1A"/>
        </w:rPr>
        <w:t>Containerization — Docker, Kubernetes</w:t>
      </w:r>
    </w:p>
    <w:p>
      <w:pPr>
        <w:pStyle w:val="ListParagraph"/>
        <w:numPr>
          <w:ilvl w:val="0"/>
          <w:numId w:val="1"/>
        </w:numPr>
        <w:spacing w:before="40" w:after="40"/>
        <w:rPr>
          <w:color w:val="1A1A1A"/>
        </w:rPr>
      </w:pPr>
      <w:r>
        <w:rPr>
          <w:color w:val="1A1A1A"/>
        </w:rPr>
        <w:t>Observability — Application Insights, OpenTelemetry</w:t>
      </w:r>
    </w:p>
    <w:p>
      <w:pPr>
        <w:pStyle w:val="Normal"/>
        <w:spacing w:before="60" w:after="60"/>
        <w:rPr/>
      </w:pPr>
      <w:r>
        <w:rPr/>
      </w:r>
    </w:p>
    <w:p>
      <w:pPr>
        <w:pStyle w:val="Heading2"/>
        <w:rPr/>
      </w:pPr>
      <w:r>
        <w:rPr/>
        <w:t>Qualifications</w:t>
      </w:r>
    </w:p>
    <w:p>
      <w:pPr>
        <w:pStyle w:val="Normal"/>
        <w:pBdr>
          <w:bottom w:val="single" w:sz="6" w:space="1" w:color="1E3A5F"/>
        </w:pBdr>
        <w:spacing w:before="0" w:after="140"/>
        <w:rPr/>
      </w:pPr>
      <w:r>
        <w:rPr/>
      </w:r>
    </w:p>
    <w:tbl>
      <w:tblPr>
        <w:tblW w:w="9720" w:type="dxa"/>
        <w:jc w:val="left"/>
        <w:tblInd w:w="0" w:type="dxa"/>
        <w:tblLayout w:type="fixed"/>
        <w:tblCellMar>
          <w:top w:w="80" w:type="dxa"/>
          <w:left w:w="160" w:type="dxa"/>
          <w:bottom w:w="80" w:type="dxa"/>
          <w:right w:w="120" w:type="dxa"/>
        </w:tblCellMar>
        <w:tblLook w:val="04a0" w:noHBand="0" w:noVBand="1" w:firstColumn="1" w:lastRow="0" w:lastColumn="0" w:firstRow="1"/>
      </w:tblPr>
      <w:tblGrid>
        <w:gridCol w:w="2492"/>
        <w:gridCol w:w="7227"/>
      </w:tblGrid>
      <w:tr>
        <w:trPr/>
        <w:tc>
          <w:tcPr>
            <w:tcW w:w="2492" w:type="dxa"/>
            <w:tcBorders>
              <w:top w:val="single" w:sz="2" w:space="0" w:color="DDDDDD"/>
              <w:left w:val="single" w:sz="2" w:space="0" w:color="DDDDDD"/>
              <w:bottom w:val="single" w:sz="2" w:space="0" w:color="DDDDDD"/>
              <w:right w:val="single" w:sz="2" w:space="0" w:color="DDDDDD"/>
            </w:tcBorders>
            <w:shd w:color="auto" w:fill="F5F5F5" w:val="clear"/>
          </w:tcPr>
          <w:p>
            <w:pPr>
              <w:pStyle w:val="Normal"/>
              <w:rPr/>
            </w:pPr>
            <w:r>
              <w:rPr>
                <w:b/>
                <w:bCs/>
                <w:color w:val="1E3A5F"/>
                <w:sz w:val="21"/>
                <w:szCs w:val="21"/>
              </w:rPr>
              <w:t>Education</w:t>
            </w:r>
          </w:p>
        </w:tc>
        <w:tc>
          <w:tcPr>
            <w:tcW w:w="7227" w:type="dxa"/>
            <w:tcBorders>
              <w:top w:val="single" w:sz="2" w:space="0" w:color="DDDDDD"/>
              <w:left w:val="single" w:sz="2" w:space="0" w:color="DDDDDD"/>
              <w:bottom w:val="single" w:sz="2" w:space="0" w:color="DDDDDD"/>
              <w:right w:val="single" w:sz="2" w:space="0" w:color="DDDDDD"/>
            </w:tcBorders>
          </w:tcPr>
          <w:p>
            <w:pPr>
              <w:pStyle w:val="Normal"/>
              <w:rPr/>
            </w:pPr>
            <w:r>
              <w:rPr>
                <w:color w:val="1A1A1A"/>
                <w:sz w:val="21"/>
                <w:szCs w:val="21"/>
              </w:rPr>
              <w:t>Any Degree. Equivalent practical experience accepted.</w:t>
            </w:r>
          </w:p>
        </w:tc>
      </w:tr>
      <w:tr>
        <w:trPr/>
        <w:tc>
          <w:tcPr>
            <w:tcW w:w="2492" w:type="dxa"/>
            <w:tcBorders>
              <w:top w:val="single" w:sz="2" w:space="0" w:color="DDDDDD"/>
              <w:left w:val="single" w:sz="2" w:space="0" w:color="DDDDDD"/>
              <w:bottom w:val="single" w:sz="2" w:space="0" w:color="DDDDDD"/>
              <w:right w:val="single" w:sz="2" w:space="0" w:color="DDDDDD"/>
            </w:tcBorders>
            <w:shd w:color="auto" w:fill="F5F5F5" w:val="clear"/>
          </w:tcPr>
          <w:p>
            <w:pPr>
              <w:pStyle w:val="Normal"/>
              <w:rPr/>
            </w:pPr>
            <w:r>
              <w:rPr>
                <w:b/>
                <w:bCs/>
                <w:color w:val="1E3A5F"/>
                <w:sz w:val="21"/>
                <w:szCs w:val="21"/>
              </w:rPr>
              <w:t>Experience</w:t>
            </w:r>
          </w:p>
        </w:tc>
        <w:tc>
          <w:tcPr>
            <w:tcW w:w="7227" w:type="dxa"/>
            <w:tcBorders>
              <w:top w:val="single" w:sz="2" w:space="0" w:color="DDDDDD"/>
              <w:left w:val="single" w:sz="2" w:space="0" w:color="DDDDDD"/>
              <w:bottom w:val="single" w:sz="2" w:space="0" w:color="DDDDDD"/>
              <w:right w:val="single" w:sz="2" w:space="0" w:color="DDDDDD"/>
            </w:tcBorders>
          </w:tcPr>
          <w:p>
            <w:pPr>
              <w:pStyle w:val="Normal"/>
              <w:rPr>
                <w:color w:val="1A1A1A"/>
                <w:sz w:val="21"/>
                <w:szCs w:val="21"/>
              </w:rPr>
            </w:pPr>
            <w:r>
              <w:rPr>
                <w:color w:val="1A1A1A"/>
                <w:sz w:val="21"/>
                <w:szCs w:val="21"/>
              </w:rPr>
              <w:t>10–15 years of professional .NET development in a product-based, SaaS, or enterprise environment.</w:t>
            </w:r>
          </w:p>
        </w:tc>
      </w:tr>
      <w:tr>
        <w:trPr/>
        <w:tc>
          <w:tcPr>
            <w:tcW w:w="2492" w:type="dxa"/>
            <w:tcBorders>
              <w:top w:val="single" w:sz="2" w:space="0" w:color="DDDDDD"/>
              <w:left w:val="single" w:sz="2" w:space="0" w:color="DDDDDD"/>
              <w:bottom w:val="single" w:sz="2" w:space="0" w:color="DDDDDD"/>
              <w:right w:val="single" w:sz="2" w:space="0" w:color="DDDDDD"/>
            </w:tcBorders>
            <w:shd w:color="auto" w:fill="F5F5F5" w:val="clear"/>
          </w:tcPr>
          <w:p>
            <w:pPr>
              <w:pStyle w:val="Normal"/>
              <w:rPr/>
            </w:pPr>
            <w:r>
              <w:rPr>
                <w:b/>
                <w:bCs/>
                <w:color w:val="1E3A5F"/>
                <w:sz w:val="21"/>
                <w:szCs w:val="21"/>
              </w:rPr>
              <w:t>Engineering Practices</w:t>
            </w:r>
          </w:p>
        </w:tc>
        <w:tc>
          <w:tcPr>
            <w:tcW w:w="7227" w:type="dxa"/>
            <w:tcBorders>
              <w:top w:val="single" w:sz="2" w:space="0" w:color="DDDDDD"/>
              <w:left w:val="single" w:sz="2" w:space="0" w:color="DDDDDD"/>
              <w:bottom w:val="single" w:sz="2" w:space="0" w:color="DDDDDD"/>
              <w:right w:val="single" w:sz="2" w:space="0" w:color="DDDDDD"/>
            </w:tcBorders>
          </w:tcPr>
          <w:p>
            <w:pPr>
              <w:pStyle w:val="Normal"/>
              <w:rPr/>
            </w:pPr>
            <w:r>
              <w:rPr>
                <w:color w:val="1A1A1A"/>
                <w:sz w:val="21"/>
                <w:szCs w:val="21"/>
              </w:rPr>
              <w:t>Demonstrable experience owning system design for production workloads at scale.</w:t>
            </w:r>
          </w:p>
        </w:tc>
      </w:tr>
      <w:tr>
        <w:trPr/>
        <w:tc>
          <w:tcPr>
            <w:tcW w:w="2492" w:type="dxa"/>
            <w:tcBorders>
              <w:top w:val="single" w:sz="2" w:space="0" w:color="DDDDDD"/>
              <w:left w:val="single" w:sz="2" w:space="0" w:color="DDDDDD"/>
              <w:bottom w:val="single" w:sz="2" w:space="0" w:color="DDDDDD"/>
              <w:right w:val="single" w:sz="2" w:space="0" w:color="DDDDDD"/>
            </w:tcBorders>
            <w:shd w:color="auto" w:fill="F5F5F5" w:val="clear"/>
          </w:tcPr>
          <w:p>
            <w:pPr>
              <w:pStyle w:val="Normal"/>
              <w:rPr/>
            </w:pPr>
            <w:r>
              <w:rPr>
                <w:b/>
                <w:bCs/>
                <w:color w:val="1E3A5F"/>
                <w:sz w:val="21"/>
                <w:szCs w:val="21"/>
              </w:rPr>
              <w:t>AI Proficiency</w:t>
            </w:r>
          </w:p>
        </w:tc>
        <w:tc>
          <w:tcPr>
            <w:tcW w:w="7227" w:type="dxa"/>
            <w:tcBorders>
              <w:top w:val="single" w:sz="2" w:space="0" w:color="DDDDDD"/>
              <w:left w:val="single" w:sz="2" w:space="0" w:color="DDDDDD"/>
              <w:bottom w:val="single" w:sz="2" w:space="0" w:color="DDDDDD"/>
              <w:right w:val="single" w:sz="2" w:space="0" w:color="DDDDDD"/>
            </w:tcBorders>
          </w:tcPr>
          <w:p>
            <w:pPr>
              <w:pStyle w:val="Normal"/>
              <w:rPr/>
            </w:pPr>
            <w:r>
              <w:rPr>
                <w:color w:val="1A1A1A"/>
                <w:sz w:val="21"/>
                <w:szCs w:val="21"/>
              </w:rPr>
              <w:t>Active, day-to-day use of GitHub Copilot, Claude, or equivalent AI coding assistants is mandatory.</w:t>
            </w:r>
          </w:p>
        </w:tc>
      </w:tr>
      <w:tr>
        <w:trPr/>
        <w:tc>
          <w:tcPr>
            <w:tcW w:w="2492" w:type="dxa"/>
            <w:tcBorders>
              <w:top w:val="single" w:sz="2" w:space="0" w:color="DDDDDD"/>
              <w:left w:val="single" w:sz="2" w:space="0" w:color="DDDDDD"/>
              <w:bottom w:val="single" w:sz="2" w:space="0" w:color="DDDDDD"/>
              <w:right w:val="single" w:sz="2" w:space="0" w:color="DDDDDD"/>
            </w:tcBorders>
            <w:shd w:color="auto" w:fill="F5F5F5" w:val="clear"/>
          </w:tcPr>
          <w:p>
            <w:pPr>
              <w:pStyle w:val="Normal"/>
              <w:rPr/>
            </w:pPr>
            <w:r>
              <w:rPr>
                <w:b/>
                <w:bCs/>
                <w:color w:val="1E3A5F"/>
                <w:sz w:val="21"/>
                <w:szCs w:val="21"/>
              </w:rPr>
              <w:t>Methodology</w:t>
            </w:r>
          </w:p>
        </w:tc>
        <w:tc>
          <w:tcPr>
            <w:tcW w:w="7227" w:type="dxa"/>
            <w:tcBorders>
              <w:top w:val="single" w:sz="2" w:space="0" w:color="DDDDDD"/>
              <w:left w:val="single" w:sz="2" w:space="0" w:color="DDDDDD"/>
              <w:bottom w:val="single" w:sz="2" w:space="0" w:color="DDDDDD"/>
              <w:right w:val="single" w:sz="2" w:space="0" w:color="DDDDDD"/>
            </w:tcBorders>
          </w:tcPr>
          <w:p>
            <w:pPr>
              <w:pStyle w:val="Normal"/>
              <w:rPr/>
            </w:pPr>
            <w:r>
              <w:rPr>
                <w:color w:val="1A1A1A"/>
                <w:sz w:val="21"/>
                <w:szCs w:val="21"/>
              </w:rPr>
              <w:t>Comfortable in Agile/Scrum — sprint planning, estimation, and retrospective facilitation.</w:t>
            </w:r>
          </w:p>
        </w:tc>
      </w:tr>
    </w:tbl>
    <w:p>
      <w:pPr>
        <w:pStyle w:val="Normal"/>
        <w:spacing w:before="80" w:after="60"/>
        <w:rPr/>
      </w:pPr>
      <w:r>
        <w:rPr/>
      </w:r>
    </w:p>
    <w:p>
      <w:pPr>
        <w:pStyle w:val="Normal"/>
        <w:spacing w:before="100" w:after="6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765" w:footer="708" w:bottom="126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DDDDDD"/>
      </w:pBdr>
      <w:spacing w:before="100" w:after="0"/>
      <w:jc w:val="center"/>
      <w:rPr/>
    </w:pPr>
    <w:r>
      <w:rPr>
        <w:color w:val="555555"/>
        <w:sz w:val="18"/>
        <w:szCs w:val="18"/>
      </w:rPr>
      <w:t xml:space="preserve">Confidential — Internal Use Only  |  Page </w:t>
    </w:r>
    <w:r>
      <w:rPr>
        <w:color w:val="555555"/>
        <w:sz w:val="18"/>
        <w:szCs w:val="18"/>
      </w:rPr>
      <w:fldChar w:fldCharType="begin"/>
    </w:r>
    <w:r>
      <w:rPr>
        <w:sz w:val="18"/>
        <w:szCs w:val="18"/>
        <w:color w:val="555555"/>
      </w:rPr>
      <w:instrText xml:space="preserve"> PAGE </w:instrText>
    </w:r>
    <w:r>
      <w:rPr>
        <w:sz w:val="18"/>
        <w:szCs w:val="18"/>
        <w:color w:val="555555"/>
      </w:rPr>
      <w:fldChar w:fldCharType="separate"/>
    </w:r>
    <w:r>
      <w:rPr>
        <w:sz w:val="18"/>
        <w:szCs w:val="18"/>
        <w:color w:val="555555"/>
      </w:rPr>
      <w:t>3</w:t>
    </w:r>
    <w:r>
      <w:rPr>
        <w:sz w:val="18"/>
        <w:szCs w:val="18"/>
        <w:color w:val="555555"/>
      </w:rPr>
      <w:fldChar w:fldCharType="end"/>
    </w:r>
    <w:r>
      <w:rPr>
        <w:color w:val="555555"/>
        <w:sz w:val="18"/>
        <w:szCs w:val="18"/>
      </w:rPr>
      <w:t xml:space="preserve"> of </w:t>
    </w:r>
    <w:r>
      <w:rPr>
        <w:color w:val="555555"/>
        <w:sz w:val="18"/>
        <w:szCs w:val="18"/>
      </w:rPr>
      <w:fldChar w:fldCharType="begin"/>
    </w:r>
    <w:r>
      <w:rPr>
        <w:sz w:val="18"/>
        <w:szCs w:val="18"/>
        <w:color w:val="555555"/>
      </w:rPr>
      <w:instrText xml:space="preserve"> NUMPAGES </w:instrText>
    </w:r>
    <w:r>
      <w:rPr>
        <w:sz w:val="18"/>
        <w:szCs w:val="18"/>
        <w:color w:val="555555"/>
      </w:rPr>
      <w:fldChar w:fldCharType="separate"/>
    </w:r>
    <w:r>
      <w:rPr>
        <w:sz w:val="18"/>
        <w:szCs w:val="18"/>
        <w:color w:val="555555"/>
      </w:rPr>
      <w:t>3</w:t>
    </w:r>
    <w:r>
      <w:rPr>
        <w:sz w:val="18"/>
        <w:szCs w:val="18"/>
        <w:color w:val="555555"/>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DDDDDD"/>
      </w:pBdr>
      <w:spacing w:before="100" w:after="0"/>
      <w:jc w:val="center"/>
      <w:rPr/>
    </w:pPr>
    <w:r>
      <w:rPr>
        <w:color w:val="555555"/>
        <w:sz w:val="18"/>
        <w:szCs w:val="18"/>
      </w:rPr>
      <w:t xml:space="preserve">Confidential — Internal Use Only  |  Page </w:t>
    </w:r>
    <w:r>
      <w:rPr>
        <w:color w:val="555555"/>
        <w:sz w:val="18"/>
        <w:szCs w:val="18"/>
      </w:rPr>
      <w:fldChar w:fldCharType="begin"/>
    </w:r>
    <w:r>
      <w:rPr>
        <w:sz w:val="18"/>
        <w:szCs w:val="18"/>
        <w:color w:val="555555"/>
      </w:rPr>
      <w:instrText xml:space="preserve"> PAGE </w:instrText>
    </w:r>
    <w:r>
      <w:rPr>
        <w:sz w:val="18"/>
        <w:szCs w:val="18"/>
        <w:color w:val="555555"/>
      </w:rPr>
      <w:fldChar w:fldCharType="separate"/>
    </w:r>
    <w:r>
      <w:rPr>
        <w:sz w:val="18"/>
        <w:szCs w:val="18"/>
        <w:color w:val="555555"/>
      </w:rPr>
      <w:t>3</w:t>
    </w:r>
    <w:r>
      <w:rPr>
        <w:sz w:val="18"/>
        <w:szCs w:val="18"/>
        <w:color w:val="555555"/>
      </w:rPr>
      <w:fldChar w:fldCharType="end"/>
    </w:r>
    <w:r>
      <w:rPr>
        <w:color w:val="555555"/>
        <w:sz w:val="18"/>
        <w:szCs w:val="18"/>
      </w:rPr>
      <w:t xml:space="preserve"> of </w:t>
    </w:r>
    <w:r>
      <w:rPr>
        <w:color w:val="555555"/>
        <w:sz w:val="18"/>
        <w:szCs w:val="18"/>
      </w:rPr>
      <w:fldChar w:fldCharType="begin"/>
    </w:r>
    <w:r>
      <w:rPr>
        <w:sz w:val="18"/>
        <w:szCs w:val="18"/>
        <w:color w:val="555555"/>
      </w:rPr>
      <w:instrText xml:space="preserve"> NUMPAGES </w:instrText>
    </w:r>
    <w:r>
      <w:rPr>
        <w:sz w:val="18"/>
        <w:szCs w:val="18"/>
        <w:color w:val="555555"/>
      </w:rPr>
      <w:fldChar w:fldCharType="separate"/>
    </w:r>
    <w:r>
      <w:rPr>
        <w:sz w:val="18"/>
        <w:szCs w:val="18"/>
        <w:color w:val="555555"/>
      </w:rPr>
      <w:t>3</w:t>
    </w:r>
    <w:r>
      <w:rPr>
        <w:sz w:val="18"/>
        <w:szCs w:val="18"/>
        <w:color w:val="555555"/>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left"/>
      <w:tblInd w:w="0" w:type="dxa"/>
      <w:tblLayout w:type="fixed"/>
      <w:tblCellMar>
        <w:top w:w="300" w:type="dxa"/>
        <w:left w:w="360" w:type="dxa"/>
        <w:bottom w:w="300" w:type="dxa"/>
        <w:right w:w="360" w:type="dxa"/>
      </w:tblCellMar>
      <w:tblLook w:val="04a0" w:noHBand="0" w:noVBand="1" w:firstColumn="1" w:lastRow="0" w:lastColumn="0" w:firstRow="1"/>
    </w:tblPr>
    <w:tblGrid>
      <w:gridCol w:w="9720"/>
    </w:tblGrid>
    <w:tr>
      <w:trPr/>
      <w:tc>
        <w:tcPr>
          <w:tcW w:w="9720" w:type="dxa"/>
          <w:tcBorders/>
          <w:shd w:color="auto" w:fill="1E3A5F" w:val="clear"/>
        </w:tcPr>
        <w:p>
          <w:pPr>
            <w:pStyle w:val="Normal"/>
            <w:rPr/>
          </w:pPr>
          <w:r>
            <w:rPr>
              <w:b/>
              <w:bCs/>
              <w:color w:val="FFFFFF"/>
              <w:sz w:val="40"/>
              <w:szCs w:val="40"/>
            </w:rPr>
            <w:t>Technical Architect .NET</w:t>
          </w:r>
        </w:p>
        <w:p>
          <w:pPr>
            <w:pStyle w:val="Normal"/>
            <w:spacing w:before="60" w:after="0"/>
            <w:rPr/>
          </w:pPr>
          <w:r>
            <w:rPr>
              <w:color w:val="DDDDDD"/>
              <w:sz w:val="20"/>
              <w:szCs w:val="20"/>
            </w:rPr>
            <w:t>HandsOn: •  Development  •  Solution Architecture  •  Design Patterns  •  AI-Augmented Engineering</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left"/>
      <w:tblInd w:w="0" w:type="dxa"/>
      <w:tblLayout w:type="fixed"/>
      <w:tblCellMar>
        <w:top w:w="300" w:type="dxa"/>
        <w:left w:w="360" w:type="dxa"/>
        <w:bottom w:w="300" w:type="dxa"/>
        <w:right w:w="360" w:type="dxa"/>
      </w:tblCellMar>
      <w:tblLook w:val="04a0" w:noHBand="0" w:noVBand="1" w:firstColumn="1" w:lastRow="0" w:lastColumn="0" w:firstRow="1"/>
    </w:tblPr>
    <w:tblGrid>
      <w:gridCol w:w="9720"/>
    </w:tblGrid>
    <w:tr>
      <w:trPr/>
      <w:tc>
        <w:tcPr>
          <w:tcW w:w="9720" w:type="dxa"/>
          <w:tcBorders/>
          <w:shd w:color="auto" w:fill="1E3A5F" w:val="clear"/>
        </w:tcPr>
        <w:p>
          <w:pPr>
            <w:pStyle w:val="Normal"/>
            <w:rPr/>
          </w:pPr>
          <w:r>
            <w:rPr>
              <w:b/>
              <w:bCs/>
              <w:color w:val="FFFFFF"/>
              <w:sz w:val="40"/>
              <w:szCs w:val="40"/>
            </w:rPr>
            <w:t>Technical Architect .NET</w:t>
          </w:r>
        </w:p>
        <w:p>
          <w:pPr>
            <w:pStyle w:val="Normal"/>
            <w:spacing w:before="60" w:after="0"/>
            <w:rPr/>
          </w:pPr>
          <w:r>
            <w:rPr>
              <w:color w:val="DDDDDD"/>
              <w:sz w:val="20"/>
              <w:szCs w:val="20"/>
            </w:rPr>
            <w:t>HandsOn: •  Development  •  Solution Architecture  •  Design Patterns  •  AI-Augmented Engineering</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4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mr-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2"/>
      <w:szCs w:val="22"/>
      <w:lang w:val="en-IN" w:eastAsia="en-IN" w:bidi="mr-IN"/>
    </w:rPr>
  </w:style>
  <w:style w:type="paragraph" w:styleId="Heading1">
    <w:name w:val="Heading 1"/>
    <w:uiPriority w:val="9"/>
    <w:qFormat/>
    <w:pPr>
      <w:widowControl/>
      <w:bidi w:val="0"/>
      <w:spacing w:before="0" w:after="100"/>
      <w:jc w:val="left"/>
      <w:outlineLvl w:val="0"/>
    </w:pPr>
    <w:rPr>
      <w:rFonts w:ascii="Arial" w:hAnsi="Arial" w:eastAsia="Arial" w:cs="Arial"/>
      <w:b/>
      <w:bCs/>
      <w:color w:val="FFFFFF"/>
      <w:kern w:val="0"/>
      <w:sz w:val="36"/>
      <w:szCs w:val="36"/>
      <w:lang w:val="en-IN" w:eastAsia="en-IN" w:bidi="mr-IN"/>
    </w:rPr>
  </w:style>
  <w:style w:type="paragraph" w:styleId="Heading2">
    <w:name w:val="Heading 2"/>
    <w:uiPriority w:val="9"/>
    <w:unhideWhenUsed/>
    <w:qFormat/>
    <w:pPr>
      <w:widowControl/>
      <w:bidi w:val="0"/>
      <w:spacing w:before="300" w:after="60"/>
      <w:jc w:val="left"/>
      <w:outlineLvl w:val="1"/>
    </w:pPr>
    <w:rPr>
      <w:rFonts w:ascii="Arial" w:hAnsi="Arial" w:eastAsia="Arial" w:cs="Arial"/>
      <w:b/>
      <w:bCs/>
      <w:color w:val="1E3A5F"/>
      <w:kern w:val="0"/>
      <w:sz w:val="24"/>
      <w:szCs w:val="24"/>
      <w:lang w:val="en-IN" w:eastAsia="en-IN" w:bidi="mr-IN"/>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IN" w:eastAsia="en-IN" w:bidi="mr-IN"/>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2"/>
      <w:szCs w:val="22"/>
      <w:lang w:val="en-IN" w:eastAsia="en-IN" w:bidi="mr-IN"/>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2"/>
      <w:szCs w:val="22"/>
      <w:lang w:val="en-IN" w:eastAsia="en-IN" w:bidi="mr-IN"/>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2"/>
      <w:szCs w:val="22"/>
      <w:lang w:val="en-IN" w:eastAsia="en-IN" w:bidi="mr-IN"/>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067bd6"/>
    <w:rPr>
      <w:szCs w:val="20"/>
    </w:rPr>
  </w:style>
  <w:style w:type="character" w:styleId="FooterChar" w:customStyle="1">
    <w:name w:val="Footer Char"/>
    <w:basedOn w:val="DefaultParagraphFont"/>
    <w:link w:val="Footer"/>
    <w:uiPriority w:val="99"/>
    <w:qFormat/>
    <w:rsid w:val="00067bd6"/>
    <w:rPr>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n-IN" w:eastAsia="en-IN" w:bidi="mr-IN"/>
    </w:rPr>
  </w:style>
  <w:style w:type="paragraph" w:styleId="Strong1" w:customStyle="1">
    <w:name w:val="Strong1"/>
    <w:qFormat/>
    <w:pPr>
      <w:widowControl/>
      <w:bidi w:val="0"/>
      <w:spacing w:before="0" w:after="0"/>
      <w:jc w:val="left"/>
    </w:pPr>
    <w:rPr>
      <w:rFonts w:ascii="Arial" w:hAnsi="Arial" w:eastAsia="Arial" w:cs="Arial"/>
      <w:b/>
      <w:bCs/>
      <w:color w:val="auto"/>
      <w:kern w:val="0"/>
      <w:sz w:val="22"/>
      <w:szCs w:val="22"/>
      <w:lang w:val="en-IN" w:eastAsia="en-IN" w:bidi="mr-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en-IN" w:bidi="mr-IN"/>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IN" w:eastAsia="en-IN" w:bidi="mr-IN"/>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IN" w:eastAsia="en-IN" w:bidi="mr-IN"/>
    </w:rPr>
  </w:style>
  <w:style w:type="paragraph" w:styleId="HeaderandFooter">
    <w:name w:val="Header and Footer"/>
    <w:basedOn w:val="Normal"/>
    <w:qFormat/>
    <w:pPr/>
    <w:rPr/>
  </w:style>
  <w:style w:type="paragraph" w:styleId="Header">
    <w:name w:val="Header"/>
    <w:basedOn w:val="Normal"/>
    <w:link w:val="HeaderChar"/>
    <w:uiPriority w:val="99"/>
    <w:unhideWhenUsed/>
    <w:rsid w:val="00067bd6"/>
    <w:pPr>
      <w:tabs>
        <w:tab w:val="clear" w:pos="720"/>
        <w:tab w:val="center" w:pos="4513" w:leader="none"/>
        <w:tab w:val="right" w:pos="9026" w:leader="none"/>
      </w:tabs>
    </w:pPr>
    <w:rPr>
      <w:szCs w:val="20"/>
    </w:rPr>
  </w:style>
  <w:style w:type="paragraph" w:styleId="Footer">
    <w:name w:val="Footer"/>
    <w:basedOn w:val="Normal"/>
    <w:link w:val="FooterChar"/>
    <w:uiPriority w:val="99"/>
    <w:unhideWhenUsed/>
    <w:rsid w:val="00067bd6"/>
    <w:pPr>
      <w:tabs>
        <w:tab w:val="clear" w:pos="720"/>
        <w:tab w:val="center" w:pos="4513" w:leader="none"/>
        <w:tab w:val="right" w:pos="9026" w:leader="none"/>
      </w:tabs>
    </w:pPr>
    <w:rPr>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3</Pages>
  <Words>533</Words>
  <Characters>3308</Characters>
  <CharactersWithSpaces>3776</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2026-05-04T13:35:00Z</dcterms:created>
  <dc:creator>Un-named</dc:creator>
  <dc:description/>
  <dc:language>en-IN</dc:language>
  <cp:lastModifiedBy>Vinod Kumar M P</cp:lastModifiedBy>
  <dcterms:modified xsi:type="dcterms:W3CDTF">2026-05-05T07:05:00Z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