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left"/>
      </w:pPr>
      <w:r>
        <w:rPr>
          <w:rFonts w:ascii="IBM Plex Mono" w:cs="IBM Plex Mono" w:eastAsia="IBM Plex Mono" w:hAnsi="IBM Plex Mono"/>
          <w:b/>
          <w:bCs/>
          <w:color w:val="1F6F5C"/>
          <w:spacing w:val="30"/>
          <w:sz w:val="18"/>
          <w:szCs w:val="18"/>
        </w:rPr>
        <w:t xml:space="preserve">PROTOCOL REPORT</w:t>
      </w:r>
    </w:p>
    <w:p>
      <w:pPr>
        <w:spacing w:after="300"/>
      </w:pPr>
      <w:r>
        <w:rPr>
          <w:rFonts w:ascii="Georgia" w:cs="Georgia" w:eastAsia="Georgia" w:hAnsi="Georgia"/>
          <w:b/>
          <w:bCs/>
          <w:color w:val="16221E"/>
          <w:sz w:val="56"/>
          <w:szCs w:val="56"/>
        </w:rPr>
        <w:t xml:space="preserve">Colorectal Cancer Survival Analysis</w:t>
      </w:r>
    </w:p>
    <w:p>
      <w:pPr>
        <w:spacing w:after="700"/>
      </w:pPr>
      <w:r>
        <w:rPr>
          <w:rFonts w:ascii="Georgia" w:cs="Georgia" w:eastAsia="Georgia" w:hAnsi="Georgia"/>
          <w:i/>
          <w:iCs/>
          <w:color w:val="55645C"/>
          <w:sz w:val="26"/>
          <w:szCs w:val="26"/>
        </w:rPr>
        <w:t xml:space="preserve">Exploratory Data Analysis, Statistical Hypothesis Testing &amp; Predictive Modeling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3%"/>
            <w:tcBorders>
              <w:top w:val="none" w:color="FFFFFF" w:sz="0"/>
              <w:left w:val="none" w:color="FFFFFF" w:sz="0"/>
              <w:bottom w:val="none" w:color="FFFFFF" w:sz="0"/>
              <w:right w:val="none" w:color="FFFFFF" w:sz="0"/>
            </w:tcBorders>
            <w:shd w:fill="F8FAF7" w:val="clear"/>
            <w:tcMar>
              <w:top w:type="dxa" w:w="160"/>
              <w:left w:type="dxa" w:w="160"/>
              <w:bottom w:type="dxa" w:w="160"/>
              <w:right w:type="dxa" w:w="160"/>
            </w:tcMar>
          </w:tcPr>
          <w:p>
            <w:pPr>
              <w:spacing w:after="40"/>
              <w:jc w:val="center"/>
            </w:pPr>
            <w:r>
              <w:rPr>
                <w:rFonts w:ascii="IBM Plex Mono" w:cs="IBM Plex Mono" w:eastAsia="IBM Plex Mono" w:hAnsi="IBM Plex Mono"/>
                <w:b/>
                <w:bCs/>
                <w:color w:val="16221E"/>
                <w:sz w:val="32"/>
                <w:szCs w:val="32"/>
              </w:rPr>
              <w:t xml:space="preserve">89,945</w:t>
            </w:r>
          </w:p>
          <w:p>
            <w:pPr>
              <w:jc w:val="center"/>
            </w:pPr>
            <w:r>
              <w:rPr>
                <w:rFonts w:ascii="IBM Plex Sans" w:cs="IBM Plex Sans" w:eastAsia="IBM Plex Sans" w:hAnsi="IBM Plex Sans"/>
                <w:color w:val="55645C"/>
                <w:sz w:val="16"/>
                <w:szCs w:val="16"/>
              </w:rPr>
              <w:t xml:space="preserve">Patients analyzed</w:t>
            </w:r>
          </w:p>
        </w:tc>
        <w:tc>
          <w:tcPr>
            <w:tcW w:type="pct" w:w="33%"/>
            <w:tcBorders>
              <w:top w:val="none" w:color="FFFFFF" w:sz="0"/>
              <w:left w:val="none" w:color="FFFFFF" w:sz="0"/>
              <w:bottom w:val="none" w:color="FFFFFF" w:sz="0"/>
              <w:right w:val="none" w:color="FFFFFF" w:sz="0"/>
            </w:tcBorders>
            <w:shd w:fill="F8FAF7" w:val="clear"/>
            <w:tcMar>
              <w:top w:type="dxa" w:w="160"/>
              <w:left w:type="dxa" w:w="160"/>
              <w:bottom w:type="dxa" w:w="160"/>
              <w:right w:type="dxa" w:w="160"/>
            </w:tcMar>
          </w:tcPr>
          <w:p>
            <w:pPr>
              <w:spacing w:after="40"/>
              <w:jc w:val="center"/>
            </w:pPr>
            <w:r>
              <w:rPr>
                <w:rFonts w:ascii="IBM Plex Mono" w:cs="IBM Plex Mono" w:eastAsia="IBM Plex Mono" w:hAnsi="IBM Plex Mono"/>
                <w:b/>
                <w:bCs/>
                <w:color w:val="16221E"/>
                <w:sz w:val="32"/>
                <w:szCs w:val="32"/>
              </w:rPr>
              <w:t xml:space="preserve">28</w:t>
            </w:r>
          </w:p>
          <w:p>
            <w:pPr>
              <w:jc w:val="center"/>
            </w:pPr>
            <w:r>
              <w:rPr>
                <w:rFonts w:ascii="IBM Plex Sans" w:cs="IBM Plex Sans" w:eastAsia="IBM Plex Sans" w:hAnsi="IBM Plex Sans"/>
                <w:color w:val="55645C"/>
                <w:sz w:val="16"/>
                <w:szCs w:val="16"/>
              </w:rPr>
              <w:t xml:space="preserve">Variables tested</w:t>
            </w:r>
          </w:p>
        </w:tc>
        <w:tc>
          <w:tcPr>
            <w:tcW w:type="pct" w:w="33%"/>
            <w:tcBorders>
              <w:top w:val="none" w:color="FFFFFF" w:sz="0"/>
              <w:left w:val="none" w:color="FFFFFF" w:sz="0"/>
              <w:bottom w:val="none" w:color="FFFFFF" w:sz="0"/>
              <w:right w:val="none" w:color="FFFFFF" w:sz="0"/>
            </w:tcBorders>
            <w:shd w:fill="F8FAF7" w:val="clear"/>
            <w:tcMar>
              <w:top w:type="dxa" w:w="160"/>
              <w:left w:type="dxa" w:w="160"/>
              <w:bottom w:type="dxa" w:w="160"/>
              <w:right w:type="dxa" w:w="160"/>
            </w:tcMar>
          </w:tcPr>
          <w:p>
            <w:pPr>
              <w:spacing w:after="40"/>
              <w:jc w:val="center"/>
            </w:pPr>
            <w:r>
              <w:rPr>
                <w:rFonts w:ascii="IBM Plex Mono" w:cs="IBM Plex Mono" w:eastAsia="IBM Plex Mono" w:hAnsi="IBM Plex Mono"/>
                <w:b/>
                <w:bCs/>
                <w:color w:val="B5502D"/>
                <w:sz w:val="32"/>
                <w:szCs w:val="32"/>
              </w:rPr>
              <w:t xml:space="preserve">None</w:t>
            </w:r>
          </w:p>
          <w:p>
            <w:pPr>
              <w:jc w:val="center"/>
            </w:pPr>
            <w:r>
              <w:rPr>
                <w:rFonts w:ascii="IBM Plex Sans" w:cs="IBM Plex Sans" w:eastAsia="IBM Plex Sans" w:hAnsi="IBM Plex Sans"/>
                <w:color w:val="55645C"/>
                <w:sz w:val="16"/>
                <w:szCs w:val="16"/>
              </w:rPr>
              <w:t xml:space="preserve">Predictive signal found</w:t>
            </w:r>
          </w:p>
        </w:tc>
      </w:tr>
    </w:tbl>
    <w:p>
      <w:pPr>
        <w:spacing w:before="800"/>
      </w:pPr>
      <w:r>
        <w:t xml:space="preserve"/>
      </w:r>
    </w:p>
    <w:p>
      <w:pPr>
        <w:spacing w:before="2200"/>
      </w:pPr>
      <w:r>
        <w:rPr>
          <w:rFonts w:ascii="IBM Plex Mono" w:cs="IBM Plex Mono" w:eastAsia="IBM Plex Mono" w:hAnsi="IBM Plex Mono"/>
          <w:color w:val="55645C"/>
          <w:sz w:val="16"/>
          <w:szCs w:val="16"/>
        </w:rPr>
        <w:t xml:space="preserve">Prepared as a data analyst portfolio project  ·  scikit-learn, pandas, SciPy</w:t>
      </w:r>
    </w:p>
    <w:p>
      <w:r>
        <w:br w:type="page"/>
      </w:r>
    </w:p>
    <w:p>
      <w:pPr>
        <w:pStyle w:val="Heading1"/>
        <w:spacing w:after="160" w:before="380"/>
      </w:pPr>
      <w:r>
        <w:rPr>
          <w:rFonts w:ascii="Georgia" w:cs="Georgia" w:eastAsia="Georgia" w:hAnsi="Georgia"/>
          <w:b/>
          <w:bCs/>
          <w:color w:val="16221E"/>
        </w:rPr>
        <w:t xml:space="preserve">Contents</w:t>
      </w:r>
    </w:p>
    <w:p>
      <w:pPr>
        <w:pBdr>
          <w:bottom w:val="single" w:color="C9D1CA" w:sz="4" w:space="6"/>
        </w:pBdr>
        <w:spacing w:after="180"/>
      </w:pPr>
      <w:r>
        <w:rPr>
          <w:rFonts w:ascii="IBM Plex Mono" w:cs="IBM Plex Mono" w:eastAsia="IBM Plex Mono" w:hAnsi="IBM Plex Mono"/>
          <w:color w:val="16221E"/>
          <w:sz w:val="22"/>
          <w:szCs w:val="22"/>
        </w:rPr>
        <w:t xml:space="preserve">01   Executive Summary</w:t>
      </w:r>
    </w:p>
    <w:p>
      <w:pPr>
        <w:pBdr>
          <w:bottom w:val="single" w:color="C9D1CA" w:sz="4" w:space="6"/>
        </w:pBdr>
        <w:spacing w:after="180"/>
      </w:pPr>
      <w:r>
        <w:rPr>
          <w:rFonts w:ascii="IBM Plex Mono" w:cs="IBM Plex Mono" w:eastAsia="IBM Plex Mono" w:hAnsi="IBM Plex Mono"/>
          <w:color w:val="16221E"/>
          <w:sz w:val="22"/>
          <w:szCs w:val="22"/>
        </w:rPr>
        <w:t xml:space="preserve">02   Dataset &amp; Methodology</w:t>
      </w:r>
    </w:p>
    <w:p>
      <w:pPr>
        <w:pBdr>
          <w:bottom w:val="single" w:color="C9D1CA" w:sz="4" w:space="6"/>
        </w:pBdr>
        <w:spacing w:after="180"/>
      </w:pPr>
      <w:r>
        <w:rPr>
          <w:rFonts w:ascii="IBM Plex Mono" w:cs="IBM Plex Mono" w:eastAsia="IBM Plex Mono" w:hAnsi="IBM Plex Mono"/>
          <w:color w:val="16221E"/>
          <w:sz w:val="22"/>
          <w:szCs w:val="22"/>
        </w:rPr>
        <w:t xml:space="preserve">03   Exploratory Data Analysis</w:t>
      </w:r>
    </w:p>
    <w:p>
      <w:pPr>
        <w:pBdr>
          <w:bottom w:val="single" w:color="C9D1CA" w:sz="4" w:space="6"/>
        </w:pBdr>
        <w:spacing w:after="180"/>
      </w:pPr>
      <w:r>
        <w:rPr>
          <w:rFonts w:ascii="IBM Plex Mono" w:cs="IBM Plex Mono" w:eastAsia="IBM Plex Mono" w:hAnsi="IBM Plex Mono"/>
          <w:color w:val="16221E"/>
          <w:sz w:val="22"/>
          <w:szCs w:val="22"/>
        </w:rPr>
        <w:t xml:space="preserve">04   Statistical Hypothesis Testing</w:t>
      </w:r>
    </w:p>
    <w:p>
      <w:pPr>
        <w:pBdr>
          <w:bottom w:val="single" w:color="C9D1CA" w:sz="4" w:space="6"/>
        </w:pBdr>
        <w:spacing w:after="180"/>
      </w:pPr>
      <w:r>
        <w:rPr>
          <w:rFonts w:ascii="IBM Plex Mono" w:cs="IBM Plex Mono" w:eastAsia="IBM Plex Mono" w:hAnsi="IBM Plex Mono"/>
          <w:color w:val="16221E"/>
          <w:sz w:val="22"/>
          <w:szCs w:val="22"/>
        </w:rPr>
        <w:t xml:space="preserve">05   Predictive Modeling</w:t>
      </w:r>
    </w:p>
    <w:p>
      <w:pPr>
        <w:pBdr>
          <w:bottom w:val="single" w:color="C9D1CA" w:sz="4" w:space="6"/>
        </w:pBdr>
        <w:spacing w:after="180"/>
      </w:pPr>
      <w:r>
        <w:rPr>
          <w:rFonts w:ascii="IBM Plex Mono" w:cs="IBM Plex Mono" w:eastAsia="IBM Plex Mono" w:hAnsi="IBM Plex Mono"/>
          <w:color w:val="16221E"/>
          <w:sz w:val="22"/>
          <w:szCs w:val="22"/>
        </w:rPr>
        <w:t xml:space="preserve">06   Conclusion &amp; Recommendations</w:t>
      </w:r>
    </w:p>
    <w:p>
      <w:r>
        <w:br w:type="page"/>
      </w:r>
    </w:p>
    <w:p>
      <w:pPr>
        <w:spacing w:after="60"/>
      </w:pPr>
      <w:r>
        <w:rPr>
          <w:rFonts w:ascii="IBM Plex Mono" w:cs="IBM Plex Mono" w:eastAsia="IBM Plex Mono" w:hAnsi="IBM Plex Mono"/>
          <w:b/>
          <w:bCs/>
          <w:color w:val="1F6F5C"/>
          <w:spacing w:val="20"/>
          <w:sz w:val="16"/>
          <w:szCs w:val="16"/>
        </w:rPr>
        <w:t xml:space="preserve">01 · EXECUTIVE SUMMARY</w:t>
      </w:r>
    </w:p>
    <w:p>
      <w:pPr>
        <w:pStyle w:val="Heading1"/>
        <w:pBdr>
          <w:bottom w:val="single" w:color="C9D1CA" w:sz="6" w:space="6"/>
        </w:pBdr>
        <w:spacing w:after="160" w:before="380"/>
      </w:pPr>
      <w:r>
        <w:rPr>
          <w:rFonts w:ascii="Georgia" w:cs="Georgia" w:eastAsia="Georgia" w:hAnsi="Georgia"/>
          <w:b/>
          <w:bCs/>
          <w:color w:val="16221E"/>
        </w:rPr>
        <w:t xml:space="preserve">Every risk factor was tested. None of them predict survival.</w:t>
      </w:r>
    </w:p>
    <w:p>
      <w:pPr>
        <w:spacing w:after="200" w:before="0"/>
      </w:pPr>
      <w:r>
        <w:rPr>
          <w:rFonts w:ascii="IBM Plex Sans" w:cs="IBM Plex Sans" w:eastAsia="IBM Plex Sans" w:hAnsi="IBM Plex Sans"/>
          <w:color w:val="16221E"/>
          <w:sz w:val="21"/>
          <w:szCs w:val="21"/>
        </w:rPr>
        <w:t xml:space="preserve">This report presents a full analytical pipeline — exploratory data analysis, statistical hypothesis testing, and predictive modeling — applied to a colorectal cancer dataset of 89,945 patient records across 28 demographic, clinical, and lifestyle variables. The objective was to identify which factors predict patient survival.</w:t>
      </w:r>
    </w:p>
    <w:p>
      <w:pPr>
        <w:spacing w:after="260" w:before="0"/>
      </w:pPr>
      <w:r>
        <w:rPr>
          <w:rFonts w:ascii="IBM Plex Sans" w:cs="IBM Plex Sans" w:eastAsia="IBM Plex Sans" w:hAnsi="IBM Plex Sans"/>
          <w:color w:val="16221E"/>
          <w:sz w:val="21"/>
          <w:szCs w:val="21"/>
        </w:rPr>
        <w:t xml:space="preserve">The central finding is a negative result, reached with rigor rather than assumed: no variable in this dataset — including clinically intuitive ones such as Stage at Diagnosis, Tumor Aggressiveness, and Recurrence — shows a statistically reliable relationship with survival status. Two classification models (Logistic Regression and Random Forest) were trained and both converged to simply predicting the majority class, with ROC-AUC scores indistinguishable from random guessing (0.50).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3%"/>
            <w:tcBorders>
              <w:top w:val="none" w:color="FFFFFF" w:sz="0"/>
              <w:left w:val="none" w:color="FFFFFF" w:sz="0"/>
              <w:bottom w:val="none" w:color="FFFFFF" w:sz="0"/>
              <w:right w:val="none" w:color="FFFFFF" w:sz="0"/>
            </w:tcBorders>
            <w:shd w:fill="F8FAF7" w:val="clear"/>
            <w:tcMar>
              <w:top w:type="dxa" w:w="160"/>
              <w:left w:type="dxa" w:w="160"/>
              <w:bottom w:type="dxa" w:w="160"/>
              <w:right w:type="dxa" w:w="160"/>
            </w:tcMar>
          </w:tcPr>
          <w:p>
            <w:pPr>
              <w:spacing w:after="40"/>
              <w:jc w:val="center"/>
            </w:pPr>
            <w:r>
              <w:rPr>
                <w:rFonts w:ascii="IBM Plex Mono" w:cs="IBM Plex Mono" w:eastAsia="IBM Plex Mono" w:hAnsi="IBM Plex Mono"/>
                <w:b/>
                <w:bCs/>
                <w:color w:val="16221E"/>
                <w:sz w:val="32"/>
                <w:szCs w:val="32"/>
              </w:rPr>
              <w:t xml:space="preserve">74.87%</w:t>
            </w:r>
          </w:p>
          <w:p>
            <w:pPr>
              <w:jc w:val="center"/>
            </w:pPr>
            <w:r>
              <w:rPr>
                <w:rFonts w:ascii="IBM Plex Sans" w:cs="IBM Plex Sans" w:eastAsia="IBM Plex Sans" w:hAnsi="IBM Plex Sans"/>
                <w:color w:val="55645C"/>
                <w:sz w:val="16"/>
                <w:szCs w:val="16"/>
              </w:rPr>
              <w:t xml:space="preserve">Baseline / model accuracy</w:t>
            </w:r>
          </w:p>
        </w:tc>
        <w:tc>
          <w:tcPr>
            <w:tcW w:type="pct" w:w="33%"/>
            <w:tcBorders>
              <w:top w:val="none" w:color="FFFFFF" w:sz="0"/>
              <w:left w:val="none" w:color="FFFFFF" w:sz="0"/>
              <w:bottom w:val="none" w:color="FFFFFF" w:sz="0"/>
              <w:right w:val="none" w:color="FFFFFF" w:sz="0"/>
            </w:tcBorders>
            <w:shd w:fill="F8FAF7" w:val="clear"/>
            <w:tcMar>
              <w:top w:type="dxa" w:w="160"/>
              <w:left w:type="dxa" w:w="160"/>
              <w:bottom w:type="dxa" w:w="160"/>
              <w:right w:type="dxa" w:w="160"/>
            </w:tcMar>
          </w:tcPr>
          <w:p>
            <w:pPr>
              <w:spacing w:after="40"/>
              <w:jc w:val="center"/>
            </w:pPr>
            <w:r>
              <w:rPr>
                <w:rFonts w:ascii="IBM Plex Mono" w:cs="IBM Plex Mono" w:eastAsia="IBM Plex Mono" w:hAnsi="IBM Plex Mono"/>
                <w:b/>
                <w:bCs/>
                <w:color w:val="B5502D"/>
                <w:sz w:val="32"/>
                <w:szCs w:val="32"/>
              </w:rPr>
              <w:t xml:space="preserve">0.5055</w:t>
            </w:r>
          </w:p>
          <w:p>
            <w:pPr>
              <w:jc w:val="center"/>
            </w:pPr>
            <w:r>
              <w:rPr>
                <w:rFonts w:ascii="IBM Plex Sans" w:cs="IBM Plex Sans" w:eastAsia="IBM Plex Sans" w:hAnsi="IBM Plex Sans"/>
                <w:color w:val="55645C"/>
                <w:sz w:val="16"/>
                <w:szCs w:val="16"/>
              </w:rPr>
              <w:t xml:space="preserve">Best ROC-AUC achieved</w:t>
            </w:r>
          </w:p>
        </w:tc>
        <w:tc>
          <w:tcPr>
            <w:tcW w:type="pct" w:w="33%"/>
            <w:tcBorders>
              <w:top w:val="none" w:color="FFFFFF" w:sz="0"/>
              <w:left w:val="none" w:color="FFFFFF" w:sz="0"/>
              <w:bottom w:val="none" w:color="FFFFFF" w:sz="0"/>
              <w:right w:val="none" w:color="FFFFFF" w:sz="0"/>
            </w:tcBorders>
            <w:shd w:fill="F8FAF7" w:val="clear"/>
            <w:tcMar>
              <w:top w:type="dxa" w:w="160"/>
              <w:left w:type="dxa" w:w="160"/>
              <w:bottom w:type="dxa" w:w="160"/>
              <w:right w:type="dxa" w:w="160"/>
            </w:tcMar>
          </w:tcPr>
          <w:p>
            <w:pPr>
              <w:spacing w:after="40"/>
              <w:jc w:val="center"/>
            </w:pPr>
            <w:r>
              <w:rPr>
                <w:rFonts w:ascii="IBM Plex Mono" w:cs="IBM Plex Mono" w:eastAsia="IBM Plex Mono" w:hAnsi="IBM Plex Mono"/>
                <w:b/>
                <w:bCs/>
                <w:color w:val="B5502D"/>
                <w:sz w:val="32"/>
                <w:szCs w:val="32"/>
              </w:rPr>
              <w:t xml:space="preserve">1 of 28</w:t>
            </w:r>
          </w:p>
          <w:p>
            <w:pPr>
              <w:jc w:val="center"/>
            </w:pPr>
            <w:r>
              <w:rPr>
                <w:rFonts w:ascii="IBM Plex Sans" w:cs="IBM Plex Sans" w:eastAsia="IBM Plex Sans" w:hAnsi="IBM Plex Sans"/>
                <w:color w:val="55645C"/>
                <w:sz w:val="16"/>
                <w:szCs w:val="16"/>
              </w:rPr>
              <w:t xml:space="preserve">Features significant at p&lt;0.05</w:t>
            </w:r>
          </w:p>
        </w:tc>
      </w:tr>
    </w:tbl>
    <w:p>
      <w:pPr>
        <w:spacing w:after="80" w:before="280"/>
      </w:pPr>
      <w:r>
        <w:rPr>
          <w:rFonts w:ascii="IBM Plex Sans" w:cs="IBM Plex Sans" w:eastAsia="IBM Plex Sans" w:hAnsi="IBM Plex Sans"/>
          <w:b/>
          <w:bCs/>
          <w:color w:val="16221E"/>
          <w:sz w:val="22"/>
          <w:szCs w:val="22"/>
        </w:rPr>
        <w:t xml:space="preserve">Key takeaways</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The dataset is clean (zero missing values) and well-documented, but the outcome variable appears to be generated independently of the recorded features — consistent with a synthetic dataset built without an embedded feature-outcome relationship.</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24 of 25 Chi-Square tests and all 3 t-tests came back non-significant; the single exception (Radiotherapy_Received, p=0.044) is within the range expected from chance alone when running 28 independent tests.</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Both models, evaluated on an identical held-out test set, predicted "Survived" for virtually every patient — the confusion matrices are effectively identical because neither model found a signal to differentiate on.</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5-fold cross-validation confirms the flat ~0.50 ROC-AUC holds across every data split, ruling out an unlucky train/test partition as the explanation.</w:t>
      </w:r>
    </w:p>
    <w:p>
      <w:r>
        <w:br w:type="page"/>
      </w:r>
    </w:p>
    <w:p>
      <w:pPr>
        <w:spacing w:after="60"/>
      </w:pPr>
      <w:r>
        <w:rPr>
          <w:rFonts w:ascii="IBM Plex Mono" w:cs="IBM Plex Mono" w:eastAsia="IBM Plex Mono" w:hAnsi="IBM Plex Mono"/>
          <w:b/>
          <w:bCs/>
          <w:color w:val="1F6F5C"/>
          <w:spacing w:val="20"/>
          <w:sz w:val="16"/>
          <w:szCs w:val="16"/>
        </w:rPr>
        <w:t xml:space="preserve">02 · DATASET &amp; METHODOLOGY</w:t>
      </w:r>
    </w:p>
    <w:p>
      <w:pPr>
        <w:pStyle w:val="Heading1"/>
        <w:pBdr>
          <w:bottom w:val="single" w:color="C9D1CA" w:sz="6" w:space="6"/>
        </w:pBdr>
        <w:spacing w:after="160" w:before="380"/>
      </w:pPr>
      <w:r>
        <w:rPr>
          <w:rFonts w:ascii="Georgia" w:cs="Georgia" w:eastAsia="Georgia" w:hAnsi="Georgia"/>
          <w:b/>
          <w:bCs/>
          <w:color w:val="16221E"/>
        </w:rPr>
        <w:t xml:space="preserve">Dataset &amp; Methodology</w:t>
      </w:r>
    </w:p>
    <w:p>
      <w:pPr>
        <w:spacing w:after="160" w:before="0"/>
      </w:pPr>
      <w:r>
        <w:rPr>
          <w:rFonts w:ascii="IBM Plex Sans" w:cs="IBM Plex Sans" w:eastAsia="IBM Plex Sans" w:hAnsi="IBM Plex Sans"/>
          <w:color w:val="16221E"/>
          <w:sz w:val="21"/>
          <w:szCs w:val="21"/>
        </w:rPr>
        <w:t xml:space="preserve">The dataset contains 89,945 patient records with 29 columns covering demographics (age, gender, race, region), clinical history (family history, previous cancer history, stage at diagnosis, tumor aggressiveness), lifestyle factors (smoking, alcohol, diet, physical activity), treatment (chemotherapy, radiotherapy, surgery, treatment access), and outcomes (survival status, recurrence, time to recurrence). No missing values were found in any column.</w:t>
      </w:r>
    </w:p>
    <w:p>
      <w:pPr>
        <w:pStyle w:val="Heading3"/>
        <w:spacing w:after="160" w:before="380"/>
      </w:pPr>
      <w:r>
        <w:rPr>
          <w:rFonts w:ascii="Georgia" w:cs="Georgia" w:eastAsia="Georgia" w:hAnsi="Georgia"/>
          <w:b/>
          <w:bCs/>
          <w:color w:val="16221E"/>
        </w:rPr>
        <w:t xml:space="preserve">Preprocessing pipeline</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Patient ID dropped (identifier only, no predictive value).</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Binary Yes/No fields (e.g. Family History, Chemotherapy Received) label-encoded to 0/1.</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Ordinal fields (Stage, Tumor Aggressiveness, Screening Regularity, etc.) mapped to integers preserving natural order.</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Nominal fields with no inherent order (Race, Region, Diet Type) one-hot encoded.</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Numerical features (Age, BMI, Time to Recurrence) standardized with z-score scaling.</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Data split 80/20 into train and test sets, stratified by survival status to preserve class balance.</w:t>
      </w:r>
    </w:p>
    <w:p>
      <w:pPr>
        <w:pStyle w:val="Heading3"/>
        <w:spacing w:after="160" w:before="380"/>
      </w:pPr>
      <w:r>
        <w:rPr>
          <w:rFonts w:ascii="Georgia" w:cs="Georgia" w:eastAsia="Georgia" w:hAnsi="Georgia"/>
          <w:b/>
          <w:bCs/>
          <w:color w:val="16221E"/>
        </w:rPr>
        <w:t xml:space="preserve">Modeling approach</w:t>
      </w:r>
    </w:p>
    <w:p>
      <w:pPr>
        <w:spacing w:after="160" w:before="0"/>
      </w:pPr>
      <w:r>
        <w:rPr>
          <w:rFonts w:ascii="IBM Plex Sans" w:cs="IBM Plex Sans" w:eastAsia="IBM Plex Sans" w:hAnsi="IBM Plex Sans"/>
          <w:color w:val="16221E"/>
          <w:sz w:val="21"/>
          <w:szCs w:val="21"/>
        </w:rPr>
        <w:t xml:space="preserve">Two classifiers were trained on the full feature set: Logistic Regression (linear baseline, max_iter=1000) and Random Forest (300 trees, max depth 8, to capture potential non-linear relationships). Both were evaluated on accuracy, ROC-AUC, and a full classification report, then validated with 5-fold stratified cross-validation to confirm robustness beyond a single train/test split.</w:t>
      </w:r>
    </w:p>
    <w:p>
      <w:r>
        <w:br w:type="page"/>
      </w:r>
    </w:p>
    <w:p>
      <w:pPr>
        <w:spacing w:after="60"/>
      </w:pPr>
      <w:r>
        <w:rPr>
          <w:rFonts w:ascii="IBM Plex Mono" w:cs="IBM Plex Mono" w:eastAsia="IBM Plex Mono" w:hAnsi="IBM Plex Mono"/>
          <w:b/>
          <w:bCs/>
          <w:color w:val="1F6F5C"/>
          <w:spacing w:val="20"/>
          <w:sz w:val="16"/>
          <w:szCs w:val="16"/>
        </w:rPr>
        <w:t xml:space="preserve">03 · EXPLORATORY DATA ANALYSIS</w:t>
      </w:r>
    </w:p>
    <w:p>
      <w:pPr>
        <w:pStyle w:val="Heading1"/>
        <w:pBdr>
          <w:bottom w:val="single" w:color="C9D1CA" w:sz="6" w:space="6"/>
        </w:pBdr>
        <w:spacing w:after="160" w:before="380"/>
      </w:pPr>
      <w:r>
        <w:rPr>
          <w:rFonts w:ascii="Georgia" w:cs="Georgia" w:eastAsia="Georgia" w:hAnsi="Georgia"/>
          <w:b/>
          <w:bCs/>
          <w:color w:val="16221E"/>
        </w:rPr>
        <w:t xml:space="preserve">Exploratory Data Analysis</w:t>
      </w:r>
    </w:p>
    <w:p>
      <w:pPr>
        <w:pStyle w:val="Heading2"/>
        <w:spacing w:after="160" w:before="380"/>
      </w:pPr>
      <w:r>
        <w:rPr>
          <w:rFonts w:ascii="Georgia" w:cs="Georgia" w:eastAsia="Georgia" w:hAnsi="Georgia"/>
          <w:b/>
          <w:bCs/>
          <w:color w:val="16221E"/>
        </w:rPr>
        <w:t xml:space="preserve">Cohort overview</w:t>
      </w:r>
    </w:p>
    <w:p>
      <w:pPr>
        <w:spacing w:after="160" w:before="0"/>
      </w:pPr>
      <w:r>
        <w:rPr>
          <w:rFonts w:ascii="IBM Plex Sans" w:cs="IBM Plex Sans" w:eastAsia="IBM Plex Sans" w:hAnsi="IBM Plex Sans"/>
          <w:color w:val="16221E"/>
          <w:sz w:val="21"/>
          <w:szCs w:val="21"/>
        </w:rPr>
        <w:t xml:space="preserve">The cohort skews toward survival: 67,341 patients (74.87%) survived, while 22,604 (25.13%) did not. This 74.9% figure becomes the baseline accuracy that any useful predictive model must beat.</w:t>
      </w:r>
    </w:p>
    <w:p>
      <w:pPr>
        <w:spacing w:after="80" w:before="120"/>
        <w:jc w:val="center"/>
      </w:pPr>
      <w:r>
        <w:drawing>
          <wp:inline distT="0" distB="0" distL="0" distR="0">
            <wp:extent cx="53340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81100"/>
                    </a:xfrm>
                    <a:prstGeom prst="rect">
                      <a:avLst/>
                    </a:prstGeom>
                  </pic:spPr>
                </pic:pic>
              </a:graphicData>
            </a:graphic>
          </wp:inline>
        </w:drawing>
      </w:r>
    </w:p>
    <w:p>
      <w:pPr>
        <w:spacing w:after="260"/>
        <w:jc w:val="center"/>
      </w:pPr>
      <w:r>
        <w:rPr>
          <w:rFonts w:ascii="IBM Plex Mono" w:cs="IBM Plex Mono" w:eastAsia="IBM Plex Mono" w:hAnsi="IBM Plex Mono"/>
          <w:i/>
          <w:iCs/>
          <w:color w:val="55645C"/>
          <w:sz w:val="16"/>
          <w:szCs w:val="16"/>
        </w:rPr>
        <w:t xml:space="preserve">Figure 1. Overall survival status distribution.</w:t>
      </w:r>
    </w:p>
    <w:p>
      <w:pPr>
        <w:pStyle w:val="Heading2"/>
        <w:spacing w:after="160" w:before="380"/>
      </w:pPr>
      <w:r>
        <w:rPr>
          <w:rFonts w:ascii="Georgia" w:cs="Georgia" w:eastAsia="Georgia" w:hAnsi="Georgia"/>
          <w:b/>
          <w:bCs/>
          <w:color w:val="16221E"/>
        </w:rPr>
        <w:t xml:space="preserve">Age &amp; BMI distribution by outcome</w:t>
      </w:r>
    </w:p>
    <w:p>
      <w:pPr>
        <w:spacing w:after="160" w:before="0"/>
      </w:pPr>
      <w:r>
        <w:rPr>
          <w:rFonts w:ascii="IBM Plex Sans" w:cs="IBM Plex Sans" w:eastAsia="IBM Plex Sans" w:hAnsi="IBM Plex Sans"/>
          <w:color w:val="16221E"/>
          <w:sz w:val="21"/>
          <w:szCs w:val="21"/>
        </w:rPr>
        <w:t xml:space="preserve">Both age and BMI distributions are visually near-identical between survivors and non-survivors — an early visual hint that these factors carry little discriminative power for this outcome.</w:t>
      </w:r>
    </w:p>
    <w:p>
      <w:pPr>
        <w:spacing w:after="80" w:before="120"/>
        <w:jc w:val="center"/>
      </w:pPr>
      <w:r>
        <w:drawing>
          <wp:inline distT="0" distB="0" distL="0" distR="0">
            <wp:extent cx="4572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05050"/>
                    </a:xfrm>
                    <a:prstGeom prst="rect">
                      <a:avLst/>
                    </a:prstGeom>
                  </pic:spPr>
                </pic:pic>
              </a:graphicData>
            </a:graphic>
          </wp:inline>
        </w:drawing>
      </w:r>
    </w:p>
    <w:p>
      <w:pPr>
        <w:spacing w:after="260"/>
        <w:jc w:val="center"/>
      </w:pPr>
      <w:r>
        <w:rPr>
          <w:rFonts w:ascii="IBM Plex Mono" w:cs="IBM Plex Mono" w:eastAsia="IBM Plex Mono" w:hAnsi="IBM Plex Mono"/>
          <w:i/>
          <w:iCs/>
          <w:color w:val="55645C"/>
          <w:sz w:val="16"/>
          <w:szCs w:val="16"/>
        </w:rPr>
        <w:t xml:space="preserve">Figure 2. Age distribution split by survival status.</w:t>
      </w:r>
    </w:p>
    <w:p>
      <w:pPr>
        <w:spacing w:after="80" w:before="120"/>
        <w:jc w:val="center"/>
      </w:pPr>
      <w:r>
        <w:drawing>
          <wp:inline distT="0" distB="0" distL="0" distR="0">
            <wp:extent cx="4572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05050"/>
                    </a:xfrm>
                    <a:prstGeom prst="rect">
                      <a:avLst/>
                    </a:prstGeom>
                  </pic:spPr>
                </pic:pic>
              </a:graphicData>
            </a:graphic>
          </wp:inline>
        </w:drawing>
      </w:r>
    </w:p>
    <w:p>
      <w:pPr>
        <w:spacing w:after="260"/>
        <w:jc w:val="center"/>
      </w:pPr>
      <w:r>
        <w:rPr>
          <w:rFonts w:ascii="IBM Plex Mono" w:cs="IBM Plex Mono" w:eastAsia="IBM Plex Mono" w:hAnsi="IBM Plex Mono"/>
          <w:i/>
          <w:iCs/>
          <w:color w:val="55645C"/>
          <w:sz w:val="16"/>
          <w:szCs w:val="16"/>
        </w:rPr>
        <w:t xml:space="preserve">Figure 3. BMI distribution split by survival status.</w:t>
      </w:r>
    </w:p>
    <w:p>
      <w:r>
        <w:br w:type="page"/>
      </w:r>
    </w:p>
    <w:p>
      <w:pPr>
        <w:pStyle w:val="Heading2"/>
        <w:spacing w:after="160" w:before="380"/>
      </w:pPr>
      <w:r>
        <w:rPr>
          <w:rFonts w:ascii="Georgia" w:cs="Georgia" w:eastAsia="Georgia" w:hAnsi="Georgia"/>
          <w:b/>
          <w:bCs/>
          <w:color w:val="16221E"/>
        </w:rPr>
        <w:t xml:space="preserve">Survival rate by subgroup</w:t>
      </w:r>
    </w:p>
    <w:p>
      <w:pPr>
        <w:spacing w:after="160" w:before="0"/>
      </w:pPr>
      <w:r>
        <w:rPr>
          <w:rFonts w:ascii="IBM Plex Sans" w:cs="IBM Plex Sans" w:eastAsia="IBM Plex Sans" w:hAnsi="IBM Plex Sans"/>
          <w:color w:val="16221E"/>
          <w:sz w:val="21"/>
          <w:szCs w:val="21"/>
        </w:rPr>
        <w:t xml:space="preserve">Across every clinically relevant grouping — cancer stage, tumor aggressiveness, smoking status, and recurrence — the survival rate within each subgroup lands within roughly half a percentage point of the 74.87% cohort average (dashed line). No subgroup stands out as meaningfully higher- or lower-risk.</w:t>
      </w:r>
    </w:p>
    <w:p>
      <w:pPr>
        <w:spacing w:after="80" w:before="120"/>
        <w:jc w:val="center"/>
      </w:pPr>
      <w:r>
        <w:drawing>
          <wp:inline distT="0" distB="0" distL="0" distR="0">
            <wp:extent cx="5334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24275"/>
                    </a:xfrm>
                    <a:prstGeom prst="rect">
                      <a:avLst/>
                    </a:prstGeom>
                  </pic:spPr>
                </pic:pic>
              </a:graphicData>
            </a:graphic>
          </wp:inline>
        </w:drawing>
      </w:r>
    </w:p>
    <w:p>
      <w:pPr>
        <w:spacing w:after="260"/>
        <w:jc w:val="center"/>
      </w:pPr>
      <w:r>
        <w:rPr>
          <w:rFonts w:ascii="IBM Plex Mono" w:cs="IBM Plex Mono" w:eastAsia="IBM Plex Mono" w:hAnsi="IBM Plex Mono"/>
          <w:i/>
          <w:iCs/>
          <w:color w:val="55645C"/>
          <w:sz w:val="16"/>
          <w:szCs w:val="16"/>
        </w:rPr>
        <w:t xml:space="preserve">Figure 4. Survival rate (%) by subgroup vs. cohort average, selected variables.</w:t>
      </w:r>
    </w:p>
    <w:p>
      <w:r>
        <w:br w:type="page"/>
      </w:r>
    </w:p>
    <w:p>
      <w:pPr>
        <w:spacing w:after="60"/>
      </w:pPr>
      <w:r>
        <w:rPr>
          <w:rFonts w:ascii="IBM Plex Mono" w:cs="IBM Plex Mono" w:eastAsia="IBM Plex Mono" w:hAnsi="IBM Plex Mono"/>
          <w:b/>
          <w:bCs/>
          <w:color w:val="1F6F5C"/>
          <w:spacing w:val="20"/>
          <w:sz w:val="16"/>
          <w:szCs w:val="16"/>
        </w:rPr>
        <w:t xml:space="preserve">04 · STATISTICAL HYPOTHESIS TESTING</w:t>
      </w:r>
    </w:p>
    <w:p>
      <w:pPr>
        <w:pStyle w:val="Heading1"/>
        <w:pBdr>
          <w:bottom w:val="single" w:color="C9D1CA" w:sz="6" w:space="6"/>
        </w:pBdr>
        <w:spacing w:after="160" w:before="380"/>
      </w:pPr>
      <w:r>
        <w:rPr>
          <w:rFonts w:ascii="Georgia" w:cs="Georgia" w:eastAsia="Georgia" w:hAnsi="Georgia"/>
          <w:b/>
          <w:bCs/>
          <w:color w:val="16221E"/>
        </w:rPr>
        <w:t xml:space="preserve">Statistical Hypothesis Testing</w:t>
      </w:r>
    </w:p>
    <w:p>
      <w:pPr>
        <w:spacing w:after="160" w:before="0"/>
      </w:pPr>
      <w:r>
        <w:rPr>
          <w:rFonts w:ascii="IBM Plex Sans" w:cs="IBM Plex Sans" w:eastAsia="IBM Plex Sans" w:hAnsi="IBM Plex Sans"/>
          <w:color w:val="16221E"/>
          <w:sz w:val="21"/>
          <w:szCs w:val="21"/>
        </w:rPr>
        <w:t xml:space="preserve">Visual similarity across subgroups can be misleading at a glance, so every categorical feature was formally tested against Survival Status with a Chi-Square test of independence, and every numerical feature with a Welch's t-test. A p-value below 0.05 would indicate a statistically significant association.</w:t>
      </w:r>
    </w:p>
    <w:p>
      <w:pPr>
        <w:spacing w:after="80" w:before="120"/>
        <w:jc w:val="center"/>
      </w:pPr>
      <w:r>
        <w:drawing>
          <wp:inline distT="0" distB="0" distL="0" distR="0">
            <wp:extent cx="5524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933575"/>
                    </a:xfrm>
                    <a:prstGeom prst="rect">
                      <a:avLst/>
                    </a:prstGeom>
                  </pic:spPr>
                </pic:pic>
              </a:graphicData>
            </a:graphic>
          </wp:inline>
        </w:drawing>
      </w:r>
    </w:p>
    <w:p>
      <w:pPr>
        <w:spacing w:after="260"/>
        <w:jc w:val="center"/>
      </w:pPr>
      <w:r>
        <w:rPr>
          <w:rFonts w:ascii="IBM Plex Mono" w:cs="IBM Plex Mono" w:eastAsia="IBM Plex Mono" w:hAnsi="IBM Plex Mono"/>
          <w:i/>
          <w:iCs/>
          <w:color w:val="55645C"/>
          <w:sz w:val="16"/>
          <w:szCs w:val="16"/>
        </w:rPr>
        <w:t xml:space="preserve">Figure 5. All 25 Chi-Square p-values, sorted ascending, against the p=0.05 threshold.</w:t>
      </w:r>
    </w:p>
    <w:p>
      <w:pPr>
        <w:spacing w:after="260" w:before="0"/>
      </w:pPr>
      <w:r>
        <w:rPr>
          <w:rFonts w:ascii="IBM Plex Sans" w:cs="IBM Plex Sans" w:eastAsia="IBM Plex Sans" w:hAnsi="IBM Plex Sans"/>
          <w:color w:val="16221E"/>
          <w:sz w:val="21"/>
          <w:szCs w:val="21"/>
        </w:rPr>
        <w:t xml:space="preserve">With α = 0.05 and 28 independent tests run, roughly 1–2 false positives are expected from chance alone. Exactly one came back significant (Radiotherapy_Received, p = 0.044) — consistent with statistical noise rather than a genuine effect, and not something a clinician would treat as a reliable finding on its own.</w:t>
      </w:r>
    </w:p>
    <w:p>
      <w:pPr>
        <w:pStyle w:val="Heading3"/>
        <w:spacing w:after="160" w:before="380"/>
      </w:pPr>
      <w:r>
        <w:rPr>
          <w:rFonts w:ascii="Georgia" w:cs="Georgia" w:eastAsia="Georgia" w:hAnsi="Georgia"/>
          <w:b/>
          <w:bCs/>
          <w:color w:val="16221E"/>
        </w:rPr>
        <w:t xml:space="preserve">Chi-Square results — categorical features (n=25)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700"/>
        <w:gridCol w:w="2300"/>
      </w:tblGrid>
      <w:tr>
        <w:trPr>
          <w:tblHeader/>
        </w:trPr>
        <w:tc>
          <w:tcPr>
            <w:tcW w:type="dxa" w:w="34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Feature</w:t>
            </w:r>
          </w:p>
        </w:tc>
        <w:tc>
          <w:tcPr>
            <w:tcW w:type="dxa" w:w="16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Chi²</w:t>
            </w:r>
          </w:p>
        </w:tc>
        <w:tc>
          <w:tcPr>
            <w:tcW w:type="dxa" w:w="17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p-value</w:t>
            </w:r>
          </w:p>
        </w:tc>
        <w:tc>
          <w:tcPr>
            <w:tcW w:type="dxa" w:w="23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Result (α=0.05)</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Radiotherapy Received</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4.042</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bCs/>
                <w:color w:val="B5502D"/>
                <w:sz w:val="17"/>
                <w:szCs w:val="17"/>
              </w:rPr>
              <w:t xml:space="preserve">0.0444</w:t>
            </w:r>
          </w:p>
        </w:tc>
        <w:tc>
          <w:tcPr>
            <w:tcW w:type="dxa" w:w="2300"/>
            <w:tcBorders>
              <w:top w:val="single" w:color="C9D1CA" w:sz="4"/>
              <w:left w:val="single" w:color="C9D1CA" w:sz="4"/>
              <w:bottom w:val="single" w:color="C9D1CA" w:sz="4"/>
              <w:right w:val="single" w:color="C9D1CA" w:sz="4"/>
            </w:tcBorders>
            <w:shd w:fill="F3E1D8" w:val="clear"/>
            <w:tcMar>
              <w:top w:type="dxa" w:w="80"/>
              <w:left w:type="dxa" w:w="110"/>
              <w:bottom w:type="dxa" w:w="80"/>
              <w:right w:type="dxa" w:w="110"/>
            </w:tcMar>
          </w:tcPr>
          <w:p>
            <w:r>
              <w:rPr>
                <w:rFonts w:ascii="IBM Plex Sans" w:cs="IBM Plex Sans" w:eastAsia="IBM Plex Sans" w:hAnsi="IBM Plex Sans"/>
                <w:b/>
                <w:bCs/>
                <w:color w:val="B5502D"/>
                <w:sz w:val="17"/>
                <w:szCs w:val="17"/>
              </w:rPr>
              <w:t xml:space="preserve">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Surgery Received</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3.013</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0.0826</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Gender</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2.405</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0.121</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Region</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7.276</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0.122</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Follow Up Adherence</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1.759</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0.1847</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Diet Type</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2.935</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0.2305</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Tumor Aggressiveness</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2.702</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0.2589</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Socioeconomic Status</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2.59</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0.2738</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Race</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5.013</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0.286</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Red Meat Consumption</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2.405</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0.3004</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Fiber Consumption</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2.397</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0.3017</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Insurance Coverage</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0.983</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0.3215</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Chemotherapy Received</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0.844</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0.3583</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Treatment Access</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0.757</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0.3842</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Screening Regularity</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1.726</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0.4219</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Recurrence</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0.604</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0.4372</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Colonoscopy Access</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0.44</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0.5072</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Family History</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0.392</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0.5314</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Smoking Status</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1.257</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0.5335</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Alcohol Consumption</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0.698</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0.7055</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Urban or Rural</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0.037</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0.8465</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Time to Diagnosis</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0.023</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0.8789</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Stage at Diagnosis</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0.635</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0.8885</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Previous Cancer History</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0.002</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0.9638</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r>
        <w:tc>
          <w:tcPr>
            <w:tcW w:type="dxa" w:w="3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Physical Activity Level</w:t>
            </w:r>
          </w:p>
        </w:tc>
        <w:tc>
          <w:tcPr>
            <w:tcW w:type="dxa" w:w="1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0.021</w:t>
            </w:r>
          </w:p>
        </w:tc>
        <w:tc>
          <w:tcPr>
            <w:tcW w:type="dxa" w:w="17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b w:val="false"/>
                <w:bCs w:val="false"/>
                <w:color w:val="55645C"/>
                <w:sz w:val="17"/>
                <w:szCs w:val="17"/>
              </w:rPr>
              <w:t xml:space="preserve">0.9894</w:t>
            </w:r>
          </w:p>
        </w:tc>
        <w:tc>
          <w:tcPr>
            <w:tcW w:type="dxa" w:w="23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val="false"/>
                <w:bCs w:val="false"/>
                <w:color w:val="55645C"/>
                <w:sz w:val="17"/>
                <w:szCs w:val="17"/>
              </w:rPr>
              <w:t xml:space="preserve">Not significant</w:t>
            </w:r>
          </w:p>
        </w:tc>
      </w:tr>
    </w:tbl>
    <w:p>
      <w:pPr>
        <w:spacing w:before="300"/>
      </w:pPr>
    </w:p>
    <w:p>
      <w:pPr>
        <w:pStyle w:val="Heading3"/>
        <w:spacing w:after="160" w:before="380"/>
      </w:pPr>
      <w:r>
        <w:rPr>
          <w:rFonts w:ascii="Georgia" w:cs="Georgia" w:eastAsia="Georgia" w:hAnsi="Georgia"/>
          <w:b/>
          <w:bCs/>
          <w:color w:val="16221E"/>
        </w:rPr>
        <w:t xml:space="preserve">Welch's t-test results — numerical features (n=3)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Feature</w:t>
            </w:r>
          </w:p>
        </w:tc>
        <w:tc>
          <w:tcPr>
            <w:tcW w:type="dxa" w:w="18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t-statistic</w:t>
            </w:r>
          </w:p>
        </w:tc>
        <w:tc>
          <w:tcPr>
            <w:tcW w:type="dxa" w:w="18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p-value</w:t>
            </w:r>
          </w:p>
        </w:tc>
        <w:tc>
          <w:tcPr>
            <w:tcW w:type="dxa" w:w="18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Result</w:t>
            </w:r>
          </w:p>
        </w:tc>
      </w:tr>
      <w:tr>
        <w:tc>
          <w:tcPr>
            <w:tcW w:type="dxa" w:w="3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Age</w:t>
            </w:r>
          </w:p>
        </w:tc>
        <w:tc>
          <w:tcPr>
            <w:tcW w:type="dxa" w:w="18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0.752</w:t>
            </w:r>
          </w:p>
        </w:tc>
        <w:tc>
          <w:tcPr>
            <w:tcW w:type="dxa" w:w="18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0.4518</w:t>
            </w:r>
          </w:p>
        </w:tc>
        <w:tc>
          <w:tcPr>
            <w:tcW w:type="dxa" w:w="18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55645C"/>
                <w:sz w:val="17"/>
                <w:szCs w:val="17"/>
              </w:rPr>
              <w:t xml:space="preserve">Not significant</w:t>
            </w:r>
          </w:p>
        </w:tc>
      </w:tr>
      <w:tr>
        <w:tc>
          <w:tcPr>
            <w:tcW w:type="dxa" w:w="3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BMI</w:t>
            </w:r>
          </w:p>
        </w:tc>
        <w:tc>
          <w:tcPr>
            <w:tcW w:type="dxa" w:w="18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0.784</w:t>
            </w:r>
          </w:p>
        </w:tc>
        <w:tc>
          <w:tcPr>
            <w:tcW w:type="dxa" w:w="18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0.4328</w:t>
            </w:r>
          </w:p>
        </w:tc>
        <w:tc>
          <w:tcPr>
            <w:tcW w:type="dxa" w:w="18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55645C"/>
                <w:sz w:val="17"/>
                <w:szCs w:val="17"/>
              </w:rPr>
              <w:t xml:space="preserve">Not significant</w:t>
            </w:r>
          </w:p>
        </w:tc>
      </w:tr>
      <w:tr>
        <w:tc>
          <w:tcPr>
            <w:tcW w:type="dxa" w:w="36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Time to Recurrence</w:t>
            </w:r>
          </w:p>
        </w:tc>
        <w:tc>
          <w:tcPr>
            <w:tcW w:type="dxa" w:w="18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0.623</w:t>
            </w:r>
          </w:p>
        </w:tc>
        <w:tc>
          <w:tcPr>
            <w:tcW w:type="dxa" w:w="18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0.533</w:t>
            </w:r>
          </w:p>
        </w:tc>
        <w:tc>
          <w:tcPr>
            <w:tcW w:type="dxa" w:w="18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55645C"/>
                <w:sz w:val="17"/>
                <w:szCs w:val="17"/>
              </w:rPr>
              <w:t xml:space="preserve">Not significant</w:t>
            </w:r>
          </w:p>
        </w:tc>
      </w:tr>
    </w:tbl>
    <w:p>
      <w:r>
        <w:br w:type="page"/>
      </w:r>
    </w:p>
    <w:p>
      <w:pPr>
        <w:spacing w:after="60"/>
      </w:pPr>
      <w:r>
        <w:rPr>
          <w:rFonts w:ascii="IBM Plex Mono" w:cs="IBM Plex Mono" w:eastAsia="IBM Plex Mono" w:hAnsi="IBM Plex Mono"/>
          <w:b/>
          <w:bCs/>
          <w:color w:val="1F6F5C"/>
          <w:spacing w:val="20"/>
          <w:sz w:val="16"/>
          <w:szCs w:val="16"/>
        </w:rPr>
        <w:t xml:space="preserve">05 · PREDICTIVE MODELING</w:t>
      </w:r>
    </w:p>
    <w:p>
      <w:pPr>
        <w:pStyle w:val="Heading1"/>
        <w:pBdr>
          <w:bottom w:val="single" w:color="C9D1CA" w:sz="6" w:space="6"/>
        </w:pBdr>
        <w:spacing w:after="160" w:before="380"/>
      </w:pPr>
      <w:r>
        <w:rPr>
          <w:rFonts w:ascii="Georgia" w:cs="Georgia" w:eastAsia="Georgia" w:hAnsi="Georgia"/>
          <w:b/>
          <w:bCs/>
          <w:color w:val="16221E"/>
        </w:rPr>
        <w:t xml:space="preserve">Model Performance</w:t>
      </w:r>
    </w:p>
    <w:p>
      <w:pPr>
        <w:spacing w:after="160" w:before="0"/>
      </w:pPr>
      <w:r>
        <w:rPr>
          <w:rFonts w:ascii="IBM Plex Sans" w:cs="IBM Plex Sans" w:eastAsia="IBM Plex Sans" w:hAnsi="IBM Plex Sans"/>
          <w:color w:val="16221E"/>
          <w:sz w:val="21"/>
          <w:szCs w:val="21"/>
        </w:rPr>
        <w:t xml:space="preserve">Both models were trained on the full preprocessed feature set and evaluated on the held-out 20%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Model</w:t>
            </w:r>
          </w:p>
        </w:tc>
        <w:tc>
          <w:tcPr>
            <w:tcW w:type="dxa" w:w="20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Accuracy</w:t>
            </w:r>
          </w:p>
        </w:tc>
        <w:tc>
          <w:tcPr>
            <w:tcW w:type="dxa" w:w="20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ROC-AUC</w:t>
            </w:r>
          </w:p>
        </w:tc>
        <w:tc>
          <w:tcPr>
            <w:tcW w:type="dxa" w:w="20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Beats baseline?</w:t>
            </w:r>
          </w:p>
        </w:tc>
      </w:tr>
      <w:tr>
        <w:tc>
          <w:tcPr>
            <w:tcW w:type="dxa" w:w="3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Baseline (majority class)</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74.87%</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0.5000</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w:t>
            </w:r>
          </w:p>
        </w:tc>
      </w:tr>
      <w:tr>
        <w:tc>
          <w:tcPr>
            <w:tcW w:type="dxa" w:w="3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Logistic Regression</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74.87%</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0.5055</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bCs/>
                <w:color w:val="B5502D"/>
                <w:sz w:val="17"/>
                <w:szCs w:val="17"/>
              </w:rPr>
              <w:t xml:space="preserve">No</w:t>
            </w:r>
          </w:p>
        </w:tc>
      </w:tr>
      <w:tr>
        <w:tc>
          <w:tcPr>
            <w:tcW w:type="dxa" w:w="3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Random Forest</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74.87%</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0.5055</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b/>
                <w:bCs/>
                <w:color w:val="B5502D"/>
                <w:sz w:val="17"/>
                <w:szCs w:val="17"/>
              </w:rPr>
              <w:t xml:space="preserve">No</w:t>
            </w:r>
          </w:p>
        </w:tc>
      </w:tr>
    </w:tbl>
    <w:p>
      <w:pPr>
        <w:spacing w:before="260"/>
      </w:pPr>
    </w:p>
    <w:p>
      <w:pPr>
        <w:spacing w:after="80" w:before="120"/>
        <w:jc w:val="center"/>
      </w:pPr>
      <w:r>
        <w:drawing>
          <wp:inline distT="0" distB="0" distL="0" distR="0">
            <wp:extent cx="5524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704975"/>
                    </a:xfrm>
                    <a:prstGeom prst="rect">
                      <a:avLst/>
                    </a:prstGeom>
                  </pic:spPr>
                </pic:pic>
              </a:graphicData>
            </a:graphic>
          </wp:inline>
        </w:drawing>
      </w:r>
    </w:p>
    <w:p>
      <w:pPr>
        <w:spacing w:after="260"/>
        <w:jc w:val="center"/>
      </w:pPr>
      <w:r>
        <w:rPr>
          <w:rFonts w:ascii="IBM Plex Mono" w:cs="IBM Plex Mono" w:eastAsia="IBM Plex Mono" w:hAnsi="IBM Plex Mono"/>
          <w:i/>
          <w:iCs/>
          <w:color w:val="55645C"/>
          <w:sz w:val="16"/>
          <w:szCs w:val="16"/>
        </w:rPr>
        <w:t xml:space="preserve">Figure 6. Accuracy and ROC-AUC — both models vs. baseline.</w:t>
      </w:r>
    </w:p>
    <w:p>
      <w:pPr>
        <w:pStyle w:val="Heading2"/>
        <w:spacing w:after="160" w:before="380"/>
      </w:pPr>
      <w:r>
        <w:rPr>
          <w:rFonts w:ascii="Georgia" w:cs="Georgia" w:eastAsia="Georgia" w:hAnsi="Georgia"/>
          <w:b/>
          <w:bCs/>
          <w:color w:val="16221E"/>
        </w:rPr>
        <w:t xml:space="preserve">ROC curve</w:t>
      </w:r>
    </w:p>
    <w:p>
      <w:pPr>
        <w:spacing w:after="160" w:before="0"/>
      </w:pPr>
      <w:r>
        <w:rPr>
          <w:rFonts w:ascii="IBM Plex Sans" w:cs="IBM Plex Sans" w:eastAsia="IBM Plex Sans" w:hAnsi="IBM Plex Sans"/>
          <w:color w:val="16221E"/>
          <w:sz w:val="21"/>
          <w:szCs w:val="21"/>
        </w:rPr>
        <w:t xml:space="preserve">Both curves sit almost exactly on the diagonal — the signature of a classifier with no discriminative power. Random Forest's curve bows very slightly off the diagonal but not meaningfully so.</w:t>
      </w:r>
    </w:p>
    <w:p>
      <w:pPr>
        <w:spacing w:after="80" w:before="120"/>
        <w:jc w:val="center"/>
      </w:pPr>
      <w:r>
        <w:drawing>
          <wp:inline distT="0" distB="0" distL="0" distR="0">
            <wp:extent cx="3619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314700"/>
                    </a:xfrm>
                    <a:prstGeom prst="rect">
                      <a:avLst/>
                    </a:prstGeom>
                  </pic:spPr>
                </pic:pic>
              </a:graphicData>
            </a:graphic>
          </wp:inline>
        </w:drawing>
      </w:r>
    </w:p>
    <w:p>
      <w:pPr>
        <w:spacing w:after="260"/>
        <w:jc w:val="center"/>
      </w:pPr>
      <w:r>
        <w:rPr>
          <w:rFonts w:ascii="IBM Plex Mono" w:cs="IBM Plex Mono" w:eastAsia="IBM Plex Mono" w:hAnsi="IBM Plex Mono"/>
          <w:i/>
          <w:iCs/>
          <w:color w:val="55645C"/>
          <w:sz w:val="16"/>
          <w:szCs w:val="16"/>
        </w:rPr>
        <w:t xml:space="preserve">Figure 7. ROC curves for Logistic Regression and Random Forest.</w:t>
      </w:r>
    </w:p>
    <w:p>
      <w:r>
        <w:br w:type="page"/>
      </w:r>
    </w:p>
    <w:p>
      <w:pPr>
        <w:pStyle w:val="Heading2"/>
        <w:spacing w:after="160" w:before="380"/>
      </w:pPr>
      <w:r>
        <w:rPr>
          <w:rFonts w:ascii="Georgia" w:cs="Georgia" w:eastAsia="Georgia" w:hAnsi="Georgia"/>
          <w:b/>
          <w:bCs/>
          <w:color w:val="16221E"/>
        </w:rPr>
        <w:t xml:space="preserve">Confusion matrix</w:t>
      </w:r>
    </w:p>
    <w:p>
      <w:pPr>
        <w:spacing w:after="160" w:before="0"/>
      </w:pPr>
      <w:r>
        <w:rPr>
          <w:rFonts w:ascii="IBM Plex Sans" w:cs="IBM Plex Sans" w:eastAsia="IBM Plex Sans" w:hAnsi="IBM Plex Sans"/>
          <w:color w:val="16221E"/>
          <w:sz w:val="21"/>
          <w:szCs w:val="21"/>
        </w:rPr>
        <w:t xml:space="preserve">The two models' confusion matrices are effectively identical: both predict "Survived" for almost every patient in the test set, and correctly identify zero "Deceased" cases. This is what happens when a classifier learns only the class balance and nothing else — it defaults to the majority class every time.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
            </w:r>
          </w:p>
        </w:tc>
        <w:tc>
          <w:tcPr>
            <w:tcW w:type="dxa" w:w="24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Predicted: Deceased</w:t>
            </w:r>
          </w:p>
        </w:tc>
        <w:tc>
          <w:tcPr>
            <w:tcW w:type="dxa" w:w="24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Predicted: Survived</w:t>
            </w:r>
          </w:p>
        </w:tc>
      </w:tr>
      <w:tr>
        <w:tc>
          <w:tcPr>
            <w:tcW w:type="dxa" w:w="24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Actual: Deceased</w:t>
            </w:r>
          </w:p>
        </w:tc>
        <w:tc>
          <w:tcPr>
            <w:tcW w:type="dxa" w:w="2400"/>
            <w:tcBorders>
              <w:top w:val="single" w:color="C9D1CA" w:sz="4"/>
              <w:left w:val="single" w:color="C9D1CA" w:sz="4"/>
              <w:bottom w:val="single" w:color="C9D1CA" w:sz="4"/>
              <w:right w:val="single" w:color="C9D1CA" w:sz="4"/>
            </w:tcBorders>
            <w:shd w:fill="F3E1D8" w:val="clear"/>
            <w:tcMar>
              <w:top w:type="dxa" w:w="80"/>
              <w:left w:type="dxa" w:w="110"/>
              <w:bottom w:type="dxa" w:w="80"/>
              <w:right w:type="dxa" w:w="110"/>
            </w:tcMar>
          </w:tcPr>
          <w:p>
            <w:r>
              <w:rPr>
                <w:rFonts w:ascii="IBM Plex Mono" w:cs="IBM Plex Mono" w:eastAsia="IBM Plex Mono" w:hAnsi="IBM Plex Mono"/>
                <w:b/>
                <w:bCs/>
                <w:color w:val="16221E"/>
                <w:sz w:val="17"/>
                <w:szCs w:val="17"/>
              </w:rPr>
              <w:t xml:space="preserve">0  (0.0%)</w:t>
            </w:r>
          </w:p>
        </w:tc>
        <w:tc>
          <w:tcPr>
            <w:tcW w:type="dxa" w:w="2400"/>
            <w:tcBorders>
              <w:top w:val="single" w:color="C9D1CA" w:sz="4"/>
              <w:left w:val="single" w:color="C9D1CA" w:sz="4"/>
              <w:bottom w:val="single" w:color="C9D1CA" w:sz="4"/>
              <w:right w:val="single" w:color="C9D1CA" w:sz="4"/>
            </w:tcBorders>
            <w:shd w:fill="DCE9E4" w:val="clear"/>
            <w:tcMar>
              <w:top w:type="dxa" w:w="80"/>
              <w:left w:type="dxa" w:w="110"/>
              <w:bottom w:type="dxa" w:w="80"/>
              <w:right w:type="dxa" w:w="110"/>
            </w:tcMar>
          </w:tcPr>
          <w:p>
            <w:r>
              <w:rPr>
                <w:rFonts w:ascii="IBM Plex Mono" w:cs="IBM Plex Mono" w:eastAsia="IBM Plex Mono" w:hAnsi="IBM Plex Mono"/>
                <w:b/>
                <w:bCs/>
                <w:color w:val="16221E"/>
                <w:sz w:val="17"/>
                <w:szCs w:val="17"/>
              </w:rPr>
              <w:t xml:space="preserve">4,521  (25.1%)</w:t>
            </w:r>
          </w:p>
        </w:tc>
      </w:tr>
      <w:tr>
        <w:tc>
          <w:tcPr>
            <w:tcW w:type="dxa" w:w="24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Actual: Survived</w:t>
            </w:r>
          </w:p>
        </w:tc>
        <w:tc>
          <w:tcPr>
            <w:tcW w:type="dxa" w:w="2400"/>
            <w:tcBorders>
              <w:top w:val="single" w:color="C9D1CA" w:sz="4"/>
              <w:left w:val="single" w:color="C9D1CA" w:sz="4"/>
              <w:bottom w:val="single" w:color="C9D1CA" w:sz="4"/>
              <w:right w:val="single" w:color="C9D1CA" w:sz="4"/>
            </w:tcBorders>
            <w:shd w:fill="F3E1D8" w:val="clear"/>
            <w:tcMar>
              <w:top w:type="dxa" w:w="80"/>
              <w:left w:type="dxa" w:w="110"/>
              <w:bottom w:type="dxa" w:w="80"/>
              <w:right w:type="dxa" w:w="110"/>
            </w:tcMar>
          </w:tcPr>
          <w:p>
            <w:r>
              <w:rPr>
                <w:rFonts w:ascii="IBM Plex Mono" w:cs="IBM Plex Mono" w:eastAsia="IBM Plex Mono" w:hAnsi="IBM Plex Mono"/>
                <w:b/>
                <w:bCs/>
                <w:color w:val="16221E"/>
                <w:sz w:val="17"/>
                <w:szCs w:val="17"/>
              </w:rPr>
              <w:t xml:space="preserve">0  (0.0%)</w:t>
            </w:r>
          </w:p>
        </w:tc>
        <w:tc>
          <w:tcPr>
            <w:tcW w:type="dxa" w:w="2400"/>
            <w:tcBorders>
              <w:top w:val="single" w:color="C9D1CA" w:sz="4"/>
              <w:left w:val="single" w:color="C9D1CA" w:sz="4"/>
              <w:bottom w:val="single" w:color="C9D1CA" w:sz="4"/>
              <w:right w:val="single" w:color="C9D1CA" w:sz="4"/>
            </w:tcBorders>
            <w:shd w:fill="DCE9E4" w:val="clear"/>
            <w:tcMar>
              <w:top w:type="dxa" w:w="80"/>
              <w:left w:type="dxa" w:w="110"/>
              <w:bottom w:type="dxa" w:w="80"/>
              <w:right w:type="dxa" w:w="110"/>
            </w:tcMar>
          </w:tcPr>
          <w:p>
            <w:r>
              <w:rPr>
                <w:rFonts w:ascii="IBM Plex Mono" w:cs="IBM Plex Mono" w:eastAsia="IBM Plex Mono" w:hAnsi="IBM Plex Mono"/>
                <w:b/>
                <w:bCs/>
                <w:color w:val="16221E"/>
                <w:sz w:val="17"/>
                <w:szCs w:val="17"/>
              </w:rPr>
              <w:t xml:space="preserve">13,468  (74.9%)</w:t>
            </w:r>
          </w:p>
        </w:tc>
      </w:tr>
    </w:tbl>
    <w:p>
      <w:pPr>
        <w:spacing w:before="300"/>
      </w:pPr>
    </w:p>
    <w:p>
      <w:pPr>
        <w:pStyle w:val="Heading2"/>
        <w:spacing w:after="160" w:before="380"/>
      </w:pPr>
      <w:r>
        <w:rPr>
          <w:rFonts w:ascii="Georgia" w:cs="Georgia" w:eastAsia="Georgia" w:hAnsi="Georgia"/>
          <w:b/>
          <w:bCs/>
          <w:color w:val="16221E"/>
        </w:rPr>
        <w:t xml:space="preserve">5-fold cross-validation</w:t>
      </w:r>
    </w:p>
    <w:p>
      <w:pPr>
        <w:spacing w:after="160" w:before="0"/>
      </w:pPr>
      <w:r>
        <w:rPr>
          <w:rFonts w:ascii="IBM Plex Sans" w:cs="IBM Plex Sans" w:eastAsia="IBM Plex Sans" w:hAnsi="IBM Plex Sans"/>
          <w:color w:val="16221E"/>
          <w:sz w:val="21"/>
          <w:szCs w:val="21"/>
        </w:rPr>
        <w:t xml:space="preserve">To rule out an unlucky train/test split as the explanation, both models were re-evaluated with 5-fold stratified cross-validation on ROC-AUC. The result holds: both models sit at chance level (~0.50) across every fold, not just the original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Model</w:t>
            </w:r>
          </w:p>
        </w:tc>
        <w:tc>
          <w:tcPr>
            <w:tcW w:type="dxa" w:w="20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Mean ROC-AUC</w:t>
            </w:r>
          </w:p>
        </w:tc>
        <w:tc>
          <w:tcPr>
            <w:tcW w:type="dxa" w:w="20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Std Dev</w:t>
            </w:r>
          </w:p>
        </w:tc>
        <w:tc>
          <w:tcPr>
            <w:tcW w:type="dxa" w:w="2000"/>
            <w:tcBorders>
              <w:top w:val="single" w:color="C9D1CA" w:sz="4"/>
              <w:left w:val="single" w:color="C9D1CA" w:sz="4"/>
              <w:bottom w:val="single" w:color="C9D1CA" w:sz="4"/>
              <w:right w:val="single" w:color="C9D1CA" w:sz="4"/>
            </w:tcBorders>
            <w:shd w:fill="16221E" w:val="clear"/>
            <w:tcMar>
              <w:top w:type="dxa" w:w="90"/>
              <w:left w:type="dxa" w:w="110"/>
              <w:bottom w:type="dxa" w:w="90"/>
              <w:right w:type="dxa" w:w="110"/>
            </w:tcMar>
          </w:tcPr>
          <w:p>
            <w:r>
              <w:rPr>
                <w:rFonts w:ascii="IBM Plex Mono" w:cs="IBM Plex Mono" w:eastAsia="IBM Plex Mono" w:hAnsi="IBM Plex Mono"/>
                <w:b/>
                <w:bCs/>
                <w:color w:val="FFFFFF"/>
                <w:sz w:val="15"/>
                <w:szCs w:val="15"/>
              </w:rPr>
              <w:t xml:space="preserve">Folds</w:t>
            </w:r>
          </w:p>
        </w:tc>
      </w:tr>
      <w:tr>
        <w:tc>
          <w:tcPr>
            <w:tcW w:type="dxa" w:w="3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Logistic Regression</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0.5001</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0.0019</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0.4989  ·  0.5012  ·  0.4981  ·  0.4991  ·  0.5033</w:t>
            </w:r>
          </w:p>
        </w:tc>
      </w:tr>
      <w:tr>
        <w:tc>
          <w:tcPr>
            <w:tcW w:type="dxa" w:w="3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Sans" w:cs="IBM Plex Sans" w:eastAsia="IBM Plex Sans" w:hAnsi="IBM Plex Sans"/>
                <w:color w:val="16221E"/>
                <w:sz w:val="17"/>
                <w:szCs w:val="17"/>
              </w:rPr>
              <w:t xml:space="preserve">Random Forest</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0.5021</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0.0038</w:t>
            </w:r>
          </w:p>
        </w:tc>
        <w:tc>
          <w:tcPr>
            <w:tcW w:type="dxa" w:w="2000"/>
            <w:tcBorders>
              <w:top w:val="single" w:color="C9D1CA" w:sz="4"/>
              <w:left w:val="single" w:color="C9D1CA" w:sz="4"/>
              <w:bottom w:val="single" w:color="C9D1CA" w:sz="4"/>
              <w:right w:val="single" w:color="C9D1CA" w:sz="4"/>
            </w:tcBorders>
            <w:shd w:fill="FFFFFF" w:val="clear"/>
            <w:tcMar>
              <w:top w:type="dxa" w:w="80"/>
              <w:left w:type="dxa" w:w="110"/>
              <w:bottom w:type="dxa" w:w="80"/>
              <w:right w:type="dxa" w:w="110"/>
            </w:tcMar>
          </w:tcPr>
          <w:p>
            <w:r>
              <w:rPr>
                <w:rFonts w:ascii="IBM Plex Mono" w:cs="IBM Plex Mono" w:eastAsia="IBM Plex Mono" w:hAnsi="IBM Plex Mono"/>
                <w:color w:val="16221E"/>
                <w:sz w:val="17"/>
                <w:szCs w:val="17"/>
              </w:rPr>
              <w:t xml:space="preserve">0.5064  ·  0.4978  ·  0.4984  ·  0.5012  ·  0.5065</w:t>
            </w:r>
          </w:p>
        </w:tc>
      </w:tr>
    </w:tbl>
    <w:p>
      <w:r>
        <w:br w:type="page"/>
      </w:r>
    </w:p>
    <w:p>
      <w:pPr>
        <w:spacing w:after="60"/>
      </w:pPr>
      <w:r>
        <w:rPr>
          <w:rFonts w:ascii="IBM Plex Mono" w:cs="IBM Plex Mono" w:eastAsia="IBM Plex Mono" w:hAnsi="IBM Plex Mono"/>
          <w:b/>
          <w:bCs/>
          <w:color w:val="1F6F5C"/>
          <w:spacing w:val="20"/>
          <w:sz w:val="16"/>
          <w:szCs w:val="16"/>
        </w:rPr>
        <w:t xml:space="preserve">06 · CONCLUSION &amp; RECOMMENDATIONS</w:t>
      </w:r>
    </w:p>
    <w:p>
      <w:pPr>
        <w:pStyle w:val="Heading1"/>
        <w:pBdr>
          <w:bottom w:val="single" w:color="C9D1CA" w:sz="6" w:space="6"/>
        </w:pBdr>
        <w:spacing w:after="160" w:before="380"/>
      </w:pPr>
      <w:r>
        <w:rPr>
          <w:rFonts w:ascii="Georgia" w:cs="Georgia" w:eastAsia="Georgia" w:hAnsi="Georgia"/>
          <w:b/>
          <w:bCs/>
          <w:color w:val="16221E"/>
        </w:rPr>
        <w:t xml:space="preserve">Conclusion &amp; Recommendations</w:t>
      </w:r>
    </w:p>
    <w:p>
      <w:pPr>
        <w:spacing w:after="240" w:before="0"/>
      </w:pPr>
      <w:r>
        <w:rPr>
          <w:rFonts w:ascii="IBM Plex Sans" w:cs="IBM Plex Sans" w:eastAsia="IBM Plex Sans" w:hAnsi="IBM Plex Sans"/>
          <w:color w:val="16221E"/>
          <w:sz w:val="21"/>
          <w:szCs w:val="21"/>
        </w:rPr>
        <w:t xml:space="preserve">As provided, this dataset does not contain a learnable signal for Survival Status using the recorded features. The outcome behaves as though it was generated independently of demographics, clinical history, lifestyle, and treatment variables — a pattern consistent with a synthetic or simulated dataset built without an embedded feature-outcome relationship.</w:t>
      </w:r>
    </w:p>
    <w:p>
      <w:pPr>
        <w:pStyle w:val="Heading3"/>
        <w:spacing w:after="160" w:before="380"/>
      </w:pPr>
      <w:r>
        <w:rPr>
          <w:rFonts w:ascii="Georgia" w:cs="Georgia" w:eastAsia="Georgia" w:hAnsi="Georgia"/>
          <w:b/>
          <w:bCs/>
          <w:color w:val="16221E"/>
        </w:rPr>
        <w:t xml:space="preserve">Evidence summary</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Baseline accuracy (always predict "Survived"): 74.87% — both trained models matched this exactly, no better.</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ROC-AUC for both Logistic Regression and Random Forest: 0.5055 — statistically indistinguishable from 0.500 (a coin flip).</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24 of 25 Chi-Square tests and all 3 t-tests came back non-significant at α = 0.05; the one exception is consistent with chance.</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5-fold cross-validation confirms the flat result holds across every data split.</w:t>
      </w:r>
    </w:p>
    <w:p>
      <w:pPr>
        <w:pStyle w:val="Heading3"/>
        <w:spacing w:after="160" w:before="380"/>
      </w:pPr>
      <w:r>
        <w:rPr>
          <w:rFonts w:ascii="Georgia" w:cs="Georgia" w:eastAsia="Georgia" w:hAnsi="Georgia"/>
          <w:b/>
          <w:bCs/>
          <w:color w:val="16221E"/>
        </w:rPr>
        <w:t xml:space="preserve">Recommended next steps</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Verify the data source or generation process for an intended feature-outcome relationship.</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Engineer interaction features (e.g. Stage × Tumor Aggressiveness) in case the signal is non-additive.</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Try gradient boosting models (XGBoost, LightGBM) with hyperparameter tuning as a final check.</w:t>
      </w:r>
    </w:p>
    <w:p>
      <w:pPr>
        <w:spacing w:after="100"/>
        <w:ind w:left="260"/>
      </w:pPr>
      <w:r>
        <w:rPr>
          <w:rFonts w:ascii="IBM Plex Mono" w:cs="IBM Plex Mono" w:eastAsia="IBM Plex Mono" w:hAnsi="IBM Plex Mono"/>
          <w:color w:val="9BA39B"/>
        </w:rPr>
        <w:t xml:space="preserve">— </w:t>
      </w:r>
      <w:r>
        <w:rPr>
          <w:rFonts w:ascii="IBM Plex Sans" w:cs="IBM Plex Sans" w:eastAsia="IBM Plex Sans" w:hAnsi="IBM Plex Sans"/>
          <w:color w:val="16221E"/>
          <w:sz w:val="21"/>
          <w:szCs w:val="21"/>
        </w:rPr>
        <w:t xml:space="preserve">Apply SMOTE or class-weighting for the imbalance if a genuine signal is found in a revised dataset.</w:t>
      </w:r>
    </w:p>
    <w:p>
      <w:pPr>
        <w:spacing w:after="160" w:before="260"/>
      </w:pPr>
      <w:r>
        <w:rPr>
          <w:rFonts w:ascii="IBM Plex Sans" w:cs="IBM Plex Sans" w:eastAsia="IBM Plex Sans" w:hAnsi="IBM Plex Sans"/>
          <w:i/>
          <w:iCs/>
          <w:color w:val="55645C"/>
          <w:sz w:val="21"/>
          <w:szCs w:val="21"/>
        </w:rPr>
        <w:t xml:space="preserve">Reporting an honest null result — backed by hypothesis testing, multiple models, and cross-validation — is a more defensible analytical outcome than forcing a narrative onto a 74.9% accuracy figure that merely reflects class imbalance.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Mono" w:cs="IBM Plex Mono" w:eastAsia="IBM Plex Mono" w:hAnsi="IBM Plex Mono"/>
        <w:color w:val="55645C"/>
        <w:sz w:val="14"/>
        <w:szCs w:val="14"/>
      </w:rPr>
      <w:t xml:space="preserve">Page </w:t>
    </w:r>
    <w:r>
      <w:rPr>
        <w:rFonts w:ascii="IBM Plex Mono" w:cs="IBM Plex Mono" w:eastAsia="IBM Plex Mono" w:hAnsi="IBM Plex Mono"/>
        <w:color w:val="55645C"/>
        <w:sz w:val="14"/>
        <w:szCs w:val="14"/>
      </w:rPr>
      <w:fldChar w:fldCharType="begin"/>
      <w:instrText xml:space="preserve">PAGE</w:instrText>
      <w:fldChar w:fldCharType="separate"/>
      <w:fldChar w:fldCharType="end"/>
    </w:r>
    <w:r>
      <w:rPr>
        <w:rFonts w:ascii="IBM Plex Mono" w:cs="IBM Plex Mono" w:eastAsia="IBM Plex Mono" w:hAnsi="IBM Plex Mono"/>
        <w:color w:val="55645C"/>
        <w:sz w:val="14"/>
        <w:szCs w:val="14"/>
      </w:rPr>
      <w:t xml:space="preserve"> of </w:t>
    </w:r>
    <w:r>
      <w:rPr>
        <w:rFonts w:ascii="IBM Plex Mono" w:cs="IBM Plex Mono" w:eastAsia="IBM Plex Mono" w:hAnsi="IBM Plex Mono"/>
        <w:color w:val="55645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CA" w:sz="4" w:space="4"/>
      </w:pBdr>
      <w:jc w:val="right"/>
    </w:pPr>
    <w:r>
      <w:rPr>
        <w:rFonts w:ascii="IBM Plex Mono" w:cs="IBM Plex Mono" w:eastAsia="IBM Plex Mono" w:hAnsi="IBM Plex Mono"/>
        <w:color w:val="55645C"/>
        <w:spacing w:val="10"/>
        <w:sz w:val="14"/>
        <w:szCs w:val="14"/>
      </w:rPr>
      <w:t xml:space="preserve">COLORECTAL CANCER SURVIVAL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622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color w:val="16221E"/>
      <w:sz w:val="34"/>
      <w:szCs w:val="34"/>
    </w:rPr>
  </w:style>
  <w:style w:type="paragraph" w:styleId="Heading2">
    <w:name w:val="Heading 2"/>
    <w:basedOn w:val="Normal"/>
    <w:next w:val="Normal"/>
    <w:qFormat/>
    <w:pPr>
      <w:spacing w:after="140" w:before="320"/>
    </w:pPr>
    <w:rPr>
      <w:rFonts w:ascii="Georgia" w:cs="Georgia" w:eastAsia="Georgia" w:hAnsi="Georgia"/>
      <w:b/>
      <w:bCs/>
      <w:color w:val="16221E"/>
      <w:sz w:val="26"/>
      <w:szCs w:val="26"/>
    </w:rPr>
  </w:style>
  <w:style w:type="paragraph" w:styleId="Heading3">
    <w:name w:val="Heading 3"/>
    <w:basedOn w:val="Normal"/>
    <w:next w:val="Normal"/>
    <w:qFormat/>
    <w:pPr>
      <w:spacing w:after="100" w:before="240"/>
    </w:pPr>
    <w:rPr>
      <w:rFonts w:ascii="Georgia" w:cs="Georgia" w:eastAsia="Georgia" w:hAnsi="Georgia"/>
      <w:b/>
      <w:bCs/>
      <w:color w:val="1F6F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84144dd8980a9c443138a6d2e241045cb70d7c.png"/><Relationship Id="rId10" Type="http://schemas.openxmlformats.org/officeDocument/2006/relationships/image" Target="media/901efe07432be12d82dcfdd7f902d54957318bbd.png"/><Relationship Id="rId11" Type="http://schemas.openxmlformats.org/officeDocument/2006/relationships/image" Target="media/1f131efc3943d8f37e446a8d9ac27579362b4845.png"/><Relationship Id="rId12" Type="http://schemas.openxmlformats.org/officeDocument/2006/relationships/image" Target="media/228a15ccab6bc951c2c92db704adf8feffe5eb3b.png"/><Relationship Id="rId13" Type="http://schemas.openxmlformats.org/officeDocument/2006/relationships/image" Target="media/6e98b722276e79dca81a2aa0bde775d675564cbb.png"/><Relationship Id="rId14" Type="http://schemas.openxmlformats.org/officeDocument/2006/relationships/image" Target="media/65695d0ecdd862d0ad76ced6d500cfada52fef3d.png"/><Relationship Id="rId15" Type="http://schemas.openxmlformats.org/officeDocument/2006/relationships/image" Target="media/8fcef47fc01859275be2358ab9da14c23691a89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2026-07-24T06:20:47.348Z</dcterms:created>
  <dcterms:modified xsi:type="dcterms:W3CDTF">2026-07-24T06:20:47.348Z</dcterms:modified>
</cp:coreProperties>
</file>

<file path=docProps/custom.xml><?xml version="1.0" encoding="utf-8"?>
<Properties xmlns="http://schemas.openxmlformats.org/officeDocument/2006/custom-properties" xmlns:vt="http://schemas.openxmlformats.org/officeDocument/2006/docPropsVTypes"/>
</file>