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b/>
          <w:bCs/>
          <w:color w:val="1E293B"/>
          <w:sz w:val="30"/>
          <w:szCs w:val="30"/>
        </w:rPr>
        <w:t xml:space="preserve">MARKETING CHANNEL ROI ANALYSIS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Business Insights Report — Exploratory Data Analysis  ·  200,000 campaigns, 2021</w:t>
      </w:r>
    </w:p>
    <w:p>
      <w:pPr>
        <w:pBdr>
          <w:bottom w:val="single" w:color="CBD5E1" w:sz="6" w:space="4"/>
        </w:pBd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2350"/>
        <w:gridCol w:w="2350"/>
        <w:gridCol w:w="2350"/>
      </w:tblGrid>
      <w:tr>
        <w:tc>
          <w:tcPr>
            <w:tcW w:type="pct" w:w="25%"/>
            <w:shd w:fill="F1F5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2563EB"/>
                <w:sz w:val="26"/>
                <w:szCs w:val="26"/>
              </w:rPr>
              <w:t xml:space="preserve">200,000</w:t>
            </w:r>
          </w:p>
          <w:p>
            <w:pPr>
              <w:jc w:val="center"/>
            </w:pPr>
            <w:r>
              <w:rPr>
                <w:color w:val="64748B"/>
                <w:sz w:val="16"/>
                <w:szCs w:val="16"/>
              </w:rPr>
              <w:t xml:space="preserve">Campaigns Analyzed</w:t>
            </w:r>
          </w:p>
        </w:tc>
        <w:tc>
          <w:tcPr>
            <w:tcW w:type="pct" w:w="25%"/>
            <w:shd w:fill="F1F5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2563EB"/>
                <w:sz w:val="26"/>
                <w:szCs w:val="26"/>
              </w:rPr>
              <w:t xml:space="preserve">14.05%</w:t>
            </w:r>
          </w:p>
          <w:p>
            <w:pPr>
              <w:jc w:val="center"/>
            </w:pPr>
            <w:r>
              <w:rPr>
                <w:color w:val="64748B"/>
                <w:sz w:val="16"/>
                <w:szCs w:val="16"/>
              </w:rPr>
              <w:t xml:space="preserve">Overall CTR</w:t>
            </w:r>
          </w:p>
        </w:tc>
        <w:tc>
          <w:tcPr>
            <w:tcW w:type="pct" w:w="25%"/>
            <w:shd w:fill="F1F5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2563EB"/>
                <w:sz w:val="26"/>
                <w:szCs w:val="26"/>
              </w:rPr>
              <w:t xml:space="preserve">5.00x</w:t>
            </w:r>
          </w:p>
          <w:p>
            <w:pPr>
              <w:jc w:val="center"/>
            </w:pPr>
            <w:r>
              <w:rPr>
                <w:color w:val="64748B"/>
                <w:sz w:val="16"/>
                <w:szCs w:val="16"/>
              </w:rPr>
              <w:t xml:space="preserve">Overall Avg. ROI</w:t>
            </w:r>
          </w:p>
        </w:tc>
        <w:tc>
          <w:tcPr>
            <w:tcW w:type="pct" w:w="25%"/>
            <w:shd w:fill="F1F5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2563EB"/>
                <w:sz w:val="26"/>
                <w:szCs w:val="26"/>
              </w:rPr>
              <w:t xml:space="preserve">$2.50B</w:t>
            </w:r>
          </w:p>
          <w:p>
            <w:pPr>
              <w:jc w:val="center"/>
            </w:pPr>
            <w:r>
              <w:rPr>
                <w:color w:val="64748B"/>
                <w:sz w:val="16"/>
                <w:szCs w:val="16"/>
              </w:rPr>
              <w:t xml:space="preserve">Total Ad Spend</w:t>
            </w:r>
          </w:p>
        </w:tc>
      </w:tr>
    </w:tbl>
    <w:p>
      <w:pPr>
        <w:spacing w:after="60" w:before="120"/>
      </w:pPr>
    </w:p>
    <w:p>
      <w:pPr>
        <w:pStyle w:val="Heading2"/>
        <w:spacing w:after="40"/>
      </w:pPr>
      <w:r>
        <w:rPr>
          <w:b/>
          <w:bCs/>
          <w:color w:val="1E293B"/>
          <w:sz w:val="22"/>
          <w:szCs w:val="22"/>
        </w:rPr>
        <w:t xml:space="preserve">Executive Summary</w:t>
      </w:r>
    </w:p>
    <w:p>
      <w:pPr>
        <w:spacing w:after="100"/>
      </w:pPr>
      <w:r>
        <w:rPr>
          <w:sz w:val="18"/>
          <w:szCs w:val="18"/>
        </w:rPr>
        <w:t xml:space="preserve">After cleaning and profiling 200,000 campaign records across six channels (Google Ads, Facebook, Instagram, YouTube, Email, Website), the data shows no statistically significant difference in ROI, conversion rate, click-through rate, or cost-per-conversion between channels (ANOVA, all p &gt; 0.17). The current allocation — roughly 16.4%–16.8% of spend per channel — is therefore already close to optimal given the evidence available, and we do not recommend a large reallocation of budget on ROI grounds alone.</w:t>
      </w:r>
    </w:p>
    <w:p>
      <w:pPr>
        <w:pStyle w:val="Heading2"/>
        <w:spacing w:after="40"/>
      </w:pPr>
      <w:r>
        <w:rPr>
          <w:b/>
          <w:bCs/>
          <w:color w:val="1E293B"/>
          <w:sz w:val="22"/>
          <w:szCs w:val="22"/>
        </w:rPr>
        <w:t xml:space="preserve">The Funnel &amp; ROI by Channel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9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2076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1695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80"/>
      </w:pPr>
      <w:r>
        <w:rPr>
          <w:sz w:val="18"/>
          <w:szCs w:val="18"/>
        </w:rPr>
        <w:t xml:space="preserve">Of every 1,000 impressions, ~141 become clicks and ~11 become conversions — a pattern consistent across all six channels (CTR range: 13.9%–14.1%). ROI averages cluster tightly around 5.0x with fully overlapping 95% confidence intervals — visual confirmation that no channel outperforms.</w:t>
      </w:r>
    </w:p>
    <w:p>
      <w:pPr>
        <w:pStyle w:val="Heading2"/>
        <w:spacing w:after="40"/>
      </w:pPr>
      <w:r>
        <w:rPr>
          <w:b/>
          <w:bCs/>
          <w:color w:val="1E293B"/>
          <w:sz w:val="22"/>
          <w:szCs w:val="22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Influencer and Search campaign types edge out Social Media and Email (5.01x vs 4.99x), but the gap is inside the margin of statistical noise (ANOVA p = 0.40).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Website (5.014x) and Facebook (5.019x) post the highest average channel ROI; Instagram is lowest (4.989x) — a spread of only 0.03, well within the confidence intervals shown.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Website has the lowest average cost-per-conversion (~$637); Google Ads is highest (~$648), a ~1.7% gap that is directionally favorable but not significant (p = 0.76).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No audience, location, or customer-segment cut showed a robust ROI effect either — only Target_Audience (p = 0.037) was marginally significant, with an effect too small to act on alone.</w:t>
      </w:r>
    </w:p>
    <w:p>
      <w:pPr>
        <w:pStyle w:val="Heading2"/>
        <w:spacing w:after="40" w:before="60"/>
      </w:pPr>
      <w:r>
        <w:rPr>
          <w:b/>
          <w:bCs/>
          <w:color w:val="1E293B"/>
          <w:sz w:val="22"/>
          <w:szCs w:val="22"/>
        </w:rPr>
        <w:t xml:space="preserve">Recommendation</w:t>
      </w:r>
    </w:p>
    <w:p>
      <w:pPr>
        <w:spacing w:after="60"/>
      </w:pPr>
      <w:r>
        <w:rPr>
          <w:sz w:val="18"/>
          <w:szCs w:val="18"/>
        </w:rPr>
        <w:t xml:space="preserve">Do not make a large, ROI-driven budget shift between channels — the evidence doesn't support one, and doing so would be optimizing on noise. Instead: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Maintain the current near-even spend split, with a small (~5–10%) tilt toward Website and Facebook, which show the most consistent (if modest) edge on ROI and cost-efficiency.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Stop relying on ROI alone as the decision metric — it isn't currently distinguishing channels. Track incrementality (holdout/geo experiments) and downstream revenue quality.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Re-run quarterly as data accumulates, and segment by creative/offer type, which may hold more explanatory power than channel alone.</w:t>
      </w:r>
    </w:p>
    <w:p>
      <w:pPr>
        <w:spacing w:before="80"/>
      </w:pPr>
      <w:r>
        <w:rPr>
          <w:b/>
          <w:bCs/>
          <w:color w:val="64748B"/>
          <w:sz w:val="15"/>
          <w:szCs w:val="15"/>
        </w:rPr>
        <w:t xml:space="preserve">Methodology: </w:t>
      </w:r>
      <w:r>
        <w:rPr>
          <w:i/>
          <w:iCs/>
          <w:color w:val="64748B"/>
          <w:sz w:val="15"/>
          <w:szCs w:val="15"/>
        </w:rPr>
        <w:t xml:space="preserve">Currency/duration parsed, dtypes fixed (0 nulls/duplicates found); conversions estimated as Clicks × Conversion_Rate; group differences tested via one-way ANOVA (α = 0.05).</w:t>
      </w:r>
    </w:p>
    <w:sectPr>
      <w:footerReference w:type="default" r:id="rId7"/>
      <w:pgSz w:w="12240" w:h="15840" w:orient="portrait"/>
      <w:pgMar w:top="460" w:right="700" w:bottom="4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4"/>
        <w:szCs w:val="14"/>
      </w:rPr>
      <w:t xml:space="preserve">Marketing Campaign Performance — EDA Summary  |  Prepared by Mayank Jaiswal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75692ea73228bd7583d9388453f5fb47ffcb058.png"/><Relationship Id="rId9" Type="http://schemas.openxmlformats.org/officeDocument/2006/relationships/image" Target="media/a22b6d0a909f082ac31bbf89d993866bcde5a64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2026-07-04T05:57:03.072Z</dcterms:created>
  <dcterms:modified xsi:type="dcterms:W3CDTF">2026-07-04T05:57:03.073Z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