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diagrams/data1.xml" ContentType="application/vnd.openxmlformats-officedocument.drawingml.diagramData+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0DADC5" w14:textId="77777777" w:rsidR="00A059E4" w:rsidRPr="002B6812" w:rsidRDefault="00A059E4" w:rsidP="00231F2B">
      <w:pPr>
        <w:jc w:val="both"/>
      </w:pPr>
    </w:p>
    <w:p w14:paraId="3BD021DA" w14:textId="77777777" w:rsidR="00717F2C" w:rsidRPr="002B6812" w:rsidRDefault="008E6137" w:rsidP="00231F2B">
      <w:pPr>
        <w:jc w:val="both"/>
      </w:pPr>
      <w:r w:rsidRPr="002B6812">
        <w:rPr>
          <w:noProof/>
          <w:sz w:val="2"/>
          <w:szCs w:val="2"/>
        </w:rPr>
        <mc:AlternateContent>
          <mc:Choice Requires="wps">
            <w:drawing>
              <wp:anchor distT="0" distB="0" distL="114300" distR="114300" simplePos="0" relativeHeight="251658240" behindDoc="0" locked="0" layoutInCell="1" allowOverlap="1" wp14:anchorId="5836C74E" wp14:editId="5836C74F">
                <wp:simplePos x="0" y="0"/>
                <wp:positionH relativeFrom="page">
                  <wp:posOffset>838200</wp:posOffset>
                </wp:positionH>
                <wp:positionV relativeFrom="paragraph">
                  <wp:posOffset>340814</wp:posOffset>
                </wp:positionV>
                <wp:extent cx="6932295" cy="2811145"/>
                <wp:effectExtent l="0" t="0" r="1905" b="8255"/>
                <wp:wrapTopAndBottom/>
                <wp:docPr id="2" name="Text Box 2"/>
                <wp:cNvGraphicFramePr/>
                <a:graphic xmlns:a="http://schemas.openxmlformats.org/drawingml/2006/main">
                  <a:graphicData uri="http://schemas.microsoft.com/office/word/2010/wordprocessingShape">
                    <wps:wsp>
                      <wps:cNvSpPr txBox="1"/>
                      <wps:spPr>
                        <a:xfrm>
                          <a:off x="0" y="0"/>
                          <a:ext cx="6932295" cy="2811145"/>
                        </a:xfrm>
                        <a:prstGeom prst="rect">
                          <a:avLst/>
                        </a:prstGeom>
                        <a:solidFill>
                          <a:srgbClr val="008272"/>
                        </a:solidFill>
                        <a:ln w="6350">
                          <a:noFill/>
                        </a:ln>
                      </wps:spPr>
                      <wps:txbx>
                        <w:txbxContent>
                          <w:p w14:paraId="3BCA43F2" w14:textId="77777777" w:rsidR="005671E9" w:rsidRDefault="005671E9" w:rsidP="00636570">
                            <w:pPr>
                              <w:pStyle w:val="Heading1"/>
                              <w:numPr>
                                <w:ilvl w:val="0"/>
                                <w:numId w:val="0"/>
                              </w:numPr>
                            </w:pPr>
                            <w:bookmarkStart w:id="0" w:name="_Toc475028472"/>
                            <w:bookmarkStart w:id="1" w:name="_Toc476167700"/>
                            <w:bookmarkEnd w:id="0"/>
                            <w:bookmarkEnd w:id="1"/>
                          </w:p>
                          <w:p w14:paraId="599D7C18" w14:textId="77777777" w:rsidR="005671E9" w:rsidRPr="0052546A" w:rsidRDefault="005671E9" w:rsidP="0052546A">
                            <w:pPr>
                              <w:ind w:left="720"/>
                              <w:rPr>
                                <w:color w:val="FFFFFF" w:themeColor="background1"/>
                                <w:sz w:val="72"/>
                              </w:rPr>
                            </w:pPr>
                            <w:r w:rsidRPr="0052546A">
                              <w:rPr>
                                <w:color w:val="FFFFFF" w:themeColor="background1"/>
                                <w:sz w:val="72"/>
                              </w:rPr>
                              <w:t>Statement of Work</w:t>
                            </w:r>
                          </w:p>
                          <w:p w14:paraId="09AE951D" w14:textId="77777777" w:rsidR="005671E9" w:rsidRDefault="005671E9"/>
                          <w:p w14:paraId="71E6F99C" w14:textId="77777777" w:rsidR="005671E9" w:rsidRDefault="005671E9" w:rsidP="00636570">
                            <w:pPr>
                              <w:pStyle w:val="Heading1"/>
                              <w:numPr>
                                <w:ilvl w:val="0"/>
                                <w:numId w:val="0"/>
                              </w:numPr>
                            </w:pPr>
                          </w:p>
                          <w:p w14:paraId="4502C251" w14:textId="5D8D6A30" w:rsidR="005671E9" w:rsidRPr="0052546A" w:rsidRDefault="005671E9" w:rsidP="0052546A">
                            <w:pPr>
                              <w:ind w:left="720"/>
                              <w:rPr>
                                <w:color w:val="FFFFFF" w:themeColor="background1"/>
                                <w:sz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36C74E" id="_x0000_t202" coordsize="21600,21600" o:spt="202" path="m,l,21600r21600,l21600,xe">
                <v:stroke joinstyle="miter"/>
                <v:path gradientshapeok="t" o:connecttype="rect"/>
              </v:shapetype>
              <v:shape id="Text Box 2" o:spid="_x0000_s1026" type="#_x0000_t202" style="position:absolute;left:0;text-align:left;margin-left:66pt;margin-top:26.85pt;width:545.85pt;height:221.3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" fillcolor="#008272" stroked="f" strokeweight=".5pt">
                <v:textbox>
                  <w:txbxContent>
                    <w:p w14:paraId="3BCA43F2" w14:textId="77777777" w:rsidR="005671E9" w:rsidRDefault="005671E9" w:rsidP="00636570">
                      <w:pPr>
                        <w:pStyle w:val="Heading1"/>
                        <w:numPr>
                          <w:ilvl w:val="0"/>
                          <w:numId w:val="0"/>
                        </w:numPr>
                      </w:pPr>
                      <w:bookmarkStart w:id="2" w:name="_Toc475028472"/>
                      <w:bookmarkStart w:id="3" w:name="_Toc476167700"/>
                      <w:bookmarkEnd w:id="2"/>
                      <w:bookmarkEnd w:id="3"/>
                    </w:p>
                    <w:p w14:paraId="599D7C18" w14:textId="77777777" w:rsidR="005671E9" w:rsidRPr="0052546A" w:rsidRDefault="005671E9" w:rsidP="0052546A">
                      <w:pPr>
                        <w:ind w:left="720"/>
                        <w:rPr>
                          <w:color w:val="FFFFFF" w:themeColor="background1"/>
                          <w:sz w:val="72"/>
                        </w:rPr>
                      </w:pPr>
                      <w:r w:rsidRPr="0052546A">
                        <w:rPr>
                          <w:color w:val="FFFFFF" w:themeColor="background1"/>
                          <w:sz w:val="72"/>
                        </w:rPr>
                        <w:t>Statement of Work</w:t>
                      </w:r>
                    </w:p>
                    <w:p w14:paraId="09AE951D" w14:textId="77777777" w:rsidR="005671E9" w:rsidRDefault="005671E9"/>
                    <w:p w14:paraId="71E6F99C" w14:textId="77777777" w:rsidR="005671E9" w:rsidRDefault="005671E9" w:rsidP="00636570">
                      <w:pPr>
                        <w:pStyle w:val="Heading1"/>
                        <w:numPr>
                          <w:ilvl w:val="0"/>
                          <w:numId w:val="0"/>
                        </w:numPr>
                      </w:pPr>
                    </w:p>
                    <w:p w14:paraId="4502C251" w14:textId="5D8D6A30" w:rsidR="005671E9" w:rsidRPr="0052546A" w:rsidRDefault="005671E9" w:rsidP="0052546A">
                      <w:pPr>
                        <w:ind w:left="720"/>
                        <w:rPr>
                          <w:color w:val="FFFFFF" w:themeColor="background1"/>
                          <w:sz w:val="72"/>
                        </w:rPr>
                      </w:pPr>
                    </w:p>
                  </w:txbxContent>
                </v:textbox>
                <w10:wrap type="topAndBottom" anchorx="page"/>
              </v:shape>
            </w:pict>
          </mc:Fallback>
        </mc:AlternateContent>
      </w:r>
    </w:p>
    <w:p w14:paraId="15E585F4" w14:textId="77777777" w:rsidR="00A86A5C" w:rsidRPr="002B6812" w:rsidRDefault="00A86A5C" w:rsidP="00231F2B">
      <w:pPr>
        <w:jc w:val="both"/>
      </w:pPr>
    </w:p>
    <w:p w14:paraId="0C4F17AD" w14:textId="022BE8AF" w:rsidR="0043613E" w:rsidRPr="002B6812" w:rsidRDefault="00384713" w:rsidP="00231F2B">
      <w:pPr>
        <w:jc w:val="both"/>
        <w:rPr>
          <w:rFonts w:ascii="Segoe UI Semibold" w:hAnsi="Segoe UI Semibold" w:cs="Segoe UI Semibold"/>
          <w:color w:val="008272"/>
          <w:sz w:val="32"/>
        </w:rPr>
      </w:pPr>
      <w:r w:rsidRPr="002B6812">
        <w:rPr>
          <w:rFonts w:ascii="Segoe UI Semibold" w:hAnsi="Segoe UI Semibold" w:cs="Segoe UI Semibold"/>
          <w:bCs/>
          <w:color w:val="008272"/>
          <w:sz w:val="32"/>
        </w:rPr>
        <w:t>Productivity Governance and Compliance</w:t>
      </w:r>
    </w:p>
    <w:p w14:paraId="4DC49510" w14:textId="77777777" w:rsidR="00D83C17" w:rsidRPr="002B6812" w:rsidRDefault="00D83C17" w:rsidP="00231F2B">
      <w:pPr>
        <w:jc w:val="both"/>
      </w:pPr>
    </w:p>
    <w:p w14:paraId="514BED89" w14:textId="7FE9F763" w:rsidR="00717F2C" w:rsidRPr="002B6812" w:rsidRDefault="4BAA7215" w:rsidP="00231F2B">
      <w:pPr>
        <w:jc w:val="both"/>
      </w:pPr>
      <w:r w:rsidRPr="002B6812">
        <w:t>Prepared for</w:t>
      </w:r>
    </w:p>
    <w:p w14:paraId="225A0C29" w14:textId="46DC57A3" w:rsidR="00B40F77" w:rsidRPr="00231F2B" w:rsidRDefault="00B40F77" w:rsidP="00231F2B">
      <w:pPr>
        <w:jc w:val="both"/>
        <w:rPr>
          <w:lang w:val="it-IT"/>
        </w:rPr>
      </w:pPr>
    </w:p>
    <w:p w14:paraId="7BF8CA06" w14:textId="77777777" w:rsidR="00B5168F" w:rsidRPr="00231F2B" w:rsidRDefault="00B5168F" w:rsidP="00231F2B">
      <w:pPr>
        <w:jc w:val="both"/>
        <w:rPr>
          <w:lang w:val="it-IT"/>
        </w:rPr>
      </w:pPr>
    </w:p>
    <w:p w14:paraId="739156E9" w14:textId="77777777" w:rsidR="007F148A" w:rsidRPr="00231F2B" w:rsidRDefault="4BAA7215" w:rsidP="00231F2B">
      <w:pPr>
        <w:jc w:val="both"/>
        <w:rPr>
          <w:lang w:val="it-IT"/>
        </w:rPr>
      </w:pPr>
      <w:r w:rsidRPr="00231F2B">
        <w:rPr>
          <w:lang w:val="it-IT"/>
        </w:rPr>
        <w:t>Prepared by</w:t>
      </w:r>
    </w:p>
    <w:p w14:paraId="492E7E22" w14:textId="77777777" w:rsidR="007F148A" w:rsidRPr="002B6812" w:rsidRDefault="007F148A" w:rsidP="00231F2B">
      <w:pPr>
        <w:jc w:val="both"/>
      </w:pPr>
    </w:p>
    <w:p w14:paraId="17A9C6CE" w14:textId="6152B6BB" w:rsidR="00717F2C" w:rsidRPr="00B5168F" w:rsidRDefault="00717F2C" w:rsidP="00231F2B">
      <w:pPr>
        <w:jc w:val="both"/>
      </w:pPr>
      <w:r w:rsidRPr="002B6812">
        <w:t xml:space="preserve">Date: </w:t>
      </w:r>
      <w:r w:rsidR="00A02A04" w:rsidRPr="00B5168F">
        <w:fldChar w:fldCharType="begin"/>
      </w:r>
      <w:r w:rsidR="00A02A04" w:rsidRPr="00B5168F">
        <w:instrText xml:space="preserve"> DATE  \@ "MMMM d, yyyy"  \* MERGEFORMAT </w:instrText>
      </w:r>
      <w:r w:rsidR="00A02A04" w:rsidRPr="00B5168F">
        <w:fldChar w:fldCharType="separate"/>
      </w:r>
      <w:r w:rsidR="00007F5F">
        <w:rPr>
          <w:noProof/>
        </w:rPr>
        <w:t>June 22, 2020</w:t>
      </w:r>
      <w:r w:rsidR="00A02A04" w:rsidRPr="00B5168F">
        <w:fldChar w:fldCharType="end"/>
      </w:r>
    </w:p>
    <w:p w14:paraId="673C8841" w14:textId="3DCB27AC" w:rsidR="00717F2C" w:rsidRPr="00B5168F" w:rsidRDefault="4BAA7215" w:rsidP="00231F2B">
      <w:pPr>
        <w:jc w:val="both"/>
        <w:rPr>
          <w:rStyle w:val="InstructionalChar"/>
          <w:color w:val="auto"/>
        </w:rPr>
      </w:pPr>
      <w:r w:rsidRPr="00B5168F">
        <w:t>Version</w:t>
      </w:r>
      <w:r w:rsidRPr="00B5168F">
        <w:rPr>
          <w:rStyle w:val="InstructionalChar"/>
          <w:color w:val="auto"/>
        </w:rPr>
        <w:t xml:space="preserve">: </w:t>
      </w:r>
      <w:r w:rsidR="00425049" w:rsidRPr="00B5168F">
        <w:rPr>
          <w:rStyle w:val="InstructionalChar"/>
          <w:color w:val="auto"/>
        </w:rPr>
        <w:t>2.0</w:t>
      </w:r>
    </w:p>
    <w:p w14:paraId="18440107" w14:textId="77777777" w:rsidR="007F148A" w:rsidRPr="002B6812" w:rsidRDefault="007F148A" w:rsidP="00231F2B">
      <w:pPr>
        <w:jc w:val="both"/>
      </w:pPr>
    </w:p>
    <w:p w14:paraId="30F26D20" w14:textId="77777777" w:rsidR="007F148A" w:rsidRPr="002B6812" w:rsidRDefault="007F148A" w:rsidP="00231F2B">
      <w:pPr>
        <w:jc w:val="both"/>
        <w:sectPr w:rsidR="007F148A" w:rsidRPr="002B6812" w:rsidSect="00AC2C70">
          <w:pgSz w:w="12240" w:h="15840"/>
          <w:pgMar w:top="1440" w:right="1440" w:bottom="1440" w:left="1440" w:header="720" w:footer="720" w:gutter="0"/>
          <w:cols w:space="720"/>
          <w:titlePg/>
          <w:docGrid w:linePitch="360"/>
        </w:sectPr>
      </w:pPr>
    </w:p>
    <w:sdt>
      <w:sdtPr>
        <w:rPr>
          <w:rFonts w:ascii="Segoe UI" w:eastAsiaTheme="minorHAnsi" w:hAnsi="Segoe UI" w:cstheme="minorBidi"/>
          <w:color w:val="auto"/>
          <w:sz w:val="20"/>
          <w:szCs w:val="22"/>
        </w:rPr>
        <w:id w:val="1992295303"/>
        <w:docPartObj>
          <w:docPartGallery w:val="Table of Contents"/>
          <w:docPartUnique/>
        </w:docPartObj>
      </w:sdtPr>
      <w:sdtEndPr>
        <w:rPr>
          <w:b/>
          <w:bCs/>
          <w:noProof/>
        </w:rPr>
      </w:sdtEndPr>
      <w:sdtContent>
        <w:p w14:paraId="5F513339" w14:textId="77777777" w:rsidR="00C23371" w:rsidRPr="002B6812" w:rsidRDefault="4BAA7215" w:rsidP="00231F2B">
          <w:pPr>
            <w:pStyle w:val="TOCHeading"/>
            <w:numPr>
              <w:ilvl w:val="0"/>
              <w:numId w:val="0"/>
            </w:numPr>
            <w:ind w:left="360" w:hanging="360"/>
            <w:jc w:val="both"/>
            <w:rPr>
              <w:rFonts w:ascii="Segoe UI" w:hAnsi="Segoe UI" w:cs="Segoe UI"/>
            </w:rPr>
          </w:pPr>
          <w:r w:rsidRPr="002B6812">
            <w:rPr>
              <w:rFonts w:ascii="Segoe UI" w:hAnsi="Segoe UI" w:cs="Segoe UI"/>
            </w:rPr>
            <w:t>Table of contents</w:t>
          </w:r>
        </w:p>
        <w:p w14:paraId="7F54149C" w14:textId="3AB980DE" w:rsidR="00BD579E" w:rsidRDefault="00EF21FB">
          <w:pPr>
            <w:pStyle w:val="TOC1"/>
            <w:tabs>
              <w:tab w:val="left" w:pos="400"/>
              <w:tab w:val="right" w:leader="dot" w:pos="9350"/>
            </w:tabs>
            <w:rPr>
              <w:rFonts w:asciiTheme="minorHAnsi" w:eastAsiaTheme="minorEastAsia" w:hAnsiTheme="minorHAnsi"/>
              <w:noProof/>
              <w:sz w:val="22"/>
              <w:lang w:val="it-IT" w:eastAsia="it-IT"/>
            </w:rPr>
          </w:pPr>
          <w:r w:rsidRPr="002B6812">
            <w:fldChar w:fldCharType="begin"/>
          </w:r>
          <w:r w:rsidRPr="002B6812">
            <w:instrText xml:space="preserve"> TOC \o "1-2" \h \z \u </w:instrText>
          </w:r>
          <w:r w:rsidRPr="002B6812">
            <w:fldChar w:fldCharType="separate"/>
          </w:r>
          <w:hyperlink w:anchor="_Toc31291362" w:history="1">
            <w:r w:rsidR="00BD579E" w:rsidRPr="00804F79">
              <w:rPr>
                <w:rStyle w:val="Hyperlink"/>
                <w:noProof/>
              </w:rPr>
              <w:t>1.</w:t>
            </w:r>
            <w:r w:rsidR="00BD579E">
              <w:rPr>
                <w:rFonts w:asciiTheme="minorHAnsi" w:eastAsiaTheme="minorEastAsia" w:hAnsiTheme="minorHAnsi"/>
                <w:noProof/>
                <w:sz w:val="22"/>
                <w:lang w:val="it-IT" w:eastAsia="it-IT"/>
              </w:rPr>
              <w:tab/>
            </w:r>
            <w:r w:rsidR="00BD579E" w:rsidRPr="00804F79">
              <w:rPr>
                <w:rStyle w:val="Hyperlink"/>
                <w:noProof/>
              </w:rPr>
              <w:t>Project objectives and scope</w:t>
            </w:r>
            <w:r w:rsidR="00BD579E">
              <w:rPr>
                <w:noProof/>
                <w:webHidden/>
              </w:rPr>
              <w:tab/>
            </w:r>
            <w:r w:rsidR="00BD579E">
              <w:rPr>
                <w:noProof/>
                <w:webHidden/>
              </w:rPr>
              <w:fldChar w:fldCharType="begin"/>
            </w:r>
            <w:r w:rsidR="00BD579E">
              <w:rPr>
                <w:noProof/>
                <w:webHidden/>
              </w:rPr>
              <w:instrText xml:space="preserve"> PAGEREF _Toc31291362 \h </w:instrText>
            </w:r>
            <w:r w:rsidR="00BD579E">
              <w:rPr>
                <w:noProof/>
                <w:webHidden/>
              </w:rPr>
            </w:r>
            <w:r w:rsidR="00BD579E">
              <w:rPr>
                <w:noProof/>
                <w:webHidden/>
              </w:rPr>
              <w:fldChar w:fldCharType="separate"/>
            </w:r>
            <w:r w:rsidR="00BD579E">
              <w:rPr>
                <w:noProof/>
                <w:webHidden/>
              </w:rPr>
              <w:t>1</w:t>
            </w:r>
            <w:r w:rsidR="00BD579E">
              <w:rPr>
                <w:noProof/>
                <w:webHidden/>
              </w:rPr>
              <w:fldChar w:fldCharType="end"/>
            </w:r>
          </w:hyperlink>
        </w:p>
        <w:p w14:paraId="57A7A9F8" w14:textId="0496DE3E" w:rsidR="00BD579E" w:rsidRDefault="006F70AE">
          <w:pPr>
            <w:pStyle w:val="TOC2"/>
            <w:tabs>
              <w:tab w:val="left" w:pos="800"/>
              <w:tab w:val="right" w:leader="dot" w:pos="9350"/>
            </w:tabs>
            <w:rPr>
              <w:rFonts w:asciiTheme="minorHAnsi" w:eastAsiaTheme="minorEastAsia" w:hAnsiTheme="minorHAnsi"/>
              <w:noProof/>
              <w:sz w:val="22"/>
              <w:lang w:val="it-IT" w:eastAsia="it-IT"/>
            </w:rPr>
          </w:pPr>
          <w:hyperlink w:anchor="_Toc31291363" w:history="1">
            <w:r w:rsidR="00BD579E" w:rsidRPr="00804F79">
              <w:rPr>
                <w:rStyle w:val="Hyperlink"/>
                <w:noProof/>
              </w:rPr>
              <w:t>1.1.</w:t>
            </w:r>
            <w:r w:rsidR="00BD579E">
              <w:rPr>
                <w:rFonts w:asciiTheme="minorHAnsi" w:eastAsiaTheme="minorEastAsia" w:hAnsiTheme="minorHAnsi"/>
                <w:noProof/>
                <w:sz w:val="22"/>
                <w:lang w:val="it-IT" w:eastAsia="it-IT"/>
              </w:rPr>
              <w:tab/>
            </w:r>
            <w:r w:rsidR="00BD579E" w:rsidRPr="00804F79">
              <w:rPr>
                <w:rStyle w:val="Hyperlink"/>
                <w:noProof/>
              </w:rPr>
              <w:t>Objectives</w:t>
            </w:r>
            <w:r w:rsidR="00BD579E">
              <w:rPr>
                <w:noProof/>
                <w:webHidden/>
              </w:rPr>
              <w:tab/>
            </w:r>
            <w:r w:rsidR="00BD579E">
              <w:rPr>
                <w:noProof/>
                <w:webHidden/>
              </w:rPr>
              <w:fldChar w:fldCharType="begin"/>
            </w:r>
            <w:r w:rsidR="00BD579E">
              <w:rPr>
                <w:noProof/>
                <w:webHidden/>
              </w:rPr>
              <w:instrText xml:space="preserve"> PAGEREF _Toc31291363 \h </w:instrText>
            </w:r>
            <w:r w:rsidR="00BD579E">
              <w:rPr>
                <w:noProof/>
                <w:webHidden/>
              </w:rPr>
            </w:r>
            <w:r w:rsidR="00BD579E">
              <w:rPr>
                <w:noProof/>
                <w:webHidden/>
              </w:rPr>
              <w:fldChar w:fldCharType="separate"/>
            </w:r>
            <w:r w:rsidR="00BD579E">
              <w:rPr>
                <w:noProof/>
                <w:webHidden/>
              </w:rPr>
              <w:t>1</w:t>
            </w:r>
            <w:r w:rsidR="00BD579E">
              <w:rPr>
                <w:noProof/>
                <w:webHidden/>
              </w:rPr>
              <w:fldChar w:fldCharType="end"/>
            </w:r>
          </w:hyperlink>
        </w:p>
        <w:p w14:paraId="56306E54" w14:textId="15E6B850" w:rsidR="00BD579E" w:rsidRDefault="006F70AE">
          <w:pPr>
            <w:pStyle w:val="TOC2"/>
            <w:tabs>
              <w:tab w:val="left" w:pos="800"/>
              <w:tab w:val="right" w:leader="dot" w:pos="9350"/>
            </w:tabs>
            <w:rPr>
              <w:rFonts w:asciiTheme="minorHAnsi" w:eastAsiaTheme="minorEastAsia" w:hAnsiTheme="minorHAnsi"/>
              <w:noProof/>
              <w:sz w:val="22"/>
              <w:lang w:val="it-IT" w:eastAsia="it-IT"/>
            </w:rPr>
          </w:pPr>
          <w:hyperlink w:anchor="_Toc31291364" w:history="1">
            <w:r w:rsidR="00BD579E" w:rsidRPr="00804F79">
              <w:rPr>
                <w:rStyle w:val="Hyperlink"/>
                <w:noProof/>
              </w:rPr>
              <w:t>1.2.</w:t>
            </w:r>
            <w:r w:rsidR="00BD579E">
              <w:rPr>
                <w:rFonts w:asciiTheme="minorHAnsi" w:eastAsiaTheme="minorEastAsia" w:hAnsiTheme="minorHAnsi"/>
                <w:noProof/>
                <w:sz w:val="22"/>
                <w:lang w:val="it-IT" w:eastAsia="it-IT"/>
              </w:rPr>
              <w:tab/>
            </w:r>
            <w:r w:rsidR="00BD579E" w:rsidRPr="00804F79">
              <w:rPr>
                <w:rStyle w:val="Hyperlink"/>
                <w:noProof/>
              </w:rPr>
              <w:t>Areas in scope</w:t>
            </w:r>
            <w:r w:rsidR="00BD579E">
              <w:rPr>
                <w:noProof/>
                <w:webHidden/>
              </w:rPr>
              <w:tab/>
            </w:r>
            <w:r w:rsidR="00BD579E">
              <w:rPr>
                <w:noProof/>
                <w:webHidden/>
              </w:rPr>
              <w:fldChar w:fldCharType="begin"/>
            </w:r>
            <w:r w:rsidR="00BD579E">
              <w:rPr>
                <w:noProof/>
                <w:webHidden/>
              </w:rPr>
              <w:instrText xml:space="preserve"> PAGEREF _Toc31291364 \h </w:instrText>
            </w:r>
            <w:r w:rsidR="00BD579E">
              <w:rPr>
                <w:noProof/>
                <w:webHidden/>
              </w:rPr>
            </w:r>
            <w:r w:rsidR="00BD579E">
              <w:rPr>
                <w:noProof/>
                <w:webHidden/>
              </w:rPr>
              <w:fldChar w:fldCharType="separate"/>
            </w:r>
            <w:r w:rsidR="00BD579E">
              <w:rPr>
                <w:noProof/>
                <w:webHidden/>
              </w:rPr>
              <w:t>1</w:t>
            </w:r>
            <w:r w:rsidR="00BD579E">
              <w:rPr>
                <w:noProof/>
                <w:webHidden/>
              </w:rPr>
              <w:fldChar w:fldCharType="end"/>
            </w:r>
          </w:hyperlink>
        </w:p>
        <w:p w14:paraId="1B056130" w14:textId="012F5874" w:rsidR="00BD579E" w:rsidRDefault="006F70AE">
          <w:pPr>
            <w:pStyle w:val="TOC2"/>
            <w:tabs>
              <w:tab w:val="left" w:pos="800"/>
              <w:tab w:val="right" w:leader="dot" w:pos="9350"/>
            </w:tabs>
            <w:rPr>
              <w:rFonts w:asciiTheme="minorHAnsi" w:eastAsiaTheme="minorEastAsia" w:hAnsiTheme="minorHAnsi"/>
              <w:noProof/>
              <w:sz w:val="22"/>
              <w:lang w:val="it-IT" w:eastAsia="it-IT"/>
            </w:rPr>
          </w:pPr>
          <w:hyperlink w:anchor="_Toc31291365" w:history="1">
            <w:r w:rsidR="00BD579E" w:rsidRPr="00804F79">
              <w:rPr>
                <w:rStyle w:val="Hyperlink"/>
                <w:noProof/>
              </w:rPr>
              <w:t>1.3.</w:t>
            </w:r>
            <w:r w:rsidR="00BD579E">
              <w:rPr>
                <w:rFonts w:asciiTheme="minorHAnsi" w:eastAsiaTheme="minorEastAsia" w:hAnsiTheme="minorHAnsi"/>
                <w:noProof/>
                <w:sz w:val="22"/>
                <w:lang w:val="it-IT" w:eastAsia="it-IT"/>
              </w:rPr>
              <w:tab/>
            </w:r>
            <w:r w:rsidR="00BD579E" w:rsidRPr="00804F79">
              <w:rPr>
                <w:rStyle w:val="Hyperlink"/>
                <w:noProof/>
              </w:rPr>
              <w:t>Areas out of scope</w:t>
            </w:r>
            <w:r w:rsidR="00BD579E">
              <w:rPr>
                <w:noProof/>
                <w:webHidden/>
              </w:rPr>
              <w:tab/>
            </w:r>
            <w:r w:rsidR="00BD579E">
              <w:rPr>
                <w:noProof/>
                <w:webHidden/>
              </w:rPr>
              <w:fldChar w:fldCharType="begin"/>
            </w:r>
            <w:r w:rsidR="00BD579E">
              <w:rPr>
                <w:noProof/>
                <w:webHidden/>
              </w:rPr>
              <w:instrText xml:space="preserve"> PAGEREF _Toc31291365 \h </w:instrText>
            </w:r>
            <w:r w:rsidR="00BD579E">
              <w:rPr>
                <w:noProof/>
                <w:webHidden/>
              </w:rPr>
            </w:r>
            <w:r w:rsidR="00BD579E">
              <w:rPr>
                <w:noProof/>
                <w:webHidden/>
              </w:rPr>
              <w:fldChar w:fldCharType="separate"/>
            </w:r>
            <w:r w:rsidR="00BD579E">
              <w:rPr>
                <w:noProof/>
                <w:webHidden/>
              </w:rPr>
              <w:t>3</w:t>
            </w:r>
            <w:r w:rsidR="00BD579E">
              <w:rPr>
                <w:noProof/>
                <w:webHidden/>
              </w:rPr>
              <w:fldChar w:fldCharType="end"/>
            </w:r>
          </w:hyperlink>
        </w:p>
        <w:p w14:paraId="386E2BA8" w14:textId="4971DD2A" w:rsidR="00BD579E" w:rsidRDefault="006F70AE">
          <w:pPr>
            <w:pStyle w:val="TOC1"/>
            <w:tabs>
              <w:tab w:val="left" w:pos="400"/>
              <w:tab w:val="right" w:leader="dot" w:pos="9350"/>
            </w:tabs>
            <w:rPr>
              <w:rFonts w:asciiTheme="minorHAnsi" w:eastAsiaTheme="minorEastAsia" w:hAnsiTheme="minorHAnsi"/>
              <w:noProof/>
              <w:sz w:val="22"/>
              <w:lang w:val="it-IT" w:eastAsia="it-IT"/>
            </w:rPr>
          </w:pPr>
          <w:hyperlink w:anchor="_Toc31291366" w:history="1">
            <w:r w:rsidR="00BD579E" w:rsidRPr="00804F79">
              <w:rPr>
                <w:rStyle w:val="Hyperlink"/>
                <w:noProof/>
              </w:rPr>
              <w:t>2.</w:t>
            </w:r>
            <w:r w:rsidR="00BD579E">
              <w:rPr>
                <w:rFonts w:asciiTheme="minorHAnsi" w:eastAsiaTheme="minorEastAsia" w:hAnsiTheme="minorHAnsi"/>
                <w:noProof/>
                <w:sz w:val="22"/>
                <w:lang w:val="it-IT" w:eastAsia="it-IT"/>
              </w:rPr>
              <w:tab/>
            </w:r>
            <w:r w:rsidR="00BD579E" w:rsidRPr="00804F79">
              <w:rPr>
                <w:rStyle w:val="Hyperlink"/>
                <w:noProof/>
              </w:rPr>
              <w:t>Project approach, timeline, and deliverable acceptance</w:t>
            </w:r>
            <w:r w:rsidR="00BD579E">
              <w:rPr>
                <w:noProof/>
                <w:webHidden/>
              </w:rPr>
              <w:tab/>
            </w:r>
            <w:r w:rsidR="00BD579E">
              <w:rPr>
                <w:noProof/>
                <w:webHidden/>
              </w:rPr>
              <w:fldChar w:fldCharType="begin"/>
            </w:r>
            <w:r w:rsidR="00BD579E">
              <w:rPr>
                <w:noProof/>
                <w:webHidden/>
              </w:rPr>
              <w:instrText xml:space="preserve"> PAGEREF _Toc31291366 \h </w:instrText>
            </w:r>
            <w:r w:rsidR="00BD579E">
              <w:rPr>
                <w:noProof/>
                <w:webHidden/>
              </w:rPr>
            </w:r>
            <w:r w:rsidR="00BD579E">
              <w:rPr>
                <w:noProof/>
                <w:webHidden/>
              </w:rPr>
              <w:fldChar w:fldCharType="separate"/>
            </w:r>
            <w:r w:rsidR="00BD579E">
              <w:rPr>
                <w:noProof/>
                <w:webHidden/>
              </w:rPr>
              <w:t>6</w:t>
            </w:r>
            <w:r w:rsidR="00BD579E">
              <w:rPr>
                <w:noProof/>
                <w:webHidden/>
              </w:rPr>
              <w:fldChar w:fldCharType="end"/>
            </w:r>
          </w:hyperlink>
        </w:p>
        <w:p w14:paraId="758D8EDD" w14:textId="43550A86" w:rsidR="00BD579E" w:rsidRDefault="006F70AE">
          <w:pPr>
            <w:pStyle w:val="TOC2"/>
            <w:tabs>
              <w:tab w:val="left" w:pos="800"/>
              <w:tab w:val="right" w:leader="dot" w:pos="9350"/>
            </w:tabs>
            <w:rPr>
              <w:rFonts w:asciiTheme="minorHAnsi" w:eastAsiaTheme="minorEastAsia" w:hAnsiTheme="minorHAnsi"/>
              <w:noProof/>
              <w:sz w:val="22"/>
              <w:lang w:val="it-IT" w:eastAsia="it-IT"/>
            </w:rPr>
          </w:pPr>
          <w:hyperlink w:anchor="_Toc31291367" w:history="1">
            <w:r w:rsidR="00BD579E" w:rsidRPr="00804F79">
              <w:rPr>
                <w:rStyle w:val="Hyperlink"/>
                <w:noProof/>
              </w:rPr>
              <w:t>2.1.</w:t>
            </w:r>
            <w:r w:rsidR="00BD579E">
              <w:rPr>
                <w:rFonts w:asciiTheme="minorHAnsi" w:eastAsiaTheme="minorEastAsia" w:hAnsiTheme="minorHAnsi"/>
                <w:noProof/>
                <w:sz w:val="22"/>
                <w:lang w:val="it-IT" w:eastAsia="it-IT"/>
              </w:rPr>
              <w:tab/>
            </w:r>
            <w:r w:rsidR="00BD579E" w:rsidRPr="00804F79">
              <w:rPr>
                <w:rStyle w:val="Hyperlink"/>
                <w:noProof/>
              </w:rPr>
              <w:t>Approach</w:t>
            </w:r>
            <w:r w:rsidR="00BD579E">
              <w:rPr>
                <w:noProof/>
                <w:webHidden/>
              </w:rPr>
              <w:tab/>
            </w:r>
            <w:r w:rsidR="00BD579E">
              <w:rPr>
                <w:noProof/>
                <w:webHidden/>
              </w:rPr>
              <w:fldChar w:fldCharType="begin"/>
            </w:r>
            <w:r w:rsidR="00BD579E">
              <w:rPr>
                <w:noProof/>
                <w:webHidden/>
              </w:rPr>
              <w:instrText xml:space="preserve"> PAGEREF _Toc31291367 \h </w:instrText>
            </w:r>
            <w:r w:rsidR="00BD579E">
              <w:rPr>
                <w:noProof/>
                <w:webHidden/>
              </w:rPr>
            </w:r>
            <w:r w:rsidR="00BD579E">
              <w:rPr>
                <w:noProof/>
                <w:webHidden/>
              </w:rPr>
              <w:fldChar w:fldCharType="separate"/>
            </w:r>
            <w:r w:rsidR="00BD579E">
              <w:rPr>
                <w:noProof/>
                <w:webHidden/>
              </w:rPr>
              <w:t>6</w:t>
            </w:r>
            <w:r w:rsidR="00BD579E">
              <w:rPr>
                <w:noProof/>
                <w:webHidden/>
              </w:rPr>
              <w:fldChar w:fldCharType="end"/>
            </w:r>
          </w:hyperlink>
        </w:p>
        <w:p w14:paraId="52AEB563" w14:textId="06DEB1E6" w:rsidR="00BD579E" w:rsidRDefault="006F70AE">
          <w:pPr>
            <w:pStyle w:val="TOC2"/>
            <w:tabs>
              <w:tab w:val="left" w:pos="800"/>
              <w:tab w:val="right" w:leader="dot" w:pos="9350"/>
            </w:tabs>
            <w:rPr>
              <w:rFonts w:asciiTheme="minorHAnsi" w:eastAsiaTheme="minorEastAsia" w:hAnsiTheme="minorHAnsi"/>
              <w:noProof/>
              <w:sz w:val="22"/>
              <w:lang w:val="it-IT" w:eastAsia="it-IT"/>
            </w:rPr>
          </w:pPr>
          <w:hyperlink w:anchor="_Toc31291368" w:history="1">
            <w:r w:rsidR="00BD579E" w:rsidRPr="00804F79">
              <w:rPr>
                <w:rStyle w:val="Hyperlink"/>
                <w:noProof/>
              </w:rPr>
              <w:t>2.2.</w:t>
            </w:r>
            <w:r w:rsidR="00BD579E">
              <w:rPr>
                <w:rFonts w:asciiTheme="minorHAnsi" w:eastAsiaTheme="minorEastAsia" w:hAnsiTheme="minorHAnsi"/>
                <w:noProof/>
                <w:sz w:val="22"/>
                <w:lang w:val="it-IT" w:eastAsia="it-IT"/>
              </w:rPr>
              <w:tab/>
            </w:r>
            <w:r w:rsidR="00BD579E" w:rsidRPr="00804F79">
              <w:rPr>
                <w:rStyle w:val="Hyperlink"/>
                <w:noProof/>
              </w:rPr>
              <w:t>Timeline</w:t>
            </w:r>
            <w:r w:rsidR="00BD579E">
              <w:rPr>
                <w:noProof/>
                <w:webHidden/>
              </w:rPr>
              <w:tab/>
            </w:r>
            <w:r w:rsidR="00BD579E">
              <w:rPr>
                <w:noProof/>
                <w:webHidden/>
              </w:rPr>
              <w:fldChar w:fldCharType="begin"/>
            </w:r>
            <w:r w:rsidR="00BD579E">
              <w:rPr>
                <w:noProof/>
                <w:webHidden/>
              </w:rPr>
              <w:instrText xml:space="preserve"> PAGEREF _Toc31291368 \h </w:instrText>
            </w:r>
            <w:r w:rsidR="00BD579E">
              <w:rPr>
                <w:noProof/>
                <w:webHidden/>
              </w:rPr>
            </w:r>
            <w:r w:rsidR="00BD579E">
              <w:rPr>
                <w:noProof/>
                <w:webHidden/>
              </w:rPr>
              <w:fldChar w:fldCharType="separate"/>
            </w:r>
            <w:r w:rsidR="00BD579E">
              <w:rPr>
                <w:noProof/>
                <w:webHidden/>
              </w:rPr>
              <w:t>12</w:t>
            </w:r>
            <w:r w:rsidR="00BD579E">
              <w:rPr>
                <w:noProof/>
                <w:webHidden/>
              </w:rPr>
              <w:fldChar w:fldCharType="end"/>
            </w:r>
          </w:hyperlink>
        </w:p>
        <w:p w14:paraId="13716F9C" w14:textId="00551ECB" w:rsidR="00BD579E" w:rsidRDefault="006F70AE">
          <w:pPr>
            <w:pStyle w:val="TOC2"/>
            <w:tabs>
              <w:tab w:val="left" w:pos="800"/>
              <w:tab w:val="right" w:leader="dot" w:pos="9350"/>
            </w:tabs>
            <w:rPr>
              <w:rFonts w:asciiTheme="minorHAnsi" w:eastAsiaTheme="minorEastAsia" w:hAnsiTheme="minorHAnsi"/>
              <w:noProof/>
              <w:sz w:val="22"/>
              <w:lang w:val="it-IT" w:eastAsia="it-IT"/>
            </w:rPr>
          </w:pPr>
          <w:hyperlink w:anchor="_Toc31291369" w:history="1">
            <w:r w:rsidR="00BD579E" w:rsidRPr="00804F79">
              <w:rPr>
                <w:rStyle w:val="Hyperlink"/>
                <w:noProof/>
              </w:rPr>
              <w:t>2.3.</w:t>
            </w:r>
            <w:r w:rsidR="00BD579E">
              <w:rPr>
                <w:rFonts w:asciiTheme="minorHAnsi" w:eastAsiaTheme="minorEastAsia" w:hAnsiTheme="minorHAnsi"/>
                <w:noProof/>
                <w:sz w:val="22"/>
                <w:lang w:val="it-IT" w:eastAsia="it-IT"/>
              </w:rPr>
              <w:tab/>
            </w:r>
            <w:r w:rsidR="00BD579E" w:rsidRPr="00804F79">
              <w:rPr>
                <w:rStyle w:val="Hyperlink"/>
                <w:noProof/>
              </w:rPr>
              <w:t>Deliverable acceptance process</w:t>
            </w:r>
            <w:r w:rsidR="00BD579E">
              <w:rPr>
                <w:noProof/>
                <w:webHidden/>
              </w:rPr>
              <w:tab/>
            </w:r>
            <w:r w:rsidR="00BD579E">
              <w:rPr>
                <w:noProof/>
                <w:webHidden/>
              </w:rPr>
              <w:fldChar w:fldCharType="begin"/>
            </w:r>
            <w:r w:rsidR="00BD579E">
              <w:rPr>
                <w:noProof/>
                <w:webHidden/>
              </w:rPr>
              <w:instrText xml:space="preserve"> PAGEREF _Toc31291369 \h </w:instrText>
            </w:r>
            <w:r w:rsidR="00BD579E">
              <w:rPr>
                <w:noProof/>
                <w:webHidden/>
              </w:rPr>
            </w:r>
            <w:r w:rsidR="00BD579E">
              <w:rPr>
                <w:noProof/>
                <w:webHidden/>
              </w:rPr>
              <w:fldChar w:fldCharType="separate"/>
            </w:r>
            <w:r w:rsidR="00BD579E">
              <w:rPr>
                <w:noProof/>
                <w:webHidden/>
              </w:rPr>
              <w:t>12</w:t>
            </w:r>
            <w:r w:rsidR="00BD579E">
              <w:rPr>
                <w:noProof/>
                <w:webHidden/>
              </w:rPr>
              <w:fldChar w:fldCharType="end"/>
            </w:r>
          </w:hyperlink>
        </w:p>
        <w:p w14:paraId="01D36295" w14:textId="5407FBF3" w:rsidR="00BD579E" w:rsidRDefault="006F70AE">
          <w:pPr>
            <w:pStyle w:val="TOC2"/>
            <w:tabs>
              <w:tab w:val="left" w:pos="800"/>
              <w:tab w:val="right" w:leader="dot" w:pos="9350"/>
            </w:tabs>
            <w:rPr>
              <w:rFonts w:asciiTheme="minorHAnsi" w:eastAsiaTheme="minorEastAsia" w:hAnsiTheme="minorHAnsi"/>
              <w:noProof/>
              <w:sz w:val="22"/>
              <w:lang w:val="it-IT" w:eastAsia="it-IT"/>
            </w:rPr>
          </w:pPr>
          <w:hyperlink w:anchor="_Toc31291370" w:history="1">
            <w:r w:rsidR="00BD579E" w:rsidRPr="00804F79">
              <w:rPr>
                <w:rStyle w:val="Hyperlink"/>
                <w:noProof/>
              </w:rPr>
              <w:t>2.4.</w:t>
            </w:r>
            <w:r w:rsidR="00BD579E">
              <w:rPr>
                <w:rFonts w:asciiTheme="minorHAnsi" w:eastAsiaTheme="minorEastAsia" w:hAnsiTheme="minorHAnsi"/>
                <w:noProof/>
                <w:sz w:val="22"/>
                <w:lang w:val="it-IT" w:eastAsia="it-IT"/>
              </w:rPr>
              <w:tab/>
            </w:r>
            <w:r w:rsidR="00BD579E" w:rsidRPr="00804F79">
              <w:rPr>
                <w:rStyle w:val="Hyperlink"/>
                <w:noProof/>
              </w:rPr>
              <w:t>Project governance</w:t>
            </w:r>
            <w:r w:rsidR="00BD579E">
              <w:rPr>
                <w:noProof/>
                <w:webHidden/>
              </w:rPr>
              <w:tab/>
            </w:r>
            <w:r w:rsidR="00BD579E">
              <w:rPr>
                <w:noProof/>
                <w:webHidden/>
              </w:rPr>
              <w:fldChar w:fldCharType="begin"/>
            </w:r>
            <w:r w:rsidR="00BD579E">
              <w:rPr>
                <w:noProof/>
                <w:webHidden/>
              </w:rPr>
              <w:instrText xml:space="preserve"> PAGEREF _Toc31291370 \h </w:instrText>
            </w:r>
            <w:r w:rsidR="00BD579E">
              <w:rPr>
                <w:noProof/>
                <w:webHidden/>
              </w:rPr>
            </w:r>
            <w:r w:rsidR="00BD579E">
              <w:rPr>
                <w:noProof/>
                <w:webHidden/>
              </w:rPr>
              <w:fldChar w:fldCharType="separate"/>
            </w:r>
            <w:r w:rsidR="00BD579E">
              <w:rPr>
                <w:noProof/>
                <w:webHidden/>
              </w:rPr>
              <w:t>12</w:t>
            </w:r>
            <w:r w:rsidR="00BD579E">
              <w:rPr>
                <w:noProof/>
                <w:webHidden/>
              </w:rPr>
              <w:fldChar w:fldCharType="end"/>
            </w:r>
          </w:hyperlink>
        </w:p>
        <w:p w14:paraId="2579965E" w14:textId="11B94489" w:rsidR="00BD579E" w:rsidRDefault="006F70AE">
          <w:pPr>
            <w:pStyle w:val="TOC2"/>
            <w:tabs>
              <w:tab w:val="left" w:pos="800"/>
              <w:tab w:val="right" w:leader="dot" w:pos="9350"/>
            </w:tabs>
            <w:rPr>
              <w:rFonts w:asciiTheme="minorHAnsi" w:eastAsiaTheme="minorEastAsia" w:hAnsiTheme="minorHAnsi"/>
              <w:noProof/>
              <w:sz w:val="22"/>
              <w:lang w:val="it-IT" w:eastAsia="it-IT"/>
            </w:rPr>
          </w:pPr>
          <w:hyperlink w:anchor="_Toc31291371" w:history="1">
            <w:r w:rsidR="00BD579E" w:rsidRPr="00804F79">
              <w:rPr>
                <w:rStyle w:val="Hyperlink"/>
                <w:noProof/>
              </w:rPr>
              <w:t>2.5.</w:t>
            </w:r>
            <w:r w:rsidR="00BD579E">
              <w:rPr>
                <w:rFonts w:asciiTheme="minorHAnsi" w:eastAsiaTheme="minorEastAsia" w:hAnsiTheme="minorHAnsi"/>
                <w:noProof/>
                <w:sz w:val="22"/>
                <w:lang w:val="it-IT" w:eastAsia="it-IT"/>
              </w:rPr>
              <w:tab/>
            </w:r>
            <w:r w:rsidR="00BD579E" w:rsidRPr="00804F79">
              <w:rPr>
                <w:rStyle w:val="Hyperlink"/>
                <w:noProof/>
              </w:rPr>
              <w:t>Project completion</w:t>
            </w:r>
            <w:r w:rsidR="00BD579E">
              <w:rPr>
                <w:noProof/>
                <w:webHidden/>
              </w:rPr>
              <w:tab/>
            </w:r>
            <w:r w:rsidR="00BD579E">
              <w:rPr>
                <w:noProof/>
                <w:webHidden/>
              </w:rPr>
              <w:fldChar w:fldCharType="begin"/>
            </w:r>
            <w:r w:rsidR="00BD579E">
              <w:rPr>
                <w:noProof/>
                <w:webHidden/>
              </w:rPr>
              <w:instrText xml:space="preserve"> PAGEREF _Toc31291371 \h </w:instrText>
            </w:r>
            <w:r w:rsidR="00BD579E">
              <w:rPr>
                <w:noProof/>
                <w:webHidden/>
              </w:rPr>
            </w:r>
            <w:r w:rsidR="00BD579E">
              <w:rPr>
                <w:noProof/>
                <w:webHidden/>
              </w:rPr>
              <w:fldChar w:fldCharType="separate"/>
            </w:r>
            <w:r w:rsidR="00BD579E">
              <w:rPr>
                <w:noProof/>
                <w:webHidden/>
              </w:rPr>
              <w:t>14</w:t>
            </w:r>
            <w:r w:rsidR="00BD579E">
              <w:rPr>
                <w:noProof/>
                <w:webHidden/>
              </w:rPr>
              <w:fldChar w:fldCharType="end"/>
            </w:r>
          </w:hyperlink>
        </w:p>
        <w:p w14:paraId="448A5C62" w14:textId="48926451" w:rsidR="00BD579E" w:rsidRDefault="006F70AE">
          <w:pPr>
            <w:pStyle w:val="TOC1"/>
            <w:tabs>
              <w:tab w:val="left" w:pos="400"/>
              <w:tab w:val="right" w:leader="dot" w:pos="9350"/>
            </w:tabs>
            <w:rPr>
              <w:rFonts w:asciiTheme="minorHAnsi" w:eastAsiaTheme="minorEastAsia" w:hAnsiTheme="minorHAnsi"/>
              <w:noProof/>
              <w:sz w:val="22"/>
              <w:lang w:val="it-IT" w:eastAsia="it-IT"/>
            </w:rPr>
          </w:pPr>
          <w:hyperlink w:anchor="_Toc31291372" w:history="1">
            <w:r w:rsidR="00BD579E" w:rsidRPr="00804F79">
              <w:rPr>
                <w:rStyle w:val="Hyperlink"/>
                <w:noProof/>
              </w:rPr>
              <w:t>3.</w:t>
            </w:r>
            <w:r w:rsidR="00BD579E">
              <w:rPr>
                <w:rFonts w:asciiTheme="minorHAnsi" w:eastAsiaTheme="minorEastAsia" w:hAnsiTheme="minorHAnsi"/>
                <w:noProof/>
                <w:sz w:val="22"/>
                <w:lang w:val="it-IT" w:eastAsia="it-IT"/>
              </w:rPr>
              <w:tab/>
            </w:r>
            <w:r w:rsidR="00BD579E" w:rsidRPr="00804F79">
              <w:rPr>
                <w:rStyle w:val="Hyperlink"/>
                <w:noProof/>
              </w:rPr>
              <w:t>Project organization</w:t>
            </w:r>
            <w:r w:rsidR="00BD579E">
              <w:rPr>
                <w:noProof/>
                <w:webHidden/>
              </w:rPr>
              <w:tab/>
            </w:r>
            <w:r w:rsidR="00BD579E">
              <w:rPr>
                <w:noProof/>
                <w:webHidden/>
              </w:rPr>
              <w:fldChar w:fldCharType="begin"/>
            </w:r>
            <w:r w:rsidR="00BD579E">
              <w:rPr>
                <w:noProof/>
                <w:webHidden/>
              </w:rPr>
              <w:instrText xml:space="preserve"> PAGEREF _Toc31291372 \h </w:instrText>
            </w:r>
            <w:r w:rsidR="00BD579E">
              <w:rPr>
                <w:noProof/>
                <w:webHidden/>
              </w:rPr>
            </w:r>
            <w:r w:rsidR="00BD579E">
              <w:rPr>
                <w:noProof/>
                <w:webHidden/>
              </w:rPr>
              <w:fldChar w:fldCharType="separate"/>
            </w:r>
            <w:r w:rsidR="00BD579E">
              <w:rPr>
                <w:noProof/>
                <w:webHidden/>
              </w:rPr>
              <w:t>14</w:t>
            </w:r>
            <w:r w:rsidR="00BD579E">
              <w:rPr>
                <w:noProof/>
                <w:webHidden/>
              </w:rPr>
              <w:fldChar w:fldCharType="end"/>
            </w:r>
          </w:hyperlink>
        </w:p>
        <w:p w14:paraId="0B06E9FB" w14:textId="37C82F18" w:rsidR="00BD579E" w:rsidRDefault="006F70AE">
          <w:pPr>
            <w:pStyle w:val="TOC2"/>
            <w:tabs>
              <w:tab w:val="left" w:pos="800"/>
              <w:tab w:val="right" w:leader="dot" w:pos="9350"/>
            </w:tabs>
            <w:rPr>
              <w:rFonts w:asciiTheme="minorHAnsi" w:eastAsiaTheme="minorEastAsia" w:hAnsiTheme="minorHAnsi"/>
              <w:noProof/>
              <w:sz w:val="22"/>
              <w:lang w:val="it-IT" w:eastAsia="it-IT"/>
            </w:rPr>
          </w:pPr>
          <w:hyperlink w:anchor="_Toc31291373" w:history="1">
            <w:r w:rsidR="00BD579E" w:rsidRPr="00804F79">
              <w:rPr>
                <w:rStyle w:val="Hyperlink"/>
                <w:noProof/>
              </w:rPr>
              <w:t>3.1.</w:t>
            </w:r>
            <w:r w:rsidR="00BD579E">
              <w:rPr>
                <w:rFonts w:asciiTheme="minorHAnsi" w:eastAsiaTheme="minorEastAsia" w:hAnsiTheme="minorHAnsi"/>
                <w:noProof/>
                <w:sz w:val="22"/>
                <w:lang w:val="it-IT" w:eastAsia="it-IT"/>
              </w:rPr>
              <w:tab/>
            </w:r>
            <w:r w:rsidR="00BD579E" w:rsidRPr="00804F79">
              <w:rPr>
                <w:rStyle w:val="Hyperlink"/>
                <w:noProof/>
              </w:rPr>
              <w:t>Project roles and responsibilities</w:t>
            </w:r>
            <w:r w:rsidR="00BD579E">
              <w:rPr>
                <w:noProof/>
                <w:webHidden/>
              </w:rPr>
              <w:tab/>
            </w:r>
            <w:r w:rsidR="00BD579E">
              <w:rPr>
                <w:noProof/>
                <w:webHidden/>
              </w:rPr>
              <w:fldChar w:fldCharType="begin"/>
            </w:r>
            <w:r w:rsidR="00BD579E">
              <w:rPr>
                <w:noProof/>
                <w:webHidden/>
              </w:rPr>
              <w:instrText xml:space="preserve"> PAGEREF _Toc31291373 \h </w:instrText>
            </w:r>
            <w:r w:rsidR="00BD579E">
              <w:rPr>
                <w:noProof/>
                <w:webHidden/>
              </w:rPr>
            </w:r>
            <w:r w:rsidR="00BD579E">
              <w:rPr>
                <w:noProof/>
                <w:webHidden/>
              </w:rPr>
              <w:fldChar w:fldCharType="separate"/>
            </w:r>
            <w:r w:rsidR="00BD579E">
              <w:rPr>
                <w:noProof/>
                <w:webHidden/>
              </w:rPr>
              <w:t>14</w:t>
            </w:r>
            <w:r w:rsidR="00BD579E">
              <w:rPr>
                <w:noProof/>
                <w:webHidden/>
              </w:rPr>
              <w:fldChar w:fldCharType="end"/>
            </w:r>
          </w:hyperlink>
        </w:p>
        <w:p w14:paraId="234AF583" w14:textId="0B2373AC" w:rsidR="00BD579E" w:rsidRDefault="006F70AE">
          <w:pPr>
            <w:pStyle w:val="TOC1"/>
            <w:tabs>
              <w:tab w:val="left" w:pos="400"/>
              <w:tab w:val="right" w:leader="dot" w:pos="9350"/>
            </w:tabs>
            <w:rPr>
              <w:rFonts w:asciiTheme="minorHAnsi" w:eastAsiaTheme="minorEastAsia" w:hAnsiTheme="minorHAnsi"/>
              <w:noProof/>
              <w:sz w:val="22"/>
              <w:lang w:val="it-IT" w:eastAsia="it-IT"/>
            </w:rPr>
          </w:pPr>
          <w:hyperlink w:anchor="_Toc31291374" w:history="1">
            <w:r w:rsidR="00BD579E" w:rsidRPr="00804F79">
              <w:rPr>
                <w:rStyle w:val="Hyperlink"/>
                <w:noProof/>
              </w:rPr>
              <w:t>4.</w:t>
            </w:r>
            <w:r w:rsidR="00BD579E">
              <w:rPr>
                <w:rFonts w:asciiTheme="minorHAnsi" w:eastAsiaTheme="minorEastAsia" w:hAnsiTheme="minorHAnsi"/>
                <w:noProof/>
                <w:sz w:val="22"/>
                <w:lang w:val="it-IT" w:eastAsia="it-IT"/>
              </w:rPr>
              <w:tab/>
            </w:r>
            <w:r w:rsidR="00BD579E" w:rsidRPr="00804F79">
              <w:rPr>
                <w:rStyle w:val="Hyperlink"/>
                <w:noProof/>
              </w:rPr>
              <w:t>Customer responsibilities and project assumptions</w:t>
            </w:r>
            <w:r w:rsidR="00BD579E">
              <w:rPr>
                <w:noProof/>
                <w:webHidden/>
              </w:rPr>
              <w:tab/>
            </w:r>
            <w:r w:rsidR="00BD579E">
              <w:rPr>
                <w:noProof/>
                <w:webHidden/>
              </w:rPr>
              <w:fldChar w:fldCharType="begin"/>
            </w:r>
            <w:r w:rsidR="00BD579E">
              <w:rPr>
                <w:noProof/>
                <w:webHidden/>
              </w:rPr>
              <w:instrText xml:space="preserve"> PAGEREF _Toc31291374 \h </w:instrText>
            </w:r>
            <w:r w:rsidR="00BD579E">
              <w:rPr>
                <w:noProof/>
                <w:webHidden/>
              </w:rPr>
            </w:r>
            <w:r w:rsidR="00BD579E">
              <w:rPr>
                <w:noProof/>
                <w:webHidden/>
              </w:rPr>
              <w:fldChar w:fldCharType="separate"/>
            </w:r>
            <w:r w:rsidR="00BD579E">
              <w:rPr>
                <w:noProof/>
                <w:webHidden/>
              </w:rPr>
              <w:t>16</w:t>
            </w:r>
            <w:r w:rsidR="00BD579E">
              <w:rPr>
                <w:noProof/>
                <w:webHidden/>
              </w:rPr>
              <w:fldChar w:fldCharType="end"/>
            </w:r>
          </w:hyperlink>
        </w:p>
        <w:p w14:paraId="0DB96654" w14:textId="25B7D7A5" w:rsidR="00BD579E" w:rsidRDefault="006F70AE">
          <w:pPr>
            <w:pStyle w:val="TOC2"/>
            <w:tabs>
              <w:tab w:val="left" w:pos="800"/>
              <w:tab w:val="right" w:leader="dot" w:pos="9350"/>
            </w:tabs>
            <w:rPr>
              <w:rFonts w:asciiTheme="minorHAnsi" w:eastAsiaTheme="minorEastAsia" w:hAnsiTheme="minorHAnsi"/>
              <w:noProof/>
              <w:sz w:val="22"/>
              <w:lang w:val="it-IT" w:eastAsia="it-IT"/>
            </w:rPr>
          </w:pPr>
          <w:hyperlink w:anchor="_Toc31291375" w:history="1">
            <w:r w:rsidR="00BD579E" w:rsidRPr="00804F79">
              <w:rPr>
                <w:rStyle w:val="Hyperlink"/>
                <w:noProof/>
              </w:rPr>
              <w:t>4.1.</w:t>
            </w:r>
            <w:r w:rsidR="00BD579E">
              <w:rPr>
                <w:rFonts w:asciiTheme="minorHAnsi" w:eastAsiaTheme="minorEastAsia" w:hAnsiTheme="minorHAnsi"/>
                <w:noProof/>
                <w:sz w:val="22"/>
                <w:lang w:val="it-IT" w:eastAsia="it-IT"/>
              </w:rPr>
              <w:tab/>
            </w:r>
            <w:r w:rsidR="00BD579E" w:rsidRPr="00804F79">
              <w:rPr>
                <w:rStyle w:val="Hyperlink"/>
                <w:noProof/>
              </w:rPr>
              <w:t>Customer responsibilities</w:t>
            </w:r>
            <w:r w:rsidR="00BD579E">
              <w:rPr>
                <w:noProof/>
                <w:webHidden/>
              </w:rPr>
              <w:tab/>
            </w:r>
            <w:r w:rsidR="00BD579E">
              <w:rPr>
                <w:noProof/>
                <w:webHidden/>
              </w:rPr>
              <w:fldChar w:fldCharType="begin"/>
            </w:r>
            <w:r w:rsidR="00BD579E">
              <w:rPr>
                <w:noProof/>
                <w:webHidden/>
              </w:rPr>
              <w:instrText xml:space="preserve"> PAGEREF _Toc31291375 \h </w:instrText>
            </w:r>
            <w:r w:rsidR="00BD579E">
              <w:rPr>
                <w:noProof/>
                <w:webHidden/>
              </w:rPr>
            </w:r>
            <w:r w:rsidR="00BD579E">
              <w:rPr>
                <w:noProof/>
                <w:webHidden/>
              </w:rPr>
              <w:fldChar w:fldCharType="separate"/>
            </w:r>
            <w:r w:rsidR="00BD579E">
              <w:rPr>
                <w:noProof/>
                <w:webHidden/>
              </w:rPr>
              <w:t>16</w:t>
            </w:r>
            <w:r w:rsidR="00BD579E">
              <w:rPr>
                <w:noProof/>
                <w:webHidden/>
              </w:rPr>
              <w:fldChar w:fldCharType="end"/>
            </w:r>
          </w:hyperlink>
        </w:p>
        <w:p w14:paraId="1C975FC9" w14:textId="2FAA8238" w:rsidR="00BD579E" w:rsidRDefault="006F70AE">
          <w:pPr>
            <w:pStyle w:val="TOC2"/>
            <w:tabs>
              <w:tab w:val="left" w:pos="800"/>
              <w:tab w:val="right" w:leader="dot" w:pos="9350"/>
            </w:tabs>
            <w:rPr>
              <w:rFonts w:asciiTheme="minorHAnsi" w:eastAsiaTheme="minorEastAsia" w:hAnsiTheme="minorHAnsi"/>
              <w:noProof/>
              <w:sz w:val="22"/>
              <w:lang w:val="it-IT" w:eastAsia="it-IT"/>
            </w:rPr>
          </w:pPr>
          <w:hyperlink w:anchor="_Toc31291376" w:history="1">
            <w:r w:rsidR="00BD579E" w:rsidRPr="00804F79">
              <w:rPr>
                <w:rStyle w:val="Hyperlink"/>
                <w:noProof/>
              </w:rPr>
              <w:t>4.2.</w:t>
            </w:r>
            <w:r w:rsidR="00BD579E">
              <w:rPr>
                <w:rFonts w:asciiTheme="minorHAnsi" w:eastAsiaTheme="minorEastAsia" w:hAnsiTheme="minorHAnsi"/>
                <w:noProof/>
                <w:sz w:val="22"/>
                <w:lang w:val="it-IT" w:eastAsia="it-IT"/>
              </w:rPr>
              <w:tab/>
            </w:r>
            <w:r w:rsidR="00BD579E" w:rsidRPr="00804F79">
              <w:rPr>
                <w:rStyle w:val="Hyperlink"/>
                <w:noProof/>
              </w:rPr>
              <w:t>Project assumptions</w:t>
            </w:r>
            <w:r w:rsidR="00BD579E">
              <w:rPr>
                <w:noProof/>
                <w:webHidden/>
              </w:rPr>
              <w:tab/>
            </w:r>
            <w:r w:rsidR="00BD579E">
              <w:rPr>
                <w:noProof/>
                <w:webHidden/>
              </w:rPr>
              <w:fldChar w:fldCharType="begin"/>
            </w:r>
            <w:r w:rsidR="00BD579E">
              <w:rPr>
                <w:noProof/>
                <w:webHidden/>
              </w:rPr>
              <w:instrText xml:space="preserve"> PAGEREF _Toc31291376 \h </w:instrText>
            </w:r>
            <w:r w:rsidR="00BD579E">
              <w:rPr>
                <w:noProof/>
                <w:webHidden/>
              </w:rPr>
            </w:r>
            <w:r w:rsidR="00BD579E">
              <w:rPr>
                <w:noProof/>
                <w:webHidden/>
              </w:rPr>
              <w:fldChar w:fldCharType="separate"/>
            </w:r>
            <w:r w:rsidR="00BD579E">
              <w:rPr>
                <w:noProof/>
                <w:webHidden/>
              </w:rPr>
              <w:t>16</w:t>
            </w:r>
            <w:r w:rsidR="00BD579E">
              <w:rPr>
                <w:noProof/>
                <w:webHidden/>
              </w:rPr>
              <w:fldChar w:fldCharType="end"/>
            </w:r>
          </w:hyperlink>
        </w:p>
        <w:p w14:paraId="2BD3D968" w14:textId="76426F7E" w:rsidR="00C23371" w:rsidRPr="002B6812" w:rsidRDefault="00EF21FB" w:rsidP="00231F2B">
          <w:pPr>
            <w:jc w:val="both"/>
          </w:pPr>
          <w:r w:rsidRPr="002B6812">
            <w:fldChar w:fldCharType="end"/>
          </w:r>
        </w:p>
      </w:sdtContent>
    </w:sdt>
    <w:p w14:paraId="794823F3" w14:textId="77777777" w:rsidR="00C81329" w:rsidRPr="002B6812" w:rsidRDefault="00C81329" w:rsidP="00231F2B">
      <w:pPr>
        <w:jc w:val="both"/>
      </w:pPr>
    </w:p>
    <w:p w14:paraId="15EE5469" w14:textId="77777777" w:rsidR="007E7F79" w:rsidRPr="002B6812" w:rsidRDefault="007E7F79" w:rsidP="00231F2B">
      <w:pPr>
        <w:jc w:val="both"/>
        <w:rPr>
          <w:highlight w:val="yellow"/>
        </w:rPr>
        <w:sectPr w:rsidR="007E7F79" w:rsidRPr="002B6812" w:rsidSect="00525EBE">
          <w:footerReference w:type="first" r:id="rId8"/>
          <w:pgSz w:w="12240" w:h="15840" w:code="1"/>
          <w:pgMar w:top="1440" w:right="1440" w:bottom="1440" w:left="1440" w:header="720" w:footer="720" w:gutter="0"/>
          <w:pgNumType w:start="1"/>
          <w:cols w:space="720"/>
          <w:docGrid w:linePitch="360"/>
        </w:sectPr>
      </w:pPr>
    </w:p>
    <w:p w14:paraId="7328ED66" w14:textId="35AD23CC" w:rsidR="0001741F" w:rsidRPr="002B6812" w:rsidRDefault="0001741F" w:rsidP="00231F2B">
      <w:pPr>
        <w:jc w:val="both"/>
      </w:pPr>
      <w:bookmarkStart w:id="4" w:name="_Toc476167701"/>
      <w:bookmarkStart w:id="5" w:name="_Toc476168021"/>
      <w:r w:rsidRPr="002B6812">
        <w:lastRenderedPageBreak/>
        <w:t>This Statement of Work (SOW) and any exhibits, appendices, schedules, and attachments to it are made pursuant to Work Order</w:t>
      </w:r>
      <w:r w:rsidR="00231F2B">
        <w:t xml:space="preserve"> </w:t>
      </w:r>
      <w:r w:rsidR="00D6393D" w:rsidRPr="00D6393D">
        <w:rPr>
          <w:b/>
          <w:bCs/>
        </w:rPr>
        <w:t>FY20-7-TRAUUNWCB</w:t>
      </w:r>
      <w:r w:rsidRPr="002B6812">
        <w:t xml:space="preserve"> and describes the work to be performed (Services) by Microsoft (“us,” “we”) </w:t>
      </w:r>
      <w:r w:rsidRPr="00B5168F">
        <w:t xml:space="preserve">for </w:t>
      </w:r>
      <w:r w:rsidR="00B5168F" w:rsidRPr="00B5168F">
        <w:rPr>
          <w:rStyle w:val="InstructionalChar"/>
          <w:color w:val="auto"/>
        </w:rPr>
        <w:t xml:space="preserve"> </w:t>
      </w:r>
      <w:r w:rsidRPr="00B5168F">
        <w:t>(“</w:t>
      </w:r>
      <w:r w:rsidR="004744AF" w:rsidRPr="00B5168F">
        <w:t>Customer</w:t>
      </w:r>
      <w:r w:rsidRPr="002B6812">
        <w:t xml:space="preserve">,” “you,” “your”) relating to </w:t>
      </w:r>
      <w:r w:rsidR="00B5168F" w:rsidRPr="00B5168F">
        <w:rPr>
          <w:rStyle w:val="InstructionalChar"/>
          <w:color w:val="auto"/>
        </w:rPr>
        <w:t>Productivity Governance and Compliance</w:t>
      </w:r>
      <w:r w:rsidRPr="00B5168F">
        <w:t xml:space="preserve"> </w:t>
      </w:r>
      <w:r w:rsidRPr="002B6812">
        <w:t>(project).</w:t>
      </w:r>
    </w:p>
    <w:p w14:paraId="0428572C" w14:textId="77777777" w:rsidR="0001741F" w:rsidRPr="002B6812" w:rsidRDefault="4BAA7215" w:rsidP="00231F2B">
      <w:pPr>
        <w:jc w:val="both"/>
      </w:pPr>
      <w:r w:rsidRPr="002B6812">
        <w:t>This SOW and the associated Work Order expire 30 days after their publication date, unless signed by both parties or formally extended in writing by Microsoft.</w:t>
      </w:r>
    </w:p>
    <w:p w14:paraId="4C942469" w14:textId="52ECFE3E" w:rsidR="00C81329" w:rsidRPr="002B6812" w:rsidRDefault="00C81329" w:rsidP="00231F2B">
      <w:pPr>
        <w:pStyle w:val="Heading1"/>
        <w:jc w:val="both"/>
      </w:pPr>
      <w:bookmarkStart w:id="6" w:name="_Toc515009685"/>
      <w:bookmarkStart w:id="7" w:name="_Toc476167702"/>
      <w:bookmarkStart w:id="8" w:name="_Toc476168022"/>
      <w:bookmarkStart w:id="9" w:name="_Ref477786305"/>
      <w:bookmarkStart w:id="10" w:name="_Toc514413038"/>
      <w:bookmarkStart w:id="11" w:name="_Toc517761994"/>
      <w:bookmarkStart w:id="12" w:name="_Toc31291362"/>
      <w:bookmarkEnd w:id="4"/>
      <w:bookmarkEnd w:id="5"/>
      <w:bookmarkEnd w:id="6"/>
      <w:r w:rsidRPr="002B6812">
        <w:t xml:space="preserve">Project </w:t>
      </w:r>
      <w:r w:rsidR="00D8456D" w:rsidRPr="002B6812">
        <w:t>objective</w:t>
      </w:r>
      <w:r w:rsidR="00267D79" w:rsidRPr="002B6812">
        <w:t>s</w:t>
      </w:r>
      <w:r w:rsidR="00D8456D" w:rsidRPr="002B6812">
        <w:t xml:space="preserve"> and scope</w:t>
      </w:r>
      <w:bookmarkEnd w:id="7"/>
      <w:bookmarkEnd w:id="8"/>
      <w:bookmarkEnd w:id="9"/>
      <w:bookmarkEnd w:id="10"/>
      <w:bookmarkEnd w:id="11"/>
      <w:bookmarkEnd w:id="12"/>
    </w:p>
    <w:p w14:paraId="6A459C58" w14:textId="3B717B2E" w:rsidR="005A1C5E" w:rsidRPr="002B6812" w:rsidRDefault="005A1C5E" w:rsidP="00231F2B">
      <w:pPr>
        <w:pStyle w:val="Heading2"/>
        <w:jc w:val="both"/>
      </w:pPr>
      <w:bookmarkStart w:id="13" w:name="_Toc476167703"/>
      <w:bookmarkStart w:id="14" w:name="_Toc476168023"/>
      <w:bookmarkStart w:id="15" w:name="_Toc514413039"/>
      <w:bookmarkStart w:id="16" w:name="_Toc517761995"/>
      <w:bookmarkStart w:id="17" w:name="_Toc31291363"/>
      <w:r w:rsidRPr="002B6812">
        <w:t>Objectives</w:t>
      </w:r>
      <w:bookmarkEnd w:id="13"/>
      <w:bookmarkEnd w:id="14"/>
      <w:bookmarkEnd w:id="15"/>
      <w:bookmarkEnd w:id="16"/>
      <w:bookmarkEnd w:id="17"/>
    </w:p>
    <w:p w14:paraId="1EE6C37C" w14:textId="66380AE1" w:rsidR="004A3492" w:rsidRPr="002B6812" w:rsidRDefault="004A3492" w:rsidP="00231F2B">
      <w:pPr>
        <w:jc w:val="both"/>
        <w:rPr>
          <w:rFonts w:cs="Segoe UI"/>
          <w:szCs w:val="20"/>
        </w:rPr>
      </w:pPr>
      <w:bookmarkStart w:id="18" w:name="_Ref440023556"/>
      <w:r w:rsidRPr="002B6812">
        <w:rPr>
          <w:rFonts w:cs="Segoe UI"/>
          <w:szCs w:val="20"/>
        </w:rPr>
        <w:t xml:space="preserve">The </w:t>
      </w:r>
      <w:r w:rsidRPr="005529FB">
        <w:rPr>
          <w:rFonts w:cs="Segoe UI"/>
          <w:szCs w:val="20"/>
        </w:rPr>
        <w:t xml:space="preserve">standard </w:t>
      </w:r>
      <w:r w:rsidRPr="00E45089">
        <w:rPr>
          <w:rStyle w:val="Strong"/>
          <w:rFonts w:eastAsiaTheme="minorEastAsia" w:cs="Segoe UI"/>
          <w:b w:val="0"/>
          <w:szCs w:val="20"/>
        </w:rPr>
        <w:t>Productivity Governance and Compliance Offer</w:t>
      </w:r>
      <w:r w:rsidRPr="005529FB">
        <w:rPr>
          <w:rFonts w:cs="Segoe UI"/>
          <w:sz w:val="18"/>
          <w:szCs w:val="18"/>
        </w:rPr>
        <w:t xml:space="preserve"> </w:t>
      </w:r>
      <w:r w:rsidRPr="005529FB">
        <w:rPr>
          <w:rFonts w:cs="Segoe UI"/>
          <w:szCs w:val="20"/>
        </w:rPr>
        <w:t>is</w:t>
      </w:r>
      <w:r w:rsidRPr="002B6812">
        <w:rPr>
          <w:rFonts w:cs="Segoe UI"/>
          <w:szCs w:val="20"/>
        </w:rPr>
        <w:t xml:space="preserve"> a </w:t>
      </w:r>
      <w:r w:rsidR="00035730" w:rsidRPr="00035730">
        <w:rPr>
          <w:rFonts w:cs="Segoe UI"/>
          <w:szCs w:val="20"/>
        </w:rPr>
        <w:t>eight</w:t>
      </w:r>
      <w:r w:rsidRPr="00035730">
        <w:rPr>
          <w:rFonts w:cs="Segoe UI"/>
          <w:szCs w:val="20"/>
        </w:rPr>
        <w:t xml:space="preserve"> engagement </w:t>
      </w:r>
      <w:r w:rsidRPr="002B6812">
        <w:rPr>
          <w:rFonts w:cs="Segoe UI"/>
          <w:szCs w:val="20"/>
        </w:rPr>
        <w:t xml:space="preserve">that is delivered on site with the </w:t>
      </w:r>
      <w:r w:rsidR="004744AF" w:rsidRPr="002B6812">
        <w:rPr>
          <w:rFonts w:cs="Segoe UI"/>
          <w:szCs w:val="20"/>
        </w:rPr>
        <w:t>Customer</w:t>
      </w:r>
      <w:r w:rsidRPr="002B6812">
        <w:rPr>
          <w:rFonts w:cs="Segoe UI"/>
          <w:szCs w:val="20"/>
        </w:rPr>
        <w:t xml:space="preserve"> to develop specific, prescriptive governance guidance for the </w:t>
      </w:r>
      <w:r w:rsidR="004744AF" w:rsidRPr="002B6812">
        <w:rPr>
          <w:rFonts w:cs="Segoe UI"/>
          <w:szCs w:val="20"/>
        </w:rPr>
        <w:t>Customer</w:t>
      </w:r>
      <w:r w:rsidRPr="002B6812">
        <w:rPr>
          <w:rFonts w:cs="Segoe UI"/>
          <w:szCs w:val="20"/>
        </w:rPr>
        <w:t xml:space="preserve">’s intended use of Microsoft Office 365—with a particular focus on the collaborative capabilities available </w:t>
      </w:r>
      <w:r w:rsidR="00985C5B">
        <w:rPr>
          <w:rFonts w:cs="Segoe UI"/>
          <w:szCs w:val="20"/>
        </w:rPr>
        <w:t>through</w:t>
      </w:r>
      <w:r w:rsidR="00985C5B" w:rsidRPr="002B6812">
        <w:rPr>
          <w:rFonts w:cs="Segoe UI"/>
          <w:szCs w:val="20"/>
        </w:rPr>
        <w:t xml:space="preserve"> </w:t>
      </w:r>
      <w:r w:rsidRPr="002B6812">
        <w:rPr>
          <w:rFonts w:cs="Segoe UI"/>
          <w:szCs w:val="20"/>
        </w:rPr>
        <w:t>Microsoft SharePoint Online and related Office 365 collaboration functionality. It is intended to:</w:t>
      </w:r>
    </w:p>
    <w:p w14:paraId="15E6369A" w14:textId="3513D40B" w:rsidR="004A3492" w:rsidRPr="00985C5B" w:rsidRDefault="004A3492" w:rsidP="00231F2B">
      <w:pPr>
        <w:pStyle w:val="Bulletlist"/>
        <w:jc w:val="both"/>
      </w:pPr>
      <w:r w:rsidRPr="00985C5B">
        <w:t>Cover traditional governance and identify directive (and configuration specifications, as appropriate) topics that are oriented to the current online version of SharePoint Online and related collaboration functionality, including Office 365 Groups and Microsoft Teams.</w:t>
      </w:r>
    </w:p>
    <w:p w14:paraId="63E18F34" w14:textId="128018FF" w:rsidR="004A3492" w:rsidRPr="00E45089" w:rsidRDefault="004A3492" w:rsidP="00231F2B">
      <w:pPr>
        <w:pStyle w:val="Bulletlist"/>
        <w:jc w:val="both"/>
        <w:rPr>
          <w:rStyle w:val="OptionalChar"/>
          <w:color w:val="auto"/>
        </w:rPr>
      </w:pPr>
      <w:r w:rsidRPr="00985C5B">
        <w:t xml:space="preserve">Produce governance directives that the </w:t>
      </w:r>
      <w:r w:rsidR="004744AF" w:rsidRPr="00985C5B">
        <w:t>Customer</w:t>
      </w:r>
      <w:r w:rsidRPr="00985C5B">
        <w:t xml:space="preserve"> can use to control, administer, and manage Office 365</w:t>
      </w:r>
      <w:r w:rsidR="005529FB">
        <w:t xml:space="preserve"> </w:t>
      </w:r>
      <w:r w:rsidRPr="00985C5B">
        <w:t xml:space="preserve">collaboration capabilities according to </w:t>
      </w:r>
      <w:r w:rsidR="005529FB">
        <w:t>its</w:t>
      </w:r>
      <w:r w:rsidR="005529FB" w:rsidRPr="00985C5B">
        <w:t xml:space="preserve"> </w:t>
      </w:r>
      <w:r w:rsidRPr="00985C5B">
        <w:t>specifications.</w:t>
      </w:r>
    </w:p>
    <w:p w14:paraId="68C9689E" w14:textId="1C22FB10" w:rsidR="00B67647" w:rsidRPr="002B6812" w:rsidRDefault="00B67647" w:rsidP="00231F2B">
      <w:pPr>
        <w:jc w:val="both"/>
      </w:pPr>
      <w:r w:rsidRPr="002B6812">
        <w:t>The project will include the following components</w:t>
      </w:r>
      <w:r w:rsidR="001049E4" w:rsidRPr="002B6812">
        <w:t>.</w:t>
      </w:r>
      <w:bookmarkEnd w:id="18"/>
    </w:p>
    <w:tbl>
      <w:tblPr>
        <w:tblStyle w:val="TableGrid1"/>
        <w:tblW w:w="9362"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1415"/>
        <w:gridCol w:w="7947"/>
      </w:tblGrid>
      <w:tr w:rsidR="00B67647" w:rsidRPr="002B6812" w14:paraId="45E8C5BE" w14:textId="77777777" w:rsidTr="00E45089">
        <w:trPr>
          <w:trHeight w:val="144"/>
          <w:tblHeader/>
        </w:trPr>
        <w:tc>
          <w:tcPr>
            <w:tcW w:w="1415" w:type="dxa"/>
            <w:shd w:val="clear" w:color="auto" w:fill="008272"/>
          </w:tcPr>
          <w:p w14:paraId="11BF5C47" w14:textId="77777777" w:rsidR="00B67647" w:rsidRPr="002B6812" w:rsidRDefault="00B67647" w:rsidP="00231F2B">
            <w:pPr>
              <w:pStyle w:val="Table-Header"/>
              <w:jc w:val="both"/>
            </w:pPr>
            <w:r w:rsidRPr="002B6812">
              <w:t>ID</w:t>
            </w:r>
          </w:p>
        </w:tc>
        <w:tc>
          <w:tcPr>
            <w:tcW w:w="7947" w:type="dxa"/>
            <w:shd w:val="clear" w:color="auto" w:fill="008272"/>
          </w:tcPr>
          <w:p w14:paraId="7543D254" w14:textId="6C8081BE" w:rsidR="00B67647" w:rsidRPr="002B6812" w:rsidRDefault="00B67647" w:rsidP="00231F2B">
            <w:pPr>
              <w:pStyle w:val="Table-Header"/>
              <w:jc w:val="both"/>
            </w:pPr>
            <w:r w:rsidRPr="002B6812">
              <w:t xml:space="preserve">Component </w:t>
            </w:r>
            <w:r w:rsidR="001049E4" w:rsidRPr="002B6812">
              <w:t>name</w:t>
            </w:r>
          </w:p>
        </w:tc>
      </w:tr>
      <w:tr w:rsidR="00B67647" w:rsidRPr="002B6812" w14:paraId="45E70017" w14:textId="77777777" w:rsidTr="00E45089">
        <w:trPr>
          <w:trHeight w:val="193"/>
        </w:trPr>
        <w:tc>
          <w:tcPr>
            <w:tcW w:w="1415" w:type="dxa"/>
            <w:shd w:val="clear" w:color="auto" w:fill="auto"/>
          </w:tcPr>
          <w:p w14:paraId="0DF6F327" w14:textId="2226CC1E" w:rsidR="00B67647" w:rsidRPr="002B6812" w:rsidRDefault="004A3492" w:rsidP="00231F2B">
            <w:pPr>
              <w:pStyle w:val="TableText"/>
              <w:jc w:val="both"/>
            </w:pPr>
            <w:r w:rsidRPr="002B6812">
              <w:t>OIA-01</w:t>
            </w:r>
          </w:p>
        </w:tc>
        <w:tc>
          <w:tcPr>
            <w:tcW w:w="7947" w:type="dxa"/>
            <w:shd w:val="clear" w:color="auto" w:fill="auto"/>
          </w:tcPr>
          <w:p w14:paraId="55DACC93" w14:textId="77777777" w:rsidR="00B67647" w:rsidRPr="002B6812" w:rsidRDefault="004A3492" w:rsidP="00231F2B">
            <w:pPr>
              <w:pStyle w:val="TableText"/>
              <w:jc w:val="both"/>
              <w:rPr>
                <w:rFonts w:ascii="Segoe UI Semilight" w:hAnsi="Segoe UI Semilight"/>
              </w:rPr>
            </w:pPr>
            <w:r w:rsidRPr="002B6812">
              <w:t>Office 365 Information Architecture</w:t>
            </w:r>
          </w:p>
        </w:tc>
      </w:tr>
      <w:tr w:rsidR="00B67647" w:rsidRPr="002B6812" w14:paraId="48F68584" w14:textId="77777777" w:rsidTr="00E45089">
        <w:trPr>
          <w:trHeight w:val="144"/>
        </w:trPr>
        <w:tc>
          <w:tcPr>
            <w:tcW w:w="1415" w:type="dxa"/>
            <w:shd w:val="clear" w:color="auto" w:fill="auto"/>
          </w:tcPr>
          <w:p w14:paraId="49FB4048" w14:textId="3059B069" w:rsidR="004A3492" w:rsidRPr="002B6812" w:rsidRDefault="004A3492" w:rsidP="00231F2B">
            <w:pPr>
              <w:pStyle w:val="TableText"/>
              <w:jc w:val="both"/>
              <w:rPr>
                <w:rFonts w:cs="Segoe UI"/>
              </w:rPr>
            </w:pPr>
            <w:r w:rsidRPr="002B6812">
              <w:rPr>
                <w:rFonts w:cs="Segoe UI"/>
              </w:rPr>
              <w:t>SCG-01</w:t>
            </w:r>
          </w:p>
        </w:tc>
        <w:tc>
          <w:tcPr>
            <w:tcW w:w="7947" w:type="dxa"/>
            <w:shd w:val="clear" w:color="auto" w:fill="auto"/>
          </w:tcPr>
          <w:p w14:paraId="46DDE066" w14:textId="444912BD" w:rsidR="00B67647" w:rsidRPr="002B6812" w:rsidRDefault="004A3492" w:rsidP="00231F2B">
            <w:pPr>
              <w:pStyle w:val="TableText"/>
              <w:jc w:val="both"/>
              <w:rPr>
                <w:rFonts w:cs="Segoe UI"/>
              </w:rPr>
            </w:pPr>
            <w:r w:rsidRPr="002B6812">
              <w:t>Office 365 Security and Compliance Governance</w:t>
            </w:r>
          </w:p>
        </w:tc>
      </w:tr>
      <w:tr w:rsidR="001D4942" w:rsidRPr="002B6812" w14:paraId="6B6EA92B" w14:textId="77777777" w:rsidTr="00E45089">
        <w:trPr>
          <w:trHeight w:val="144"/>
        </w:trPr>
        <w:tc>
          <w:tcPr>
            <w:tcW w:w="1415" w:type="dxa"/>
            <w:shd w:val="clear" w:color="auto" w:fill="auto"/>
          </w:tcPr>
          <w:p w14:paraId="346CF856" w14:textId="00192EC6" w:rsidR="001D4942" w:rsidRPr="002B6812" w:rsidRDefault="00E700E4" w:rsidP="00231F2B">
            <w:pPr>
              <w:pStyle w:val="TableText"/>
              <w:jc w:val="both"/>
              <w:rPr>
                <w:rFonts w:cs="Segoe UI"/>
              </w:rPr>
            </w:pPr>
            <w:r w:rsidRPr="002B6812">
              <w:rPr>
                <w:rFonts w:cs="Segoe UI"/>
              </w:rPr>
              <w:t>OAG-01</w:t>
            </w:r>
          </w:p>
        </w:tc>
        <w:tc>
          <w:tcPr>
            <w:tcW w:w="7947" w:type="dxa"/>
            <w:shd w:val="clear" w:color="auto" w:fill="auto"/>
          </w:tcPr>
          <w:p w14:paraId="537FDDD9" w14:textId="6C91306C" w:rsidR="001D4942" w:rsidRPr="002B6812" w:rsidRDefault="00E700E4" w:rsidP="00231F2B">
            <w:pPr>
              <w:pStyle w:val="TableText"/>
              <w:jc w:val="both"/>
              <w:rPr>
                <w:rFonts w:cs="Segoe UI"/>
              </w:rPr>
            </w:pPr>
            <w:r w:rsidRPr="002B6812">
              <w:t>Office 365 Applications Governance</w:t>
            </w:r>
          </w:p>
        </w:tc>
      </w:tr>
      <w:tr w:rsidR="00B41B64" w:rsidRPr="002B6812" w14:paraId="10FB64B7" w14:textId="77777777" w:rsidTr="00E45089">
        <w:trPr>
          <w:trHeight w:val="144"/>
        </w:trPr>
        <w:tc>
          <w:tcPr>
            <w:tcW w:w="1415" w:type="dxa"/>
            <w:shd w:val="clear" w:color="auto" w:fill="auto"/>
          </w:tcPr>
          <w:p w14:paraId="6E750832" w14:textId="37731750" w:rsidR="00B41B64" w:rsidRPr="002B6812" w:rsidRDefault="00933BC1" w:rsidP="00231F2B">
            <w:pPr>
              <w:pStyle w:val="TableText"/>
              <w:jc w:val="both"/>
            </w:pPr>
            <w:r w:rsidRPr="002B6812">
              <w:t>OOG-01</w:t>
            </w:r>
          </w:p>
        </w:tc>
        <w:tc>
          <w:tcPr>
            <w:tcW w:w="7947" w:type="dxa"/>
            <w:shd w:val="clear" w:color="auto" w:fill="auto"/>
          </w:tcPr>
          <w:p w14:paraId="1AC84B3F" w14:textId="38B1BFFE" w:rsidR="00B41B64" w:rsidRPr="002B6812" w:rsidRDefault="00933BC1" w:rsidP="00231F2B">
            <w:pPr>
              <w:pStyle w:val="TableText"/>
              <w:jc w:val="both"/>
            </w:pPr>
            <w:r w:rsidRPr="002B6812">
              <w:t>Office 365 Operations Governance</w:t>
            </w:r>
          </w:p>
        </w:tc>
      </w:tr>
    </w:tbl>
    <w:p w14:paraId="418136DB" w14:textId="5A4E3D83" w:rsidR="00D8456D" w:rsidRPr="002B6812" w:rsidRDefault="004C2A6F" w:rsidP="00231F2B">
      <w:pPr>
        <w:pStyle w:val="Heading2"/>
        <w:jc w:val="both"/>
      </w:pPr>
      <w:bookmarkStart w:id="19" w:name="_Toc515009688"/>
      <w:bookmarkStart w:id="20" w:name="_Toc476167704"/>
      <w:bookmarkStart w:id="21" w:name="_Toc476168024"/>
      <w:bookmarkStart w:id="22" w:name="_Ref477786310"/>
      <w:bookmarkStart w:id="23" w:name="_Toc514413040"/>
      <w:bookmarkStart w:id="24" w:name="_Toc517761996"/>
      <w:bookmarkStart w:id="25" w:name="_Toc31291364"/>
      <w:bookmarkEnd w:id="19"/>
      <w:r w:rsidRPr="002B6812">
        <w:t xml:space="preserve">Areas </w:t>
      </w:r>
      <w:r w:rsidR="00D8456D" w:rsidRPr="002B6812">
        <w:t>in scope</w:t>
      </w:r>
      <w:bookmarkEnd w:id="20"/>
      <w:bookmarkEnd w:id="21"/>
      <w:bookmarkEnd w:id="22"/>
      <w:bookmarkEnd w:id="23"/>
      <w:bookmarkEnd w:id="24"/>
      <w:bookmarkEnd w:id="25"/>
    </w:p>
    <w:p w14:paraId="1522413C" w14:textId="77777777" w:rsidR="00390A88" w:rsidRPr="002B6812" w:rsidRDefault="00390A88" w:rsidP="00231F2B">
      <w:pPr>
        <w:pStyle w:val="Heading3"/>
        <w:jc w:val="both"/>
      </w:pPr>
      <w:bookmarkStart w:id="26" w:name="_General_project_scope"/>
      <w:bookmarkStart w:id="27" w:name="_Toc476168025"/>
      <w:bookmarkStart w:id="28" w:name="_Ref514404435"/>
      <w:bookmarkStart w:id="29" w:name="_Ref514404470"/>
      <w:bookmarkStart w:id="30" w:name="_Ref514404472"/>
      <w:bookmarkStart w:id="31" w:name="_Ref514404487"/>
      <w:bookmarkStart w:id="32" w:name="_Ref514404500"/>
      <w:bookmarkStart w:id="33" w:name="_Ref514404523"/>
      <w:bookmarkStart w:id="34" w:name="_Ref514404537"/>
      <w:bookmarkStart w:id="35" w:name="_Ref514404773"/>
      <w:bookmarkStart w:id="36" w:name="_Ref514404960"/>
      <w:bookmarkStart w:id="37" w:name="_Ref514404970"/>
      <w:bookmarkStart w:id="38" w:name="_Ref514404992"/>
      <w:bookmarkStart w:id="39" w:name="_Ref514765574"/>
      <w:bookmarkStart w:id="40" w:name="_Ref514765823"/>
      <w:bookmarkStart w:id="41" w:name="_Ref514765983"/>
      <w:bookmarkStart w:id="42" w:name="_Ref514766049"/>
      <w:bookmarkStart w:id="43" w:name="_Ref514766265"/>
      <w:bookmarkStart w:id="44" w:name="_Ref514832908"/>
      <w:bookmarkStart w:id="45" w:name="_Ref514832913"/>
      <w:bookmarkEnd w:id="26"/>
      <w:r w:rsidRPr="002B6812">
        <w:t>General project scope</w:t>
      </w:r>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14:paraId="5E2D4DD2" w14:textId="5A981A8D" w:rsidR="00B67647" w:rsidRPr="002B6812" w:rsidRDefault="00B67647" w:rsidP="00231F2B">
      <w:pPr>
        <w:jc w:val="both"/>
        <w:rPr>
          <w:rStyle w:val="OptionalChar"/>
        </w:rPr>
      </w:pPr>
      <w:r w:rsidRPr="002B6812">
        <w:rPr>
          <w:rFonts w:cs="Segoe UI"/>
        </w:rPr>
        <w:t>The</w:t>
      </w:r>
      <w:r w:rsidR="00AA2395" w:rsidRPr="002B6812">
        <w:rPr>
          <w:rFonts w:cs="Segoe UI"/>
        </w:rPr>
        <w:t xml:space="preserve"> </w:t>
      </w:r>
      <w:r w:rsidR="004A3492" w:rsidRPr="002B6812">
        <w:rPr>
          <w:rFonts w:cs="Segoe UI"/>
        </w:rPr>
        <w:t xml:space="preserve">Productivity Governance and Compliance </w:t>
      </w:r>
      <w:r w:rsidRPr="002B6812">
        <w:rPr>
          <w:rFonts w:cs="Segoe UI"/>
        </w:rPr>
        <w:t>project components and scope are specified in the following table.</w:t>
      </w:r>
    </w:p>
    <w:p w14:paraId="68C4347D" w14:textId="45CA361D" w:rsidR="005A1C5E" w:rsidRPr="002B6812" w:rsidRDefault="005A1C5E" w:rsidP="00231F2B">
      <w:pPr>
        <w:pStyle w:val="Instructional"/>
        <w:jc w:val="both"/>
      </w:pPr>
    </w:p>
    <w:tbl>
      <w:tblPr>
        <w:tblStyle w:val="TableGrid1"/>
        <w:tblW w:w="9362"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117"/>
        <w:gridCol w:w="5265"/>
        <w:gridCol w:w="1980"/>
      </w:tblGrid>
      <w:tr w:rsidR="003D1C77" w:rsidRPr="002B6812" w14:paraId="3DBA0C28" w14:textId="77777777" w:rsidTr="00BF212B">
        <w:trPr>
          <w:trHeight w:val="360"/>
          <w:tblHeader/>
        </w:trPr>
        <w:tc>
          <w:tcPr>
            <w:tcW w:w="2117" w:type="dxa"/>
            <w:shd w:val="clear" w:color="auto" w:fill="008272"/>
          </w:tcPr>
          <w:p w14:paraId="4A1E91C0" w14:textId="77777777" w:rsidR="003D1C77" w:rsidRPr="002B6812" w:rsidRDefault="003D1C77" w:rsidP="00231F2B">
            <w:pPr>
              <w:pStyle w:val="Table-Header"/>
              <w:jc w:val="both"/>
              <w:rPr>
                <w:rFonts w:cs="Segoe UI"/>
                <w:szCs w:val="20"/>
              </w:rPr>
            </w:pPr>
            <w:r w:rsidRPr="002B6812">
              <w:rPr>
                <w:rFonts w:cs="Segoe UI"/>
              </w:rPr>
              <w:lastRenderedPageBreak/>
              <w:t>Component (ID)</w:t>
            </w:r>
          </w:p>
        </w:tc>
        <w:tc>
          <w:tcPr>
            <w:tcW w:w="5265" w:type="dxa"/>
            <w:shd w:val="clear" w:color="auto" w:fill="008272"/>
          </w:tcPr>
          <w:p w14:paraId="11CA53A3" w14:textId="77777777" w:rsidR="003D1C77" w:rsidRPr="002B6812" w:rsidRDefault="003D1C77" w:rsidP="00231F2B">
            <w:pPr>
              <w:pStyle w:val="Table-Header"/>
              <w:jc w:val="both"/>
              <w:rPr>
                <w:rFonts w:cs="Segoe UI"/>
                <w:szCs w:val="20"/>
              </w:rPr>
            </w:pPr>
            <w:r w:rsidRPr="002B6812">
              <w:rPr>
                <w:rFonts w:cs="Segoe UI"/>
              </w:rPr>
              <w:t xml:space="preserve">Description </w:t>
            </w:r>
          </w:p>
        </w:tc>
        <w:tc>
          <w:tcPr>
            <w:tcW w:w="1980" w:type="dxa"/>
            <w:shd w:val="clear" w:color="auto" w:fill="008272"/>
          </w:tcPr>
          <w:p w14:paraId="19F74260" w14:textId="77777777" w:rsidR="003D1C77" w:rsidRPr="002B6812" w:rsidRDefault="003D1C77" w:rsidP="00231F2B">
            <w:pPr>
              <w:pStyle w:val="Table-Header"/>
              <w:jc w:val="both"/>
              <w:rPr>
                <w:rFonts w:cs="Segoe UI"/>
                <w:szCs w:val="20"/>
              </w:rPr>
            </w:pPr>
            <w:r w:rsidRPr="002B6812">
              <w:rPr>
                <w:rFonts w:cs="Segoe UI"/>
              </w:rPr>
              <w:t>Assumptions</w:t>
            </w:r>
          </w:p>
        </w:tc>
      </w:tr>
      <w:tr w:rsidR="003D1C77" w:rsidRPr="002B6812" w14:paraId="776EA75E" w14:textId="77777777" w:rsidTr="00BF212B">
        <w:trPr>
          <w:trHeight w:val="432"/>
        </w:trPr>
        <w:tc>
          <w:tcPr>
            <w:tcW w:w="2117" w:type="dxa"/>
            <w:shd w:val="clear" w:color="auto" w:fill="auto"/>
          </w:tcPr>
          <w:p w14:paraId="2571259D" w14:textId="1EBEB63A" w:rsidR="003D1C77" w:rsidRPr="002B6812" w:rsidRDefault="004A3492" w:rsidP="00231F2B">
            <w:pPr>
              <w:pStyle w:val="TableText"/>
              <w:jc w:val="both"/>
            </w:pPr>
            <w:r w:rsidRPr="002B6812">
              <w:t xml:space="preserve">Office 365 Information Architecture </w:t>
            </w:r>
            <w:r w:rsidR="00397364" w:rsidRPr="002B6812">
              <w:t>(</w:t>
            </w:r>
            <w:r w:rsidRPr="002B6812">
              <w:t>OIA</w:t>
            </w:r>
            <w:r w:rsidR="00397364" w:rsidRPr="002B6812">
              <w:t>-01)</w:t>
            </w:r>
          </w:p>
        </w:tc>
        <w:tc>
          <w:tcPr>
            <w:tcW w:w="5265" w:type="dxa"/>
            <w:shd w:val="clear" w:color="auto" w:fill="auto"/>
          </w:tcPr>
          <w:p w14:paraId="0659B3D5" w14:textId="784AE521" w:rsidR="004A3492" w:rsidRDefault="00E02DAD" w:rsidP="00231F2B">
            <w:pPr>
              <w:pStyle w:val="Bulletlist"/>
              <w:jc w:val="both"/>
            </w:pPr>
            <w:r w:rsidRPr="00E45089">
              <w:t>D</w:t>
            </w:r>
            <w:r w:rsidR="00996375" w:rsidRPr="00E45089">
              <w:t>eliver</w:t>
            </w:r>
            <w:r w:rsidRPr="00E45089">
              <w:t>y</w:t>
            </w:r>
            <w:r w:rsidR="00996375" w:rsidRPr="00E45089">
              <w:t xml:space="preserve"> </w:t>
            </w:r>
            <w:r w:rsidRPr="00E45089">
              <w:t xml:space="preserve">of </w:t>
            </w:r>
            <w:r w:rsidR="004A3492" w:rsidRPr="00E45089">
              <w:t xml:space="preserve">up </w:t>
            </w:r>
            <w:r w:rsidR="004A3492" w:rsidRPr="0011559E">
              <w:t xml:space="preserve">to </w:t>
            </w:r>
            <w:r w:rsidR="003C7420" w:rsidRPr="0011559E">
              <w:t xml:space="preserve">4 </w:t>
            </w:r>
            <w:r w:rsidR="004A3492" w:rsidRPr="0011559E">
              <w:t>Office</w:t>
            </w:r>
            <w:r w:rsidR="004A3492" w:rsidRPr="00E45089">
              <w:t xml:space="preserve"> 365 information architecture assessment and planning workshops related to the development of information architecture directives</w:t>
            </w:r>
            <w:r w:rsidR="00264D37" w:rsidRPr="00E45089">
              <w:t xml:space="preserve"> that define </w:t>
            </w:r>
            <w:r w:rsidR="004A3492" w:rsidRPr="00E45089">
              <w:t>how different service workloads will be used by the organization for various business and technical purposes</w:t>
            </w:r>
            <w:r w:rsidR="006F4534">
              <w:t>. Timeboxed at 40 hours</w:t>
            </w:r>
          </w:p>
          <w:p w14:paraId="6C452CDB" w14:textId="77777777" w:rsidR="00713B09" w:rsidRDefault="00713B09" w:rsidP="00713B09">
            <w:pPr>
              <w:pStyle w:val="Bulletlist"/>
              <w:numPr>
                <w:ilvl w:val="0"/>
                <w:numId w:val="0"/>
              </w:numPr>
              <w:ind w:left="360"/>
              <w:jc w:val="both"/>
            </w:pPr>
          </w:p>
          <w:p w14:paraId="6E625B6E" w14:textId="331A5A5B" w:rsidR="001D2149" w:rsidRPr="00E45089" w:rsidRDefault="001D2149" w:rsidP="00231F2B">
            <w:pPr>
              <w:pStyle w:val="Bulletlist"/>
              <w:jc w:val="both"/>
            </w:pPr>
            <w:r>
              <w:t xml:space="preserve">Definition of the pre-requisites and support for </w:t>
            </w:r>
            <w:r w:rsidR="00F956E9">
              <w:t xml:space="preserve">Skype and Exchange </w:t>
            </w:r>
            <w:r>
              <w:t xml:space="preserve">Hybrid enablement; </w:t>
            </w:r>
          </w:p>
          <w:p w14:paraId="01B536EC" w14:textId="77777777" w:rsidR="00713B09" w:rsidRDefault="00713B09" w:rsidP="00713B09">
            <w:pPr>
              <w:pStyle w:val="Optional"/>
              <w:ind w:left="360"/>
              <w:jc w:val="both"/>
              <w:rPr>
                <w:color w:val="auto"/>
              </w:rPr>
            </w:pPr>
          </w:p>
          <w:p w14:paraId="476C9907" w14:textId="364371E2" w:rsidR="004A3492" w:rsidRPr="00713B09" w:rsidRDefault="004A3492" w:rsidP="00713B09">
            <w:pPr>
              <w:pStyle w:val="Optional"/>
              <w:numPr>
                <w:ilvl w:val="0"/>
                <w:numId w:val="21"/>
              </w:numPr>
              <w:jc w:val="both"/>
              <w:rPr>
                <w:color w:val="auto"/>
              </w:rPr>
            </w:pPr>
            <w:r w:rsidRPr="0095453F">
              <w:rPr>
                <w:color w:val="auto"/>
              </w:rPr>
              <w:t>Assistance with additional Office 365 information architecture-related planning beyond the scope of the baseline component (</w:t>
            </w:r>
            <w:r w:rsidR="000D4DE5" w:rsidRPr="0095453F">
              <w:rPr>
                <w:color w:val="auto"/>
              </w:rPr>
              <w:t>for example</w:t>
            </w:r>
            <w:r w:rsidRPr="0095453F">
              <w:rPr>
                <w:color w:val="auto"/>
              </w:rPr>
              <w:t xml:space="preserve"> additional time needed,</w:t>
            </w:r>
            <w:r w:rsidR="00F71933" w:rsidRPr="0095453F">
              <w:rPr>
                <w:color w:val="auto"/>
              </w:rPr>
              <w:t xml:space="preserve"> or </w:t>
            </w:r>
            <w:r w:rsidRPr="0095453F">
              <w:rPr>
                <w:color w:val="auto"/>
              </w:rPr>
              <w:t>additional topic coverage)</w:t>
            </w:r>
            <w:r w:rsidR="00F71933" w:rsidRPr="0095453F">
              <w:rPr>
                <w:color w:val="auto"/>
              </w:rPr>
              <w:t>. Such assistance is</w:t>
            </w:r>
            <w:r w:rsidRPr="0095453F">
              <w:rPr>
                <w:color w:val="auto"/>
              </w:rPr>
              <w:t xml:space="preserve"> limited to </w:t>
            </w:r>
            <w:r w:rsidR="0095453F" w:rsidRPr="0095453F">
              <w:rPr>
                <w:rStyle w:val="InstructionalChar"/>
                <w:color w:val="auto"/>
              </w:rPr>
              <w:t>40</w:t>
            </w:r>
            <w:r w:rsidRPr="0095453F">
              <w:rPr>
                <w:color w:val="auto"/>
              </w:rPr>
              <w:t xml:space="preserve"> hours over no longer than </w:t>
            </w:r>
            <w:r w:rsidR="0095453F" w:rsidRPr="0095453F">
              <w:rPr>
                <w:color w:val="auto"/>
              </w:rPr>
              <w:t>1</w:t>
            </w:r>
            <w:r w:rsidRPr="0095453F">
              <w:rPr>
                <w:color w:val="auto"/>
              </w:rPr>
              <w:t xml:space="preserve"> weeks).</w:t>
            </w:r>
          </w:p>
        </w:tc>
        <w:tc>
          <w:tcPr>
            <w:tcW w:w="1980" w:type="dxa"/>
            <w:shd w:val="clear" w:color="auto" w:fill="auto"/>
          </w:tcPr>
          <w:p w14:paraId="72E9DB45" w14:textId="2438B98B" w:rsidR="003D1C77" w:rsidRDefault="005E7552" w:rsidP="00231F2B">
            <w:pPr>
              <w:pStyle w:val="TableText"/>
              <w:jc w:val="both"/>
            </w:pPr>
            <w:r w:rsidRPr="002B6812">
              <w:t>The organization plans to use Office 365</w:t>
            </w:r>
            <w:r w:rsidR="000D4DE5">
              <w:t xml:space="preserve"> </w:t>
            </w:r>
            <w:r w:rsidR="000D4DE5" w:rsidRPr="002B6812">
              <w:t xml:space="preserve">for at least </w:t>
            </w:r>
            <w:r w:rsidR="000D4DE5">
              <w:t>1</w:t>
            </w:r>
            <w:r w:rsidR="000D4DE5" w:rsidRPr="002B6812">
              <w:t xml:space="preserve"> collaborative workload</w:t>
            </w:r>
            <w:r w:rsidRPr="002B6812">
              <w:t>.</w:t>
            </w:r>
          </w:p>
          <w:p w14:paraId="71FE806D" w14:textId="77777777" w:rsidR="0047145B" w:rsidRDefault="0047145B" w:rsidP="00231F2B">
            <w:pPr>
              <w:pStyle w:val="TableText"/>
              <w:jc w:val="both"/>
            </w:pPr>
          </w:p>
          <w:p w14:paraId="68E6C05D" w14:textId="346176FF" w:rsidR="0047145B" w:rsidRPr="002B6812" w:rsidRDefault="0047145B" w:rsidP="00231F2B">
            <w:pPr>
              <w:pStyle w:val="TableText"/>
              <w:jc w:val="both"/>
            </w:pPr>
          </w:p>
        </w:tc>
      </w:tr>
      <w:tr w:rsidR="003D1C77" w:rsidRPr="002B6812" w14:paraId="0EAB9DC4" w14:textId="77777777" w:rsidTr="00BF212B">
        <w:trPr>
          <w:trHeight w:val="432"/>
        </w:trPr>
        <w:tc>
          <w:tcPr>
            <w:tcW w:w="2117" w:type="dxa"/>
            <w:shd w:val="clear" w:color="auto" w:fill="auto"/>
          </w:tcPr>
          <w:p w14:paraId="6B17BD74" w14:textId="20663AF1" w:rsidR="003D1C77" w:rsidRPr="002B6812" w:rsidRDefault="00CE2513" w:rsidP="00231F2B">
            <w:pPr>
              <w:pStyle w:val="TableText"/>
              <w:jc w:val="both"/>
              <w:rPr>
                <w:rFonts w:cs="Segoe UI"/>
                <w:szCs w:val="20"/>
              </w:rPr>
            </w:pPr>
            <w:r w:rsidRPr="002B6812">
              <w:t>Office 365 Security and Compliance Governance (SCG-01)</w:t>
            </w:r>
          </w:p>
        </w:tc>
        <w:tc>
          <w:tcPr>
            <w:tcW w:w="5265" w:type="dxa"/>
            <w:shd w:val="clear" w:color="auto" w:fill="auto"/>
          </w:tcPr>
          <w:p w14:paraId="2D6E0CBE" w14:textId="2F383363" w:rsidR="00C27B14" w:rsidRPr="00D94F0C" w:rsidRDefault="00CE2513" w:rsidP="00231F2B">
            <w:pPr>
              <w:pStyle w:val="Bulletlist"/>
              <w:jc w:val="both"/>
              <w:rPr>
                <w:rFonts w:eastAsia="Calibri"/>
              </w:rPr>
            </w:pPr>
            <w:r w:rsidRPr="002B6812">
              <w:t>Deliver</w:t>
            </w:r>
            <w:r w:rsidR="00646808">
              <w:t>y of</w:t>
            </w:r>
            <w:r w:rsidRPr="002B6812">
              <w:t xml:space="preserve"> up to </w:t>
            </w:r>
            <w:r w:rsidR="001D2F8A" w:rsidRPr="002B6812">
              <w:t>7</w:t>
            </w:r>
            <w:r w:rsidRPr="002B6812">
              <w:t xml:space="preserve"> Office 365 security and compliance assessment and planning workshops related to the development of Office 365 security and compliance governance directives </w:t>
            </w:r>
            <w:r w:rsidR="00646808">
              <w:t xml:space="preserve">that </w:t>
            </w:r>
            <w:r w:rsidR="00646808" w:rsidRPr="002B6812">
              <w:t>defin</w:t>
            </w:r>
            <w:r w:rsidR="00646808">
              <w:t>e</w:t>
            </w:r>
            <w:r w:rsidR="00646808" w:rsidRPr="002B6812">
              <w:t xml:space="preserve"> </w:t>
            </w:r>
            <w:r w:rsidRPr="002B6812">
              <w:t>how different service workloads will be secured by the organization for various business and technical purposes</w:t>
            </w:r>
            <w:r w:rsidR="00F213AD">
              <w:t xml:space="preserve">. </w:t>
            </w:r>
            <w:r w:rsidR="00D657D7">
              <w:t>T</w:t>
            </w:r>
            <w:r w:rsidR="00836933">
              <w:t>imeboxed at 40 hours</w:t>
            </w:r>
            <w:r w:rsidRPr="002B6812">
              <w:t xml:space="preserve">. </w:t>
            </w:r>
          </w:p>
          <w:p w14:paraId="7842D9CD" w14:textId="578A0286" w:rsidR="00CE2513" w:rsidRPr="0095453F" w:rsidRDefault="00CE2513" w:rsidP="00231F2B">
            <w:pPr>
              <w:pStyle w:val="Optional"/>
              <w:numPr>
                <w:ilvl w:val="0"/>
                <w:numId w:val="21"/>
              </w:numPr>
              <w:spacing w:before="0"/>
              <w:jc w:val="both"/>
              <w:rPr>
                <w:color w:val="auto"/>
              </w:rPr>
            </w:pPr>
            <w:r w:rsidRPr="0095453F">
              <w:rPr>
                <w:color w:val="auto"/>
              </w:rPr>
              <w:t>Assistance with additional Office 365 security and compliance</w:t>
            </w:r>
            <w:r w:rsidR="005422C7" w:rsidRPr="0095453F">
              <w:rPr>
                <w:color w:val="auto"/>
              </w:rPr>
              <w:t>–</w:t>
            </w:r>
            <w:r w:rsidRPr="0095453F">
              <w:rPr>
                <w:color w:val="auto"/>
              </w:rPr>
              <w:t>related planning beyond the scope of the baseline component</w:t>
            </w:r>
            <w:r w:rsidR="005422C7" w:rsidRPr="0095453F">
              <w:rPr>
                <w:color w:val="auto"/>
              </w:rPr>
              <w:t>s</w:t>
            </w:r>
            <w:r w:rsidRPr="0095453F">
              <w:rPr>
                <w:color w:val="auto"/>
              </w:rPr>
              <w:t xml:space="preserve"> (</w:t>
            </w:r>
            <w:r w:rsidR="005422C7" w:rsidRPr="0095453F">
              <w:rPr>
                <w:color w:val="auto"/>
              </w:rPr>
              <w:t>such as</w:t>
            </w:r>
            <w:r w:rsidRPr="0095453F">
              <w:rPr>
                <w:color w:val="auto"/>
              </w:rPr>
              <w:t xml:space="preserve"> additional time needed</w:t>
            </w:r>
            <w:r w:rsidR="005422C7" w:rsidRPr="0095453F">
              <w:rPr>
                <w:color w:val="auto"/>
              </w:rPr>
              <w:t xml:space="preserve"> or</w:t>
            </w:r>
            <w:r w:rsidRPr="0095453F">
              <w:rPr>
                <w:color w:val="auto"/>
              </w:rPr>
              <w:t xml:space="preserve"> additional topic coverage)</w:t>
            </w:r>
            <w:r w:rsidR="00A8546D" w:rsidRPr="0095453F">
              <w:rPr>
                <w:color w:val="auto"/>
              </w:rPr>
              <w:t xml:space="preserve">. Such assistance is </w:t>
            </w:r>
            <w:r w:rsidRPr="0095453F">
              <w:rPr>
                <w:color w:val="auto"/>
              </w:rPr>
              <w:t xml:space="preserve">limited to up to </w:t>
            </w:r>
            <w:r w:rsidR="0095453F" w:rsidRPr="0095453F">
              <w:rPr>
                <w:color w:val="auto"/>
              </w:rPr>
              <w:t>40</w:t>
            </w:r>
            <w:r w:rsidRPr="0095453F">
              <w:rPr>
                <w:color w:val="auto"/>
              </w:rPr>
              <w:t xml:space="preserve"> hours over a duration of no longer than </w:t>
            </w:r>
            <w:r w:rsidR="0095453F" w:rsidRPr="0095453F">
              <w:rPr>
                <w:color w:val="auto"/>
              </w:rPr>
              <w:t>1</w:t>
            </w:r>
            <w:r w:rsidRPr="0095453F">
              <w:rPr>
                <w:color w:val="auto"/>
              </w:rPr>
              <w:t xml:space="preserve"> weeks)</w:t>
            </w:r>
            <w:r w:rsidR="00A8546D" w:rsidRPr="0095453F">
              <w:rPr>
                <w:color w:val="auto"/>
              </w:rPr>
              <w:t>.</w:t>
            </w:r>
          </w:p>
          <w:p w14:paraId="13162C2C" w14:textId="320D36AA" w:rsidR="00CE2513" w:rsidRPr="002B6812" w:rsidRDefault="00CE2513" w:rsidP="00231F2B">
            <w:pPr>
              <w:pStyle w:val="TableBullet1"/>
              <w:numPr>
                <w:ilvl w:val="0"/>
                <w:numId w:val="0"/>
              </w:numPr>
              <w:spacing w:before="0"/>
              <w:contextualSpacing w:val="0"/>
              <w:jc w:val="both"/>
              <w:rPr>
                <w:rFonts w:eastAsia="Calibri"/>
              </w:rPr>
            </w:pPr>
          </w:p>
        </w:tc>
        <w:tc>
          <w:tcPr>
            <w:tcW w:w="1980" w:type="dxa"/>
            <w:shd w:val="clear" w:color="auto" w:fill="auto"/>
          </w:tcPr>
          <w:p w14:paraId="7EAB5A14" w14:textId="1E239EA0" w:rsidR="003D1C77" w:rsidRPr="002B6812" w:rsidRDefault="00CE2513" w:rsidP="00231F2B">
            <w:pPr>
              <w:pStyle w:val="TableText"/>
              <w:jc w:val="both"/>
              <w:rPr>
                <w:rFonts w:cs="Segoe UI"/>
                <w:szCs w:val="20"/>
              </w:rPr>
            </w:pPr>
            <w:r w:rsidRPr="002B6812">
              <w:t xml:space="preserve">The organization plans to use Office 365 security and compliance control capabilities </w:t>
            </w:r>
            <w:r w:rsidR="005422C7">
              <w:t>(</w:t>
            </w:r>
            <w:r w:rsidRPr="002B6812">
              <w:t>in addition to Exchange Online and OneDrive for Business, preferably SharePoint Online, Groups and Teams</w:t>
            </w:r>
            <w:r w:rsidR="005422C7">
              <w:t xml:space="preserve">) </w:t>
            </w:r>
            <w:r w:rsidR="005422C7" w:rsidRPr="002B6812">
              <w:t xml:space="preserve">for at least </w:t>
            </w:r>
            <w:r w:rsidR="005422C7">
              <w:t>1</w:t>
            </w:r>
            <w:r w:rsidR="005422C7" w:rsidRPr="002B6812">
              <w:t xml:space="preserve"> collaborative workload</w:t>
            </w:r>
            <w:r w:rsidR="005422C7">
              <w:t>.</w:t>
            </w:r>
          </w:p>
        </w:tc>
      </w:tr>
      <w:tr w:rsidR="00D65356" w:rsidRPr="002B6812" w14:paraId="1450B51B" w14:textId="77777777" w:rsidTr="00BF212B">
        <w:trPr>
          <w:trHeight w:val="432"/>
        </w:trPr>
        <w:tc>
          <w:tcPr>
            <w:tcW w:w="2117" w:type="dxa"/>
            <w:shd w:val="clear" w:color="auto" w:fill="auto"/>
          </w:tcPr>
          <w:p w14:paraId="57A8CBA4" w14:textId="03187C02" w:rsidR="00D65356" w:rsidRPr="002B6812" w:rsidRDefault="00E700E4" w:rsidP="00231F2B">
            <w:pPr>
              <w:pStyle w:val="TableText"/>
              <w:jc w:val="both"/>
              <w:rPr>
                <w:rFonts w:cs="Segoe UI"/>
                <w:szCs w:val="20"/>
              </w:rPr>
            </w:pPr>
            <w:r w:rsidRPr="002B6812">
              <w:t xml:space="preserve">Office 365 Applications Governance </w:t>
            </w:r>
            <w:r w:rsidR="00E45089">
              <w:br/>
            </w:r>
            <w:r w:rsidRPr="002B6812">
              <w:t>(OAG-01)</w:t>
            </w:r>
          </w:p>
        </w:tc>
        <w:tc>
          <w:tcPr>
            <w:tcW w:w="5265" w:type="dxa"/>
            <w:shd w:val="clear" w:color="auto" w:fill="auto"/>
          </w:tcPr>
          <w:p w14:paraId="44F23DF3" w14:textId="1500B057" w:rsidR="00E700E4" w:rsidRPr="0095453F" w:rsidRDefault="00E700E4" w:rsidP="00231F2B">
            <w:pPr>
              <w:pStyle w:val="TableBullet1"/>
              <w:jc w:val="both"/>
            </w:pPr>
            <w:r w:rsidRPr="0095453F">
              <w:t>Deliver</w:t>
            </w:r>
            <w:r w:rsidR="00EA7614" w:rsidRPr="0095453F">
              <w:t>y of</w:t>
            </w:r>
            <w:r w:rsidRPr="0095453F">
              <w:t xml:space="preserve"> up to </w:t>
            </w:r>
            <w:r w:rsidR="001D2F8A" w:rsidRPr="0095453F">
              <w:t>6</w:t>
            </w:r>
            <w:r w:rsidRPr="0095453F">
              <w:t xml:space="preserve"> Office 365 application governance assessment and planning workshops related to the development of Office 365 applications governance directives</w:t>
            </w:r>
            <w:r w:rsidR="004E1807" w:rsidRPr="0095453F">
              <w:t xml:space="preserve"> that</w:t>
            </w:r>
            <w:r w:rsidRPr="0095453F">
              <w:t xml:space="preserve"> </w:t>
            </w:r>
            <w:r w:rsidR="004E1807" w:rsidRPr="0095453F">
              <w:t xml:space="preserve">define </w:t>
            </w:r>
            <w:r w:rsidRPr="0095453F">
              <w:t>how core workloads (Groups, Exchange, SharePoint, OneDrive for Business</w:t>
            </w:r>
            <w:r w:rsidR="004E1807" w:rsidRPr="0095453F">
              <w:t>,</w:t>
            </w:r>
            <w:r w:rsidRPr="0095453F">
              <w:t xml:space="preserve"> and Teams) will be controlled by the organization for various business and technical purposes.</w:t>
            </w:r>
            <w:r w:rsidR="00112AD1" w:rsidRPr="0095453F">
              <w:t xml:space="preserve"> Timeboxed at 40 hours</w:t>
            </w:r>
            <w:r w:rsidR="00D94F0C" w:rsidRPr="0095453F">
              <w:t>.</w:t>
            </w:r>
          </w:p>
          <w:p w14:paraId="28E3C4B9" w14:textId="77777777" w:rsidR="0095453F" w:rsidRPr="0095453F" w:rsidRDefault="0095453F" w:rsidP="00231F2B">
            <w:pPr>
              <w:pStyle w:val="TableBullet1"/>
              <w:numPr>
                <w:ilvl w:val="0"/>
                <w:numId w:val="0"/>
              </w:numPr>
              <w:ind w:left="360"/>
              <w:jc w:val="both"/>
            </w:pPr>
          </w:p>
          <w:p w14:paraId="305C160E" w14:textId="3C95B1F7" w:rsidR="00E700E4" w:rsidRPr="0095453F" w:rsidRDefault="00E700E4" w:rsidP="00231F2B">
            <w:pPr>
              <w:pStyle w:val="Optional"/>
              <w:numPr>
                <w:ilvl w:val="0"/>
                <w:numId w:val="21"/>
              </w:numPr>
              <w:jc w:val="both"/>
              <w:rPr>
                <w:color w:val="auto"/>
              </w:rPr>
            </w:pPr>
            <w:r w:rsidRPr="0095453F">
              <w:rPr>
                <w:color w:val="auto"/>
              </w:rPr>
              <w:t>Assist</w:t>
            </w:r>
            <w:r w:rsidR="00DA6A87" w:rsidRPr="0095453F">
              <w:rPr>
                <w:color w:val="auto"/>
              </w:rPr>
              <w:t>ance</w:t>
            </w:r>
            <w:r w:rsidRPr="0095453F">
              <w:rPr>
                <w:color w:val="auto"/>
              </w:rPr>
              <w:t xml:space="preserve"> with additional Office 365 </w:t>
            </w:r>
            <w:r w:rsidR="00F64CF4" w:rsidRPr="0095453F">
              <w:rPr>
                <w:color w:val="auto"/>
              </w:rPr>
              <w:t>applications</w:t>
            </w:r>
            <w:r w:rsidR="002B6812" w:rsidRPr="0095453F">
              <w:rPr>
                <w:color w:val="auto"/>
              </w:rPr>
              <w:t xml:space="preserve"> </w:t>
            </w:r>
            <w:r w:rsidRPr="0095453F">
              <w:rPr>
                <w:color w:val="auto"/>
              </w:rPr>
              <w:t>planning beyond the scope of the baseline component</w:t>
            </w:r>
            <w:r w:rsidR="00DA6A87" w:rsidRPr="0095453F">
              <w:rPr>
                <w:color w:val="auto"/>
              </w:rPr>
              <w:t>s</w:t>
            </w:r>
            <w:r w:rsidRPr="0095453F">
              <w:rPr>
                <w:color w:val="auto"/>
              </w:rPr>
              <w:t xml:space="preserve"> (</w:t>
            </w:r>
            <w:r w:rsidR="00F87695" w:rsidRPr="0095453F">
              <w:rPr>
                <w:color w:val="auto"/>
              </w:rPr>
              <w:t>such as</w:t>
            </w:r>
            <w:r w:rsidRPr="0095453F">
              <w:rPr>
                <w:color w:val="auto"/>
              </w:rPr>
              <w:t xml:space="preserve"> additional time needed</w:t>
            </w:r>
            <w:r w:rsidR="00F87695" w:rsidRPr="0095453F">
              <w:rPr>
                <w:color w:val="auto"/>
              </w:rPr>
              <w:t xml:space="preserve"> or</w:t>
            </w:r>
            <w:r w:rsidRPr="0095453F">
              <w:rPr>
                <w:color w:val="auto"/>
              </w:rPr>
              <w:t xml:space="preserve"> </w:t>
            </w:r>
            <w:r w:rsidRPr="0095453F">
              <w:rPr>
                <w:color w:val="auto"/>
              </w:rPr>
              <w:lastRenderedPageBreak/>
              <w:t>additional topic coverage)</w:t>
            </w:r>
            <w:r w:rsidR="00F87695" w:rsidRPr="0095453F">
              <w:rPr>
                <w:color w:val="auto"/>
              </w:rPr>
              <w:t>.</w:t>
            </w:r>
            <w:r w:rsidRPr="0095453F">
              <w:rPr>
                <w:color w:val="auto"/>
              </w:rPr>
              <w:t xml:space="preserve"> </w:t>
            </w:r>
            <w:r w:rsidR="00F87695" w:rsidRPr="0095453F">
              <w:rPr>
                <w:color w:val="auto"/>
              </w:rPr>
              <w:t xml:space="preserve">Such assistance is </w:t>
            </w:r>
            <w:r w:rsidRPr="0095453F">
              <w:rPr>
                <w:color w:val="auto"/>
              </w:rPr>
              <w:t xml:space="preserve">limited to </w:t>
            </w:r>
            <w:r w:rsidR="0095453F" w:rsidRPr="0095453F">
              <w:rPr>
                <w:color w:val="auto"/>
              </w:rPr>
              <w:t>40</w:t>
            </w:r>
            <w:r w:rsidRPr="0095453F">
              <w:rPr>
                <w:color w:val="auto"/>
              </w:rPr>
              <w:t xml:space="preserve"> hours over no longer than </w:t>
            </w:r>
            <w:r w:rsidR="0095453F" w:rsidRPr="0095453F">
              <w:rPr>
                <w:color w:val="auto"/>
              </w:rPr>
              <w:t>1</w:t>
            </w:r>
            <w:r w:rsidRPr="0095453F">
              <w:rPr>
                <w:color w:val="auto"/>
              </w:rPr>
              <w:t xml:space="preserve"> weeks).</w:t>
            </w:r>
          </w:p>
          <w:p w14:paraId="0199485F" w14:textId="01CF0861" w:rsidR="00E700E4" w:rsidRPr="0095453F" w:rsidRDefault="00E700E4" w:rsidP="00231F2B">
            <w:pPr>
              <w:pStyle w:val="TableBullet1"/>
              <w:numPr>
                <w:ilvl w:val="0"/>
                <w:numId w:val="0"/>
              </w:numPr>
              <w:jc w:val="both"/>
              <w:rPr>
                <w:rFonts w:cs="Segoe UI"/>
              </w:rPr>
            </w:pPr>
          </w:p>
        </w:tc>
        <w:tc>
          <w:tcPr>
            <w:tcW w:w="1980" w:type="dxa"/>
            <w:shd w:val="clear" w:color="auto" w:fill="auto"/>
          </w:tcPr>
          <w:p w14:paraId="551C9519" w14:textId="58F2D1B4" w:rsidR="00F67214" w:rsidRPr="0095453F" w:rsidRDefault="00E700E4" w:rsidP="00231F2B">
            <w:pPr>
              <w:pStyle w:val="TableText"/>
              <w:jc w:val="both"/>
            </w:pPr>
            <w:r w:rsidRPr="0095453F">
              <w:lastRenderedPageBreak/>
              <w:t xml:space="preserve">The organization plans to use at least </w:t>
            </w:r>
            <w:r w:rsidR="00F714A4" w:rsidRPr="0095453F">
              <w:t>3</w:t>
            </w:r>
            <w:r w:rsidRPr="0095453F">
              <w:t xml:space="preserve"> of the following Office 365 workloads</w:t>
            </w:r>
            <w:r w:rsidR="00A8546D" w:rsidRPr="0095453F">
              <w:t xml:space="preserve"> or </w:t>
            </w:r>
            <w:r w:rsidRPr="0095453F">
              <w:t>applications:</w:t>
            </w:r>
          </w:p>
          <w:p w14:paraId="103E9B94" w14:textId="7663C15A" w:rsidR="00F67214" w:rsidRPr="0095453F" w:rsidRDefault="00E700E4" w:rsidP="00231F2B">
            <w:pPr>
              <w:pStyle w:val="TableBullet1"/>
              <w:jc w:val="both"/>
            </w:pPr>
            <w:r w:rsidRPr="0095453F">
              <w:t>Groups</w:t>
            </w:r>
          </w:p>
          <w:p w14:paraId="34D1A0F2" w14:textId="6BFD872A" w:rsidR="00F67214" w:rsidRPr="0095453F" w:rsidRDefault="00E700E4" w:rsidP="00231F2B">
            <w:pPr>
              <w:pStyle w:val="TableBullet1"/>
              <w:jc w:val="both"/>
            </w:pPr>
            <w:r w:rsidRPr="0095453F">
              <w:t>Exchange</w:t>
            </w:r>
          </w:p>
          <w:p w14:paraId="474BB1FC" w14:textId="78373EA1" w:rsidR="00F67214" w:rsidRPr="0095453F" w:rsidRDefault="00E700E4" w:rsidP="00231F2B">
            <w:pPr>
              <w:pStyle w:val="TableBullet1"/>
              <w:jc w:val="both"/>
            </w:pPr>
            <w:r w:rsidRPr="0095453F">
              <w:t>SharePoint</w:t>
            </w:r>
          </w:p>
          <w:p w14:paraId="78BBEF49" w14:textId="68B1E43C" w:rsidR="00F67214" w:rsidRPr="0095453F" w:rsidRDefault="00E700E4" w:rsidP="00231F2B">
            <w:pPr>
              <w:pStyle w:val="TableBullet1"/>
              <w:jc w:val="both"/>
            </w:pPr>
            <w:r w:rsidRPr="0095453F">
              <w:t>OneDrive for Business</w:t>
            </w:r>
          </w:p>
          <w:p w14:paraId="7C71694B" w14:textId="0B8DC544" w:rsidR="00D65356" w:rsidRPr="0095453F" w:rsidRDefault="00E700E4" w:rsidP="00231F2B">
            <w:pPr>
              <w:pStyle w:val="TableBullet1"/>
              <w:jc w:val="both"/>
            </w:pPr>
            <w:r w:rsidRPr="0095453F">
              <w:t>Teams</w:t>
            </w:r>
          </w:p>
          <w:p w14:paraId="707A064D" w14:textId="686BC8AF" w:rsidR="00F64CF4" w:rsidRPr="0095453F" w:rsidRDefault="00F64CF4" w:rsidP="00231F2B">
            <w:pPr>
              <w:pStyle w:val="TableBullet1"/>
              <w:numPr>
                <w:ilvl w:val="0"/>
                <w:numId w:val="0"/>
              </w:numPr>
              <w:ind w:left="360"/>
              <w:jc w:val="both"/>
            </w:pPr>
          </w:p>
        </w:tc>
      </w:tr>
      <w:tr w:rsidR="00E700E4" w:rsidRPr="002B6812" w14:paraId="2C8C95ED" w14:textId="77777777" w:rsidTr="00BF212B">
        <w:trPr>
          <w:trHeight w:val="432"/>
        </w:trPr>
        <w:tc>
          <w:tcPr>
            <w:tcW w:w="2117" w:type="dxa"/>
            <w:shd w:val="clear" w:color="auto" w:fill="auto"/>
          </w:tcPr>
          <w:p w14:paraId="042B0B07" w14:textId="797B0B12" w:rsidR="00E700E4" w:rsidRPr="002B6812" w:rsidRDefault="00933BC1" w:rsidP="00231F2B">
            <w:pPr>
              <w:pStyle w:val="TableText"/>
              <w:jc w:val="both"/>
            </w:pPr>
            <w:r w:rsidRPr="002B6812">
              <w:lastRenderedPageBreak/>
              <w:t xml:space="preserve">Office 365 Operations Governance </w:t>
            </w:r>
            <w:r w:rsidR="00E45089">
              <w:br/>
            </w:r>
            <w:r w:rsidRPr="002B6812">
              <w:t>(OOG-01)</w:t>
            </w:r>
          </w:p>
        </w:tc>
        <w:tc>
          <w:tcPr>
            <w:tcW w:w="5265" w:type="dxa"/>
            <w:shd w:val="clear" w:color="auto" w:fill="auto"/>
          </w:tcPr>
          <w:p w14:paraId="1B98E840" w14:textId="17927EDF" w:rsidR="00933BC1" w:rsidRPr="002B6812" w:rsidRDefault="00933BC1" w:rsidP="00231F2B">
            <w:pPr>
              <w:pStyle w:val="Bulletlist"/>
              <w:jc w:val="both"/>
            </w:pPr>
            <w:r w:rsidRPr="002B6812">
              <w:t>Deliver</w:t>
            </w:r>
            <w:r w:rsidR="00F67214">
              <w:t>y of</w:t>
            </w:r>
            <w:r w:rsidRPr="002B6812">
              <w:t xml:space="preserve"> up to </w:t>
            </w:r>
            <w:r w:rsidR="001D2F8A" w:rsidRPr="002B6812">
              <w:t>5</w:t>
            </w:r>
            <w:r w:rsidRPr="002B6812">
              <w:t xml:space="preserve"> Office 365 operations</w:t>
            </w:r>
            <w:r w:rsidR="00F67214">
              <w:t>–</w:t>
            </w:r>
            <w:r w:rsidRPr="002B6812">
              <w:t>related assessment and planning workshops and the development of Office 365 operational governance directives</w:t>
            </w:r>
            <w:r w:rsidR="00F67214">
              <w:t xml:space="preserve"> that</w:t>
            </w:r>
            <w:r w:rsidR="00F67214" w:rsidRPr="002B6812">
              <w:t xml:space="preserve"> defin</w:t>
            </w:r>
            <w:r w:rsidR="00F67214">
              <w:t>e</w:t>
            </w:r>
            <w:r w:rsidR="00F67214" w:rsidRPr="002B6812">
              <w:t xml:space="preserve"> </w:t>
            </w:r>
            <w:r w:rsidRPr="002B6812">
              <w:t>how different service workloads will be managed by the organization for various business and technical purposes</w:t>
            </w:r>
            <w:r w:rsidR="00112AD1">
              <w:t xml:space="preserve">. Timeboxed at </w:t>
            </w:r>
            <w:r w:rsidR="006266BF">
              <w:t>24</w:t>
            </w:r>
            <w:r w:rsidR="00112AD1">
              <w:t xml:space="preserve"> hours</w:t>
            </w:r>
            <w:r w:rsidR="00305A54">
              <w:t>.</w:t>
            </w:r>
          </w:p>
          <w:p w14:paraId="0252B608" w14:textId="6837D16E" w:rsidR="00933BC1" w:rsidRPr="00734638" w:rsidRDefault="00933BC1" w:rsidP="00231F2B">
            <w:pPr>
              <w:pStyle w:val="Optional"/>
              <w:numPr>
                <w:ilvl w:val="0"/>
                <w:numId w:val="21"/>
              </w:numPr>
              <w:jc w:val="both"/>
            </w:pPr>
            <w:r w:rsidRPr="00734638">
              <w:rPr>
                <w:color w:val="auto"/>
              </w:rPr>
              <w:t>Assist</w:t>
            </w:r>
            <w:r w:rsidR="00F87695" w:rsidRPr="00734638">
              <w:rPr>
                <w:color w:val="auto"/>
              </w:rPr>
              <w:t>ance</w:t>
            </w:r>
            <w:r w:rsidRPr="00734638">
              <w:rPr>
                <w:color w:val="auto"/>
              </w:rPr>
              <w:t xml:space="preserve"> with additional Office 365 operations governance-related planning beyond the scope of the baseline component (</w:t>
            </w:r>
            <w:r w:rsidR="00F87695" w:rsidRPr="00734638">
              <w:rPr>
                <w:color w:val="auto"/>
              </w:rPr>
              <w:t>such as</w:t>
            </w:r>
            <w:r w:rsidRPr="00734638">
              <w:rPr>
                <w:color w:val="auto"/>
              </w:rPr>
              <w:t xml:space="preserve"> additional time needed</w:t>
            </w:r>
            <w:r w:rsidR="00F87695" w:rsidRPr="00734638">
              <w:rPr>
                <w:color w:val="auto"/>
              </w:rPr>
              <w:t xml:space="preserve"> or </w:t>
            </w:r>
            <w:r w:rsidRPr="00734638">
              <w:rPr>
                <w:color w:val="auto"/>
              </w:rPr>
              <w:t>additional topic coverage)</w:t>
            </w:r>
            <w:r w:rsidR="00F87695" w:rsidRPr="00734638">
              <w:rPr>
                <w:color w:val="auto"/>
              </w:rPr>
              <w:t>.</w:t>
            </w:r>
            <w:r w:rsidRPr="00734638">
              <w:rPr>
                <w:color w:val="auto"/>
              </w:rPr>
              <w:t xml:space="preserve"> </w:t>
            </w:r>
            <w:r w:rsidR="00F87695" w:rsidRPr="00734638">
              <w:rPr>
                <w:color w:val="auto"/>
              </w:rPr>
              <w:t xml:space="preserve">Such assistance is </w:t>
            </w:r>
            <w:r w:rsidRPr="00734638">
              <w:rPr>
                <w:color w:val="auto"/>
              </w:rPr>
              <w:t xml:space="preserve">limited to </w:t>
            </w:r>
            <w:r w:rsidR="00734638" w:rsidRPr="00734638">
              <w:rPr>
                <w:rStyle w:val="InstructionalChar"/>
                <w:color w:val="auto"/>
              </w:rPr>
              <w:t>40</w:t>
            </w:r>
            <w:r w:rsidRPr="00734638">
              <w:rPr>
                <w:color w:val="auto"/>
              </w:rPr>
              <w:t xml:space="preserve"> hours over no longer than </w:t>
            </w:r>
            <w:r w:rsidR="00734638" w:rsidRPr="00734638">
              <w:rPr>
                <w:color w:val="auto"/>
              </w:rPr>
              <w:t>1</w:t>
            </w:r>
            <w:r w:rsidRPr="00734638">
              <w:rPr>
                <w:color w:val="auto"/>
              </w:rPr>
              <w:t xml:space="preserve"> weeks.</w:t>
            </w:r>
          </w:p>
        </w:tc>
        <w:tc>
          <w:tcPr>
            <w:tcW w:w="1980" w:type="dxa"/>
            <w:shd w:val="clear" w:color="auto" w:fill="auto"/>
          </w:tcPr>
          <w:p w14:paraId="3A1E0402" w14:textId="7B1A4EE7" w:rsidR="00CF2D59" w:rsidRPr="002B6812" w:rsidRDefault="00933BC1" w:rsidP="00231F2B">
            <w:pPr>
              <w:pStyle w:val="TableText"/>
              <w:jc w:val="both"/>
            </w:pPr>
            <w:r w:rsidRPr="002B6812">
              <w:t xml:space="preserve">The organization plans to manage its Office 365 operations </w:t>
            </w:r>
            <w:r w:rsidR="00F87695">
              <w:t>as part of</w:t>
            </w:r>
            <w:r w:rsidR="00F87695" w:rsidRPr="002B6812">
              <w:t xml:space="preserve"> </w:t>
            </w:r>
            <w:r w:rsidRPr="002B6812">
              <w:t>an overarching governance program</w:t>
            </w:r>
            <w:r w:rsidR="00E45089">
              <w:t>.</w:t>
            </w:r>
          </w:p>
        </w:tc>
      </w:tr>
    </w:tbl>
    <w:p w14:paraId="43EEF79B" w14:textId="77777777" w:rsidR="005E7552" w:rsidRPr="002B6812" w:rsidRDefault="005E7552" w:rsidP="00231F2B">
      <w:pPr>
        <w:pStyle w:val="Heading3"/>
        <w:jc w:val="both"/>
      </w:pPr>
      <w:bookmarkStart w:id="46" w:name="_Toc476168026"/>
      <w:bookmarkStart w:id="47" w:name="_Toc476168029"/>
      <w:r w:rsidRPr="002B6812">
        <w:t>Software products and technologies</w:t>
      </w:r>
      <w:bookmarkEnd w:id="46"/>
    </w:p>
    <w:p w14:paraId="5EE14DCF" w14:textId="27B32CE4" w:rsidR="005E7552" w:rsidRPr="002B6812" w:rsidRDefault="005E7552" w:rsidP="00231F2B">
      <w:pPr>
        <w:jc w:val="both"/>
      </w:pPr>
      <w:r w:rsidRPr="002B6812">
        <w:t xml:space="preserve">The products and technology that are listed in the following table are required for project delivery. The </w:t>
      </w:r>
      <w:r w:rsidR="004744AF" w:rsidRPr="002B6812">
        <w:t>Customer</w:t>
      </w:r>
      <w:r w:rsidRPr="002B6812">
        <w:t xml:space="preserve"> is responsible for obtaining all identified licenses and products. Microsoft assumes that any product version used during the project is either in mainstream support or is covered by an extended support agreement procured by the </w:t>
      </w:r>
      <w:r w:rsidR="004744AF" w:rsidRPr="002B6812">
        <w:t>Customer</w:t>
      </w:r>
      <w:r w:rsidRPr="002B6812">
        <w:t>.</w:t>
      </w:r>
    </w:p>
    <w:tbl>
      <w:tblPr>
        <w:tblStyle w:val="TableGrid1"/>
        <w:tblW w:w="0" w:type="auto"/>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1352"/>
        <w:gridCol w:w="1800"/>
        <w:gridCol w:w="1080"/>
        <w:gridCol w:w="5127"/>
      </w:tblGrid>
      <w:tr w:rsidR="005E7552" w:rsidRPr="002B6812" w14:paraId="69B76D61" w14:textId="77777777" w:rsidTr="00E8414F">
        <w:trPr>
          <w:trHeight w:val="364"/>
          <w:tblHeader/>
        </w:trPr>
        <w:tc>
          <w:tcPr>
            <w:tcW w:w="1352" w:type="dxa"/>
            <w:shd w:val="clear" w:color="auto" w:fill="008272"/>
          </w:tcPr>
          <w:p w14:paraId="0472F663" w14:textId="77777777" w:rsidR="005E7552" w:rsidRPr="002B6812" w:rsidRDefault="005E7552" w:rsidP="00231F2B">
            <w:pPr>
              <w:pStyle w:val="Table-Header"/>
              <w:jc w:val="both"/>
              <w:rPr>
                <w:rFonts w:eastAsia="Segoe UI" w:cs="Segoe UI"/>
              </w:rPr>
            </w:pPr>
            <w:r w:rsidRPr="002B6812">
              <w:t xml:space="preserve">Component ID </w:t>
            </w:r>
          </w:p>
        </w:tc>
        <w:tc>
          <w:tcPr>
            <w:tcW w:w="1800" w:type="dxa"/>
            <w:shd w:val="clear" w:color="auto" w:fill="008272"/>
          </w:tcPr>
          <w:p w14:paraId="4962F4ED" w14:textId="77777777" w:rsidR="005E7552" w:rsidRPr="002B6812" w:rsidRDefault="005E7552" w:rsidP="00231F2B">
            <w:pPr>
              <w:pStyle w:val="Table-Header"/>
              <w:jc w:val="both"/>
              <w:rPr>
                <w:rFonts w:eastAsia="Segoe UI" w:cs="Segoe UI"/>
              </w:rPr>
            </w:pPr>
            <w:r w:rsidRPr="002B6812">
              <w:t>Product and technology item</w:t>
            </w:r>
          </w:p>
        </w:tc>
        <w:tc>
          <w:tcPr>
            <w:tcW w:w="1080" w:type="dxa"/>
            <w:shd w:val="clear" w:color="auto" w:fill="008272"/>
          </w:tcPr>
          <w:p w14:paraId="745B1471" w14:textId="77777777" w:rsidR="005E7552" w:rsidRPr="002B6812" w:rsidRDefault="005E7552" w:rsidP="00231F2B">
            <w:pPr>
              <w:pStyle w:val="Table-Header"/>
              <w:jc w:val="both"/>
              <w:rPr>
                <w:rFonts w:eastAsia="Segoe UI" w:cs="Segoe UI"/>
              </w:rPr>
            </w:pPr>
            <w:r w:rsidRPr="002B6812">
              <w:t xml:space="preserve">Version </w:t>
            </w:r>
          </w:p>
        </w:tc>
        <w:tc>
          <w:tcPr>
            <w:tcW w:w="5127" w:type="dxa"/>
            <w:shd w:val="clear" w:color="auto" w:fill="008272"/>
          </w:tcPr>
          <w:p w14:paraId="652C25EA" w14:textId="77777777" w:rsidR="005E7552" w:rsidRPr="002B6812" w:rsidRDefault="005E7552" w:rsidP="00231F2B">
            <w:pPr>
              <w:pStyle w:val="Table-Header"/>
              <w:jc w:val="both"/>
              <w:rPr>
                <w:rFonts w:eastAsia="Segoe UI" w:cs="Segoe UI"/>
              </w:rPr>
            </w:pPr>
            <w:r w:rsidRPr="002B6812">
              <w:t>Ready by</w:t>
            </w:r>
          </w:p>
        </w:tc>
      </w:tr>
      <w:tr w:rsidR="005E7552" w:rsidRPr="002B6812" w14:paraId="17868102" w14:textId="77777777" w:rsidTr="00E8414F">
        <w:trPr>
          <w:trHeight w:val="432"/>
        </w:trPr>
        <w:tc>
          <w:tcPr>
            <w:tcW w:w="1352" w:type="dxa"/>
          </w:tcPr>
          <w:p w14:paraId="3CEC073E" w14:textId="77777777" w:rsidR="005E7552" w:rsidRPr="002B6812" w:rsidRDefault="005E7552" w:rsidP="00231F2B">
            <w:pPr>
              <w:pStyle w:val="TableText"/>
              <w:jc w:val="both"/>
            </w:pPr>
            <w:r w:rsidRPr="002B6812">
              <w:t>All</w:t>
            </w:r>
          </w:p>
        </w:tc>
        <w:tc>
          <w:tcPr>
            <w:tcW w:w="1800" w:type="dxa"/>
            <w:shd w:val="clear" w:color="auto" w:fill="auto"/>
          </w:tcPr>
          <w:p w14:paraId="45DEA9AB" w14:textId="07DFA6B0" w:rsidR="005E7552" w:rsidRPr="002B6812" w:rsidRDefault="005E7552" w:rsidP="00231F2B">
            <w:pPr>
              <w:pStyle w:val="TableText"/>
              <w:jc w:val="both"/>
            </w:pPr>
            <w:r w:rsidRPr="002B6812">
              <w:t xml:space="preserve">Office 365 </w:t>
            </w:r>
          </w:p>
        </w:tc>
        <w:tc>
          <w:tcPr>
            <w:tcW w:w="1080" w:type="dxa"/>
            <w:shd w:val="clear" w:color="auto" w:fill="auto"/>
          </w:tcPr>
          <w:p w14:paraId="0A1FDE4A" w14:textId="04EF186C" w:rsidR="005E7552" w:rsidRPr="002B6812" w:rsidRDefault="005E7552" w:rsidP="00231F2B">
            <w:pPr>
              <w:pStyle w:val="TableText"/>
              <w:jc w:val="both"/>
            </w:pPr>
            <w:r w:rsidRPr="002B6812">
              <w:t xml:space="preserve">Current release </w:t>
            </w:r>
          </w:p>
        </w:tc>
        <w:tc>
          <w:tcPr>
            <w:tcW w:w="5127" w:type="dxa"/>
            <w:shd w:val="clear" w:color="auto" w:fill="auto"/>
          </w:tcPr>
          <w:p w14:paraId="039F7635" w14:textId="09EB5547" w:rsidR="005E7552" w:rsidRPr="002B6812" w:rsidRDefault="00512520" w:rsidP="00231F2B">
            <w:pPr>
              <w:pStyle w:val="TableText"/>
              <w:jc w:val="both"/>
            </w:pPr>
            <w:r>
              <w:t>W</w:t>
            </w:r>
            <w:r w:rsidR="005E7552" w:rsidRPr="002B6812">
              <w:t xml:space="preserve">orkshop activities </w:t>
            </w:r>
            <w:r>
              <w:t xml:space="preserve">can be completed </w:t>
            </w:r>
            <w:r w:rsidR="005E7552" w:rsidRPr="002B6812">
              <w:t>prior to tenant availability, but having one available</w:t>
            </w:r>
            <w:r w:rsidR="00E8414F">
              <w:rPr>
                <w:rFonts w:cs="Segoe UI"/>
              </w:rPr>
              <w:t>—</w:t>
            </w:r>
            <w:r w:rsidR="005E7552" w:rsidRPr="002B6812">
              <w:t>even if a test tenant</w:t>
            </w:r>
            <w:r w:rsidR="00E8414F">
              <w:rPr>
                <w:rFonts w:cs="Segoe UI"/>
              </w:rPr>
              <w:t>—</w:t>
            </w:r>
            <w:r w:rsidR="005E7552" w:rsidRPr="002B6812">
              <w:t>will be helpful during workshops.</w:t>
            </w:r>
          </w:p>
        </w:tc>
      </w:tr>
    </w:tbl>
    <w:p w14:paraId="644D6488" w14:textId="7E97B25E" w:rsidR="009D4EBC" w:rsidRPr="002B6812" w:rsidRDefault="004C2A6F" w:rsidP="00231F2B">
      <w:pPr>
        <w:pStyle w:val="Heading2"/>
        <w:jc w:val="both"/>
      </w:pPr>
      <w:bookmarkStart w:id="48" w:name="_Toc476167705"/>
      <w:bookmarkStart w:id="49" w:name="_Toc476168032"/>
      <w:bookmarkStart w:id="50" w:name="_Toc514413041"/>
      <w:bookmarkStart w:id="51" w:name="_Toc517761997"/>
      <w:bookmarkStart w:id="52" w:name="_Toc31291365"/>
      <w:bookmarkEnd w:id="47"/>
      <w:r w:rsidRPr="002B6812">
        <w:t>Areas out of scope</w:t>
      </w:r>
      <w:bookmarkEnd w:id="48"/>
      <w:bookmarkEnd w:id="49"/>
      <w:bookmarkEnd w:id="50"/>
      <w:bookmarkEnd w:id="51"/>
      <w:bookmarkEnd w:id="52"/>
    </w:p>
    <w:p w14:paraId="6776338B" w14:textId="62861E9F" w:rsidR="00881E85" w:rsidRPr="002B6812" w:rsidRDefault="00881E85" w:rsidP="00231F2B">
      <w:pPr>
        <w:jc w:val="both"/>
      </w:pPr>
      <w:r w:rsidRPr="002B6812">
        <w:t xml:space="preserve">Any area not explicitly included in the </w:t>
      </w:r>
      <w:r w:rsidRPr="002B6812">
        <w:fldChar w:fldCharType="begin"/>
      </w:r>
      <w:r w:rsidRPr="002B6812">
        <w:instrText xml:space="preserve"> REF _Ref477786310 \h </w:instrText>
      </w:r>
      <w:r w:rsidR="00231F2B">
        <w:instrText xml:space="preserve"> \* MERGEFORMAT </w:instrText>
      </w:r>
      <w:r w:rsidRPr="002B6812">
        <w:fldChar w:fldCharType="separate"/>
      </w:r>
      <w:r w:rsidR="00447182" w:rsidRPr="002B6812">
        <w:t>Areas in scope</w:t>
      </w:r>
      <w:r w:rsidRPr="002B6812">
        <w:fldChar w:fldCharType="end"/>
      </w:r>
      <w:r w:rsidRPr="002B6812">
        <w:t xml:space="preserve"> section is out of scope for Microsoft during this project. Areas out of scope for this project are listed in the following table.</w:t>
      </w:r>
    </w:p>
    <w:tbl>
      <w:tblPr>
        <w:tblStyle w:val="TableGrid1"/>
        <w:tblW w:w="9362"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1872"/>
        <w:gridCol w:w="2169"/>
        <w:gridCol w:w="5321"/>
      </w:tblGrid>
      <w:tr w:rsidR="00881E85" w:rsidRPr="002B6812" w14:paraId="285192B9" w14:textId="77777777" w:rsidTr="005C3C1C">
        <w:trPr>
          <w:trHeight w:val="360"/>
          <w:tblHeader/>
        </w:trPr>
        <w:tc>
          <w:tcPr>
            <w:tcW w:w="1872" w:type="dxa"/>
            <w:shd w:val="clear" w:color="auto" w:fill="008272"/>
          </w:tcPr>
          <w:p w14:paraId="3CA45195" w14:textId="77777777" w:rsidR="00881E85" w:rsidRPr="002B6812" w:rsidRDefault="00881E85" w:rsidP="00231F2B">
            <w:pPr>
              <w:pStyle w:val="Table-Header"/>
              <w:jc w:val="both"/>
              <w:rPr>
                <w:rFonts w:cs="Segoe UI"/>
                <w:szCs w:val="20"/>
              </w:rPr>
            </w:pPr>
            <w:r w:rsidRPr="002B6812">
              <w:rPr>
                <w:rFonts w:cs="Segoe UI"/>
              </w:rPr>
              <w:t>Component ID</w:t>
            </w:r>
          </w:p>
        </w:tc>
        <w:tc>
          <w:tcPr>
            <w:tcW w:w="2169" w:type="dxa"/>
            <w:shd w:val="clear" w:color="auto" w:fill="008272"/>
          </w:tcPr>
          <w:p w14:paraId="06DAA529" w14:textId="77777777" w:rsidR="00881E85" w:rsidRPr="002B6812" w:rsidRDefault="00881E85" w:rsidP="00231F2B">
            <w:pPr>
              <w:pStyle w:val="Table-Header"/>
              <w:jc w:val="both"/>
              <w:rPr>
                <w:rFonts w:cs="Segoe UI"/>
                <w:szCs w:val="20"/>
              </w:rPr>
            </w:pPr>
            <w:r w:rsidRPr="002B6812">
              <w:rPr>
                <w:rFonts w:cs="Segoe UI"/>
              </w:rPr>
              <w:t>Area</w:t>
            </w:r>
          </w:p>
        </w:tc>
        <w:tc>
          <w:tcPr>
            <w:tcW w:w="5321" w:type="dxa"/>
            <w:shd w:val="clear" w:color="auto" w:fill="008272"/>
          </w:tcPr>
          <w:p w14:paraId="0CFEDC2E" w14:textId="77777777" w:rsidR="00881E85" w:rsidRPr="002B6812" w:rsidRDefault="00881E85" w:rsidP="00231F2B">
            <w:pPr>
              <w:pStyle w:val="Table-Header"/>
              <w:jc w:val="both"/>
              <w:rPr>
                <w:rFonts w:cs="Segoe UI"/>
                <w:szCs w:val="20"/>
              </w:rPr>
            </w:pPr>
            <w:r w:rsidRPr="002B6812">
              <w:rPr>
                <w:rFonts w:cs="Segoe UI"/>
              </w:rPr>
              <w:t>Description</w:t>
            </w:r>
          </w:p>
        </w:tc>
      </w:tr>
      <w:tr w:rsidR="00CE2513" w:rsidRPr="002B6812" w14:paraId="7AF3BF78" w14:textId="77777777" w:rsidTr="005C3C1C">
        <w:trPr>
          <w:trHeight w:val="432"/>
        </w:trPr>
        <w:tc>
          <w:tcPr>
            <w:tcW w:w="1872" w:type="dxa"/>
            <w:vMerge w:val="restart"/>
          </w:tcPr>
          <w:p w14:paraId="5C769E05" w14:textId="77777777" w:rsidR="00CE2513" w:rsidRPr="002B6812" w:rsidRDefault="00CE2513" w:rsidP="00231F2B">
            <w:pPr>
              <w:pStyle w:val="TableText"/>
              <w:jc w:val="both"/>
              <w:rPr>
                <w:rFonts w:cs="Segoe UI"/>
                <w:szCs w:val="20"/>
              </w:rPr>
            </w:pPr>
            <w:r w:rsidRPr="002B6812">
              <w:rPr>
                <w:rFonts w:cs="Segoe UI"/>
                <w:szCs w:val="20"/>
              </w:rPr>
              <w:t>All components</w:t>
            </w:r>
          </w:p>
        </w:tc>
        <w:tc>
          <w:tcPr>
            <w:tcW w:w="2169" w:type="dxa"/>
            <w:shd w:val="clear" w:color="auto" w:fill="auto"/>
          </w:tcPr>
          <w:p w14:paraId="4D990559" w14:textId="77777777" w:rsidR="00CE2513" w:rsidRPr="002B6812" w:rsidRDefault="00CE2513" w:rsidP="00231F2B">
            <w:pPr>
              <w:pStyle w:val="TableText"/>
              <w:jc w:val="both"/>
              <w:rPr>
                <w:rFonts w:cs="Segoe UI"/>
                <w:szCs w:val="20"/>
              </w:rPr>
            </w:pPr>
            <w:r w:rsidRPr="002B6812">
              <w:rPr>
                <w:rFonts w:cs="Segoe UI"/>
                <w:szCs w:val="20"/>
              </w:rPr>
              <w:t>Product licenses and subscriptions</w:t>
            </w:r>
          </w:p>
        </w:tc>
        <w:tc>
          <w:tcPr>
            <w:tcW w:w="5321" w:type="dxa"/>
            <w:shd w:val="clear" w:color="auto" w:fill="auto"/>
          </w:tcPr>
          <w:p w14:paraId="026F17E1" w14:textId="13E10553" w:rsidR="00CE2513" w:rsidRPr="002B6812" w:rsidRDefault="00CE2513" w:rsidP="00231F2B">
            <w:pPr>
              <w:pStyle w:val="TableText"/>
              <w:jc w:val="both"/>
              <w:rPr>
                <w:rFonts w:cs="Segoe UI"/>
                <w:szCs w:val="20"/>
              </w:rPr>
            </w:pPr>
            <w:r w:rsidRPr="002B6812">
              <w:rPr>
                <w:rFonts w:cs="Segoe UI"/>
                <w:szCs w:val="20"/>
              </w:rPr>
              <w:t xml:space="preserve">Product licenses (Microsoft or non-Microsoft) and cloud service subscriptions are not included. </w:t>
            </w:r>
          </w:p>
        </w:tc>
      </w:tr>
      <w:tr w:rsidR="00CE2513" w:rsidRPr="002B6812" w14:paraId="78A7D195" w14:textId="77777777" w:rsidTr="005C3C1C">
        <w:trPr>
          <w:trHeight w:val="432"/>
        </w:trPr>
        <w:tc>
          <w:tcPr>
            <w:tcW w:w="1872" w:type="dxa"/>
            <w:vMerge/>
          </w:tcPr>
          <w:p w14:paraId="7405494B" w14:textId="77777777" w:rsidR="00CE2513" w:rsidRPr="002B6812" w:rsidRDefault="00CE2513" w:rsidP="00231F2B">
            <w:pPr>
              <w:pStyle w:val="TableText"/>
              <w:jc w:val="both"/>
              <w:rPr>
                <w:rFonts w:cs="Segoe UI"/>
                <w:szCs w:val="20"/>
              </w:rPr>
            </w:pPr>
          </w:p>
        </w:tc>
        <w:tc>
          <w:tcPr>
            <w:tcW w:w="2169" w:type="dxa"/>
            <w:shd w:val="clear" w:color="auto" w:fill="auto"/>
          </w:tcPr>
          <w:p w14:paraId="09D9A5FB" w14:textId="77777777" w:rsidR="00CE2513" w:rsidRPr="002B6812" w:rsidRDefault="00CE2513" w:rsidP="00231F2B">
            <w:pPr>
              <w:pStyle w:val="TableText"/>
              <w:jc w:val="both"/>
              <w:rPr>
                <w:rFonts w:cs="Segoe UI"/>
                <w:szCs w:val="20"/>
              </w:rPr>
            </w:pPr>
            <w:r w:rsidRPr="002B6812">
              <w:rPr>
                <w:rFonts w:cs="Segoe UI"/>
                <w:szCs w:val="20"/>
              </w:rPr>
              <w:t>Hardware</w:t>
            </w:r>
          </w:p>
        </w:tc>
        <w:tc>
          <w:tcPr>
            <w:tcW w:w="5321" w:type="dxa"/>
            <w:shd w:val="clear" w:color="auto" w:fill="auto"/>
          </w:tcPr>
          <w:p w14:paraId="7DC138AA" w14:textId="6CD7BD6C" w:rsidR="00CE2513" w:rsidRPr="002B6812" w:rsidRDefault="00CE2513" w:rsidP="00231F2B">
            <w:pPr>
              <w:pStyle w:val="TableText"/>
              <w:jc w:val="both"/>
              <w:rPr>
                <w:rFonts w:cs="Segoe UI"/>
                <w:szCs w:val="20"/>
              </w:rPr>
            </w:pPr>
            <w:r w:rsidRPr="002B6812">
              <w:rPr>
                <w:rFonts w:cs="Segoe UI"/>
                <w:szCs w:val="20"/>
              </w:rPr>
              <w:t>Microsoft will not provide hardware for this project.</w:t>
            </w:r>
          </w:p>
        </w:tc>
      </w:tr>
      <w:tr w:rsidR="00CE2513" w:rsidRPr="002B6812" w14:paraId="70478D9A" w14:textId="77777777" w:rsidTr="005C3C1C">
        <w:trPr>
          <w:trHeight w:val="432"/>
        </w:trPr>
        <w:tc>
          <w:tcPr>
            <w:tcW w:w="1872" w:type="dxa"/>
            <w:vMerge/>
          </w:tcPr>
          <w:p w14:paraId="494A63EF" w14:textId="77777777" w:rsidR="00CE2513" w:rsidRPr="002B6812" w:rsidRDefault="00CE2513" w:rsidP="00231F2B">
            <w:pPr>
              <w:pStyle w:val="TableText"/>
              <w:jc w:val="both"/>
              <w:rPr>
                <w:rFonts w:cs="Segoe UI"/>
                <w:szCs w:val="20"/>
              </w:rPr>
            </w:pPr>
          </w:p>
        </w:tc>
        <w:tc>
          <w:tcPr>
            <w:tcW w:w="2169" w:type="dxa"/>
            <w:shd w:val="clear" w:color="auto" w:fill="auto"/>
          </w:tcPr>
          <w:p w14:paraId="45E8AC74" w14:textId="77777777" w:rsidR="00CE2513" w:rsidRPr="002B6812" w:rsidRDefault="00CE2513" w:rsidP="00231F2B">
            <w:pPr>
              <w:pStyle w:val="TableText"/>
              <w:jc w:val="both"/>
              <w:rPr>
                <w:rFonts w:cs="Segoe UI"/>
                <w:szCs w:val="20"/>
              </w:rPr>
            </w:pPr>
            <w:r w:rsidRPr="002B6812">
              <w:rPr>
                <w:rFonts w:cs="Segoe UI"/>
                <w:szCs w:val="20"/>
              </w:rPr>
              <w:t xml:space="preserve">Product bugs </w:t>
            </w:r>
            <w:r w:rsidRPr="002B6812">
              <w:rPr>
                <w:rFonts w:cs="Segoe UI"/>
                <w:szCs w:val="20"/>
              </w:rPr>
              <w:br/>
              <w:t>and upgrades</w:t>
            </w:r>
          </w:p>
        </w:tc>
        <w:tc>
          <w:tcPr>
            <w:tcW w:w="5321" w:type="dxa"/>
            <w:shd w:val="clear" w:color="auto" w:fill="auto"/>
          </w:tcPr>
          <w:p w14:paraId="0A2CB5CF" w14:textId="6113C84B" w:rsidR="00CE2513" w:rsidRPr="002B6812" w:rsidRDefault="00CE2513" w:rsidP="00231F2B">
            <w:pPr>
              <w:pStyle w:val="TableText"/>
              <w:jc w:val="both"/>
              <w:rPr>
                <w:rFonts w:cs="Segoe UI"/>
                <w:szCs w:val="20"/>
              </w:rPr>
            </w:pPr>
            <w:r w:rsidRPr="002B6812">
              <w:rPr>
                <w:rFonts w:cs="Segoe UI"/>
                <w:szCs w:val="20"/>
              </w:rPr>
              <w:t>Product upgrades, bugs, and design change requests for Microsoft products are out of scope.</w:t>
            </w:r>
          </w:p>
        </w:tc>
      </w:tr>
      <w:tr w:rsidR="00CE2513" w:rsidRPr="002B6812" w14:paraId="33E30817" w14:textId="77777777" w:rsidTr="005C3C1C">
        <w:trPr>
          <w:trHeight w:val="432"/>
        </w:trPr>
        <w:tc>
          <w:tcPr>
            <w:tcW w:w="1872" w:type="dxa"/>
            <w:vMerge/>
          </w:tcPr>
          <w:p w14:paraId="0410511F" w14:textId="77777777" w:rsidR="00CE2513" w:rsidRPr="002B6812" w:rsidRDefault="00CE2513" w:rsidP="00231F2B">
            <w:pPr>
              <w:pStyle w:val="TableText"/>
              <w:jc w:val="both"/>
              <w:rPr>
                <w:rFonts w:cs="Segoe UI"/>
                <w:szCs w:val="20"/>
              </w:rPr>
            </w:pPr>
          </w:p>
        </w:tc>
        <w:tc>
          <w:tcPr>
            <w:tcW w:w="2169" w:type="dxa"/>
            <w:shd w:val="clear" w:color="auto" w:fill="auto"/>
          </w:tcPr>
          <w:p w14:paraId="0104D5A0" w14:textId="77777777" w:rsidR="00CE2513" w:rsidRPr="002B6812" w:rsidRDefault="00CE2513" w:rsidP="00231F2B">
            <w:pPr>
              <w:pStyle w:val="TableText"/>
              <w:jc w:val="both"/>
              <w:rPr>
                <w:rFonts w:cs="Segoe UI"/>
                <w:szCs w:val="20"/>
              </w:rPr>
            </w:pPr>
            <w:r w:rsidRPr="002B6812">
              <w:rPr>
                <w:rFonts w:cs="Segoe UI"/>
                <w:szCs w:val="20"/>
              </w:rPr>
              <w:t>Source code review</w:t>
            </w:r>
          </w:p>
        </w:tc>
        <w:tc>
          <w:tcPr>
            <w:tcW w:w="5321" w:type="dxa"/>
            <w:shd w:val="clear" w:color="auto" w:fill="auto"/>
          </w:tcPr>
          <w:p w14:paraId="318419EB" w14:textId="51CA2E78" w:rsidR="00CE2513" w:rsidRPr="002B6812" w:rsidRDefault="00CE2513" w:rsidP="00231F2B">
            <w:pPr>
              <w:pStyle w:val="TableText"/>
              <w:jc w:val="both"/>
              <w:rPr>
                <w:rFonts w:cs="Segoe UI"/>
                <w:szCs w:val="20"/>
              </w:rPr>
            </w:pPr>
            <w:r w:rsidRPr="002B6812">
              <w:rPr>
                <w:rFonts w:cs="Segoe UI"/>
                <w:szCs w:val="20"/>
              </w:rPr>
              <w:t xml:space="preserve">The </w:t>
            </w:r>
            <w:r w:rsidR="004744AF" w:rsidRPr="002B6812">
              <w:rPr>
                <w:rFonts w:cs="Segoe UI"/>
                <w:szCs w:val="20"/>
              </w:rPr>
              <w:t>Customer</w:t>
            </w:r>
            <w:r w:rsidRPr="002B6812">
              <w:rPr>
                <w:rFonts w:cs="Segoe UI"/>
                <w:szCs w:val="20"/>
              </w:rPr>
              <w:t xml:space="preserve"> will not provide Microsoft with access to non-Microsoft source code or source code information. For any non-Microsoft code, Microsoft Services will be limited to the analysis of binary data, such as a process dump or a network monitor trace.</w:t>
            </w:r>
          </w:p>
        </w:tc>
      </w:tr>
      <w:tr w:rsidR="00CE2513" w:rsidRPr="002B6812" w14:paraId="2D6B193F" w14:textId="77777777" w:rsidTr="005C3C1C">
        <w:trPr>
          <w:trHeight w:val="432"/>
        </w:trPr>
        <w:tc>
          <w:tcPr>
            <w:tcW w:w="1872" w:type="dxa"/>
            <w:vMerge/>
          </w:tcPr>
          <w:p w14:paraId="28DC3C8E" w14:textId="77777777" w:rsidR="00CE2513" w:rsidRPr="002B6812" w:rsidRDefault="00CE2513" w:rsidP="00231F2B">
            <w:pPr>
              <w:pStyle w:val="TableText"/>
              <w:jc w:val="both"/>
              <w:rPr>
                <w:rFonts w:cs="Segoe UI"/>
                <w:szCs w:val="20"/>
              </w:rPr>
            </w:pPr>
          </w:p>
        </w:tc>
        <w:tc>
          <w:tcPr>
            <w:tcW w:w="2169" w:type="dxa"/>
            <w:shd w:val="clear" w:color="auto" w:fill="auto"/>
          </w:tcPr>
          <w:p w14:paraId="240BDB12" w14:textId="45383786" w:rsidR="00CE2513" w:rsidRPr="002B6812" w:rsidRDefault="00CE2513" w:rsidP="00231F2B">
            <w:pPr>
              <w:pStyle w:val="TableText"/>
              <w:jc w:val="both"/>
              <w:rPr>
                <w:rFonts w:cs="Segoe UI"/>
                <w:szCs w:val="20"/>
              </w:rPr>
            </w:pPr>
            <w:r w:rsidRPr="002B6812">
              <w:rPr>
                <w:rFonts w:cs="Segoe UI"/>
                <w:szCs w:val="20"/>
              </w:rPr>
              <w:t>Detailed site and solution design</w:t>
            </w:r>
          </w:p>
        </w:tc>
        <w:tc>
          <w:tcPr>
            <w:tcW w:w="5321" w:type="dxa"/>
            <w:shd w:val="clear" w:color="auto" w:fill="auto"/>
          </w:tcPr>
          <w:p w14:paraId="75DFFFF4" w14:textId="5BD49062" w:rsidR="00CE2513" w:rsidRPr="002B6812" w:rsidRDefault="00CE2513" w:rsidP="00231F2B">
            <w:pPr>
              <w:pStyle w:val="TableText"/>
              <w:jc w:val="both"/>
              <w:rPr>
                <w:rFonts w:cs="Segoe UI"/>
                <w:szCs w:val="20"/>
              </w:rPr>
            </w:pPr>
            <w:r w:rsidRPr="002B6812">
              <w:rPr>
                <w:rFonts w:cs="Segoe UI"/>
                <w:szCs w:val="20"/>
              </w:rPr>
              <w:t>Creating detailed designs for the configuration and setup of the Office 365 environment</w:t>
            </w:r>
            <w:r w:rsidR="00E63FD5" w:rsidRPr="002B6812">
              <w:rPr>
                <w:rFonts w:cs="Segoe UI"/>
                <w:szCs w:val="20"/>
              </w:rPr>
              <w:t xml:space="preserve"> </w:t>
            </w:r>
            <w:r w:rsidR="00E63FD5">
              <w:rPr>
                <w:rFonts w:cs="Segoe UI"/>
                <w:szCs w:val="20"/>
              </w:rPr>
              <w:t xml:space="preserve">is </w:t>
            </w:r>
            <w:r w:rsidR="00E63FD5" w:rsidRPr="002B6812">
              <w:rPr>
                <w:rFonts w:cs="Segoe UI"/>
                <w:szCs w:val="20"/>
              </w:rPr>
              <w:t>out of scope</w:t>
            </w:r>
            <w:r w:rsidRPr="002B6812">
              <w:rPr>
                <w:rFonts w:cs="Segoe UI"/>
                <w:szCs w:val="20"/>
              </w:rPr>
              <w:t>.</w:t>
            </w:r>
          </w:p>
        </w:tc>
      </w:tr>
      <w:tr w:rsidR="00CE2513" w:rsidRPr="002B6812" w14:paraId="24961F93" w14:textId="77777777" w:rsidTr="005C3C1C">
        <w:trPr>
          <w:trHeight w:val="432"/>
        </w:trPr>
        <w:tc>
          <w:tcPr>
            <w:tcW w:w="1872" w:type="dxa"/>
            <w:vMerge/>
          </w:tcPr>
          <w:p w14:paraId="27BA36C8" w14:textId="77777777" w:rsidR="00CE2513" w:rsidRPr="002B6812" w:rsidRDefault="00CE2513" w:rsidP="00231F2B">
            <w:pPr>
              <w:pStyle w:val="TableText"/>
              <w:jc w:val="both"/>
              <w:rPr>
                <w:rFonts w:cs="Segoe UI"/>
                <w:szCs w:val="20"/>
              </w:rPr>
            </w:pPr>
          </w:p>
        </w:tc>
        <w:tc>
          <w:tcPr>
            <w:tcW w:w="2169" w:type="dxa"/>
            <w:shd w:val="clear" w:color="auto" w:fill="auto"/>
          </w:tcPr>
          <w:p w14:paraId="2DD45F60" w14:textId="77777777" w:rsidR="00CE2513" w:rsidRPr="002B6812" w:rsidRDefault="00CE2513" w:rsidP="00231F2B">
            <w:pPr>
              <w:pStyle w:val="TableText"/>
              <w:jc w:val="both"/>
              <w:rPr>
                <w:rFonts w:cs="Segoe UI"/>
                <w:szCs w:val="20"/>
              </w:rPr>
            </w:pPr>
            <w:r w:rsidRPr="002B6812">
              <w:rPr>
                <w:rFonts w:cs="Segoe UI"/>
                <w:szCs w:val="20"/>
              </w:rPr>
              <w:t>Process reengineering</w:t>
            </w:r>
          </w:p>
        </w:tc>
        <w:tc>
          <w:tcPr>
            <w:tcW w:w="5321" w:type="dxa"/>
            <w:shd w:val="clear" w:color="auto" w:fill="auto"/>
          </w:tcPr>
          <w:p w14:paraId="475BB75C" w14:textId="1D7FF4F4" w:rsidR="00CE2513" w:rsidRPr="002B6812" w:rsidRDefault="00CE2513" w:rsidP="00231F2B">
            <w:pPr>
              <w:pStyle w:val="TableText"/>
              <w:jc w:val="both"/>
              <w:rPr>
                <w:rFonts w:cs="Segoe UI"/>
                <w:szCs w:val="20"/>
              </w:rPr>
            </w:pPr>
            <w:r w:rsidRPr="002B6812">
              <w:rPr>
                <w:rFonts w:cs="Segoe UI"/>
                <w:szCs w:val="20"/>
              </w:rPr>
              <w:t>Designing functional business components of the solution is not included.</w:t>
            </w:r>
          </w:p>
        </w:tc>
      </w:tr>
      <w:tr w:rsidR="00CE2513" w:rsidRPr="002B6812" w14:paraId="4C94D975" w14:textId="77777777" w:rsidTr="005C3C1C">
        <w:trPr>
          <w:trHeight w:val="432"/>
        </w:trPr>
        <w:tc>
          <w:tcPr>
            <w:tcW w:w="1872" w:type="dxa"/>
            <w:vMerge/>
          </w:tcPr>
          <w:p w14:paraId="2E460FCA" w14:textId="77777777" w:rsidR="00CE2513" w:rsidRPr="002B6812" w:rsidRDefault="00CE2513" w:rsidP="00231F2B">
            <w:pPr>
              <w:pStyle w:val="TableText"/>
              <w:jc w:val="both"/>
              <w:rPr>
                <w:rFonts w:cs="Segoe UI"/>
                <w:szCs w:val="20"/>
              </w:rPr>
            </w:pPr>
          </w:p>
        </w:tc>
        <w:tc>
          <w:tcPr>
            <w:tcW w:w="2169" w:type="dxa"/>
            <w:shd w:val="clear" w:color="auto" w:fill="auto"/>
          </w:tcPr>
          <w:p w14:paraId="50D87380" w14:textId="77777777" w:rsidR="00CE2513" w:rsidRPr="002B6812" w:rsidRDefault="00CE2513" w:rsidP="00231F2B">
            <w:pPr>
              <w:pStyle w:val="TableText"/>
              <w:jc w:val="both"/>
              <w:rPr>
                <w:rFonts w:cs="Segoe UI"/>
                <w:szCs w:val="20"/>
              </w:rPr>
            </w:pPr>
            <w:r w:rsidRPr="002B6812">
              <w:rPr>
                <w:rFonts w:cs="Segoe UI"/>
                <w:szCs w:val="20"/>
              </w:rPr>
              <w:t>Organizational change management</w:t>
            </w:r>
          </w:p>
        </w:tc>
        <w:tc>
          <w:tcPr>
            <w:tcW w:w="5321" w:type="dxa"/>
            <w:shd w:val="clear" w:color="auto" w:fill="auto"/>
          </w:tcPr>
          <w:p w14:paraId="1AD3DB68" w14:textId="5533038C" w:rsidR="00CE2513" w:rsidRPr="002B6812" w:rsidRDefault="00CE2513" w:rsidP="00231F2B">
            <w:pPr>
              <w:pStyle w:val="TableText"/>
              <w:jc w:val="both"/>
              <w:rPr>
                <w:rFonts w:cs="Segoe UI"/>
                <w:szCs w:val="20"/>
              </w:rPr>
            </w:pPr>
            <w:r w:rsidRPr="002B6812">
              <w:rPr>
                <w:rFonts w:cs="Segoe UI"/>
                <w:szCs w:val="20"/>
              </w:rPr>
              <w:t xml:space="preserve">Designing—or redesigning—the </w:t>
            </w:r>
            <w:r w:rsidR="004744AF" w:rsidRPr="002B6812">
              <w:rPr>
                <w:rFonts w:cs="Segoe UI"/>
                <w:szCs w:val="20"/>
              </w:rPr>
              <w:t>Customer</w:t>
            </w:r>
            <w:r w:rsidRPr="002B6812">
              <w:rPr>
                <w:rFonts w:cs="Segoe UI"/>
                <w:szCs w:val="20"/>
              </w:rPr>
              <w:t>’s functional organization is not included.</w:t>
            </w:r>
          </w:p>
        </w:tc>
      </w:tr>
      <w:tr w:rsidR="00CE2513" w:rsidRPr="002B6812" w14:paraId="4C28E07C" w14:textId="77777777" w:rsidTr="005C3C1C">
        <w:trPr>
          <w:trHeight w:val="432"/>
        </w:trPr>
        <w:tc>
          <w:tcPr>
            <w:tcW w:w="1872" w:type="dxa"/>
            <w:vMerge/>
          </w:tcPr>
          <w:p w14:paraId="05672B95" w14:textId="77777777" w:rsidR="00CE2513" w:rsidRPr="002B6812" w:rsidRDefault="00CE2513" w:rsidP="00231F2B">
            <w:pPr>
              <w:pStyle w:val="TableText"/>
              <w:jc w:val="both"/>
              <w:rPr>
                <w:rFonts w:cs="Segoe UI"/>
                <w:szCs w:val="20"/>
              </w:rPr>
            </w:pPr>
          </w:p>
        </w:tc>
        <w:tc>
          <w:tcPr>
            <w:tcW w:w="2169" w:type="dxa"/>
            <w:shd w:val="clear" w:color="auto" w:fill="auto"/>
          </w:tcPr>
          <w:p w14:paraId="61FFB0F1" w14:textId="65C5FB49" w:rsidR="00CE2513" w:rsidRPr="002B6812" w:rsidRDefault="00CE2513" w:rsidP="00231F2B">
            <w:pPr>
              <w:pStyle w:val="TableText"/>
              <w:jc w:val="both"/>
              <w:rPr>
                <w:rFonts w:cs="Segoe UI"/>
                <w:szCs w:val="20"/>
              </w:rPr>
            </w:pPr>
            <w:r w:rsidRPr="002B6812">
              <w:rPr>
                <w:rFonts w:cs="Segoe UI"/>
                <w:szCs w:val="20"/>
              </w:rPr>
              <w:t xml:space="preserve">Cloud strategy </w:t>
            </w:r>
          </w:p>
        </w:tc>
        <w:tc>
          <w:tcPr>
            <w:tcW w:w="5321" w:type="dxa"/>
            <w:shd w:val="clear" w:color="auto" w:fill="auto"/>
          </w:tcPr>
          <w:p w14:paraId="29340823" w14:textId="67353BF4" w:rsidR="00CE2513" w:rsidRPr="002B6812" w:rsidRDefault="00CE2513" w:rsidP="00231F2B">
            <w:pPr>
              <w:pStyle w:val="TableText"/>
              <w:jc w:val="both"/>
              <w:rPr>
                <w:rFonts w:cs="Segoe UI"/>
                <w:szCs w:val="20"/>
              </w:rPr>
            </w:pPr>
            <w:r w:rsidRPr="002B6812">
              <w:rPr>
                <w:noProof/>
              </w:rPr>
              <w:t xml:space="preserve">Developing the </w:t>
            </w:r>
            <w:r w:rsidR="004744AF" w:rsidRPr="002B6812">
              <w:rPr>
                <w:noProof/>
              </w:rPr>
              <w:t>Customer</w:t>
            </w:r>
            <w:r w:rsidRPr="002B6812">
              <w:rPr>
                <w:noProof/>
              </w:rPr>
              <w:t>’s cloud strategy and roadmap</w:t>
            </w:r>
            <w:r w:rsidR="009F5CC9">
              <w:rPr>
                <w:noProof/>
              </w:rPr>
              <w:t xml:space="preserve"> is out of scope</w:t>
            </w:r>
            <w:r w:rsidRPr="002B6812">
              <w:rPr>
                <w:noProof/>
              </w:rPr>
              <w:t>. Review of existing cloud strategy during the</w:t>
            </w:r>
            <w:r w:rsidR="004A5DAF">
              <w:rPr>
                <w:noProof/>
              </w:rPr>
              <w:t xml:space="preserve"> </w:t>
            </w:r>
            <w:r w:rsidR="004A5DAF" w:rsidRPr="004A5DAF">
              <w:rPr>
                <w:noProof/>
              </w:rPr>
              <w:t>Office 365 Information Architecture</w:t>
            </w:r>
            <w:r w:rsidR="00AB52B6">
              <w:rPr>
                <w:noProof/>
              </w:rPr>
              <w:t xml:space="preserve"> workshops</w:t>
            </w:r>
            <w:r w:rsidRPr="002B6812">
              <w:rPr>
                <w:noProof/>
              </w:rPr>
              <w:t xml:space="preserve"> is permissible.</w:t>
            </w:r>
          </w:p>
        </w:tc>
      </w:tr>
      <w:tr w:rsidR="00CE2513" w:rsidRPr="002B6812" w14:paraId="60DED2B2" w14:textId="77777777" w:rsidTr="005C3C1C">
        <w:trPr>
          <w:trHeight w:val="432"/>
        </w:trPr>
        <w:tc>
          <w:tcPr>
            <w:tcW w:w="1872" w:type="dxa"/>
            <w:vMerge/>
          </w:tcPr>
          <w:p w14:paraId="5738D09C" w14:textId="77777777" w:rsidR="00CE2513" w:rsidRPr="002B6812" w:rsidRDefault="00CE2513" w:rsidP="00231F2B">
            <w:pPr>
              <w:pStyle w:val="TableText"/>
              <w:jc w:val="both"/>
              <w:rPr>
                <w:rFonts w:cs="Segoe UI"/>
                <w:szCs w:val="20"/>
              </w:rPr>
            </w:pPr>
          </w:p>
        </w:tc>
        <w:tc>
          <w:tcPr>
            <w:tcW w:w="2169" w:type="dxa"/>
            <w:shd w:val="clear" w:color="auto" w:fill="auto"/>
          </w:tcPr>
          <w:p w14:paraId="39A7C92A" w14:textId="51926807" w:rsidR="00CE2513" w:rsidRPr="002B6812" w:rsidRDefault="00CE2513" w:rsidP="00231F2B">
            <w:pPr>
              <w:pStyle w:val="TableText"/>
              <w:jc w:val="both"/>
              <w:rPr>
                <w:rFonts w:cs="Segoe UI"/>
                <w:szCs w:val="20"/>
              </w:rPr>
            </w:pPr>
            <w:r w:rsidRPr="002B6812">
              <w:rPr>
                <w:rFonts w:cs="Segoe UI"/>
                <w:szCs w:val="20"/>
              </w:rPr>
              <w:t xml:space="preserve">Service management </w:t>
            </w:r>
          </w:p>
        </w:tc>
        <w:tc>
          <w:tcPr>
            <w:tcW w:w="5321" w:type="dxa"/>
            <w:shd w:val="clear" w:color="auto" w:fill="auto"/>
          </w:tcPr>
          <w:p w14:paraId="74DD1796" w14:textId="2DFBDD34" w:rsidR="00CE2513" w:rsidRPr="002B6812" w:rsidRDefault="00CE2513" w:rsidP="00231F2B">
            <w:pPr>
              <w:pStyle w:val="TableText"/>
              <w:jc w:val="both"/>
              <w:rPr>
                <w:noProof/>
              </w:rPr>
            </w:pPr>
            <w:r w:rsidRPr="002B6812">
              <w:rPr>
                <w:noProof/>
              </w:rPr>
              <w:t>Detailed service management and support program design</w:t>
            </w:r>
            <w:r w:rsidR="001379F1">
              <w:rPr>
                <w:noProof/>
              </w:rPr>
              <w:t xml:space="preserve"> is out of scope</w:t>
            </w:r>
            <w:r w:rsidR="001379F1" w:rsidRPr="002B6812">
              <w:rPr>
                <w:noProof/>
              </w:rPr>
              <w:t>.</w:t>
            </w:r>
          </w:p>
        </w:tc>
      </w:tr>
      <w:tr w:rsidR="00CE2513" w:rsidRPr="002B6812" w14:paraId="7ED2285E" w14:textId="77777777" w:rsidTr="005C3C1C">
        <w:trPr>
          <w:trHeight w:val="432"/>
        </w:trPr>
        <w:tc>
          <w:tcPr>
            <w:tcW w:w="1872" w:type="dxa"/>
            <w:vMerge/>
          </w:tcPr>
          <w:p w14:paraId="49867E65" w14:textId="77777777" w:rsidR="00CE2513" w:rsidRPr="002B6812" w:rsidRDefault="00CE2513" w:rsidP="00231F2B">
            <w:pPr>
              <w:pStyle w:val="TableText"/>
              <w:jc w:val="both"/>
              <w:rPr>
                <w:rFonts w:cs="Segoe UI"/>
                <w:szCs w:val="20"/>
              </w:rPr>
            </w:pPr>
          </w:p>
        </w:tc>
        <w:tc>
          <w:tcPr>
            <w:tcW w:w="2169" w:type="dxa"/>
            <w:shd w:val="clear" w:color="auto" w:fill="auto"/>
          </w:tcPr>
          <w:p w14:paraId="47ABBB30" w14:textId="0C9BC6F4" w:rsidR="00CE2513" w:rsidRPr="002B6812" w:rsidRDefault="00CE2513" w:rsidP="00231F2B">
            <w:pPr>
              <w:pStyle w:val="TableText"/>
              <w:jc w:val="both"/>
              <w:rPr>
                <w:rFonts w:cs="Segoe UI"/>
                <w:szCs w:val="20"/>
              </w:rPr>
            </w:pPr>
            <w:r w:rsidRPr="002B6812">
              <w:rPr>
                <w:rFonts w:cs="Segoe UI"/>
                <w:szCs w:val="20"/>
              </w:rPr>
              <w:t xml:space="preserve">Training </w:t>
            </w:r>
          </w:p>
        </w:tc>
        <w:tc>
          <w:tcPr>
            <w:tcW w:w="5321" w:type="dxa"/>
            <w:shd w:val="clear" w:color="auto" w:fill="auto"/>
          </w:tcPr>
          <w:p w14:paraId="2238F9C1" w14:textId="66AB53FB" w:rsidR="00CE2513" w:rsidRPr="002B6812" w:rsidRDefault="00CE2513" w:rsidP="00231F2B">
            <w:pPr>
              <w:pStyle w:val="TableText"/>
              <w:jc w:val="both"/>
              <w:rPr>
                <w:rFonts w:cs="Segoe UI"/>
                <w:szCs w:val="20"/>
              </w:rPr>
            </w:pPr>
            <w:r w:rsidRPr="002B6812">
              <w:t>Formal user training related to products or technology that includes workshops, classrooms, and books is not in scope.</w:t>
            </w:r>
          </w:p>
        </w:tc>
      </w:tr>
      <w:tr w:rsidR="00CE2513" w:rsidRPr="002B6812" w14:paraId="3F8F6135" w14:textId="77777777" w:rsidTr="005C3C1C">
        <w:trPr>
          <w:trHeight w:val="432"/>
        </w:trPr>
        <w:tc>
          <w:tcPr>
            <w:tcW w:w="1872" w:type="dxa"/>
            <w:vMerge/>
          </w:tcPr>
          <w:p w14:paraId="5596B516" w14:textId="77777777" w:rsidR="00CE2513" w:rsidRPr="002B6812" w:rsidRDefault="00CE2513" w:rsidP="00231F2B">
            <w:pPr>
              <w:pStyle w:val="TableText"/>
              <w:jc w:val="both"/>
              <w:rPr>
                <w:rFonts w:cs="Segoe UI"/>
                <w:szCs w:val="20"/>
              </w:rPr>
            </w:pPr>
          </w:p>
        </w:tc>
        <w:tc>
          <w:tcPr>
            <w:tcW w:w="2169" w:type="dxa"/>
            <w:shd w:val="clear" w:color="auto" w:fill="auto"/>
          </w:tcPr>
          <w:p w14:paraId="11ADEAE1" w14:textId="71D77619" w:rsidR="00CE2513" w:rsidRPr="002B6812" w:rsidRDefault="00CE2513" w:rsidP="00231F2B">
            <w:pPr>
              <w:pStyle w:val="TableText"/>
              <w:jc w:val="both"/>
              <w:rPr>
                <w:rFonts w:cs="Segoe UI"/>
                <w:szCs w:val="20"/>
              </w:rPr>
            </w:pPr>
            <w:r w:rsidRPr="002B6812">
              <w:t>Detailed product overviews</w:t>
            </w:r>
          </w:p>
        </w:tc>
        <w:tc>
          <w:tcPr>
            <w:tcW w:w="5321" w:type="dxa"/>
            <w:shd w:val="clear" w:color="auto" w:fill="auto"/>
          </w:tcPr>
          <w:p w14:paraId="58188411" w14:textId="6EF8D27C" w:rsidR="00CE2513" w:rsidRPr="002B6812" w:rsidRDefault="00CE2513" w:rsidP="00231F2B">
            <w:pPr>
              <w:pStyle w:val="TableText"/>
              <w:jc w:val="both"/>
            </w:pPr>
            <w:r w:rsidRPr="002B6812">
              <w:t>Product overviews beyond what</w:t>
            </w:r>
            <w:r w:rsidR="00CF57AE">
              <w:t xml:space="preserve"> is</w:t>
            </w:r>
            <w:r w:rsidRPr="002B6812">
              <w:t xml:space="preserve"> provided in the first workshops are out of scope, </w:t>
            </w:r>
            <w:r w:rsidR="001379F1">
              <w:t>because</w:t>
            </w:r>
            <w:r w:rsidR="001379F1" w:rsidRPr="002B6812">
              <w:t xml:space="preserve"> </w:t>
            </w:r>
            <w:r w:rsidRPr="002B6812">
              <w:t>this sort of education material is available from other Microsoft sales and Premier resources.</w:t>
            </w:r>
          </w:p>
        </w:tc>
      </w:tr>
      <w:tr w:rsidR="00CE2513" w:rsidRPr="002B6812" w14:paraId="42897065" w14:textId="77777777" w:rsidTr="005C3C1C">
        <w:trPr>
          <w:trHeight w:val="432"/>
        </w:trPr>
        <w:tc>
          <w:tcPr>
            <w:tcW w:w="1872" w:type="dxa"/>
            <w:vMerge w:val="restart"/>
          </w:tcPr>
          <w:p w14:paraId="5F45E495" w14:textId="43E423FB" w:rsidR="00CE2513" w:rsidRPr="002B6812" w:rsidRDefault="00CE2513" w:rsidP="00231F2B">
            <w:pPr>
              <w:jc w:val="both"/>
            </w:pPr>
            <w:r w:rsidRPr="002B6812">
              <w:t xml:space="preserve">Office 365 Information Architecture </w:t>
            </w:r>
            <w:r w:rsidR="00E8414F">
              <w:br/>
            </w:r>
            <w:r w:rsidRPr="002B6812">
              <w:t>(OIA-01)</w:t>
            </w:r>
          </w:p>
        </w:tc>
        <w:tc>
          <w:tcPr>
            <w:tcW w:w="2169" w:type="dxa"/>
            <w:shd w:val="clear" w:color="auto" w:fill="auto"/>
          </w:tcPr>
          <w:p w14:paraId="175F13E1" w14:textId="28D7E334" w:rsidR="00CE2513" w:rsidRPr="002B6812" w:rsidRDefault="00CE2513" w:rsidP="00231F2B">
            <w:pPr>
              <w:pStyle w:val="TableText"/>
              <w:jc w:val="both"/>
              <w:rPr>
                <w:rFonts w:cs="Segoe UI"/>
                <w:szCs w:val="20"/>
              </w:rPr>
            </w:pPr>
            <w:r w:rsidRPr="002B6812">
              <w:t xml:space="preserve">Non-Office 365-related </w:t>
            </w:r>
            <w:r w:rsidR="00215E1D">
              <w:t>information architecture (IA)</w:t>
            </w:r>
            <w:r w:rsidRPr="002B6812">
              <w:t xml:space="preserve"> planning</w:t>
            </w:r>
          </w:p>
        </w:tc>
        <w:tc>
          <w:tcPr>
            <w:tcW w:w="5321" w:type="dxa"/>
            <w:shd w:val="clear" w:color="auto" w:fill="auto"/>
          </w:tcPr>
          <w:p w14:paraId="4066CB13" w14:textId="396E2022" w:rsidR="00CE2513" w:rsidRPr="002B6812" w:rsidRDefault="00CE2513" w:rsidP="00231F2B">
            <w:pPr>
              <w:pStyle w:val="TableBullet1"/>
              <w:numPr>
                <w:ilvl w:val="0"/>
                <w:numId w:val="0"/>
              </w:numPr>
              <w:jc w:val="both"/>
              <w:rPr>
                <w:rFonts w:cs="Segoe UI"/>
                <w:szCs w:val="20"/>
              </w:rPr>
            </w:pPr>
            <w:r w:rsidRPr="002B6812">
              <w:t>I</w:t>
            </w:r>
            <w:r w:rsidR="00215E1D">
              <w:t>A</w:t>
            </w:r>
            <w:r w:rsidRPr="002B6812">
              <w:t xml:space="preserve"> planning for non-Office 365 entities is out of scope.</w:t>
            </w:r>
          </w:p>
        </w:tc>
      </w:tr>
      <w:tr w:rsidR="00CE2513" w:rsidRPr="002B6812" w14:paraId="3EC455F3" w14:textId="77777777" w:rsidTr="005C3C1C">
        <w:trPr>
          <w:trHeight w:val="432"/>
        </w:trPr>
        <w:tc>
          <w:tcPr>
            <w:tcW w:w="1872" w:type="dxa"/>
            <w:vMerge/>
          </w:tcPr>
          <w:p w14:paraId="307FBD6A" w14:textId="77777777" w:rsidR="00CE2513" w:rsidRPr="002B6812" w:rsidRDefault="00CE2513" w:rsidP="00231F2B">
            <w:pPr>
              <w:jc w:val="both"/>
            </w:pPr>
          </w:p>
        </w:tc>
        <w:tc>
          <w:tcPr>
            <w:tcW w:w="2169" w:type="dxa"/>
            <w:shd w:val="clear" w:color="auto" w:fill="auto"/>
          </w:tcPr>
          <w:p w14:paraId="2F925AEF" w14:textId="50D38CCC" w:rsidR="00CE2513" w:rsidRPr="002B6812" w:rsidRDefault="00CE2513" w:rsidP="00231F2B">
            <w:pPr>
              <w:pStyle w:val="TableText"/>
              <w:jc w:val="both"/>
              <w:rPr>
                <w:rFonts w:cs="Segoe UI"/>
                <w:szCs w:val="20"/>
              </w:rPr>
            </w:pPr>
            <w:r w:rsidRPr="002B6812">
              <w:t>Detailed information classification, taxonomy</w:t>
            </w:r>
            <w:r w:rsidR="008E04FB">
              <w:t>, and</w:t>
            </w:r>
            <w:r w:rsidRPr="002B6812">
              <w:t xml:space="preserve"> advanced content management planning</w:t>
            </w:r>
          </w:p>
        </w:tc>
        <w:tc>
          <w:tcPr>
            <w:tcW w:w="5321" w:type="dxa"/>
            <w:shd w:val="clear" w:color="auto" w:fill="auto"/>
          </w:tcPr>
          <w:p w14:paraId="1CB74AFC" w14:textId="3CFFFF2C" w:rsidR="00CE2513" w:rsidRPr="002B6812" w:rsidRDefault="00CE2513" w:rsidP="00231F2B">
            <w:pPr>
              <w:pStyle w:val="TableBullet1"/>
              <w:numPr>
                <w:ilvl w:val="0"/>
                <w:numId w:val="0"/>
              </w:numPr>
              <w:jc w:val="both"/>
              <w:rPr>
                <w:rFonts w:cs="Segoe UI"/>
                <w:szCs w:val="20"/>
              </w:rPr>
            </w:pPr>
            <w:r w:rsidRPr="002B6812">
              <w:t xml:space="preserve">Advanced planning of IA elements, such as planning related to the following: content type, managed metadata, </w:t>
            </w:r>
            <w:r w:rsidR="0061559F">
              <w:t xml:space="preserve">and </w:t>
            </w:r>
            <w:r w:rsidRPr="002B6812">
              <w:t>Office 365 labels.</w:t>
            </w:r>
          </w:p>
        </w:tc>
      </w:tr>
      <w:tr w:rsidR="00CE2513" w:rsidRPr="002B6812" w14:paraId="04E46A76" w14:textId="77777777" w:rsidTr="005C3C1C">
        <w:trPr>
          <w:trHeight w:val="432"/>
        </w:trPr>
        <w:tc>
          <w:tcPr>
            <w:tcW w:w="1872" w:type="dxa"/>
            <w:vMerge/>
          </w:tcPr>
          <w:p w14:paraId="5B6F5807" w14:textId="77777777" w:rsidR="00CE2513" w:rsidRPr="002B6812" w:rsidRDefault="00CE2513" w:rsidP="00231F2B">
            <w:pPr>
              <w:jc w:val="both"/>
            </w:pPr>
          </w:p>
        </w:tc>
        <w:tc>
          <w:tcPr>
            <w:tcW w:w="2169" w:type="dxa"/>
            <w:shd w:val="clear" w:color="auto" w:fill="auto"/>
          </w:tcPr>
          <w:p w14:paraId="5990F95B" w14:textId="20ACF47E" w:rsidR="00CE2513" w:rsidRPr="002B6812" w:rsidRDefault="00CE2513" w:rsidP="00231F2B">
            <w:pPr>
              <w:pStyle w:val="TableText"/>
              <w:jc w:val="both"/>
              <w:rPr>
                <w:rFonts w:cs="Segoe UI"/>
                <w:szCs w:val="20"/>
              </w:rPr>
            </w:pPr>
            <w:r w:rsidRPr="002B6812">
              <w:t>Classic site IA planning</w:t>
            </w:r>
          </w:p>
        </w:tc>
        <w:tc>
          <w:tcPr>
            <w:tcW w:w="5321" w:type="dxa"/>
            <w:shd w:val="clear" w:color="auto" w:fill="auto"/>
          </w:tcPr>
          <w:p w14:paraId="29BAF8B8" w14:textId="5CA41F01" w:rsidR="00CE2513" w:rsidRPr="002B6812" w:rsidRDefault="00CE2513" w:rsidP="00231F2B">
            <w:pPr>
              <w:pStyle w:val="TableBullet1"/>
              <w:numPr>
                <w:ilvl w:val="0"/>
                <w:numId w:val="0"/>
              </w:numPr>
              <w:jc w:val="both"/>
              <w:rPr>
                <w:rFonts w:cs="Segoe UI"/>
                <w:szCs w:val="20"/>
              </w:rPr>
            </w:pPr>
            <w:r w:rsidRPr="002B6812">
              <w:t xml:space="preserve">This component focuses </w:t>
            </w:r>
            <w:r w:rsidR="00267D97">
              <w:t xml:space="preserve">only </w:t>
            </w:r>
            <w:r w:rsidRPr="002B6812">
              <w:t>on "Modern site" IA given that these are the direction forward and they underpin other workload types (e.g. Teams and Groups).</w:t>
            </w:r>
          </w:p>
        </w:tc>
      </w:tr>
      <w:tr w:rsidR="00CE2513" w:rsidRPr="002B6812" w14:paraId="5B30A24F" w14:textId="77777777" w:rsidTr="005C3C1C">
        <w:trPr>
          <w:trHeight w:val="432"/>
        </w:trPr>
        <w:tc>
          <w:tcPr>
            <w:tcW w:w="1872" w:type="dxa"/>
            <w:vMerge w:val="restart"/>
          </w:tcPr>
          <w:p w14:paraId="16A60304" w14:textId="5FC809F5" w:rsidR="00CE2513" w:rsidRPr="002B6812" w:rsidRDefault="00CE2513" w:rsidP="00231F2B">
            <w:pPr>
              <w:jc w:val="both"/>
            </w:pPr>
            <w:r w:rsidRPr="002B6812">
              <w:t xml:space="preserve">Office 365 Security and Compliance Governance </w:t>
            </w:r>
            <w:r w:rsidR="00E8414F">
              <w:br/>
            </w:r>
            <w:r w:rsidRPr="002B6812">
              <w:t>(SCG-01</w:t>
            </w:r>
            <w:r w:rsidR="00857C4E">
              <w:t>)</w:t>
            </w:r>
          </w:p>
        </w:tc>
        <w:tc>
          <w:tcPr>
            <w:tcW w:w="2169" w:type="dxa"/>
            <w:shd w:val="clear" w:color="auto" w:fill="auto"/>
          </w:tcPr>
          <w:p w14:paraId="79CE7A55" w14:textId="760D4850" w:rsidR="00CE2513" w:rsidRPr="002B6812" w:rsidRDefault="00CE2513" w:rsidP="00231F2B">
            <w:pPr>
              <w:pStyle w:val="TableText"/>
              <w:jc w:val="both"/>
              <w:rPr>
                <w:rFonts w:eastAsia="Calibri"/>
              </w:rPr>
            </w:pPr>
            <w:r w:rsidRPr="002B6812">
              <w:t>Non-Office 365-related security and compliance planning</w:t>
            </w:r>
          </w:p>
        </w:tc>
        <w:tc>
          <w:tcPr>
            <w:tcW w:w="5321" w:type="dxa"/>
            <w:shd w:val="clear" w:color="auto" w:fill="auto"/>
          </w:tcPr>
          <w:p w14:paraId="0137F7F8" w14:textId="769C1A19" w:rsidR="00CE2513" w:rsidRPr="002B6812" w:rsidRDefault="00CE2513" w:rsidP="00231F2B">
            <w:pPr>
              <w:jc w:val="both"/>
              <w:rPr>
                <w:rFonts w:eastAsia="Calibri"/>
              </w:rPr>
            </w:pPr>
            <w:r w:rsidRPr="002B6812">
              <w:t>Security and compliance planning for non-Office 365 entities is out of scope.</w:t>
            </w:r>
          </w:p>
        </w:tc>
      </w:tr>
      <w:tr w:rsidR="00CE2513" w:rsidRPr="002B6812" w14:paraId="2D1B59DD" w14:textId="77777777" w:rsidTr="005C3C1C">
        <w:trPr>
          <w:trHeight w:val="432"/>
        </w:trPr>
        <w:tc>
          <w:tcPr>
            <w:tcW w:w="1872" w:type="dxa"/>
            <w:vMerge/>
          </w:tcPr>
          <w:p w14:paraId="0170C2FE" w14:textId="77777777" w:rsidR="00CE2513" w:rsidRPr="002B6812" w:rsidRDefault="00CE2513" w:rsidP="00231F2B">
            <w:pPr>
              <w:jc w:val="both"/>
            </w:pPr>
          </w:p>
        </w:tc>
        <w:tc>
          <w:tcPr>
            <w:tcW w:w="2169" w:type="dxa"/>
            <w:shd w:val="clear" w:color="auto" w:fill="auto"/>
          </w:tcPr>
          <w:p w14:paraId="5DF54B9C" w14:textId="5ECD3CC8" w:rsidR="00CE2513" w:rsidRPr="002B6812" w:rsidRDefault="00CE2513" w:rsidP="00231F2B">
            <w:pPr>
              <w:pStyle w:val="TableText"/>
              <w:jc w:val="both"/>
              <w:rPr>
                <w:rFonts w:eastAsia="Calibri"/>
              </w:rPr>
            </w:pPr>
            <w:r w:rsidRPr="002B6812">
              <w:t>Detailed Office 365 security and compliance implementation planning</w:t>
            </w:r>
          </w:p>
        </w:tc>
        <w:tc>
          <w:tcPr>
            <w:tcW w:w="5321" w:type="dxa"/>
            <w:shd w:val="clear" w:color="auto" w:fill="auto"/>
          </w:tcPr>
          <w:p w14:paraId="26628880" w14:textId="0EA50A23" w:rsidR="00CE2513" w:rsidRPr="002B6812" w:rsidRDefault="00CE2513" w:rsidP="00231F2B">
            <w:pPr>
              <w:pStyle w:val="TableBullet1"/>
              <w:numPr>
                <w:ilvl w:val="0"/>
                <w:numId w:val="0"/>
              </w:numPr>
              <w:jc w:val="both"/>
              <w:rPr>
                <w:rFonts w:eastAsia="Calibri"/>
              </w:rPr>
            </w:pPr>
            <w:r w:rsidRPr="002B6812">
              <w:t>Development of detailed specifications related to Office 365 security and compliance controls, such as detailed policy specifications, is out of scope.</w:t>
            </w:r>
          </w:p>
        </w:tc>
      </w:tr>
      <w:tr w:rsidR="00CE2513" w:rsidRPr="002B6812" w14:paraId="2C226C92" w14:textId="77777777" w:rsidTr="005C3C1C">
        <w:trPr>
          <w:trHeight w:val="432"/>
        </w:trPr>
        <w:tc>
          <w:tcPr>
            <w:tcW w:w="1872" w:type="dxa"/>
            <w:vMerge/>
          </w:tcPr>
          <w:p w14:paraId="25E59F4D" w14:textId="77777777" w:rsidR="00CE2513" w:rsidRPr="002B6812" w:rsidRDefault="00CE2513" w:rsidP="00231F2B">
            <w:pPr>
              <w:jc w:val="both"/>
            </w:pPr>
          </w:p>
        </w:tc>
        <w:tc>
          <w:tcPr>
            <w:tcW w:w="2169" w:type="dxa"/>
            <w:shd w:val="clear" w:color="auto" w:fill="auto"/>
          </w:tcPr>
          <w:p w14:paraId="751D01A5" w14:textId="6C829D7B" w:rsidR="00CE2513" w:rsidRPr="002B6812" w:rsidRDefault="00CE2513" w:rsidP="00231F2B">
            <w:pPr>
              <w:jc w:val="both"/>
            </w:pPr>
            <w:r w:rsidRPr="002B6812">
              <w:t>Classic controls</w:t>
            </w:r>
          </w:p>
        </w:tc>
        <w:tc>
          <w:tcPr>
            <w:tcW w:w="5321" w:type="dxa"/>
            <w:shd w:val="clear" w:color="auto" w:fill="auto"/>
          </w:tcPr>
          <w:p w14:paraId="74D50B61" w14:textId="5C38B8C3" w:rsidR="00CE2513" w:rsidRPr="002B6812" w:rsidRDefault="00CE2513" w:rsidP="00231F2B">
            <w:pPr>
              <w:jc w:val="both"/>
            </w:pPr>
            <w:r w:rsidRPr="002B6812">
              <w:t xml:space="preserve">This component focuses on </w:t>
            </w:r>
            <w:r w:rsidR="00A53530">
              <w:t>m</w:t>
            </w:r>
            <w:r w:rsidRPr="002B6812">
              <w:t>odern forms of security and compliance controls</w:t>
            </w:r>
            <w:r w:rsidR="00A53530">
              <w:t>;</w:t>
            </w:r>
            <w:r w:rsidR="00A53530" w:rsidRPr="002B6812">
              <w:t xml:space="preserve"> </w:t>
            </w:r>
            <w:r w:rsidR="00A53530">
              <w:t xml:space="preserve">for example, </w:t>
            </w:r>
            <w:r w:rsidRPr="002B6812">
              <w:t xml:space="preserve">those </w:t>
            </w:r>
            <w:r w:rsidR="00A53530">
              <w:t xml:space="preserve">that </w:t>
            </w:r>
            <w:r w:rsidRPr="002B6812">
              <w:t xml:space="preserve">focus on the Microsoft 365 Security and Compliance Center admin console. Classic forms of records management, for example, are out of scope, </w:t>
            </w:r>
            <w:r w:rsidR="00A53530">
              <w:t xml:space="preserve">because </w:t>
            </w:r>
            <w:r w:rsidRPr="002B6812">
              <w:t>Microsoft</w:t>
            </w:r>
            <w:r w:rsidR="00956F9A">
              <w:t xml:space="preserve"> </w:t>
            </w:r>
            <w:r w:rsidRPr="002B6812">
              <w:t>use</w:t>
            </w:r>
            <w:r w:rsidR="002A7AB1">
              <w:t>s</w:t>
            </w:r>
            <w:r w:rsidRPr="002B6812">
              <w:t xml:space="preserve"> the retention label capability available from the Microsoft 365 Security and Compliance Center.</w:t>
            </w:r>
          </w:p>
        </w:tc>
      </w:tr>
      <w:tr w:rsidR="00F64CF4" w:rsidRPr="002B6812" w14:paraId="29CDC378" w14:textId="77777777" w:rsidTr="005C3C1C">
        <w:trPr>
          <w:trHeight w:val="432"/>
        </w:trPr>
        <w:tc>
          <w:tcPr>
            <w:tcW w:w="1872" w:type="dxa"/>
            <w:vMerge w:val="restart"/>
          </w:tcPr>
          <w:p w14:paraId="5AAF8EA9" w14:textId="622202CD" w:rsidR="00F64CF4" w:rsidRPr="002B6812" w:rsidRDefault="00F64CF4" w:rsidP="00231F2B">
            <w:pPr>
              <w:jc w:val="both"/>
            </w:pPr>
            <w:r w:rsidRPr="002B6812">
              <w:t>Office 365 Applications Governance (OAG-01)</w:t>
            </w:r>
          </w:p>
        </w:tc>
        <w:tc>
          <w:tcPr>
            <w:tcW w:w="2169" w:type="dxa"/>
            <w:shd w:val="clear" w:color="auto" w:fill="auto"/>
          </w:tcPr>
          <w:p w14:paraId="1C00E10F" w14:textId="6882593D" w:rsidR="00F64CF4" w:rsidRPr="002B6812" w:rsidRDefault="00F64CF4" w:rsidP="00231F2B">
            <w:pPr>
              <w:jc w:val="both"/>
              <w:rPr>
                <w:rFonts w:eastAsia="Calibri"/>
              </w:rPr>
            </w:pPr>
            <w:r w:rsidRPr="002B6812">
              <w:t>Non-Office 365-related applications governance planning</w:t>
            </w:r>
          </w:p>
        </w:tc>
        <w:tc>
          <w:tcPr>
            <w:tcW w:w="5321" w:type="dxa"/>
            <w:shd w:val="clear" w:color="auto" w:fill="auto"/>
          </w:tcPr>
          <w:p w14:paraId="68C6B2FF" w14:textId="07150090" w:rsidR="00F64CF4" w:rsidRPr="002B6812" w:rsidRDefault="00F64CF4" w:rsidP="00231F2B">
            <w:pPr>
              <w:pStyle w:val="Bulletlist"/>
              <w:numPr>
                <w:ilvl w:val="0"/>
                <w:numId w:val="0"/>
              </w:numPr>
              <w:jc w:val="both"/>
            </w:pPr>
            <w:r w:rsidRPr="002B6812">
              <w:t>Application governance planning for non-Office 365 entities is out of scope.</w:t>
            </w:r>
          </w:p>
        </w:tc>
      </w:tr>
      <w:tr w:rsidR="00F64CF4" w:rsidRPr="002B6812" w14:paraId="36D3D9FD" w14:textId="77777777" w:rsidTr="005C3C1C">
        <w:trPr>
          <w:trHeight w:val="432"/>
        </w:trPr>
        <w:tc>
          <w:tcPr>
            <w:tcW w:w="1872" w:type="dxa"/>
            <w:vMerge/>
          </w:tcPr>
          <w:p w14:paraId="7C1C11AE" w14:textId="77777777" w:rsidR="00F64CF4" w:rsidRPr="002B6812" w:rsidRDefault="00F64CF4" w:rsidP="00231F2B">
            <w:pPr>
              <w:jc w:val="both"/>
            </w:pPr>
          </w:p>
        </w:tc>
        <w:tc>
          <w:tcPr>
            <w:tcW w:w="2169" w:type="dxa"/>
            <w:shd w:val="clear" w:color="auto" w:fill="auto"/>
          </w:tcPr>
          <w:p w14:paraId="5BDF36E5" w14:textId="4BC3411F" w:rsidR="00F64CF4" w:rsidRPr="002B6812" w:rsidRDefault="00F64CF4" w:rsidP="00231F2B">
            <w:pPr>
              <w:jc w:val="both"/>
              <w:rPr>
                <w:rFonts w:eastAsia="Calibri"/>
              </w:rPr>
            </w:pPr>
            <w:r w:rsidRPr="002B6812">
              <w:t>Detailed Office 365 applications implementation planning</w:t>
            </w:r>
          </w:p>
        </w:tc>
        <w:tc>
          <w:tcPr>
            <w:tcW w:w="5321" w:type="dxa"/>
            <w:shd w:val="clear" w:color="auto" w:fill="auto"/>
          </w:tcPr>
          <w:p w14:paraId="1D49E49B" w14:textId="5E738891" w:rsidR="00F64CF4" w:rsidRPr="002B6812" w:rsidRDefault="00F64CF4" w:rsidP="00231F2B">
            <w:pPr>
              <w:pStyle w:val="Bulletlist"/>
              <w:numPr>
                <w:ilvl w:val="0"/>
                <w:numId w:val="0"/>
              </w:numPr>
              <w:jc w:val="both"/>
            </w:pPr>
            <w:r w:rsidRPr="002B6812">
              <w:t>Development of detailed specifications related to Office 365 applications controls, such as detailed configuration settings, is out of scope.</w:t>
            </w:r>
          </w:p>
        </w:tc>
      </w:tr>
      <w:tr w:rsidR="00F64CF4" w:rsidRPr="002B6812" w14:paraId="411D7110" w14:textId="77777777" w:rsidTr="005C3C1C">
        <w:trPr>
          <w:trHeight w:val="432"/>
        </w:trPr>
        <w:tc>
          <w:tcPr>
            <w:tcW w:w="1872" w:type="dxa"/>
            <w:vMerge/>
          </w:tcPr>
          <w:p w14:paraId="39507605" w14:textId="77777777" w:rsidR="00F64CF4" w:rsidRPr="002B6812" w:rsidRDefault="00F64CF4" w:rsidP="00231F2B">
            <w:pPr>
              <w:jc w:val="both"/>
              <w:rPr>
                <w:rFonts w:cs="Segoe UI"/>
                <w:szCs w:val="20"/>
              </w:rPr>
            </w:pPr>
          </w:p>
        </w:tc>
        <w:tc>
          <w:tcPr>
            <w:tcW w:w="2169" w:type="dxa"/>
            <w:shd w:val="clear" w:color="auto" w:fill="auto"/>
          </w:tcPr>
          <w:p w14:paraId="5ECC78B2" w14:textId="6090B583" w:rsidR="00F64CF4" w:rsidRPr="002B6812" w:rsidRDefault="00F64CF4" w:rsidP="00231F2B">
            <w:pPr>
              <w:jc w:val="both"/>
              <w:rPr>
                <w:rFonts w:eastAsia="Calibri"/>
              </w:rPr>
            </w:pPr>
            <w:r w:rsidRPr="002B6812">
              <w:t>Classic controls</w:t>
            </w:r>
          </w:p>
        </w:tc>
        <w:tc>
          <w:tcPr>
            <w:tcW w:w="5321" w:type="dxa"/>
            <w:shd w:val="clear" w:color="auto" w:fill="auto"/>
          </w:tcPr>
          <w:p w14:paraId="653F1BE1" w14:textId="741F87A7" w:rsidR="00F64CF4" w:rsidRPr="002B6812" w:rsidRDefault="00F64CF4" w:rsidP="00231F2B">
            <w:pPr>
              <w:pStyle w:val="Bulletlist"/>
              <w:numPr>
                <w:ilvl w:val="0"/>
                <w:numId w:val="0"/>
              </w:numPr>
              <w:jc w:val="both"/>
            </w:pPr>
            <w:r w:rsidRPr="002B6812">
              <w:t>This component focuses</w:t>
            </w:r>
            <w:r w:rsidR="00DA1940">
              <w:t xml:space="preserve"> only </w:t>
            </w:r>
            <w:r w:rsidRPr="002B6812">
              <w:t>on "Modern" forms of applications governance controls, e.g. those focusing on "modern" sites in SharePoint Online.</w:t>
            </w:r>
          </w:p>
        </w:tc>
      </w:tr>
      <w:tr w:rsidR="00933BC1" w:rsidRPr="002B6812" w14:paraId="2CE0E60A" w14:textId="77777777" w:rsidTr="005C3C1C">
        <w:trPr>
          <w:trHeight w:val="432"/>
        </w:trPr>
        <w:tc>
          <w:tcPr>
            <w:tcW w:w="1872" w:type="dxa"/>
            <w:vMerge w:val="restart"/>
          </w:tcPr>
          <w:p w14:paraId="4C548058" w14:textId="17AA26D0" w:rsidR="00933BC1" w:rsidRPr="002B6812" w:rsidRDefault="00933BC1" w:rsidP="00231F2B">
            <w:pPr>
              <w:jc w:val="both"/>
              <w:rPr>
                <w:rFonts w:cs="Segoe UI"/>
                <w:szCs w:val="20"/>
              </w:rPr>
            </w:pPr>
            <w:r w:rsidRPr="002B6812">
              <w:t>Office 365 Operations Governance (OOG-01)</w:t>
            </w:r>
          </w:p>
        </w:tc>
        <w:tc>
          <w:tcPr>
            <w:tcW w:w="2169" w:type="dxa"/>
            <w:shd w:val="clear" w:color="auto" w:fill="auto"/>
          </w:tcPr>
          <w:p w14:paraId="60CC83E3" w14:textId="551B1BA0" w:rsidR="00933BC1" w:rsidRPr="002B6812" w:rsidRDefault="00933BC1" w:rsidP="00231F2B">
            <w:pPr>
              <w:jc w:val="both"/>
              <w:rPr>
                <w:rFonts w:eastAsia="Calibri"/>
              </w:rPr>
            </w:pPr>
            <w:r w:rsidRPr="002B6812">
              <w:t>Non-Office 365-related operational capability planning</w:t>
            </w:r>
          </w:p>
        </w:tc>
        <w:tc>
          <w:tcPr>
            <w:tcW w:w="5321" w:type="dxa"/>
            <w:shd w:val="clear" w:color="auto" w:fill="auto"/>
          </w:tcPr>
          <w:p w14:paraId="20EC8617" w14:textId="0BFF9F5F" w:rsidR="00933BC1" w:rsidRPr="002B6812" w:rsidRDefault="00933BC1" w:rsidP="00231F2B">
            <w:pPr>
              <w:pStyle w:val="Bulletlist"/>
              <w:numPr>
                <w:ilvl w:val="0"/>
                <w:numId w:val="0"/>
              </w:numPr>
              <w:jc w:val="both"/>
            </w:pPr>
            <w:r w:rsidRPr="002B6812">
              <w:t>Operational governance planning for non-Office 365 entities is out of scope.</w:t>
            </w:r>
          </w:p>
        </w:tc>
      </w:tr>
      <w:tr w:rsidR="00933BC1" w:rsidRPr="002B6812" w14:paraId="46E59B50" w14:textId="77777777" w:rsidTr="005C3C1C">
        <w:trPr>
          <w:trHeight w:val="432"/>
        </w:trPr>
        <w:tc>
          <w:tcPr>
            <w:tcW w:w="1872" w:type="dxa"/>
            <w:vMerge/>
          </w:tcPr>
          <w:p w14:paraId="309F168D" w14:textId="77777777" w:rsidR="00933BC1" w:rsidRPr="002B6812" w:rsidRDefault="00933BC1" w:rsidP="00231F2B">
            <w:pPr>
              <w:jc w:val="both"/>
            </w:pPr>
          </w:p>
        </w:tc>
        <w:tc>
          <w:tcPr>
            <w:tcW w:w="2169" w:type="dxa"/>
            <w:shd w:val="clear" w:color="auto" w:fill="auto"/>
          </w:tcPr>
          <w:p w14:paraId="6230F876" w14:textId="71442458" w:rsidR="00933BC1" w:rsidRPr="002B6812" w:rsidRDefault="00933BC1" w:rsidP="00231F2B">
            <w:pPr>
              <w:jc w:val="both"/>
            </w:pPr>
            <w:r w:rsidRPr="002B6812">
              <w:t>Detailed Office 365 operations planning</w:t>
            </w:r>
          </w:p>
        </w:tc>
        <w:tc>
          <w:tcPr>
            <w:tcW w:w="5321" w:type="dxa"/>
            <w:shd w:val="clear" w:color="auto" w:fill="auto"/>
          </w:tcPr>
          <w:p w14:paraId="0BB8AD86" w14:textId="35850820" w:rsidR="00933BC1" w:rsidRPr="002B6812" w:rsidRDefault="00933BC1" w:rsidP="00231F2B">
            <w:pPr>
              <w:pStyle w:val="Bulletlist"/>
              <w:numPr>
                <w:ilvl w:val="0"/>
                <w:numId w:val="0"/>
              </w:numPr>
              <w:jc w:val="both"/>
            </w:pPr>
            <w:r w:rsidRPr="002B6812">
              <w:t>Development of detailed specifications related to Office 365 operations planning is out of scope. This includes detailed support capability planning, change management planning, etc.</w:t>
            </w:r>
          </w:p>
        </w:tc>
      </w:tr>
    </w:tbl>
    <w:p w14:paraId="06244AAA" w14:textId="344D58AA" w:rsidR="00942632" w:rsidRPr="002B6812" w:rsidRDefault="00942632" w:rsidP="00231F2B">
      <w:pPr>
        <w:pStyle w:val="Heading1"/>
        <w:jc w:val="both"/>
      </w:pPr>
      <w:bookmarkStart w:id="53" w:name="_Toc515009691"/>
      <w:bookmarkStart w:id="54" w:name="_Toc476167706"/>
      <w:bookmarkStart w:id="55" w:name="_Toc476168033"/>
      <w:bookmarkStart w:id="56" w:name="_Toc514413042"/>
      <w:bookmarkStart w:id="57" w:name="_Toc517761998"/>
      <w:bookmarkStart w:id="58" w:name="_Toc31291366"/>
      <w:bookmarkEnd w:id="53"/>
      <w:r w:rsidRPr="002B6812">
        <w:lastRenderedPageBreak/>
        <w:t>Project approach, timeline</w:t>
      </w:r>
      <w:r w:rsidR="006209A1" w:rsidRPr="002B6812">
        <w:t>,</w:t>
      </w:r>
      <w:r w:rsidRPr="002B6812">
        <w:t xml:space="preserve"> and deliverable acceptance</w:t>
      </w:r>
      <w:bookmarkEnd w:id="54"/>
      <w:bookmarkEnd w:id="55"/>
      <w:bookmarkEnd w:id="56"/>
      <w:bookmarkEnd w:id="57"/>
      <w:bookmarkEnd w:id="58"/>
    </w:p>
    <w:p w14:paraId="39511EBF" w14:textId="330D2292" w:rsidR="00942632" w:rsidRPr="002B6812" w:rsidRDefault="00942632" w:rsidP="00231F2B">
      <w:pPr>
        <w:pStyle w:val="Heading2"/>
        <w:jc w:val="both"/>
      </w:pPr>
      <w:bookmarkStart w:id="59" w:name="_Toc476167707"/>
      <w:bookmarkStart w:id="60" w:name="_Toc476168034"/>
      <w:bookmarkStart w:id="61" w:name="_Ref477870375"/>
      <w:bookmarkStart w:id="62" w:name="_Ref477873467"/>
      <w:bookmarkStart w:id="63" w:name="_Ref477936654"/>
      <w:bookmarkStart w:id="64" w:name="_Ref477936937"/>
      <w:bookmarkStart w:id="65" w:name="_Toc514413043"/>
      <w:bookmarkStart w:id="66" w:name="_Toc517761999"/>
      <w:bookmarkStart w:id="67" w:name="_Toc31291367"/>
      <w:r w:rsidRPr="002B6812">
        <w:t>Approach</w:t>
      </w:r>
      <w:bookmarkEnd w:id="59"/>
      <w:bookmarkEnd w:id="60"/>
      <w:bookmarkEnd w:id="61"/>
      <w:bookmarkEnd w:id="62"/>
      <w:bookmarkEnd w:id="63"/>
      <w:bookmarkEnd w:id="64"/>
      <w:bookmarkEnd w:id="65"/>
      <w:bookmarkEnd w:id="66"/>
      <w:bookmarkEnd w:id="67"/>
    </w:p>
    <w:p w14:paraId="636C6E59" w14:textId="305733A5" w:rsidR="00712FE5" w:rsidRPr="002B6812" w:rsidRDefault="00BC2E99" w:rsidP="00231F2B">
      <w:pPr>
        <w:jc w:val="both"/>
      </w:pPr>
      <w:r w:rsidRPr="002B6812">
        <w:t>Microsoft</w:t>
      </w:r>
      <w:r w:rsidR="00892A12" w:rsidRPr="002B6812">
        <w:t xml:space="preserve"> Services uses </w:t>
      </w:r>
      <w:r w:rsidR="00881E85" w:rsidRPr="002B6812">
        <w:t>the Online Solution Lifecyle delivery methodology</w:t>
      </w:r>
      <w:r w:rsidR="00D249E7" w:rsidRPr="002B6812">
        <w:t>,</w:t>
      </w:r>
      <w:r w:rsidR="00881E85" w:rsidRPr="002B6812">
        <w:t xml:space="preserve"> </w:t>
      </w:r>
      <w:r w:rsidRPr="002B6812">
        <w:t>which</w:t>
      </w:r>
      <w:r w:rsidR="006324A0" w:rsidRPr="002B6812">
        <w:t xml:space="preserve"> </w:t>
      </w:r>
      <w:r w:rsidR="00881E85" w:rsidRPr="002B6812">
        <w:t>consist</w:t>
      </w:r>
      <w:r w:rsidR="00995C4D">
        <w:t>s</w:t>
      </w:r>
      <w:r w:rsidR="00881E85" w:rsidRPr="002B6812">
        <w:t xml:space="preserve"> of </w:t>
      </w:r>
      <w:r w:rsidR="00FD61BD" w:rsidRPr="002B6812">
        <w:t>four</w:t>
      </w:r>
      <w:r w:rsidR="00881E85" w:rsidRPr="002B6812">
        <w:t xml:space="preserve"> distinct phases: Assess, Remediate, Enable, and Migrate.</w:t>
      </w:r>
      <w:r w:rsidR="00881E85" w:rsidRPr="002B6812">
        <w:rPr>
          <w:rFonts w:ascii="Calibri" w:hAnsi="Calibri"/>
        </w:rPr>
        <w:t xml:space="preserve"> </w:t>
      </w:r>
      <w:r w:rsidR="00C05962" w:rsidRPr="002B6812">
        <w:t>T</w:t>
      </w:r>
      <w:r w:rsidR="00617D49" w:rsidRPr="002B6812">
        <w:t xml:space="preserve">his </w:t>
      </w:r>
      <w:r w:rsidR="004707A2" w:rsidRPr="002B6812">
        <w:t xml:space="preserve">particular </w:t>
      </w:r>
      <w:r w:rsidR="00617D49" w:rsidRPr="002B6812">
        <w:t>engagement</w:t>
      </w:r>
      <w:r w:rsidR="00C05962" w:rsidRPr="002B6812">
        <w:t xml:space="preserve"> </w:t>
      </w:r>
      <w:r w:rsidR="00995C4D">
        <w:t>includes</w:t>
      </w:r>
      <w:r w:rsidR="00C812CC" w:rsidRPr="002B6812">
        <w:t xml:space="preserve"> the Assess phase </w:t>
      </w:r>
      <w:r w:rsidR="000B2A20" w:rsidRPr="002B6812">
        <w:t>only; distinct activities and deliverables are described in the following sections. During the Assess phase, a project plan will be produced that documents the</w:t>
      </w:r>
      <w:r w:rsidR="00861A88" w:rsidRPr="002B6812">
        <w:t xml:space="preserve"> project</w:t>
      </w:r>
      <w:r w:rsidR="000B2A20" w:rsidRPr="002B6812">
        <w:t xml:space="preserve"> schedule.</w:t>
      </w:r>
    </w:p>
    <w:p w14:paraId="1A50FCB4" w14:textId="75957673" w:rsidR="00D643A1" w:rsidRPr="002B6812" w:rsidRDefault="00D643A1" w:rsidP="00231F2B">
      <w:pPr>
        <w:jc w:val="both"/>
      </w:pPr>
      <w:r w:rsidRPr="002B6812">
        <w:rPr>
          <w:noProof/>
        </w:rPr>
        <w:drawing>
          <wp:inline distT="0" distB="0" distL="0" distR="0" wp14:anchorId="01EE0B99" wp14:editId="2B130FB5">
            <wp:extent cx="5028741" cy="822419"/>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4748" cy="828308"/>
                    </a:xfrm>
                    <a:prstGeom prst="rect">
                      <a:avLst/>
                    </a:prstGeom>
                  </pic:spPr>
                </pic:pic>
              </a:graphicData>
            </a:graphic>
          </wp:inline>
        </w:drawing>
      </w:r>
    </w:p>
    <w:p w14:paraId="60F69B2C" w14:textId="77777777" w:rsidR="005C45F7" w:rsidRPr="002B6812" w:rsidRDefault="005C45F7" w:rsidP="00231F2B">
      <w:pPr>
        <w:jc w:val="both"/>
      </w:pPr>
      <w:r w:rsidRPr="002B6812">
        <w:t>Microsoft reserves the right to delay the start of individual project components, when necessary, for the purposes of work prioritization or staffing optimization.</w:t>
      </w:r>
    </w:p>
    <w:p w14:paraId="37552954" w14:textId="7C534608" w:rsidR="007C2E09" w:rsidRPr="002B6812" w:rsidRDefault="007C2E09" w:rsidP="00231F2B">
      <w:pPr>
        <w:jc w:val="both"/>
        <w:rPr>
          <w:rFonts w:ascii="Calibri" w:hAnsi="Calibri"/>
        </w:rPr>
      </w:pPr>
      <w:r w:rsidRPr="002B6812">
        <w:t xml:space="preserve">As part of </w:t>
      </w:r>
      <w:r w:rsidR="006256A5" w:rsidRPr="002B6812">
        <w:t>this project</w:t>
      </w:r>
      <w:r w:rsidRPr="002B6812">
        <w:t xml:space="preserve">, various deliverables will be created. If a deliverable requires formal review and acceptance (a process described in the </w:t>
      </w:r>
      <w:r w:rsidRPr="002B6812">
        <w:fldChar w:fldCharType="begin"/>
      </w:r>
      <w:r w:rsidRPr="002B6812">
        <w:instrText xml:space="preserve"> REF _Ref477932041 \h  \* MERGEFORMAT </w:instrText>
      </w:r>
      <w:r w:rsidRPr="002B6812">
        <w:fldChar w:fldCharType="separate"/>
      </w:r>
      <w:r w:rsidR="00A86A20" w:rsidRPr="002B6812">
        <w:t>Deliverable acceptance process</w:t>
      </w:r>
      <w:r w:rsidRPr="002B6812">
        <w:fldChar w:fldCharType="end"/>
      </w:r>
      <w:r w:rsidRPr="002B6812">
        <w:t xml:space="preserve"> section), this is indicated in the following sections.</w:t>
      </w:r>
    </w:p>
    <w:p w14:paraId="0A310811" w14:textId="77777777" w:rsidR="00B5507E" w:rsidRPr="002B6812" w:rsidRDefault="00B5507E" w:rsidP="00231F2B">
      <w:pPr>
        <w:pStyle w:val="Heading3"/>
        <w:jc w:val="both"/>
      </w:pPr>
      <w:bookmarkStart w:id="68" w:name="_Toc476168035"/>
      <w:r w:rsidRPr="002B6812">
        <w:t>Engagement initiation</w:t>
      </w:r>
      <w:bookmarkEnd w:id="68"/>
    </w:p>
    <w:p w14:paraId="160F3930" w14:textId="77777777" w:rsidR="00B5507E" w:rsidRPr="002B6812" w:rsidRDefault="4BAA7215" w:rsidP="00231F2B">
      <w:pPr>
        <w:jc w:val="both"/>
      </w:pPr>
      <w:r w:rsidRPr="002B6812">
        <w:t xml:space="preserve">Before </w:t>
      </w:r>
      <w:r w:rsidRPr="00913763">
        <w:t>beginning</w:t>
      </w:r>
      <w:r w:rsidRPr="002B6812">
        <w:t xml:space="preserve"> the project, the following prerequisites must be completed.</w:t>
      </w:r>
    </w:p>
    <w:tbl>
      <w:tblPr>
        <w:tblStyle w:val="TableGrid1"/>
        <w:tblW w:w="9362"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522"/>
        <w:gridCol w:w="6840"/>
      </w:tblGrid>
      <w:tr w:rsidR="00B5507E" w:rsidRPr="002B6812" w14:paraId="21D9C950" w14:textId="77777777" w:rsidTr="001A2323">
        <w:trPr>
          <w:trHeight w:val="360"/>
          <w:tblHeader/>
        </w:trPr>
        <w:tc>
          <w:tcPr>
            <w:tcW w:w="2522" w:type="dxa"/>
            <w:shd w:val="clear" w:color="auto" w:fill="008272"/>
          </w:tcPr>
          <w:p w14:paraId="6111A513" w14:textId="77777777" w:rsidR="00B5507E" w:rsidRPr="002B6812" w:rsidRDefault="4BAA7215" w:rsidP="00231F2B">
            <w:pPr>
              <w:pStyle w:val="Table-Header"/>
              <w:jc w:val="both"/>
            </w:pPr>
            <w:r w:rsidRPr="002B6812">
              <w:t>Category</w:t>
            </w:r>
          </w:p>
        </w:tc>
        <w:tc>
          <w:tcPr>
            <w:tcW w:w="6840" w:type="dxa"/>
            <w:shd w:val="clear" w:color="auto" w:fill="008272"/>
          </w:tcPr>
          <w:p w14:paraId="7CF6C468" w14:textId="77777777" w:rsidR="00B5507E" w:rsidRPr="002B6812" w:rsidRDefault="4BAA7215" w:rsidP="00231F2B">
            <w:pPr>
              <w:pStyle w:val="Table-Header"/>
              <w:jc w:val="both"/>
            </w:pPr>
            <w:r w:rsidRPr="002B6812">
              <w:t>Description</w:t>
            </w:r>
          </w:p>
        </w:tc>
      </w:tr>
      <w:tr w:rsidR="00BC1804" w:rsidRPr="002B6812" w14:paraId="5978B02B" w14:textId="77777777" w:rsidTr="001A2323">
        <w:trPr>
          <w:trHeight w:val="422"/>
        </w:trPr>
        <w:tc>
          <w:tcPr>
            <w:tcW w:w="2522" w:type="dxa"/>
            <w:shd w:val="clear" w:color="auto" w:fill="auto"/>
          </w:tcPr>
          <w:p w14:paraId="3B0CBB88" w14:textId="77777777" w:rsidR="00BC1804" w:rsidRPr="002B6812" w:rsidRDefault="00BC1804" w:rsidP="00231F2B">
            <w:pPr>
              <w:pStyle w:val="TableText"/>
              <w:jc w:val="both"/>
            </w:pPr>
            <w:r w:rsidRPr="002B6812">
              <w:rPr>
                <w:b/>
                <w:bCs/>
              </w:rPr>
              <w:t>Microsoft activities</w:t>
            </w:r>
            <w:r w:rsidRPr="002B6812">
              <w:br/>
              <w:t>The activities to be performed by Microsoft</w:t>
            </w:r>
          </w:p>
        </w:tc>
        <w:tc>
          <w:tcPr>
            <w:tcW w:w="6840" w:type="dxa"/>
            <w:shd w:val="clear" w:color="auto" w:fill="FFFFFF" w:themeFill="background1"/>
          </w:tcPr>
          <w:p w14:paraId="72833675" w14:textId="036C2C9A" w:rsidR="00BC1804" w:rsidRPr="002B6812" w:rsidRDefault="00BC1804" w:rsidP="00231F2B">
            <w:pPr>
              <w:pStyle w:val="TableBullet1"/>
              <w:jc w:val="both"/>
            </w:pPr>
            <w:r w:rsidRPr="002B6812">
              <w:t xml:space="preserve">Conduct a preinitiation call </w:t>
            </w:r>
            <w:r w:rsidR="00714D48" w:rsidRPr="002B6812">
              <w:t>to</w:t>
            </w:r>
            <w:r w:rsidRPr="002B6812">
              <w:t xml:space="preserve"> initiate team formation and communicate expectations</w:t>
            </w:r>
            <w:r w:rsidR="00B1719E" w:rsidRPr="002B6812">
              <w:t>.</w:t>
            </w:r>
          </w:p>
          <w:p w14:paraId="6B4537C0" w14:textId="53141ABE" w:rsidR="00BC1804" w:rsidRPr="002B6812" w:rsidRDefault="00BC1804" w:rsidP="00231F2B">
            <w:pPr>
              <w:pStyle w:val="TableBullet1"/>
              <w:jc w:val="both"/>
            </w:pPr>
            <w:r w:rsidRPr="002B6812">
              <w:t xml:space="preserve">Conduct a detailed </w:t>
            </w:r>
            <w:r w:rsidR="00B1719E" w:rsidRPr="002B6812">
              <w:t xml:space="preserve">SOW </w:t>
            </w:r>
            <w:r w:rsidRPr="002B6812">
              <w:t xml:space="preserve">walk-through with the </w:t>
            </w:r>
            <w:r w:rsidR="004744AF" w:rsidRPr="002B6812">
              <w:t>Customer</w:t>
            </w:r>
            <w:r w:rsidRPr="002B6812">
              <w:t xml:space="preserve"> </w:t>
            </w:r>
            <w:r w:rsidR="00714D48" w:rsidRPr="002B6812">
              <w:t>to</w:t>
            </w:r>
            <w:r w:rsidRPr="002B6812">
              <w:t xml:space="preserve"> agree on an initial project schedule and approach</w:t>
            </w:r>
            <w:r w:rsidR="00B1719E" w:rsidRPr="002B6812">
              <w:t>.</w:t>
            </w:r>
          </w:p>
        </w:tc>
      </w:tr>
      <w:tr w:rsidR="00BC1804" w:rsidRPr="002B6812" w14:paraId="38AF8A38" w14:textId="77777777" w:rsidTr="001A2323">
        <w:trPr>
          <w:trHeight w:val="422"/>
        </w:trPr>
        <w:tc>
          <w:tcPr>
            <w:tcW w:w="2522" w:type="dxa"/>
            <w:shd w:val="clear" w:color="auto" w:fill="auto"/>
          </w:tcPr>
          <w:p w14:paraId="060B3F5C" w14:textId="089C1507" w:rsidR="00BC1804" w:rsidRPr="002B6812" w:rsidRDefault="004744AF" w:rsidP="00231F2B">
            <w:pPr>
              <w:pStyle w:val="TableText"/>
              <w:jc w:val="both"/>
            </w:pPr>
            <w:r w:rsidRPr="002B6812">
              <w:rPr>
                <w:b/>
                <w:bCs/>
              </w:rPr>
              <w:t>Customer</w:t>
            </w:r>
            <w:r w:rsidR="00BC1804" w:rsidRPr="002B6812">
              <w:rPr>
                <w:b/>
                <w:bCs/>
              </w:rPr>
              <w:t xml:space="preserve"> activities</w:t>
            </w:r>
            <w:r w:rsidR="00BC1804" w:rsidRPr="002B6812">
              <w:br/>
              <w:t xml:space="preserve">The activities to be performed by the </w:t>
            </w:r>
            <w:r w:rsidRPr="002B6812">
              <w:t>Customer</w:t>
            </w:r>
          </w:p>
        </w:tc>
        <w:tc>
          <w:tcPr>
            <w:tcW w:w="6840" w:type="dxa"/>
            <w:shd w:val="clear" w:color="auto" w:fill="FFFFFF" w:themeFill="background1"/>
          </w:tcPr>
          <w:p w14:paraId="788A68D0" w14:textId="61647284" w:rsidR="00BC1804" w:rsidRPr="002B6812" w:rsidRDefault="00BC1804" w:rsidP="00231F2B">
            <w:pPr>
              <w:pStyle w:val="TableBullet1"/>
              <w:jc w:val="both"/>
            </w:pPr>
            <w:r w:rsidRPr="002B6812">
              <w:t>Attend and participate in the preinitiation call</w:t>
            </w:r>
            <w:r w:rsidR="00B1719E" w:rsidRPr="002B6812">
              <w:t>.</w:t>
            </w:r>
          </w:p>
          <w:p w14:paraId="26DAF32B" w14:textId="21355E87" w:rsidR="00BC1804" w:rsidRPr="002B6812" w:rsidRDefault="0066562A" w:rsidP="00231F2B">
            <w:pPr>
              <w:pStyle w:val="TableBullet1"/>
              <w:jc w:val="both"/>
            </w:pPr>
            <w:r w:rsidRPr="002B6812">
              <w:t>Staff</w:t>
            </w:r>
            <w:r w:rsidR="00BC1804" w:rsidRPr="002B6812">
              <w:t xml:space="preserve"> the project with the required </w:t>
            </w:r>
            <w:r w:rsidR="004744AF" w:rsidRPr="002B6812">
              <w:t>Customer</w:t>
            </w:r>
            <w:r w:rsidR="00BC1804" w:rsidRPr="002B6812">
              <w:t xml:space="preserve"> resources</w:t>
            </w:r>
            <w:r w:rsidR="00FA078E" w:rsidRPr="002B6812">
              <w:t xml:space="preserve">, based on the </w:t>
            </w:r>
            <w:r w:rsidR="00BC1804" w:rsidRPr="002B6812">
              <w:t>time frames agreed upon in the preinitiation call</w:t>
            </w:r>
            <w:r w:rsidR="008E740C" w:rsidRPr="002B6812">
              <w:t>.</w:t>
            </w:r>
          </w:p>
        </w:tc>
      </w:tr>
    </w:tbl>
    <w:p w14:paraId="0331EFA9" w14:textId="10C4A14D" w:rsidR="002641DA" w:rsidRPr="002B6812" w:rsidRDefault="002641DA" w:rsidP="00231F2B">
      <w:pPr>
        <w:pStyle w:val="Heading3"/>
        <w:jc w:val="both"/>
      </w:pPr>
      <w:bookmarkStart w:id="69" w:name="_General_project_activities"/>
      <w:bookmarkStart w:id="70" w:name="_Ref514404938"/>
      <w:bookmarkEnd w:id="69"/>
      <w:r w:rsidRPr="002B6812">
        <w:t>General project activities</w:t>
      </w:r>
      <w:bookmarkEnd w:id="70"/>
    </w:p>
    <w:p w14:paraId="2DC3E1D0" w14:textId="5C724AD7" w:rsidR="002641DA" w:rsidRPr="002B6812" w:rsidRDefault="002641DA" w:rsidP="00231F2B">
      <w:pPr>
        <w:jc w:val="both"/>
      </w:pPr>
      <w:r w:rsidRPr="002B6812">
        <w:t xml:space="preserve">The following table describes the general activities for the project, organized by phase. These activities will be combined with the activities defined </w:t>
      </w:r>
      <w:r w:rsidR="006F0AD5" w:rsidRPr="002B6812">
        <w:t xml:space="preserve">for </w:t>
      </w:r>
      <w:r w:rsidRPr="002B6812">
        <w:t xml:space="preserve">in-scope </w:t>
      </w:r>
      <w:hyperlink w:anchor="_Project_components_and" w:history="1">
        <w:r w:rsidRPr="002B6812">
          <w:rPr>
            <w:rStyle w:val="Hyperlink"/>
          </w:rPr>
          <w:t>project components</w:t>
        </w:r>
      </w:hyperlink>
      <w:r w:rsidRPr="002B6812">
        <w:t xml:space="preserve"> </w:t>
      </w:r>
      <w:r w:rsidR="00603FA5" w:rsidRPr="002B6812">
        <w:t xml:space="preserve">to </w:t>
      </w:r>
      <w:r w:rsidRPr="002B6812">
        <w:t>establish the overall project approach.</w:t>
      </w:r>
    </w:p>
    <w:p w14:paraId="27AE09D3" w14:textId="4E117234" w:rsidR="000311BF" w:rsidRPr="002B6812" w:rsidRDefault="000311BF" w:rsidP="00231F2B">
      <w:pPr>
        <w:pStyle w:val="Instructional"/>
        <w:jc w:val="both"/>
      </w:pPr>
    </w:p>
    <w:tbl>
      <w:tblPr>
        <w:tblStyle w:val="TableGrid1"/>
        <w:tblW w:w="9362"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3068"/>
        <w:gridCol w:w="6294"/>
      </w:tblGrid>
      <w:tr w:rsidR="002641DA" w:rsidRPr="002B6812" w14:paraId="250F62BF" w14:textId="77777777" w:rsidTr="00C742FD">
        <w:trPr>
          <w:trHeight w:val="360"/>
          <w:tblHeader/>
        </w:trPr>
        <w:tc>
          <w:tcPr>
            <w:tcW w:w="3068" w:type="dxa"/>
            <w:shd w:val="clear" w:color="auto" w:fill="008272"/>
          </w:tcPr>
          <w:p w14:paraId="4EBAC3FA" w14:textId="77777777" w:rsidR="002641DA" w:rsidRPr="002B6812" w:rsidRDefault="002641DA" w:rsidP="00231F2B">
            <w:pPr>
              <w:pStyle w:val="Table-Header"/>
              <w:jc w:val="both"/>
            </w:pPr>
            <w:r w:rsidRPr="002B6812">
              <w:lastRenderedPageBreak/>
              <w:t>Category</w:t>
            </w:r>
          </w:p>
        </w:tc>
        <w:tc>
          <w:tcPr>
            <w:tcW w:w="6294" w:type="dxa"/>
            <w:shd w:val="clear" w:color="auto" w:fill="008272"/>
          </w:tcPr>
          <w:p w14:paraId="6DFD2F60" w14:textId="77777777" w:rsidR="002641DA" w:rsidRPr="002B6812" w:rsidRDefault="002641DA" w:rsidP="00231F2B">
            <w:pPr>
              <w:pStyle w:val="Table-Header"/>
              <w:jc w:val="both"/>
            </w:pPr>
            <w:r w:rsidRPr="002B6812">
              <w:t>Description</w:t>
            </w:r>
          </w:p>
        </w:tc>
      </w:tr>
      <w:tr w:rsidR="002641DA" w:rsidRPr="002B6812" w14:paraId="6D2043E5" w14:textId="77777777" w:rsidTr="00C742FD">
        <w:trPr>
          <w:trHeight w:val="422"/>
        </w:trPr>
        <w:tc>
          <w:tcPr>
            <w:tcW w:w="3068" w:type="dxa"/>
            <w:shd w:val="clear" w:color="auto" w:fill="auto"/>
          </w:tcPr>
          <w:p w14:paraId="5A4C1061" w14:textId="77777777" w:rsidR="002641DA" w:rsidRPr="002B6812" w:rsidRDefault="002641DA" w:rsidP="00231F2B">
            <w:pPr>
              <w:pStyle w:val="TableText"/>
              <w:jc w:val="both"/>
            </w:pPr>
            <w:r w:rsidRPr="002B6812">
              <w:rPr>
                <w:b/>
              </w:rPr>
              <w:t>Microsoft activities</w:t>
            </w:r>
            <w:r w:rsidRPr="002B6812">
              <w:br/>
              <w:t>The activities to be performed by Microsoft</w:t>
            </w:r>
          </w:p>
        </w:tc>
        <w:tc>
          <w:tcPr>
            <w:tcW w:w="6294" w:type="dxa"/>
            <w:shd w:val="clear" w:color="auto" w:fill="auto"/>
          </w:tcPr>
          <w:p w14:paraId="331D2EA8" w14:textId="6C121A76" w:rsidR="002641DA" w:rsidRPr="002B6812" w:rsidRDefault="002641DA" w:rsidP="00231F2B">
            <w:pPr>
              <w:pStyle w:val="TableText"/>
              <w:jc w:val="both"/>
              <w:rPr>
                <w:b/>
              </w:rPr>
            </w:pPr>
            <w:r w:rsidRPr="002B6812">
              <w:rPr>
                <w:b/>
              </w:rPr>
              <w:t>Assess</w:t>
            </w:r>
            <w:r w:rsidR="00DE0541" w:rsidRPr="002B6812">
              <w:rPr>
                <w:b/>
              </w:rPr>
              <w:t xml:space="preserve"> phase</w:t>
            </w:r>
          </w:p>
          <w:p w14:paraId="0193BF92" w14:textId="149CD685" w:rsidR="002641DA" w:rsidRPr="002B6812" w:rsidRDefault="00AD76C8" w:rsidP="00231F2B">
            <w:pPr>
              <w:pStyle w:val="TableBullet1"/>
              <w:numPr>
                <w:ilvl w:val="0"/>
                <w:numId w:val="14"/>
              </w:numPr>
              <w:ind w:left="360"/>
              <w:jc w:val="both"/>
            </w:pPr>
            <w:r w:rsidRPr="002B6812">
              <w:t>Prepare for</w:t>
            </w:r>
            <w:r w:rsidR="00AD2FA2" w:rsidRPr="002B6812">
              <w:t>,</w:t>
            </w:r>
            <w:r w:rsidRPr="002B6812">
              <w:t xml:space="preserve"> and c</w:t>
            </w:r>
            <w:r w:rsidR="002641DA" w:rsidRPr="002B6812">
              <w:t>onduct</w:t>
            </w:r>
            <w:r w:rsidR="00AD2FA2" w:rsidRPr="002B6812">
              <w:t>,</w:t>
            </w:r>
            <w:r w:rsidR="002641DA" w:rsidRPr="002B6812">
              <w:t xml:space="preserve"> </w:t>
            </w:r>
            <w:r w:rsidR="004151C6" w:rsidRPr="002B6812">
              <w:t xml:space="preserve">the </w:t>
            </w:r>
            <w:r w:rsidR="002641DA" w:rsidRPr="002B6812">
              <w:t>project kick</w:t>
            </w:r>
            <w:r w:rsidR="00E92BB5" w:rsidRPr="002B6812">
              <w:t>off</w:t>
            </w:r>
            <w:r w:rsidR="002641DA" w:rsidRPr="002B6812">
              <w:t xml:space="preserve"> meeting</w:t>
            </w:r>
            <w:r w:rsidR="00FA078E" w:rsidRPr="002B6812">
              <w:t>.</w:t>
            </w:r>
          </w:p>
          <w:p w14:paraId="1C290408" w14:textId="3DA4F54E" w:rsidR="002641DA" w:rsidRPr="002B6812" w:rsidRDefault="002641DA" w:rsidP="00231F2B">
            <w:pPr>
              <w:pStyle w:val="TableBullet1"/>
              <w:numPr>
                <w:ilvl w:val="0"/>
                <w:numId w:val="14"/>
              </w:numPr>
              <w:ind w:left="360"/>
              <w:jc w:val="both"/>
            </w:pPr>
            <w:r w:rsidRPr="002B6812">
              <w:t xml:space="preserve">Document, </w:t>
            </w:r>
            <w:r w:rsidR="00AD76C8" w:rsidRPr="002B6812">
              <w:t>d</w:t>
            </w:r>
            <w:r w:rsidRPr="002B6812">
              <w:t xml:space="preserve">iscuss, </w:t>
            </w:r>
            <w:r w:rsidR="00AD76C8" w:rsidRPr="002B6812">
              <w:t xml:space="preserve">and </w:t>
            </w:r>
            <w:r w:rsidRPr="002B6812">
              <w:t xml:space="preserve">review </w:t>
            </w:r>
            <w:r w:rsidR="00AD76C8" w:rsidRPr="002B6812">
              <w:t>c</w:t>
            </w:r>
            <w:r w:rsidRPr="002B6812">
              <w:t xml:space="preserve">onditions of </w:t>
            </w:r>
            <w:r w:rsidR="00AD76C8" w:rsidRPr="002B6812">
              <w:t>s</w:t>
            </w:r>
            <w:r w:rsidRPr="002B6812">
              <w:t xml:space="preserve">atisfaction </w:t>
            </w:r>
            <w:r w:rsidR="00AD76C8" w:rsidRPr="002B6812">
              <w:t xml:space="preserve">and </w:t>
            </w:r>
            <w:r w:rsidRPr="002B6812">
              <w:t xml:space="preserve">define critical success factors </w:t>
            </w:r>
            <w:r w:rsidR="003F3C29" w:rsidRPr="002B6812">
              <w:t xml:space="preserve">of </w:t>
            </w:r>
            <w:r w:rsidRPr="002B6812">
              <w:t>the project</w:t>
            </w:r>
            <w:r w:rsidR="001B520F" w:rsidRPr="002B6812">
              <w:t>.</w:t>
            </w:r>
          </w:p>
          <w:p w14:paraId="64AD72F6" w14:textId="767E2F8D" w:rsidR="00867571" w:rsidRPr="002B6812" w:rsidRDefault="002641DA" w:rsidP="00231F2B">
            <w:pPr>
              <w:pStyle w:val="TableBullet1"/>
              <w:numPr>
                <w:ilvl w:val="0"/>
                <w:numId w:val="14"/>
              </w:numPr>
              <w:ind w:left="360"/>
              <w:jc w:val="both"/>
            </w:pPr>
            <w:r w:rsidRPr="002B6812">
              <w:t xml:space="preserve">Create </w:t>
            </w:r>
            <w:r w:rsidR="003F3010" w:rsidRPr="002B6812">
              <w:t xml:space="preserve">a preliminary </w:t>
            </w:r>
            <w:r w:rsidRPr="002B6812">
              <w:t xml:space="preserve">project status report to </w:t>
            </w:r>
            <w:r w:rsidR="007769F4" w:rsidRPr="002B6812">
              <w:t xml:space="preserve">be </w:t>
            </w:r>
            <w:r w:rsidRPr="002B6812">
              <w:t>review</w:t>
            </w:r>
            <w:r w:rsidR="00FD0927" w:rsidRPr="002B6812">
              <w:t>ed</w:t>
            </w:r>
            <w:r w:rsidRPr="002B6812">
              <w:t xml:space="preserve"> with </w:t>
            </w:r>
            <w:r w:rsidR="00EF6F85" w:rsidRPr="002B6812">
              <w:t xml:space="preserve">the </w:t>
            </w:r>
            <w:r w:rsidR="004744AF" w:rsidRPr="002B6812">
              <w:t>Customer</w:t>
            </w:r>
            <w:r w:rsidRPr="002B6812">
              <w:t xml:space="preserve"> </w:t>
            </w:r>
            <w:r w:rsidR="008F6A76" w:rsidRPr="002B6812">
              <w:t>p</w:t>
            </w:r>
            <w:r w:rsidR="000C26BF" w:rsidRPr="002B6812">
              <w:t xml:space="preserve">roject </w:t>
            </w:r>
            <w:r w:rsidR="007769F4" w:rsidRPr="002B6812">
              <w:t xml:space="preserve">manager </w:t>
            </w:r>
            <w:r w:rsidR="00B4488A" w:rsidRPr="002B6812">
              <w:t>and</w:t>
            </w:r>
            <w:r w:rsidRPr="002B6812">
              <w:t xml:space="preserve"> refine </w:t>
            </w:r>
            <w:r w:rsidR="007769F4" w:rsidRPr="002B6812">
              <w:t xml:space="preserve">it </w:t>
            </w:r>
            <w:r w:rsidRPr="002B6812">
              <w:t xml:space="preserve">as necessary based </w:t>
            </w:r>
            <w:r w:rsidR="006E7520" w:rsidRPr="002B6812">
              <w:t>on</w:t>
            </w:r>
            <w:r w:rsidRPr="002B6812">
              <w:t xml:space="preserve"> </w:t>
            </w:r>
            <w:r w:rsidR="00EF6F85" w:rsidRPr="002B6812">
              <w:t xml:space="preserve">that person’s </w:t>
            </w:r>
            <w:r w:rsidRPr="002B6812">
              <w:t>input</w:t>
            </w:r>
            <w:r w:rsidR="006E7520" w:rsidRPr="002B6812">
              <w:t>.</w:t>
            </w:r>
          </w:p>
        </w:tc>
      </w:tr>
      <w:tr w:rsidR="002641DA" w:rsidRPr="002B6812" w14:paraId="2053C01D" w14:textId="77777777" w:rsidTr="00C742FD">
        <w:trPr>
          <w:trHeight w:val="422"/>
        </w:trPr>
        <w:tc>
          <w:tcPr>
            <w:tcW w:w="3068" w:type="dxa"/>
            <w:shd w:val="clear" w:color="auto" w:fill="auto"/>
          </w:tcPr>
          <w:p w14:paraId="09D9A40D" w14:textId="1B62553F" w:rsidR="002641DA" w:rsidRPr="002B6812" w:rsidRDefault="004744AF" w:rsidP="00231F2B">
            <w:pPr>
              <w:pStyle w:val="TableText"/>
              <w:jc w:val="both"/>
            </w:pPr>
            <w:r w:rsidRPr="002B6812">
              <w:rPr>
                <w:b/>
              </w:rPr>
              <w:t>Customer</w:t>
            </w:r>
            <w:r w:rsidR="002641DA" w:rsidRPr="002B6812">
              <w:rPr>
                <w:b/>
              </w:rPr>
              <w:t xml:space="preserve"> activities</w:t>
            </w:r>
            <w:r w:rsidR="002641DA" w:rsidRPr="002B6812">
              <w:br/>
              <w:t xml:space="preserve">The activities to be performed by the </w:t>
            </w:r>
            <w:r w:rsidRPr="002B6812">
              <w:t>Customer</w:t>
            </w:r>
          </w:p>
        </w:tc>
        <w:tc>
          <w:tcPr>
            <w:tcW w:w="6294" w:type="dxa"/>
            <w:shd w:val="clear" w:color="auto" w:fill="auto"/>
          </w:tcPr>
          <w:p w14:paraId="7D7743F0" w14:textId="5ACDC0F6" w:rsidR="002641DA" w:rsidRPr="002B6812" w:rsidRDefault="002641DA" w:rsidP="00231F2B">
            <w:pPr>
              <w:pStyle w:val="TableText"/>
              <w:jc w:val="both"/>
              <w:rPr>
                <w:b/>
              </w:rPr>
            </w:pPr>
            <w:r w:rsidRPr="002B6812">
              <w:rPr>
                <w:b/>
              </w:rPr>
              <w:t>Assess</w:t>
            </w:r>
            <w:r w:rsidR="00DE0541" w:rsidRPr="002B6812">
              <w:rPr>
                <w:b/>
              </w:rPr>
              <w:t xml:space="preserve"> phase</w:t>
            </w:r>
          </w:p>
          <w:p w14:paraId="63763763" w14:textId="3EEF5868" w:rsidR="002641DA" w:rsidRPr="002B6812" w:rsidRDefault="002641DA" w:rsidP="00231F2B">
            <w:pPr>
              <w:pStyle w:val="Bulletlist"/>
              <w:jc w:val="both"/>
            </w:pPr>
            <w:r w:rsidRPr="002B6812">
              <w:t xml:space="preserve">Provide project manager resources to work with the Microsoft </w:t>
            </w:r>
            <w:r w:rsidR="002E6271" w:rsidRPr="002B6812">
              <w:t>p</w:t>
            </w:r>
            <w:r w:rsidRPr="002B6812">
              <w:t xml:space="preserve">roject </w:t>
            </w:r>
            <w:r w:rsidR="002E6271" w:rsidRPr="002B6812">
              <w:t>m</w:t>
            </w:r>
            <w:r w:rsidRPr="002B6812">
              <w:t xml:space="preserve">anager and </w:t>
            </w:r>
            <w:r w:rsidR="00CA2C49" w:rsidRPr="002B6812">
              <w:t xml:space="preserve">manage </w:t>
            </w:r>
            <w:r w:rsidR="004744AF" w:rsidRPr="002B6812">
              <w:t>Customer</w:t>
            </w:r>
            <w:r w:rsidRPr="002B6812">
              <w:t xml:space="preserve"> resources</w:t>
            </w:r>
            <w:r w:rsidR="00CA2C49" w:rsidRPr="002B6812">
              <w:t xml:space="preserve"> and assigned </w:t>
            </w:r>
            <w:r w:rsidRPr="002B6812">
              <w:t>project activities</w:t>
            </w:r>
            <w:r w:rsidR="00DC0C73" w:rsidRPr="002B6812">
              <w:t>.</w:t>
            </w:r>
          </w:p>
          <w:p w14:paraId="4937ABB4" w14:textId="3B35FDA8" w:rsidR="0081171B" w:rsidRPr="002B6812" w:rsidRDefault="0081171B" w:rsidP="00231F2B">
            <w:pPr>
              <w:pStyle w:val="Bulletlist"/>
              <w:jc w:val="both"/>
            </w:pPr>
            <w:r w:rsidRPr="002B6812">
              <w:t>Manage scheduling and logistics</w:t>
            </w:r>
            <w:r w:rsidR="00DC0C73" w:rsidRPr="002B6812">
              <w:t>.</w:t>
            </w:r>
          </w:p>
          <w:p w14:paraId="77C2F0F4" w14:textId="22753ACE" w:rsidR="0081171B" w:rsidRPr="002B6812" w:rsidRDefault="0081171B" w:rsidP="00231F2B">
            <w:pPr>
              <w:pStyle w:val="Bulletlist"/>
              <w:jc w:val="both"/>
            </w:pPr>
            <w:r w:rsidRPr="002B6812">
              <w:t>Provide project resources and subject matter experts to participate in workshops</w:t>
            </w:r>
            <w:r w:rsidR="00DC0C73" w:rsidRPr="002B6812">
              <w:t>.</w:t>
            </w:r>
          </w:p>
          <w:p w14:paraId="0CA2B54F" w14:textId="4E519CE4" w:rsidR="0081171B" w:rsidRPr="002B6812" w:rsidRDefault="0081171B" w:rsidP="00231F2B">
            <w:pPr>
              <w:pStyle w:val="Bulletlist"/>
              <w:jc w:val="both"/>
            </w:pPr>
            <w:r w:rsidRPr="002B6812">
              <w:t xml:space="preserve">Make necessary design and planning decisions in a timely fashion to facilitate completion of the </w:t>
            </w:r>
            <w:r w:rsidR="009F0CE8" w:rsidRPr="002B6812">
              <w:t xml:space="preserve">Assess </w:t>
            </w:r>
            <w:r w:rsidRPr="002B6812">
              <w:t>phase within the timelines documented in</w:t>
            </w:r>
            <w:r w:rsidR="001A2323" w:rsidRPr="002B6812">
              <w:t xml:space="preserve"> the</w:t>
            </w:r>
            <w:r w:rsidR="00215216" w:rsidRPr="002B6812">
              <w:t xml:space="preserve"> </w:t>
            </w:r>
            <w:hyperlink w:anchor="_Timeline_1" w:history="1">
              <w:r w:rsidR="000827FD">
                <w:rPr>
                  <w:rStyle w:val="Hyperlink"/>
                </w:rPr>
                <w:fldChar w:fldCharType="begin"/>
              </w:r>
              <w:r w:rsidR="000827FD">
                <w:instrText xml:space="preserve"> REF _Ref5805399 \h </w:instrText>
              </w:r>
              <w:r w:rsidR="00231F2B">
                <w:rPr>
                  <w:rStyle w:val="Hyperlink"/>
                </w:rPr>
                <w:instrText xml:space="preserve"> \* MERGEFORMAT </w:instrText>
              </w:r>
              <w:r w:rsidR="000827FD">
                <w:rPr>
                  <w:rStyle w:val="Hyperlink"/>
                </w:rPr>
              </w:r>
              <w:r w:rsidR="000827FD">
                <w:rPr>
                  <w:rStyle w:val="Hyperlink"/>
                </w:rPr>
                <w:fldChar w:fldCharType="separate"/>
              </w:r>
              <w:r w:rsidR="000827FD" w:rsidRPr="002B6812">
                <w:t>Timeline</w:t>
              </w:r>
              <w:r w:rsidR="000827FD">
                <w:rPr>
                  <w:rStyle w:val="Hyperlink"/>
                </w:rPr>
                <w:fldChar w:fldCharType="end"/>
              </w:r>
            </w:hyperlink>
            <w:r w:rsidRPr="002B6812">
              <w:t xml:space="preserve"> section</w:t>
            </w:r>
            <w:r w:rsidR="00947845" w:rsidRPr="002B6812">
              <w:t>.</w:t>
            </w:r>
          </w:p>
          <w:p w14:paraId="3A55686B" w14:textId="2FA432F2" w:rsidR="00571B2A" w:rsidRPr="002B6812" w:rsidRDefault="00571B2A" w:rsidP="00231F2B">
            <w:pPr>
              <w:pStyle w:val="Bulletlist"/>
              <w:jc w:val="both"/>
            </w:pPr>
            <w:r w:rsidRPr="002B6812">
              <w:t xml:space="preserve">Review </w:t>
            </w:r>
            <w:r w:rsidR="005D21CA">
              <w:t>the</w:t>
            </w:r>
            <w:r w:rsidR="005D21CA" w:rsidRPr="002B6812">
              <w:t xml:space="preserve"> </w:t>
            </w:r>
            <w:r w:rsidR="00E75E67" w:rsidRPr="002B6812">
              <w:t xml:space="preserve">Assess </w:t>
            </w:r>
            <w:r w:rsidRPr="002B6812">
              <w:t>phase deliverables</w:t>
            </w:r>
            <w:r w:rsidR="00947845" w:rsidRPr="002B6812">
              <w:t>.</w:t>
            </w:r>
          </w:p>
          <w:p w14:paraId="1767573E" w14:textId="41ED4081" w:rsidR="00FE4995" w:rsidRPr="002B6812" w:rsidRDefault="0081171B" w:rsidP="00231F2B">
            <w:pPr>
              <w:pStyle w:val="Bulletlist"/>
              <w:jc w:val="both"/>
            </w:pPr>
            <w:r w:rsidRPr="002B6812">
              <w:t xml:space="preserve">Produce and manage the project plan for </w:t>
            </w:r>
            <w:r w:rsidR="006E55E9">
              <w:t xml:space="preserve">the </w:t>
            </w:r>
            <w:r w:rsidR="004744AF" w:rsidRPr="002B6812">
              <w:t>Customer</w:t>
            </w:r>
            <w:r w:rsidRPr="002B6812">
              <w:t xml:space="preserve"> project activities</w:t>
            </w:r>
            <w:r w:rsidR="00947845" w:rsidRPr="002B6812">
              <w:t>.</w:t>
            </w:r>
          </w:p>
          <w:p w14:paraId="74D16670" w14:textId="31D1AF11" w:rsidR="00867571" w:rsidRPr="002B6812" w:rsidRDefault="00867571" w:rsidP="00231F2B">
            <w:pPr>
              <w:pStyle w:val="Bulletlist"/>
              <w:jc w:val="both"/>
              <w:rPr>
                <w:color w:val="000000"/>
              </w:rPr>
            </w:pPr>
            <w:r w:rsidRPr="002B6812">
              <w:t>Participate in the introduction meeting</w:t>
            </w:r>
            <w:r w:rsidR="00133A38">
              <w:t>;</w:t>
            </w:r>
            <w:r w:rsidRPr="002B6812">
              <w:t xml:space="preserve"> answer questions from Microsoft related to business objectives, requirements, </w:t>
            </w:r>
            <w:r w:rsidR="003C4D10">
              <w:t xml:space="preserve">and </w:t>
            </w:r>
            <w:r w:rsidRPr="002B6812">
              <w:rPr>
                <w:color w:val="000000"/>
              </w:rPr>
              <w:t>important dates</w:t>
            </w:r>
            <w:r w:rsidR="00133A38">
              <w:rPr>
                <w:color w:val="000000"/>
              </w:rPr>
              <w:t>;</w:t>
            </w:r>
            <w:r w:rsidR="00133A38" w:rsidRPr="002B6812">
              <w:rPr>
                <w:color w:val="000000"/>
              </w:rPr>
              <w:t xml:space="preserve"> </w:t>
            </w:r>
            <w:r w:rsidRPr="002B6812">
              <w:rPr>
                <w:color w:val="000000"/>
              </w:rPr>
              <w:t xml:space="preserve">and </w:t>
            </w:r>
            <w:r w:rsidR="003C4D10">
              <w:rPr>
                <w:color w:val="000000"/>
              </w:rPr>
              <w:t xml:space="preserve">provide </w:t>
            </w:r>
            <w:r w:rsidRPr="002B6812">
              <w:rPr>
                <w:color w:val="000000"/>
              </w:rPr>
              <w:t>high-level environmental information.</w:t>
            </w:r>
          </w:p>
        </w:tc>
      </w:tr>
    </w:tbl>
    <w:p w14:paraId="4BB1E4F2" w14:textId="180AA696" w:rsidR="00237B24" w:rsidRPr="002B6812" w:rsidRDefault="005A04A2" w:rsidP="00231F2B">
      <w:pPr>
        <w:pStyle w:val="Heading4"/>
        <w:jc w:val="both"/>
      </w:pPr>
      <w:bookmarkStart w:id="71" w:name="_Ref514404570"/>
      <w:r w:rsidRPr="002B6812">
        <w:t>General project c</w:t>
      </w:r>
      <w:r w:rsidR="00237B24" w:rsidRPr="002B6812">
        <w:t>omponent deliverables:</w:t>
      </w:r>
    </w:p>
    <w:p w14:paraId="015A8FCF" w14:textId="4015F239" w:rsidR="0089050C" w:rsidRPr="002B6812" w:rsidRDefault="0089050C" w:rsidP="00231F2B">
      <w:pPr>
        <w:jc w:val="both"/>
      </w:pPr>
      <w:r w:rsidRPr="002B6812">
        <w:t>Microsoft will produce the following project deliverables</w:t>
      </w:r>
      <w:r w:rsidR="006A2673" w:rsidRPr="002B6812">
        <w:t xml:space="preserve">; they </w:t>
      </w:r>
      <w:r w:rsidRPr="002B6812">
        <w:t xml:space="preserve">include content from in-scope project components </w:t>
      </w:r>
      <w:r w:rsidR="00C742FD" w:rsidRPr="002B6812">
        <w:t xml:space="preserve">with </w:t>
      </w:r>
      <w:r w:rsidRPr="002B6812">
        <w:t xml:space="preserve">the </w:t>
      </w:r>
      <w:r w:rsidR="00C742FD" w:rsidRPr="002B6812">
        <w:t>Assess phase</w:t>
      </w:r>
      <w:r w:rsidRPr="002B6812">
        <w:t>. Not all components will be covered in all deliverables, and</w:t>
      </w:r>
      <w:r w:rsidR="00030D28" w:rsidRPr="002B6812">
        <w:t xml:space="preserve"> the</w:t>
      </w:r>
      <w:r w:rsidR="00C76716" w:rsidRPr="002B6812">
        <w:t xml:space="preserve"> </w:t>
      </w:r>
      <w:hyperlink w:anchor="_Project_components_and" w:history="1">
        <w:r w:rsidR="00C76716" w:rsidRPr="002B6812">
          <w:rPr>
            <w:rStyle w:val="Hyperlink"/>
          </w:rPr>
          <w:t>Project components</w:t>
        </w:r>
      </w:hyperlink>
      <w:r w:rsidR="00C76716" w:rsidRPr="002B6812">
        <w:t xml:space="preserve"> </w:t>
      </w:r>
      <w:r w:rsidRPr="002B6812">
        <w:t xml:space="preserve">section documents how each component will be covered in these project deliverables. Deliverables will either be prepared as combined documents with content for all in-scope components, or multiple component-specific instances of these deliverables will be produced. During the Assess phase of the project, Microsoft and the </w:t>
      </w:r>
      <w:r w:rsidR="004744AF" w:rsidRPr="002B6812">
        <w:t>Customer</w:t>
      </w:r>
      <w:r w:rsidRPr="002B6812">
        <w:t xml:space="preserve"> will mutually agree on a consolidated or per-component deliverable structure and use that structure for deliverable acceptance.</w:t>
      </w:r>
    </w:p>
    <w:p w14:paraId="0A4BB917" w14:textId="1289FE3E" w:rsidR="0089050C" w:rsidRPr="002B6812" w:rsidRDefault="0089050C" w:rsidP="00231F2B">
      <w:pPr>
        <w:jc w:val="both"/>
        <w:rPr>
          <w:rStyle w:val="Hyperlink"/>
        </w:rPr>
      </w:pPr>
      <w:r w:rsidRPr="002B6812">
        <w:t xml:space="preserve">Additional component-specific deliverables </w:t>
      </w:r>
      <w:r w:rsidR="00C04647" w:rsidRPr="002B6812">
        <w:t xml:space="preserve">might </w:t>
      </w:r>
      <w:r w:rsidRPr="002B6812">
        <w:t xml:space="preserve">be produced for the project and any such deliverables are described in </w:t>
      </w:r>
      <w:r w:rsidR="00C04647" w:rsidRPr="002B6812">
        <w:t xml:space="preserve">the </w:t>
      </w:r>
      <w:r w:rsidR="003D5976" w:rsidRPr="002B6812">
        <w:rPr>
          <w:rStyle w:val="Hyperlink"/>
        </w:rPr>
        <w:t>Project components and deliverables</w:t>
      </w:r>
      <w:r w:rsidR="001A2323" w:rsidRPr="002B6812">
        <w:t xml:space="preserve"> s</w:t>
      </w:r>
      <w:r w:rsidR="00C04647" w:rsidRPr="002B6812">
        <w:t>ection.</w:t>
      </w:r>
    </w:p>
    <w:p w14:paraId="41329E85" w14:textId="40F4B79D" w:rsidR="00633BCC" w:rsidRPr="002B6812" w:rsidRDefault="00633BCC" w:rsidP="00231F2B">
      <w:pPr>
        <w:pStyle w:val="Instructional"/>
        <w:jc w:val="both"/>
      </w:pPr>
    </w:p>
    <w:tbl>
      <w:tblPr>
        <w:tblStyle w:val="TableGrid1"/>
        <w:tblW w:w="9359" w:type="dxa"/>
        <w:tblInd w:w="-5"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1442"/>
        <w:gridCol w:w="4140"/>
        <w:gridCol w:w="900"/>
        <w:gridCol w:w="1303"/>
        <w:gridCol w:w="1574"/>
      </w:tblGrid>
      <w:tr w:rsidR="00A45305" w:rsidRPr="002B6812" w14:paraId="75AB0FDF" w14:textId="77777777" w:rsidTr="00D73A41">
        <w:trPr>
          <w:trHeight w:val="361"/>
          <w:tblHeader/>
        </w:trPr>
        <w:tc>
          <w:tcPr>
            <w:tcW w:w="1442" w:type="dxa"/>
            <w:shd w:val="clear" w:color="auto" w:fill="008272"/>
          </w:tcPr>
          <w:p w14:paraId="16086660" w14:textId="77777777" w:rsidR="0089050C" w:rsidRPr="002B6812" w:rsidRDefault="0089050C" w:rsidP="00231F2B">
            <w:pPr>
              <w:pStyle w:val="Table-Header"/>
              <w:jc w:val="both"/>
            </w:pPr>
            <w:r w:rsidRPr="002B6812">
              <w:lastRenderedPageBreak/>
              <w:t>Name</w:t>
            </w:r>
          </w:p>
        </w:tc>
        <w:tc>
          <w:tcPr>
            <w:tcW w:w="4140" w:type="dxa"/>
            <w:shd w:val="clear" w:color="auto" w:fill="008272"/>
          </w:tcPr>
          <w:p w14:paraId="5B4C26A2" w14:textId="77777777" w:rsidR="0089050C" w:rsidRPr="002B6812" w:rsidRDefault="0089050C" w:rsidP="00231F2B">
            <w:pPr>
              <w:pStyle w:val="Table-Header"/>
              <w:jc w:val="both"/>
            </w:pPr>
            <w:r w:rsidRPr="002B6812">
              <w:t>Description</w:t>
            </w:r>
          </w:p>
        </w:tc>
        <w:tc>
          <w:tcPr>
            <w:tcW w:w="900" w:type="dxa"/>
            <w:shd w:val="clear" w:color="auto" w:fill="008272"/>
          </w:tcPr>
          <w:p w14:paraId="13730E6D" w14:textId="77777777" w:rsidR="0089050C" w:rsidRPr="002B6812" w:rsidRDefault="0089050C" w:rsidP="00231F2B">
            <w:pPr>
              <w:pStyle w:val="Table-Header"/>
              <w:jc w:val="both"/>
            </w:pPr>
            <w:r w:rsidRPr="002B6812">
              <w:t>Phase</w:t>
            </w:r>
          </w:p>
        </w:tc>
        <w:tc>
          <w:tcPr>
            <w:tcW w:w="1303" w:type="dxa"/>
            <w:shd w:val="clear" w:color="auto" w:fill="008272"/>
          </w:tcPr>
          <w:p w14:paraId="3FFD273E" w14:textId="77777777" w:rsidR="0089050C" w:rsidRPr="002B6812" w:rsidRDefault="0089050C" w:rsidP="00231F2B">
            <w:pPr>
              <w:pStyle w:val="Table-Header"/>
              <w:jc w:val="both"/>
            </w:pPr>
            <w:r w:rsidRPr="002B6812">
              <w:t>Acceptance required?</w:t>
            </w:r>
          </w:p>
        </w:tc>
        <w:tc>
          <w:tcPr>
            <w:tcW w:w="1574" w:type="dxa"/>
            <w:shd w:val="clear" w:color="auto" w:fill="008272"/>
          </w:tcPr>
          <w:p w14:paraId="6DD73F7A" w14:textId="77777777" w:rsidR="0089050C" w:rsidRPr="002B6812" w:rsidRDefault="0089050C" w:rsidP="00231F2B">
            <w:pPr>
              <w:pStyle w:val="Table-Header"/>
              <w:jc w:val="both"/>
            </w:pPr>
            <w:r w:rsidRPr="002B6812">
              <w:t>Responsibility</w:t>
            </w:r>
          </w:p>
        </w:tc>
      </w:tr>
      <w:tr w:rsidR="0089050C" w:rsidRPr="002B6812" w14:paraId="50098C85" w14:textId="77777777" w:rsidTr="00D73A41">
        <w:trPr>
          <w:trHeight w:val="417"/>
        </w:trPr>
        <w:tc>
          <w:tcPr>
            <w:tcW w:w="1442" w:type="dxa"/>
            <w:shd w:val="clear" w:color="auto" w:fill="auto"/>
          </w:tcPr>
          <w:p w14:paraId="3E8CD539" w14:textId="77777777" w:rsidR="0089050C" w:rsidRPr="002B6812" w:rsidRDefault="0089050C" w:rsidP="00231F2B">
            <w:pPr>
              <w:pStyle w:val="TableText"/>
              <w:jc w:val="both"/>
              <w:rPr>
                <w:rFonts w:eastAsia="Calibri"/>
              </w:rPr>
            </w:pPr>
            <w:r w:rsidRPr="002B6812">
              <w:rPr>
                <w:rFonts w:eastAsia="Calibri"/>
              </w:rPr>
              <w:t>Project plan</w:t>
            </w:r>
          </w:p>
        </w:tc>
        <w:tc>
          <w:tcPr>
            <w:tcW w:w="4140" w:type="dxa"/>
            <w:shd w:val="clear" w:color="auto" w:fill="auto"/>
          </w:tcPr>
          <w:p w14:paraId="3BDCC53F" w14:textId="7EC13457" w:rsidR="0089050C" w:rsidRPr="002B6812" w:rsidRDefault="00D22C9D" w:rsidP="00231F2B">
            <w:pPr>
              <w:pStyle w:val="TableText"/>
              <w:jc w:val="both"/>
              <w:rPr>
                <w:rFonts w:eastAsia="Calibri"/>
              </w:rPr>
            </w:pPr>
            <w:r>
              <w:t>A list of k</w:t>
            </w:r>
            <w:r w:rsidRPr="002B6812">
              <w:t xml:space="preserve">ey </w:t>
            </w:r>
            <w:r w:rsidR="0089050C" w:rsidRPr="002B6812">
              <w:t>Microsoft activities, milestones, dependencies, and durations</w:t>
            </w:r>
            <w:r w:rsidR="002C11C9" w:rsidRPr="002B6812">
              <w:t xml:space="preserve"> for this </w:t>
            </w:r>
            <w:r w:rsidR="00110922" w:rsidRPr="002B6812">
              <w:t xml:space="preserve">engagement </w:t>
            </w:r>
          </w:p>
        </w:tc>
        <w:tc>
          <w:tcPr>
            <w:tcW w:w="900" w:type="dxa"/>
          </w:tcPr>
          <w:p w14:paraId="1F87DE0D" w14:textId="77777777" w:rsidR="0089050C" w:rsidRPr="002B6812" w:rsidRDefault="0089050C" w:rsidP="00231F2B">
            <w:pPr>
              <w:pStyle w:val="TableText"/>
              <w:jc w:val="both"/>
              <w:rPr>
                <w:rFonts w:eastAsia="Calibri"/>
              </w:rPr>
            </w:pPr>
            <w:r w:rsidRPr="002B6812">
              <w:rPr>
                <w:rFonts w:eastAsia="Calibri"/>
              </w:rPr>
              <w:t>Assess</w:t>
            </w:r>
          </w:p>
        </w:tc>
        <w:tc>
          <w:tcPr>
            <w:tcW w:w="1303" w:type="dxa"/>
            <w:shd w:val="clear" w:color="auto" w:fill="auto"/>
          </w:tcPr>
          <w:p w14:paraId="3A5E5C3C" w14:textId="77777777" w:rsidR="0089050C" w:rsidRPr="002B6812" w:rsidRDefault="0089050C" w:rsidP="00231F2B">
            <w:pPr>
              <w:pStyle w:val="TableText"/>
              <w:jc w:val="both"/>
              <w:rPr>
                <w:rFonts w:eastAsia="Calibri"/>
              </w:rPr>
            </w:pPr>
            <w:r w:rsidRPr="002B6812">
              <w:rPr>
                <w:rFonts w:eastAsia="Calibri"/>
              </w:rPr>
              <w:t>Yes</w:t>
            </w:r>
          </w:p>
        </w:tc>
        <w:tc>
          <w:tcPr>
            <w:tcW w:w="1574" w:type="dxa"/>
            <w:shd w:val="clear" w:color="auto" w:fill="auto"/>
          </w:tcPr>
          <w:p w14:paraId="51053686" w14:textId="77777777" w:rsidR="0089050C" w:rsidRPr="002B6812" w:rsidRDefault="0089050C" w:rsidP="00231F2B">
            <w:pPr>
              <w:pStyle w:val="TableText"/>
              <w:jc w:val="both"/>
              <w:rPr>
                <w:rFonts w:eastAsia="Calibri"/>
              </w:rPr>
            </w:pPr>
            <w:r w:rsidRPr="002B6812">
              <w:rPr>
                <w:rFonts w:eastAsia="Calibri"/>
              </w:rPr>
              <w:t xml:space="preserve">Microsoft </w:t>
            </w:r>
          </w:p>
        </w:tc>
      </w:tr>
      <w:tr w:rsidR="0089050C" w:rsidRPr="002B6812" w14:paraId="592A357E" w14:textId="77777777" w:rsidTr="00D73A41">
        <w:trPr>
          <w:trHeight w:val="417"/>
        </w:trPr>
        <w:tc>
          <w:tcPr>
            <w:tcW w:w="1442" w:type="dxa"/>
            <w:shd w:val="clear" w:color="auto" w:fill="auto"/>
          </w:tcPr>
          <w:p w14:paraId="6C95BF50" w14:textId="141C2929" w:rsidR="0089050C" w:rsidRPr="002B6812" w:rsidRDefault="007D660B" w:rsidP="00231F2B">
            <w:pPr>
              <w:pStyle w:val="TableText"/>
              <w:jc w:val="both"/>
            </w:pPr>
            <w:r w:rsidRPr="00AD444D">
              <w:rPr>
                <w:rFonts w:eastAsia="Calibri"/>
              </w:rPr>
              <w:t xml:space="preserve">Governance </w:t>
            </w:r>
            <w:r w:rsidR="0054136A" w:rsidRPr="009B05B6">
              <w:rPr>
                <w:rFonts w:eastAsia="Calibri"/>
              </w:rPr>
              <w:t>plan</w:t>
            </w:r>
            <w:r w:rsidR="0054136A">
              <w:rPr>
                <w:rFonts w:eastAsia="Calibri"/>
              </w:rPr>
              <w:t xml:space="preserve"> </w:t>
            </w:r>
          </w:p>
        </w:tc>
        <w:tc>
          <w:tcPr>
            <w:tcW w:w="4140" w:type="dxa"/>
            <w:shd w:val="clear" w:color="auto" w:fill="auto"/>
          </w:tcPr>
          <w:p w14:paraId="47D95C12" w14:textId="4B4A3E66" w:rsidR="0089050C" w:rsidRPr="002B6812" w:rsidRDefault="001A2323" w:rsidP="00231F2B">
            <w:pPr>
              <w:pStyle w:val="TableText"/>
              <w:jc w:val="both"/>
            </w:pPr>
            <w:r w:rsidRPr="002B6812">
              <w:rPr>
                <w:rFonts w:eastAsia="Calibri"/>
              </w:rPr>
              <w:t>A</w:t>
            </w:r>
            <w:r w:rsidR="00EC5E4C" w:rsidRPr="002B6812">
              <w:rPr>
                <w:rFonts w:eastAsia="Calibri"/>
              </w:rPr>
              <w:t xml:space="preserve"> document that captures</w:t>
            </w:r>
            <w:r w:rsidR="00521801">
              <w:rPr>
                <w:rFonts w:eastAsia="Calibri"/>
              </w:rPr>
              <w:t xml:space="preserve"> </w:t>
            </w:r>
            <w:r w:rsidR="000160B6">
              <w:rPr>
                <w:rFonts w:eastAsia="Calibri"/>
              </w:rPr>
              <w:t xml:space="preserve">directives </w:t>
            </w:r>
            <w:r w:rsidR="00521801">
              <w:rPr>
                <w:rFonts w:eastAsia="Calibri"/>
              </w:rPr>
              <w:t>pro</w:t>
            </w:r>
            <w:r w:rsidR="000160B6">
              <w:rPr>
                <w:rFonts w:eastAsia="Calibri"/>
              </w:rPr>
              <w:t>duced during the workshops</w:t>
            </w:r>
            <w:r w:rsidR="00EC5E4C" w:rsidRPr="002B6812">
              <w:rPr>
                <w:rFonts w:eastAsia="Calibri"/>
              </w:rPr>
              <w:t xml:space="preserve"> </w:t>
            </w:r>
          </w:p>
        </w:tc>
        <w:tc>
          <w:tcPr>
            <w:tcW w:w="900" w:type="dxa"/>
          </w:tcPr>
          <w:p w14:paraId="78ADE9B0" w14:textId="77777777" w:rsidR="0089050C" w:rsidRPr="002B6812" w:rsidRDefault="0089050C" w:rsidP="00231F2B">
            <w:pPr>
              <w:pStyle w:val="TableText"/>
              <w:jc w:val="both"/>
            </w:pPr>
            <w:r w:rsidRPr="002B6812">
              <w:rPr>
                <w:rFonts w:eastAsia="Calibri"/>
              </w:rPr>
              <w:t>Assess</w:t>
            </w:r>
          </w:p>
        </w:tc>
        <w:tc>
          <w:tcPr>
            <w:tcW w:w="1303" w:type="dxa"/>
            <w:shd w:val="clear" w:color="auto" w:fill="auto"/>
          </w:tcPr>
          <w:p w14:paraId="42EB0C42" w14:textId="77777777" w:rsidR="0089050C" w:rsidRPr="002B6812" w:rsidRDefault="0089050C" w:rsidP="00231F2B">
            <w:pPr>
              <w:pStyle w:val="TableText"/>
              <w:jc w:val="both"/>
            </w:pPr>
            <w:r w:rsidRPr="002B6812">
              <w:rPr>
                <w:rFonts w:eastAsia="Calibri"/>
              </w:rPr>
              <w:t>Yes</w:t>
            </w:r>
          </w:p>
        </w:tc>
        <w:tc>
          <w:tcPr>
            <w:tcW w:w="1574" w:type="dxa"/>
            <w:shd w:val="clear" w:color="auto" w:fill="auto"/>
          </w:tcPr>
          <w:p w14:paraId="4E421B9D" w14:textId="77777777" w:rsidR="0089050C" w:rsidRPr="002B6812" w:rsidRDefault="0089050C" w:rsidP="00231F2B">
            <w:pPr>
              <w:pStyle w:val="TableText"/>
              <w:jc w:val="both"/>
            </w:pPr>
            <w:r w:rsidRPr="002B6812">
              <w:rPr>
                <w:rFonts w:eastAsia="Calibri"/>
              </w:rPr>
              <w:t>Microsoft</w:t>
            </w:r>
          </w:p>
        </w:tc>
      </w:tr>
      <w:tr w:rsidR="005337FE" w:rsidRPr="002B6812" w14:paraId="3F39A79E" w14:textId="77777777" w:rsidTr="00D73A41">
        <w:trPr>
          <w:trHeight w:val="417"/>
        </w:trPr>
        <w:tc>
          <w:tcPr>
            <w:tcW w:w="1442" w:type="dxa"/>
            <w:shd w:val="clear" w:color="auto" w:fill="auto"/>
          </w:tcPr>
          <w:p w14:paraId="4351E317" w14:textId="43F3680E" w:rsidR="005337FE" w:rsidRPr="002B6812" w:rsidRDefault="005337FE" w:rsidP="00231F2B">
            <w:pPr>
              <w:pStyle w:val="TableText"/>
              <w:jc w:val="both"/>
              <w:rPr>
                <w:rFonts w:eastAsia="Calibri"/>
              </w:rPr>
            </w:pPr>
            <w:r w:rsidRPr="002B6812">
              <w:rPr>
                <w:rFonts w:eastAsia="Calibri"/>
              </w:rPr>
              <w:t xml:space="preserve">Delivery </w:t>
            </w:r>
            <w:r w:rsidR="00EB6C40">
              <w:rPr>
                <w:rFonts w:eastAsia="Calibri"/>
              </w:rPr>
              <w:t>s</w:t>
            </w:r>
            <w:r w:rsidRPr="002B6812">
              <w:rPr>
                <w:rFonts w:eastAsia="Calibri"/>
              </w:rPr>
              <w:t>ummary</w:t>
            </w:r>
          </w:p>
        </w:tc>
        <w:tc>
          <w:tcPr>
            <w:tcW w:w="4140" w:type="dxa"/>
            <w:shd w:val="clear" w:color="auto" w:fill="auto"/>
          </w:tcPr>
          <w:p w14:paraId="3781BBB4" w14:textId="43794A08" w:rsidR="005337FE" w:rsidRPr="002B6812" w:rsidRDefault="005914CB" w:rsidP="00231F2B">
            <w:pPr>
              <w:pStyle w:val="TableText"/>
              <w:jc w:val="both"/>
              <w:rPr>
                <w:rFonts w:eastAsia="Calibri"/>
              </w:rPr>
            </w:pPr>
            <w:r>
              <w:rPr>
                <w:rFonts w:eastAsia="Calibri"/>
              </w:rPr>
              <w:t xml:space="preserve">A </w:t>
            </w:r>
            <w:r w:rsidR="009D6D1C">
              <w:rPr>
                <w:rFonts w:eastAsia="Calibri"/>
              </w:rPr>
              <w:t xml:space="preserve">Microsoft </w:t>
            </w:r>
            <w:r w:rsidR="005337FE" w:rsidRPr="002B6812">
              <w:rPr>
                <w:rFonts w:eastAsia="Calibri"/>
              </w:rPr>
              <w:t>Word document that summarizes the work completed, , and documents recommended next steps</w:t>
            </w:r>
          </w:p>
        </w:tc>
        <w:tc>
          <w:tcPr>
            <w:tcW w:w="900" w:type="dxa"/>
          </w:tcPr>
          <w:p w14:paraId="070AB3C6" w14:textId="18AFB003" w:rsidR="005337FE" w:rsidRPr="002B6812" w:rsidRDefault="005337FE" w:rsidP="00231F2B">
            <w:pPr>
              <w:pStyle w:val="TableText"/>
              <w:jc w:val="both"/>
              <w:rPr>
                <w:rFonts w:eastAsia="Calibri"/>
              </w:rPr>
            </w:pPr>
            <w:r w:rsidRPr="002B6812">
              <w:rPr>
                <w:rFonts w:eastAsia="Calibri"/>
              </w:rPr>
              <w:t>Assess</w:t>
            </w:r>
          </w:p>
        </w:tc>
        <w:tc>
          <w:tcPr>
            <w:tcW w:w="1303" w:type="dxa"/>
            <w:shd w:val="clear" w:color="auto" w:fill="auto"/>
          </w:tcPr>
          <w:p w14:paraId="409F5C11" w14:textId="22C5119F" w:rsidR="005337FE" w:rsidRPr="002B6812" w:rsidRDefault="005337FE" w:rsidP="00231F2B">
            <w:pPr>
              <w:pStyle w:val="TableText"/>
              <w:jc w:val="both"/>
              <w:rPr>
                <w:rFonts w:eastAsia="Calibri"/>
              </w:rPr>
            </w:pPr>
            <w:r w:rsidRPr="002B6812">
              <w:rPr>
                <w:rFonts w:eastAsia="Calibri"/>
              </w:rPr>
              <w:t>No</w:t>
            </w:r>
          </w:p>
        </w:tc>
        <w:tc>
          <w:tcPr>
            <w:tcW w:w="1574" w:type="dxa"/>
            <w:shd w:val="clear" w:color="auto" w:fill="auto"/>
          </w:tcPr>
          <w:p w14:paraId="3C9BC74D" w14:textId="261E4B60" w:rsidR="005337FE" w:rsidRPr="002B6812" w:rsidRDefault="005337FE" w:rsidP="00231F2B">
            <w:pPr>
              <w:pStyle w:val="TableText"/>
              <w:jc w:val="both"/>
              <w:rPr>
                <w:rFonts w:eastAsia="Calibri"/>
              </w:rPr>
            </w:pPr>
            <w:r w:rsidRPr="002B6812">
              <w:rPr>
                <w:rFonts w:eastAsia="Calibri"/>
              </w:rPr>
              <w:t>Microsoft</w:t>
            </w:r>
          </w:p>
        </w:tc>
      </w:tr>
    </w:tbl>
    <w:p w14:paraId="5CF599C3" w14:textId="274BFF97" w:rsidR="002641DA" w:rsidRPr="002B6812" w:rsidRDefault="002641DA" w:rsidP="00231F2B">
      <w:pPr>
        <w:pStyle w:val="Heading3"/>
        <w:jc w:val="both"/>
      </w:pPr>
      <w:bookmarkStart w:id="72" w:name="_Project_components_and"/>
      <w:bookmarkEnd w:id="72"/>
      <w:r w:rsidRPr="002B6812">
        <w:t>Project components and deliverables</w:t>
      </w:r>
      <w:bookmarkEnd w:id="71"/>
    </w:p>
    <w:p w14:paraId="5518C25A" w14:textId="7FEF83D3" w:rsidR="002641DA" w:rsidRPr="002B6812" w:rsidRDefault="002641DA" w:rsidP="00231F2B">
      <w:pPr>
        <w:jc w:val="both"/>
      </w:pPr>
      <w:r w:rsidRPr="002B6812">
        <w:t xml:space="preserve">The following subsections describe the activities </w:t>
      </w:r>
      <w:r w:rsidR="00784697">
        <w:t>related to the</w:t>
      </w:r>
      <w:r w:rsidR="00784697" w:rsidRPr="002B6812">
        <w:t xml:space="preserve"> </w:t>
      </w:r>
      <w:r w:rsidRPr="002B6812">
        <w:t xml:space="preserve">in-scope project components, organized by overall project phase. These activities will be combined with the </w:t>
      </w:r>
      <w:hyperlink w:anchor="_General_project_activities" w:history="1">
        <w:r w:rsidRPr="002B6812">
          <w:rPr>
            <w:rStyle w:val="Hyperlink"/>
          </w:rPr>
          <w:t>general project activities</w:t>
        </w:r>
      </w:hyperlink>
      <w:r w:rsidRPr="002B6812">
        <w:t xml:space="preserve"> to establish the overall project approach.</w:t>
      </w:r>
      <w:r w:rsidR="00603FA5" w:rsidRPr="002B6812">
        <w:t xml:space="preserve"> The unique deliverables for each component, and the project deliverables to which each component contributes, are also described </w:t>
      </w:r>
      <w:r w:rsidR="00416B7C" w:rsidRPr="002B6812">
        <w:t>in the following table</w:t>
      </w:r>
      <w:r w:rsidR="00603FA5" w:rsidRPr="002B6812">
        <w:t>.</w:t>
      </w:r>
    </w:p>
    <w:p w14:paraId="200EA185" w14:textId="00174203" w:rsidR="00625899" w:rsidRPr="002B6812" w:rsidRDefault="00625899" w:rsidP="00231F2B">
      <w:pPr>
        <w:pStyle w:val="Heading4"/>
        <w:jc w:val="both"/>
      </w:pPr>
      <w:r w:rsidRPr="002B6812">
        <w:t>Office 365 Information Architecture (OIA-01)</w:t>
      </w:r>
    </w:p>
    <w:tbl>
      <w:tblPr>
        <w:tblStyle w:val="TableGrid1"/>
        <w:tblW w:w="9362" w:type="dxa"/>
        <w:tblInd w:w="-5" w:type="dxa"/>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Look w:val="04A0" w:firstRow="1" w:lastRow="0" w:firstColumn="1" w:lastColumn="0" w:noHBand="0" w:noVBand="1"/>
      </w:tblPr>
      <w:tblGrid>
        <w:gridCol w:w="3068"/>
        <w:gridCol w:w="6294"/>
      </w:tblGrid>
      <w:tr w:rsidR="002641DA" w:rsidRPr="002B6812" w14:paraId="5957B51D" w14:textId="77777777" w:rsidTr="2C59D827">
        <w:trPr>
          <w:trHeight w:val="542"/>
          <w:tblHeader/>
        </w:trPr>
        <w:tc>
          <w:tcPr>
            <w:tcW w:w="3068"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008272"/>
          </w:tcPr>
          <w:p w14:paraId="34B8EB91" w14:textId="77777777" w:rsidR="002641DA" w:rsidRPr="002B6812" w:rsidRDefault="002641DA" w:rsidP="00231F2B">
            <w:pPr>
              <w:jc w:val="both"/>
              <w:rPr>
                <w:rFonts w:eastAsia="Calibri"/>
                <w:b/>
                <w:color w:val="FFFFFF"/>
              </w:rPr>
            </w:pPr>
            <w:r w:rsidRPr="002B6812">
              <w:rPr>
                <w:rFonts w:eastAsia="Calibri"/>
                <w:b/>
                <w:color w:val="FFFFFF" w:themeColor="background1"/>
              </w:rPr>
              <w:t>Category</w:t>
            </w:r>
          </w:p>
        </w:tc>
        <w:tc>
          <w:tcPr>
            <w:tcW w:w="6294"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008272"/>
          </w:tcPr>
          <w:p w14:paraId="3531FA2F" w14:textId="77777777" w:rsidR="002641DA" w:rsidRPr="002B6812" w:rsidRDefault="002641DA" w:rsidP="00231F2B">
            <w:pPr>
              <w:jc w:val="both"/>
              <w:rPr>
                <w:rFonts w:eastAsia="Calibri"/>
                <w:b/>
                <w:color w:val="FFFFFF"/>
              </w:rPr>
            </w:pPr>
            <w:r w:rsidRPr="002B6812">
              <w:rPr>
                <w:rFonts w:eastAsia="Calibri"/>
                <w:b/>
                <w:color w:val="FFFFFF" w:themeColor="background1"/>
              </w:rPr>
              <w:t>Description</w:t>
            </w:r>
          </w:p>
        </w:tc>
      </w:tr>
      <w:tr w:rsidR="002641DA" w:rsidRPr="002B6812" w14:paraId="3DA8BEBD" w14:textId="77777777" w:rsidTr="00F244A4">
        <w:trPr>
          <w:trHeight w:val="422"/>
        </w:trPr>
        <w:tc>
          <w:tcPr>
            <w:tcW w:w="3068"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auto"/>
          </w:tcPr>
          <w:p w14:paraId="14CC03C9" w14:textId="77777777" w:rsidR="002641DA" w:rsidRPr="002B6812" w:rsidRDefault="002641DA" w:rsidP="00231F2B">
            <w:pPr>
              <w:jc w:val="both"/>
              <w:rPr>
                <w:rFonts w:eastAsia="Calibri"/>
              </w:rPr>
            </w:pPr>
            <w:r w:rsidRPr="002B6812">
              <w:rPr>
                <w:rFonts w:eastAsia="Calibri"/>
                <w:b/>
              </w:rPr>
              <w:t>Microsoft activities</w:t>
            </w:r>
            <w:r w:rsidRPr="002B6812">
              <w:rPr>
                <w:rFonts w:eastAsia="Calibri"/>
                <w:b/>
              </w:rPr>
              <w:br/>
            </w:r>
            <w:r w:rsidRPr="002B6812">
              <w:rPr>
                <w:rFonts w:eastAsia="Calibri"/>
              </w:rPr>
              <w:t>The activities to be performed by Microsoft</w:t>
            </w:r>
          </w:p>
        </w:tc>
        <w:tc>
          <w:tcPr>
            <w:tcW w:w="6294"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FFFFFF" w:themeFill="background1"/>
          </w:tcPr>
          <w:p w14:paraId="3E560072" w14:textId="549F7C6C" w:rsidR="00BE72F7" w:rsidRPr="002B6812" w:rsidRDefault="002641DA" w:rsidP="00231F2B">
            <w:pPr>
              <w:pStyle w:val="TableText"/>
              <w:jc w:val="both"/>
            </w:pPr>
            <w:r w:rsidRPr="002B6812">
              <w:rPr>
                <w:b/>
              </w:rPr>
              <w:t>Assess</w:t>
            </w:r>
            <w:r w:rsidR="00DE0541" w:rsidRPr="002B6812">
              <w:rPr>
                <w:b/>
              </w:rPr>
              <w:t xml:space="preserve"> phase</w:t>
            </w:r>
          </w:p>
          <w:p w14:paraId="0CECC864" w14:textId="00BBFC84" w:rsidR="004852A3" w:rsidRPr="002B6812" w:rsidRDefault="004852A3" w:rsidP="00231F2B">
            <w:pPr>
              <w:pStyle w:val="Bulletlist"/>
              <w:jc w:val="both"/>
            </w:pPr>
            <w:r w:rsidRPr="002B6812">
              <w:t>After a kickoff meeting, provide a series of assessment and planning workshops, focusing on the following:</w:t>
            </w:r>
          </w:p>
          <w:p w14:paraId="72D05B9F" w14:textId="44B81D75" w:rsidR="004852A3" w:rsidRPr="002B6812" w:rsidRDefault="009B05B6" w:rsidP="00231F2B">
            <w:pPr>
              <w:pStyle w:val="Bulletlist"/>
              <w:numPr>
                <w:ilvl w:val="1"/>
                <w:numId w:val="27"/>
              </w:numPr>
              <w:ind w:left="787"/>
              <w:jc w:val="both"/>
            </w:pPr>
            <w:r>
              <w:t>Discovery</w:t>
            </w:r>
            <w:r w:rsidR="00CD7ED7">
              <w:t xml:space="preserve"> </w:t>
            </w:r>
            <w:r w:rsidR="00CE74C2">
              <w:t>supporting</w:t>
            </w:r>
            <w:r>
              <w:t xml:space="preserve"> </w:t>
            </w:r>
            <w:r w:rsidR="004852A3" w:rsidRPr="002B6812">
              <w:t>Office 365 overview, current state assessment</w:t>
            </w:r>
            <w:r w:rsidR="00FA544C">
              <w:t>,</w:t>
            </w:r>
            <w:r w:rsidR="004852A3" w:rsidRPr="002B6812">
              <w:t xml:space="preserve"> and requirements</w:t>
            </w:r>
          </w:p>
          <w:p w14:paraId="4CF5AC1D" w14:textId="5B794D7B" w:rsidR="004852A3" w:rsidRPr="002B6812" w:rsidRDefault="004852A3" w:rsidP="00231F2B">
            <w:pPr>
              <w:pStyle w:val="Bulletlist"/>
              <w:numPr>
                <w:ilvl w:val="1"/>
                <w:numId w:val="27"/>
              </w:numPr>
              <w:ind w:left="787"/>
              <w:jc w:val="both"/>
            </w:pPr>
            <w:r w:rsidRPr="002B6812">
              <w:t>Modern Office 365 communication and collaboration reference architecture</w:t>
            </w:r>
            <w:r w:rsidR="00CB4C50">
              <w:t xml:space="preserve"> and f</w:t>
            </w:r>
            <w:r w:rsidRPr="002B6812">
              <w:t xml:space="preserve">uture state </w:t>
            </w:r>
            <w:r w:rsidR="009E1199">
              <w:t>I</w:t>
            </w:r>
            <w:r w:rsidR="008B50E7">
              <w:t xml:space="preserve">nformation </w:t>
            </w:r>
            <w:r w:rsidR="009E1199">
              <w:t>A</w:t>
            </w:r>
            <w:r w:rsidR="008B50E7">
              <w:t>rchitecture</w:t>
            </w:r>
          </w:p>
          <w:p w14:paraId="07D8BCD7" w14:textId="63551010" w:rsidR="004852A3" w:rsidRPr="003B7EF1" w:rsidRDefault="004852A3" w:rsidP="00231F2B">
            <w:pPr>
              <w:pStyle w:val="Bulletlist"/>
              <w:numPr>
                <w:ilvl w:val="1"/>
                <w:numId w:val="27"/>
              </w:numPr>
              <w:spacing w:before="0"/>
              <w:ind w:left="792"/>
              <w:contextualSpacing w:val="0"/>
              <w:jc w:val="both"/>
            </w:pPr>
            <w:r w:rsidRPr="003B7EF1">
              <w:t xml:space="preserve">Modern site </w:t>
            </w:r>
            <w:r w:rsidR="009E1199" w:rsidRPr="003B7EF1">
              <w:t>I</w:t>
            </w:r>
            <w:r w:rsidR="008B50E7" w:rsidRPr="003B7EF1">
              <w:t xml:space="preserve">nformation </w:t>
            </w:r>
            <w:r w:rsidR="009E1199" w:rsidRPr="003B7EF1">
              <w:t>A</w:t>
            </w:r>
            <w:r w:rsidR="008B50E7" w:rsidRPr="003B7EF1">
              <w:t>rchitecture</w:t>
            </w:r>
          </w:p>
          <w:p w14:paraId="20D13197" w14:textId="0A19EC1E" w:rsidR="004852A3" w:rsidRPr="003B7EF1" w:rsidRDefault="004852A3" w:rsidP="00231F2B">
            <w:pPr>
              <w:pStyle w:val="Bulletlist"/>
              <w:jc w:val="both"/>
            </w:pPr>
            <w:r w:rsidRPr="003B7EF1">
              <w:t xml:space="preserve">Develop directives, documentation, and </w:t>
            </w:r>
            <w:r w:rsidR="00E8414F" w:rsidRPr="003B7EF1">
              <w:t xml:space="preserve">the </w:t>
            </w:r>
            <w:r w:rsidRPr="003B7EF1">
              <w:t>report</w:t>
            </w:r>
            <w:r w:rsidR="00661059" w:rsidRPr="003B7EF1">
              <w:t xml:space="preserve"> </w:t>
            </w:r>
            <w:r w:rsidRPr="003B7EF1">
              <w:t>out.</w:t>
            </w:r>
          </w:p>
          <w:p w14:paraId="3E724208" w14:textId="77777777" w:rsidR="003B7EF1" w:rsidRPr="003B7EF1" w:rsidRDefault="003B7EF1" w:rsidP="00231F2B">
            <w:pPr>
              <w:pStyle w:val="Bulletlist"/>
              <w:numPr>
                <w:ilvl w:val="0"/>
                <w:numId w:val="0"/>
              </w:numPr>
              <w:ind w:left="360"/>
              <w:jc w:val="both"/>
            </w:pPr>
          </w:p>
          <w:p w14:paraId="5B099B4A" w14:textId="60C9F2BE" w:rsidR="00625899" w:rsidRPr="003B7EF1" w:rsidRDefault="00120430" w:rsidP="00231F2B">
            <w:pPr>
              <w:pStyle w:val="Bulletlist"/>
              <w:jc w:val="both"/>
            </w:pPr>
            <w:r w:rsidRPr="003B7EF1">
              <w:t>Provide t</w:t>
            </w:r>
            <w:r w:rsidR="005337FE" w:rsidRPr="003B7EF1">
              <w:t xml:space="preserve">ime-boxed assistance with additional Office 365 </w:t>
            </w:r>
            <w:r w:rsidR="009E1199" w:rsidRPr="003B7EF1">
              <w:t>I</w:t>
            </w:r>
            <w:r w:rsidR="008B50E7" w:rsidRPr="003B7EF1">
              <w:t xml:space="preserve">nformation </w:t>
            </w:r>
            <w:r w:rsidR="009E1199" w:rsidRPr="003B7EF1">
              <w:t>A</w:t>
            </w:r>
            <w:r w:rsidR="008B50E7" w:rsidRPr="003B7EF1">
              <w:t>rchitecture</w:t>
            </w:r>
            <w:r w:rsidR="005337FE" w:rsidRPr="003B7EF1">
              <w:t xml:space="preserve"> planning activities.</w:t>
            </w:r>
          </w:p>
          <w:p w14:paraId="08EB159C" w14:textId="4EC229AB" w:rsidR="00625899" w:rsidRPr="002B6812" w:rsidRDefault="00625899" w:rsidP="00231F2B">
            <w:pPr>
              <w:pStyle w:val="TableBullet1"/>
              <w:numPr>
                <w:ilvl w:val="0"/>
                <w:numId w:val="0"/>
              </w:numPr>
              <w:ind w:left="360" w:hanging="360"/>
              <w:jc w:val="both"/>
              <w:rPr>
                <w:rFonts w:eastAsia="Calibri"/>
              </w:rPr>
            </w:pPr>
          </w:p>
        </w:tc>
      </w:tr>
      <w:tr w:rsidR="002641DA" w:rsidRPr="002B6812" w14:paraId="2D327B3A" w14:textId="77777777" w:rsidTr="2C59D827">
        <w:trPr>
          <w:trHeight w:val="422"/>
        </w:trPr>
        <w:tc>
          <w:tcPr>
            <w:tcW w:w="3068"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auto"/>
          </w:tcPr>
          <w:p w14:paraId="0DAA33ED" w14:textId="74B8999A" w:rsidR="002641DA" w:rsidRPr="002B6812" w:rsidRDefault="004744AF" w:rsidP="00231F2B">
            <w:pPr>
              <w:jc w:val="both"/>
              <w:rPr>
                <w:rFonts w:eastAsia="Calibri"/>
              </w:rPr>
            </w:pPr>
            <w:r w:rsidRPr="002B6812">
              <w:rPr>
                <w:rFonts w:eastAsia="Calibri"/>
                <w:b/>
              </w:rPr>
              <w:t>Customer</w:t>
            </w:r>
            <w:r w:rsidR="002641DA" w:rsidRPr="002B6812">
              <w:rPr>
                <w:rFonts w:eastAsia="Calibri"/>
                <w:b/>
              </w:rPr>
              <w:t xml:space="preserve"> activities</w:t>
            </w:r>
            <w:r w:rsidR="002641DA" w:rsidRPr="002B6812">
              <w:rPr>
                <w:rFonts w:eastAsia="Calibri"/>
                <w:b/>
              </w:rPr>
              <w:br/>
            </w:r>
            <w:r w:rsidR="002641DA" w:rsidRPr="002B6812">
              <w:rPr>
                <w:rFonts w:eastAsia="Calibri"/>
              </w:rPr>
              <w:t xml:space="preserve">The activities to be performed by the </w:t>
            </w:r>
            <w:r w:rsidRPr="002B6812">
              <w:rPr>
                <w:rFonts w:eastAsia="Calibri"/>
              </w:rPr>
              <w:t>Customer</w:t>
            </w:r>
          </w:p>
        </w:tc>
        <w:tc>
          <w:tcPr>
            <w:tcW w:w="6294"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FFFFFF" w:themeFill="background1"/>
          </w:tcPr>
          <w:p w14:paraId="3A3D2EE0" w14:textId="77777777" w:rsidR="00B442B2" w:rsidRPr="002B6812" w:rsidRDefault="00B442B2" w:rsidP="00231F2B">
            <w:pPr>
              <w:pStyle w:val="TableText"/>
              <w:jc w:val="both"/>
              <w:rPr>
                <w:b/>
              </w:rPr>
            </w:pPr>
            <w:r w:rsidRPr="002B6812">
              <w:rPr>
                <w:b/>
              </w:rPr>
              <w:t>Assess phase</w:t>
            </w:r>
          </w:p>
          <w:p w14:paraId="25DC4791" w14:textId="18ECAA8B" w:rsidR="00625899" w:rsidRPr="002B6812" w:rsidRDefault="009B48BA" w:rsidP="00231F2B">
            <w:pPr>
              <w:pStyle w:val="TableBullet1"/>
              <w:numPr>
                <w:ilvl w:val="0"/>
                <w:numId w:val="14"/>
              </w:numPr>
              <w:ind w:left="360"/>
              <w:jc w:val="both"/>
            </w:pPr>
            <w:r w:rsidRPr="002B6812">
              <w:t>Participate in the w</w:t>
            </w:r>
            <w:r w:rsidR="00625899" w:rsidRPr="002B6812">
              <w:t>orkshop</w:t>
            </w:r>
            <w:r w:rsidRPr="002B6812">
              <w:t>s.</w:t>
            </w:r>
          </w:p>
          <w:p w14:paraId="0EB24704" w14:textId="4AB6807A" w:rsidR="00625899" w:rsidRPr="002B6812" w:rsidRDefault="00625899" w:rsidP="00231F2B">
            <w:pPr>
              <w:pStyle w:val="TableBullet1"/>
              <w:numPr>
                <w:ilvl w:val="0"/>
                <w:numId w:val="14"/>
              </w:numPr>
              <w:ind w:left="360"/>
              <w:jc w:val="both"/>
            </w:pPr>
            <w:r w:rsidRPr="002B6812">
              <w:t>Communicat</w:t>
            </w:r>
            <w:r w:rsidR="009B48BA" w:rsidRPr="002B6812">
              <w:t>e</w:t>
            </w:r>
            <w:r w:rsidRPr="002B6812">
              <w:t xml:space="preserve"> business and technical requirements.</w:t>
            </w:r>
          </w:p>
          <w:p w14:paraId="685B26EA" w14:textId="7566BDEA" w:rsidR="00625899" w:rsidRPr="002B6812" w:rsidRDefault="00625899" w:rsidP="00231F2B">
            <w:pPr>
              <w:pStyle w:val="TableBullet1"/>
              <w:numPr>
                <w:ilvl w:val="0"/>
                <w:numId w:val="14"/>
              </w:numPr>
              <w:ind w:left="360"/>
              <w:jc w:val="both"/>
            </w:pPr>
            <w:r w:rsidRPr="002B6812">
              <w:t>Participat</w:t>
            </w:r>
            <w:r w:rsidR="009B48BA" w:rsidRPr="002B6812">
              <w:t>e</w:t>
            </w:r>
            <w:r w:rsidRPr="002B6812">
              <w:t xml:space="preserve"> in decision making related to the production of directives.</w:t>
            </w:r>
          </w:p>
          <w:p w14:paraId="0BF0BD45" w14:textId="156928C9" w:rsidR="00625899" w:rsidRPr="003B7EF1" w:rsidRDefault="00625899" w:rsidP="00231F2B">
            <w:pPr>
              <w:pStyle w:val="TableBullet1"/>
              <w:numPr>
                <w:ilvl w:val="0"/>
                <w:numId w:val="14"/>
              </w:numPr>
              <w:ind w:left="360"/>
              <w:jc w:val="both"/>
            </w:pPr>
            <w:r w:rsidRPr="002B6812">
              <w:t xml:space="preserve">Codevelop </w:t>
            </w:r>
            <w:r w:rsidRPr="003B7EF1">
              <w:t>directives</w:t>
            </w:r>
          </w:p>
          <w:p w14:paraId="1F6BE8F2" w14:textId="7D7643D5" w:rsidR="005337FE" w:rsidRPr="003B7EF1" w:rsidRDefault="00625899" w:rsidP="00231F2B">
            <w:pPr>
              <w:pStyle w:val="TableBullet1"/>
              <w:numPr>
                <w:ilvl w:val="0"/>
                <w:numId w:val="14"/>
              </w:numPr>
              <w:ind w:left="360"/>
              <w:jc w:val="both"/>
            </w:pPr>
            <w:r w:rsidRPr="003B7EF1">
              <w:lastRenderedPageBreak/>
              <w:t>Participat</w:t>
            </w:r>
            <w:r w:rsidR="009B48BA" w:rsidRPr="003B7EF1">
              <w:t>e</w:t>
            </w:r>
            <w:r w:rsidRPr="003B7EF1">
              <w:t xml:space="preserve"> in </w:t>
            </w:r>
            <w:r w:rsidR="009B48BA" w:rsidRPr="003B7EF1">
              <w:t xml:space="preserve">the </w:t>
            </w:r>
            <w:r w:rsidRPr="003B7EF1">
              <w:t>report-out</w:t>
            </w:r>
            <w:r w:rsidR="00706E11" w:rsidRPr="003B7EF1">
              <w:t xml:space="preserve"> meeting</w:t>
            </w:r>
            <w:r w:rsidRPr="003B7EF1">
              <w:t>.</w:t>
            </w:r>
          </w:p>
          <w:p w14:paraId="2989F96C" w14:textId="4736DB9E" w:rsidR="005337FE" w:rsidRPr="003B7EF1" w:rsidRDefault="005337FE" w:rsidP="00231F2B">
            <w:pPr>
              <w:pStyle w:val="Bulletlist"/>
              <w:jc w:val="both"/>
              <w:rPr>
                <w:color w:val="00B0F0"/>
              </w:rPr>
            </w:pPr>
            <w:r w:rsidRPr="003B7EF1">
              <w:t xml:space="preserve">Work with Microsoft resources providing additional assistance related to Office 365 </w:t>
            </w:r>
            <w:r w:rsidR="009E1199" w:rsidRPr="003B7EF1">
              <w:t>I</w:t>
            </w:r>
            <w:r w:rsidR="008B50E7" w:rsidRPr="003B7EF1">
              <w:t xml:space="preserve">nformation </w:t>
            </w:r>
            <w:r w:rsidR="009E1199" w:rsidRPr="003B7EF1">
              <w:t>A</w:t>
            </w:r>
            <w:r w:rsidR="008B50E7" w:rsidRPr="003B7EF1">
              <w:t xml:space="preserve">rchitecture </w:t>
            </w:r>
            <w:r w:rsidRPr="003B7EF1">
              <w:t>planning.</w:t>
            </w:r>
          </w:p>
        </w:tc>
      </w:tr>
      <w:tr w:rsidR="002641DA" w:rsidRPr="002B6812" w14:paraId="7AFDA243" w14:textId="77777777" w:rsidTr="2C59D827">
        <w:trPr>
          <w:trHeight w:val="422"/>
        </w:trPr>
        <w:tc>
          <w:tcPr>
            <w:tcW w:w="3068"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auto"/>
          </w:tcPr>
          <w:p w14:paraId="04AE357E" w14:textId="4DD10F73" w:rsidR="002641DA" w:rsidRPr="002B6812" w:rsidRDefault="002641DA" w:rsidP="00231F2B">
            <w:pPr>
              <w:jc w:val="both"/>
              <w:rPr>
                <w:rFonts w:eastAsia="Calibri"/>
              </w:rPr>
            </w:pPr>
            <w:r w:rsidRPr="002B6812">
              <w:rPr>
                <w:rFonts w:eastAsia="Calibri"/>
                <w:b/>
              </w:rPr>
              <w:lastRenderedPageBreak/>
              <w:t>Key assumptions</w:t>
            </w:r>
          </w:p>
        </w:tc>
        <w:tc>
          <w:tcPr>
            <w:tcW w:w="6294"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FFFFFF" w:themeFill="background1"/>
          </w:tcPr>
          <w:p w14:paraId="2A46D8F3" w14:textId="05751DB2" w:rsidR="00BF537C" w:rsidRPr="002B6812" w:rsidRDefault="004744AF" w:rsidP="00231F2B">
            <w:pPr>
              <w:pStyle w:val="TableText"/>
              <w:jc w:val="both"/>
            </w:pPr>
            <w:r w:rsidRPr="002B6812">
              <w:t>Customer</w:t>
            </w:r>
            <w:r w:rsidR="005337FE" w:rsidRPr="002B6812">
              <w:t xml:space="preserve"> stakeholders have working knowledge of Office 365 and are able to provide requirements and drive decisions related to the production of the directives</w:t>
            </w:r>
            <w:r w:rsidR="006E55E9">
              <w:t xml:space="preserve"> and </w:t>
            </w:r>
            <w:r w:rsidR="005337FE" w:rsidRPr="002B6812">
              <w:t>output.</w:t>
            </w:r>
          </w:p>
        </w:tc>
      </w:tr>
      <w:tr w:rsidR="002641DA" w:rsidRPr="002B6812" w14:paraId="25FEF977" w14:textId="77777777" w:rsidTr="2C59D827">
        <w:trPr>
          <w:trHeight w:val="422"/>
        </w:trPr>
        <w:tc>
          <w:tcPr>
            <w:tcW w:w="3068"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auto"/>
          </w:tcPr>
          <w:p w14:paraId="6F46E92F" w14:textId="77777777" w:rsidR="002641DA" w:rsidRPr="002B6812" w:rsidRDefault="002641DA" w:rsidP="00231F2B">
            <w:pPr>
              <w:jc w:val="both"/>
              <w:rPr>
                <w:rFonts w:eastAsia="Calibri"/>
                <w:b/>
              </w:rPr>
            </w:pPr>
            <w:r w:rsidRPr="002B6812">
              <w:rPr>
                <w:rFonts w:eastAsia="Calibri"/>
                <w:b/>
              </w:rPr>
              <w:t>Project deliverables</w:t>
            </w:r>
            <w:r w:rsidRPr="002B6812">
              <w:rPr>
                <w:rFonts w:eastAsia="Calibri"/>
                <w:b/>
              </w:rPr>
              <w:br/>
            </w:r>
            <w:r w:rsidRPr="002B6812">
              <w:rPr>
                <w:rFonts w:eastAsia="Calibri"/>
              </w:rPr>
              <w:t>Content for this project component will be included in these project deliverables</w:t>
            </w:r>
          </w:p>
        </w:tc>
        <w:tc>
          <w:tcPr>
            <w:tcW w:w="6294"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FFFFFF" w:themeFill="background1"/>
          </w:tcPr>
          <w:p w14:paraId="046E8D9A" w14:textId="7E19028D" w:rsidR="000A48BB" w:rsidRPr="002B6812" w:rsidRDefault="000A48BB" w:rsidP="00231F2B">
            <w:pPr>
              <w:pStyle w:val="TableBullet1"/>
              <w:jc w:val="both"/>
            </w:pPr>
            <w:r w:rsidRPr="002B6812">
              <w:t xml:space="preserve">Project </w:t>
            </w:r>
            <w:r w:rsidR="00636704" w:rsidRPr="002B6812">
              <w:t>plan</w:t>
            </w:r>
          </w:p>
          <w:p w14:paraId="20644C72" w14:textId="78E6A073" w:rsidR="00D32F29" w:rsidRDefault="00E22F3E" w:rsidP="00231F2B">
            <w:pPr>
              <w:pStyle w:val="TableBullet1"/>
              <w:jc w:val="both"/>
            </w:pPr>
            <w:r w:rsidRPr="00AD444D">
              <w:rPr>
                <w:rFonts w:eastAsia="Calibri"/>
              </w:rPr>
              <w:t xml:space="preserve">Governance </w:t>
            </w:r>
            <w:r w:rsidRPr="009B05B6">
              <w:rPr>
                <w:rFonts w:eastAsia="Calibri"/>
              </w:rPr>
              <w:t>plan</w:t>
            </w:r>
            <w:r>
              <w:rPr>
                <w:rFonts w:eastAsia="Calibri"/>
              </w:rPr>
              <w:t xml:space="preserve"> </w:t>
            </w:r>
          </w:p>
          <w:p w14:paraId="6A8FB426" w14:textId="59BF7124" w:rsidR="005337FE" w:rsidRPr="002B6812" w:rsidRDefault="005337FE" w:rsidP="00231F2B">
            <w:pPr>
              <w:pStyle w:val="TableBullet1"/>
              <w:jc w:val="both"/>
            </w:pPr>
            <w:r w:rsidRPr="002B6812">
              <w:t xml:space="preserve">Delivery </w:t>
            </w:r>
            <w:r w:rsidR="006E55E9">
              <w:t>s</w:t>
            </w:r>
            <w:r w:rsidR="006E55E9" w:rsidRPr="002B6812">
              <w:t xml:space="preserve">ummary </w:t>
            </w:r>
          </w:p>
        </w:tc>
      </w:tr>
    </w:tbl>
    <w:p w14:paraId="58812E66" w14:textId="3D5581AC" w:rsidR="002641DA" w:rsidRPr="002B6812" w:rsidRDefault="00CE2513" w:rsidP="00231F2B">
      <w:pPr>
        <w:pStyle w:val="Heading4"/>
        <w:jc w:val="both"/>
      </w:pPr>
      <w:r w:rsidRPr="002B6812">
        <w:t xml:space="preserve">Office 365 Security and Compliance Governance </w:t>
      </w:r>
      <w:r w:rsidR="002641DA" w:rsidRPr="002B6812">
        <w:t>(</w:t>
      </w:r>
      <w:r w:rsidRPr="002B6812">
        <w:t>SCG-01)</w:t>
      </w:r>
    </w:p>
    <w:tbl>
      <w:tblPr>
        <w:tblStyle w:val="TableGrid1"/>
        <w:tblW w:w="9362" w:type="dxa"/>
        <w:tblInd w:w="-5" w:type="dxa"/>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Look w:val="04A0" w:firstRow="1" w:lastRow="0" w:firstColumn="1" w:lastColumn="0" w:noHBand="0" w:noVBand="1"/>
      </w:tblPr>
      <w:tblGrid>
        <w:gridCol w:w="3068"/>
        <w:gridCol w:w="6294"/>
      </w:tblGrid>
      <w:tr w:rsidR="002641DA" w:rsidRPr="002B6812" w14:paraId="08B97FDD" w14:textId="77777777" w:rsidTr="2C59D827">
        <w:trPr>
          <w:trHeight w:val="542"/>
          <w:tblHeader/>
        </w:trPr>
        <w:tc>
          <w:tcPr>
            <w:tcW w:w="3068"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008272"/>
          </w:tcPr>
          <w:p w14:paraId="6EDDD8D1" w14:textId="77777777" w:rsidR="002641DA" w:rsidRPr="002B6812" w:rsidRDefault="002641DA" w:rsidP="00231F2B">
            <w:pPr>
              <w:jc w:val="both"/>
              <w:rPr>
                <w:rFonts w:eastAsia="Calibri"/>
                <w:b/>
                <w:color w:val="FFFFFF"/>
              </w:rPr>
            </w:pPr>
            <w:r w:rsidRPr="002B6812">
              <w:rPr>
                <w:rFonts w:eastAsia="Calibri"/>
                <w:b/>
                <w:color w:val="FFFFFF" w:themeColor="background1"/>
              </w:rPr>
              <w:t>Category</w:t>
            </w:r>
          </w:p>
        </w:tc>
        <w:tc>
          <w:tcPr>
            <w:tcW w:w="6294"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008272"/>
          </w:tcPr>
          <w:p w14:paraId="4FD3BAFE" w14:textId="77777777" w:rsidR="002641DA" w:rsidRPr="002B6812" w:rsidRDefault="002641DA" w:rsidP="00231F2B">
            <w:pPr>
              <w:jc w:val="both"/>
              <w:rPr>
                <w:rFonts w:eastAsia="Calibri"/>
                <w:b/>
                <w:color w:val="FFFFFF"/>
              </w:rPr>
            </w:pPr>
            <w:r w:rsidRPr="002B6812">
              <w:rPr>
                <w:rFonts w:eastAsia="Calibri"/>
                <w:b/>
                <w:color w:val="FFFFFF" w:themeColor="background1"/>
              </w:rPr>
              <w:t>Description</w:t>
            </w:r>
          </w:p>
        </w:tc>
      </w:tr>
      <w:tr w:rsidR="002641DA" w:rsidRPr="002B6812" w14:paraId="602B0B25" w14:textId="77777777" w:rsidTr="2C59D827">
        <w:trPr>
          <w:trHeight w:val="422"/>
        </w:trPr>
        <w:tc>
          <w:tcPr>
            <w:tcW w:w="3068"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auto"/>
          </w:tcPr>
          <w:p w14:paraId="4F6AEFBD" w14:textId="77777777" w:rsidR="002641DA" w:rsidRPr="002B6812" w:rsidRDefault="002641DA" w:rsidP="00231F2B">
            <w:pPr>
              <w:jc w:val="both"/>
              <w:rPr>
                <w:rFonts w:eastAsia="Calibri"/>
              </w:rPr>
            </w:pPr>
            <w:r w:rsidRPr="002B6812">
              <w:rPr>
                <w:rFonts w:eastAsia="Calibri"/>
                <w:b/>
              </w:rPr>
              <w:t>Microsoft activities</w:t>
            </w:r>
            <w:r w:rsidRPr="002B6812">
              <w:rPr>
                <w:rFonts w:eastAsia="Calibri"/>
                <w:b/>
              </w:rPr>
              <w:br/>
            </w:r>
            <w:r w:rsidRPr="002B6812">
              <w:rPr>
                <w:rFonts w:eastAsia="Calibri"/>
              </w:rPr>
              <w:t>The activities to be performed by Microsoft</w:t>
            </w:r>
          </w:p>
        </w:tc>
        <w:tc>
          <w:tcPr>
            <w:tcW w:w="6294"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FFFFFF" w:themeFill="background1"/>
          </w:tcPr>
          <w:p w14:paraId="547C172D" w14:textId="1751F7F7" w:rsidR="002641DA" w:rsidRPr="002B6812" w:rsidRDefault="002641DA" w:rsidP="00231F2B">
            <w:pPr>
              <w:pStyle w:val="TableText"/>
              <w:jc w:val="both"/>
              <w:rPr>
                <w:b/>
              </w:rPr>
            </w:pPr>
            <w:r w:rsidRPr="002B6812">
              <w:rPr>
                <w:b/>
              </w:rPr>
              <w:t>Assess</w:t>
            </w:r>
            <w:r w:rsidR="00DE0541" w:rsidRPr="002B6812">
              <w:rPr>
                <w:b/>
              </w:rPr>
              <w:t xml:space="preserve"> phase</w:t>
            </w:r>
          </w:p>
          <w:p w14:paraId="272EA37C" w14:textId="081A9850" w:rsidR="00333B5E" w:rsidRPr="002B6812" w:rsidRDefault="00333B5E" w:rsidP="00231F2B">
            <w:pPr>
              <w:pStyle w:val="Bulletlist"/>
              <w:contextualSpacing w:val="0"/>
              <w:jc w:val="both"/>
            </w:pPr>
            <w:r w:rsidRPr="002B6812">
              <w:t>After a kickoff meeting, provide a series of assessment and planning workshops, focusing on the following:</w:t>
            </w:r>
          </w:p>
          <w:p w14:paraId="43429B05" w14:textId="77777777" w:rsidR="00333B5E" w:rsidRPr="002B6812" w:rsidRDefault="00333B5E" w:rsidP="00231F2B">
            <w:pPr>
              <w:pStyle w:val="Bulletlist"/>
              <w:numPr>
                <w:ilvl w:val="1"/>
                <w:numId w:val="27"/>
              </w:numPr>
              <w:ind w:left="787"/>
              <w:jc w:val="both"/>
            </w:pPr>
            <w:r w:rsidRPr="002B6812">
              <w:t>Microsoft 365 Security and Compliance Center overview, current state assessment, and requirements</w:t>
            </w:r>
          </w:p>
          <w:p w14:paraId="6D41F9E3" w14:textId="77777777" w:rsidR="00333B5E" w:rsidRPr="002B6812" w:rsidRDefault="00333B5E" w:rsidP="00231F2B">
            <w:pPr>
              <w:pStyle w:val="Bulletlist"/>
              <w:numPr>
                <w:ilvl w:val="1"/>
                <w:numId w:val="27"/>
              </w:numPr>
              <w:ind w:left="787"/>
              <w:jc w:val="both"/>
            </w:pPr>
            <w:r w:rsidRPr="002B6812">
              <w:t>Office 365 labels and retention policies</w:t>
            </w:r>
          </w:p>
          <w:p w14:paraId="171C68F6" w14:textId="77777777" w:rsidR="00333B5E" w:rsidRPr="002B6812" w:rsidRDefault="00333B5E" w:rsidP="00231F2B">
            <w:pPr>
              <w:pStyle w:val="Bulletlist"/>
              <w:numPr>
                <w:ilvl w:val="1"/>
                <w:numId w:val="27"/>
              </w:numPr>
              <w:ind w:left="787"/>
              <w:jc w:val="both"/>
            </w:pPr>
            <w:r w:rsidRPr="002B6812">
              <w:t>Office 365 message and file encryption</w:t>
            </w:r>
          </w:p>
          <w:p w14:paraId="37F363A2" w14:textId="77777777" w:rsidR="00333B5E" w:rsidRPr="002B6812" w:rsidRDefault="00333B5E" w:rsidP="00231F2B">
            <w:pPr>
              <w:pStyle w:val="Bulletlist"/>
              <w:numPr>
                <w:ilvl w:val="1"/>
                <w:numId w:val="27"/>
              </w:numPr>
              <w:ind w:left="787"/>
              <w:jc w:val="both"/>
            </w:pPr>
            <w:r w:rsidRPr="002B6812">
              <w:t>Office 365 conditional access</w:t>
            </w:r>
          </w:p>
          <w:p w14:paraId="0F421585" w14:textId="7F51F3C6" w:rsidR="00333B5E" w:rsidRPr="002B6812" w:rsidRDefault="00333B5E" w:rsidP="00231F2B">
            <w:pPr>
              <w:pStyle w:val="Bulletlist"/>
              <w:numPr>
                <w:ilvl w:val="1"/>
                <w:numId w:val="27"/>
              </w:numPr>
              <w:ind w:left="787"/>
              <w:jc w:val="both"/>
            </w:pPr>
            <w:r w:rsidRPr="002B6812">
              <w:t>Office 365 data loss prevention</w:t>
            </w:r>
          </w:p>
          <w:p w14:paraId="76DF3B98" w14:textId="77777777" w:rsidR="00E35E27" w:rsidRPr="002B6812" w:rsidRDefault="00E35E27" w:rsidP="00231F2B">
            <w:pPr>
              <w:pStyle w:val="Bulletlist"/>
              <w:numPr>
                <w:ilvl w:val="1"/>
                <w:numId w:val="27"/>
              </w:numPr>
              <w:ind w:left="787"/>
              <w:jc w:val="both"/>
            </w:pPr>
            <w:r w:rsidRPr="002B6812">
              <w:t>Office 365 external sharing</w:t>
            </w:r>
          </w:p>
          <w:p w14:paraId="7DFE90F5" w14:textId="5BF5A715" w:rsidR="00E35E27" w:rsidRPr="003B7EF1" w:rsidRDefault="00E35E27" w:rsidP="00231F2B">
            <w:pPr>
              <w:pStyle w:val="Bulletlist"/>
              <w:numPr>
                <w:ilvl w:val="1"/>
                <w:numId w:val="27"/>
              </w:numPr>
              <w:spacing w:before="0"/>
              <w:ind w:left="792"/>
              <w:contextualSpacing w:val="0"/>
              <w:jc w:val="both"/>
            </w:pPr>
            <w:r w:rsidRPr="002B6812">
              <w:t xml:space="preserve">Office 365 </w:t>
            </w:r>
            <w:r w:rsidRPr="003B7EF1">
              <w:t>investigations, including eDiscovery, auditing</w:t>
            </w:r>
            <w:r w:rsidR="00206D5C" w:rsidRPr="003B7EF1">
              <w:t>,</w:t>
            </w:r>
            <w:r w:rsidRPr="003B7EF1">
              <w:t xml:space="preserve"> and supervision policies</w:t>
            </w:r>
          </w:p>
          <w:p w14:paraId="601C124E" w14:textId="0601F469" w:rsidR="002641DA" w:rsidRPr="003B7EF1" w:rsidRDefault="009B48BA" w:rsidP="00231F2B">
            <w:pPr>
              <w:pStyle w:val="Bulletlist"/>
              <w:contextualSpacing w:val="0"/>
              <w:jc w:val="both"/>
              <w:rPr>
                <w:rFonts w:eastAsia="Calibri"/>
              </w:rPr>
            </w:pPr>
            <w:r w:rsidRPr="003B7EF1">
              <w:t>Develop d</w:t>
            </w:r>
            <w:r w:rsidR="00CE2513" w:rsidRPr="003B7EF1">
              <w:t>irectives</w:t>
            </w:r>
            <w:r w:rsidR="00787335" w:rsidRPr="003B7EF1">
              <w:t xml:space="preserve">, </w:t>
            </w:r>
            <w:r w:rsidR="00CE2513" w:rsidRPr="003B7EF1">
              <w:t>documentation</w:t>
            </w:r>
            <w:r w:rsidRPr="003B7EF1">
              <w:t>,</w:t>
            </w:r>
            <w:r w:rsidR="00CE2513" w:rsidRPr="003B7EF1">
              <w:t xml:space="preserve"> and </w:t>
            </w:r>
            <w:r w:rsidR="00787335" w:rsidRPr="003B7EF1">
              <w:t xml:space="preserve">the </w:t>
            </w:r>
            <w:r w:rsidR="00CE2513" w:rsidRPr="003B7EF1">
              <w:t>report out.</w:t>
            </w:r>
          </w:p>
          <w:p w14:paraId="4E6A5426" w14:textId="60A2FCD3" w:rsidR="00CD2420" w:rsidRPr="003B7EF1" w:rsidRDefault="00275F1F" w:rsidP="00231F2B">
            <w:pPr>
              <w:pStyle w:val="Bulletlist"/>
              <w:spacing w:before="0"/>
              <w:contextualSpacing w:val="0"/>
              <w:jc w:val="both"/>
              <w:rPr>
                <w:color w:val="00B0F0"/>
              </w:rPr>
            </w:pPr>
            <w:r w:rsidRPr="003B7EF1">
              <w:t>Provide t</w:t>
            </w:r>
            <w:r w:rsidR="00CD2420" w:rsidRPr="003B7EF1">
              <w:t>ime-boxed assistance with additional Office 365 security and compliance governance planning activities.</w:t>
            </w:r>
          </w:p>
        </w:tc>
      </w:tr>
      <w:tr w:rsidR="002641DA" w:rsidRPr="002B6812" w14:paraId="4E900A49" w14:textId="77777777" w:rsidTr="2C59D827">
        <w:trPr>
          <w:trHeight w:val="422"/>
        </w:trPr>
        <w:tc>
          <w:tcPr>
            <w:tcW w:w="3068"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auto"/>
          </w:tcPr>
          <w:p w14:paraId="6E57865F" w14:textId="50133BB2" w:rsidR="002641DA" w:rsidRPr="002B6812" w:rsidRDefault="004744AF" w:rsidP="00231F2B">
            <w:pPr>
              <w:jc w:val="both"/>
              <w:rPr>
                <w:rFonts w:eastAsia="Calibri"/>
              </w:rPr>
            </w:pPr>
            <w:r w:rsidRPr="002B6812">
              <w:rPr>
                <w:rFonts w:eastAsia="Calibri"/>
                <w:b/>
              </w:rPr>
              <w:t>Customer</w:t>
            </w:r>
            <w:r w:rsidR="002641DA" w:rsidRPr="002B6812">
              <w:rPr>
                <w:rFonts w:eastAsia="Calibri"/>
                <w:b/>
              </w:rPr>
              <w:t xml:space="preserve"> activities</w:t>
            </w:r>
            <w:r w:rsidR="002641DA" w:rsidRPr="002B6812">
              <w:rPr>
                <w:rFonts w:eastAsia="Calibri"/>
                <w:b/>
              </w:rPr>
              <w:br/>
            </w:r>
            <w:r w:rsidR="002641DA" w:rsidRPr="002B6812">
              <w:rPr>
                <w:rFonts w:eastAsia="Calibri"/>
              </w:rPr>
              <w:t xml:space="preserve">The activities to be performed by the </w:t>
            </w:r>
            <w:r w:rsidRPr="002B6812">
              <w:rPr>
                <w:rFonts w:eastAsia="Calibri"/>
              </w:rPr>
              <w:t>Customer</w:t>
            </w:r>
          </w:p>
        </w:tc>
        <w:tc>
          <w:tcPr>
            <w:tcW w:w="6294"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FFFFFF" w:themeFill="background1"/>
          </w:tcPr>
          <w:p w14:paraId="2ECAD4FC" w14:textId="52543F76" w:rsidR="002641DA" w:rsidRPr="002B6812" w:rsidRDefault="002641DA" w:rsidP="00231F2B">
            <w:pPr>
              <w:pStyle w:val="TableText"/>
              <w:jc w:val="both"/>
              <w:rPr>
                <w:b/>
              </w:rPr>
            </w:pPr>
            <w:r w:rsidRPr="002B6812">
              <w:rPr>
                <w:b/>
              </w:rPr>
              <w:t>Assess</w:t>
            </w:r>
            <w:r w:rsidR="00DE0541" w:rsidRPr="002B6812">
              <w:rPr>
                <w:b/>
              </w:rPr>
              <w:t xml:space="preserve"> phase</w:t>
            </w:r>
          </w:p>
          <w:p w14:paraId="6F644D57" w14:textId="633BB974" w:rsidR="00CD2420" w:rsidRPr="002B6812" w:rsidRDefault="00CD2420" w:rsidP="00231F2B">
            <w:pPr>
              <w:pStyle w:val="TableBullet1"/>
              <w:jc w:val="both"/>
            </w:pPr>
            <w:r w:rsidRPr="002B6812">
              <w:t>Participat</w:t>
            </w:r>
            <w:r w:rsidR="009B48BA" w:rsidRPr="002B6812">
              <w:t>e</w:t>
            </w:r>
            <w:r w:rsidRPr="002B6812">
              <w:t xml:space="preserve"> in logistics planning</w:t>
            </w:r>
            <w:r w:rsidR="009B48BA" w:rsidRPr="002B6812">
              <w:t>.</w:t>
            </w:r>
          </w:p>
          <w:p w14:paraId="75F7F52B" w14:textId="140A0ED4" w:rsidR="00CD2420" w:rsidRPr="002B6812" w:rsidRDefault="009B48BA" w:rsidP="00231F2B">
            <w:pPr>
              <w:pStyle w:val="TableBullet1"/>
              <w:jc w:val="both"/>
            </w:pPr>
            <w:r w:rsidRPr="002B6812">
              <w:t>Participate in workshops.</w:t>
            </w:r>
          </w:p>
          <w:p w14:paraId="4485687C" w14:textId="6192F7CC" w:rsidR="00CD2420" w:rsidRPr="002B6812" w:rsidRDefault="00CD2420" w:rsidP="00231F2B">
            <w:pPr>
              <w:pStyle w:val="TableBullet1"/>
              <w:jc w:val="both"/>
            </w:pPr>
            <w:r w:rsidRPr="002B6812">
              <w:t>Communicat</w:t>
            </w:r>
            <w:r w:rsidR="009B48BA" w:rsidRPr="002B6812">
              <w:t>e</w:t>
            </w:r>
            <w:r w:rsidRPr="002B6812">
              <w:t xml:space="preserve"> business and technical requirements.</w:t>
            </w:r>
          </w:p>
          <w:p w14:paraId="4D062C3F" w14:textId="60E794B5" w:rsidR="00CD2420" w:rsidRPr="002B6812" w:rsidRDefault="00CD2420" w:rsidP="00231F2B">
            <w:pPr>
              <w:pStyle w:val="TableBullet1"/>
              <w:jc w:val="both"/>
            </w:pPr>
            <w:r w:rsidRPr="002B6812">
              <w:t>Participat</w:t>
            </w:r>
            <w:r w:rsidR="009B48BA" w:rsidRPr="002B6812">
              <w:t>e</w:t>
            </w:r>
            <w:r w:rsidRPr="002B6812">
              <w:t xml:space="preserve"> in decision making</w:t>
            </w:r>
            <w:r w:rsidR="009B48BA" w:rsidRPr="002B6812">
              <w:t>,</w:t>
            </w:r>
            <w:r w:rsidRPr="002B6812">
              <w:t xml:space="preserve"> related to the production of directives.</w:t>
            </w:r>
          </w:p>
          <w:p w14:paraId="00DC4681" w14:textId="09711B4E" w:rsidR="00CD2420" w:rsidRPr="002B6812" w:rsidRDefault="00CD2420" w:rsidP="00231F2B">
            <w:pPr>
              <w:pStyle w:val="TableBullet1"/>
              <w:jc w:val="both"/>
            </w:pPr>
            <w:r w:rsidRPr="002B6812">
              <w:t>Codevelop directives</w:t>
            </w:r>
            <w:r w:rsidR="00390341" w:rsidRPr="002B6812">
              <w:t>.</w:t>
            </w:r>
          </w:p>
          <w:p w14:paraId="15048C1C" w14:textId="2304D38A" w:rsidR="00CD2420" w:rsidRPr="003B7EF1" w:rsidRDefault="00CD2420" w:rsidP="00231F2B">
            <w:pPr>
              <w:pStyle w:val="TableBullet1"/>
              <w:jc w:val="both"/>
              <w:rPr>
                <w:rFonts w:eastAsia="Calibri"/>
                <w:b/>
              </w:rPr>
            </w:pPr>
            <w:r w:rsidRPr="003B7EF1">
              <w:t>Participat</w:t>
            </w:r>
            <w:r w:rsidR="00390341" w:rsidRPr="003B7EF1">
              <w:t>e in the</w:t>
            </w:r>
            <w:r w:rsidRPr="003B7EF1">
              <w:t xml:space="preserve"> report-out</w:t>
            </w:r>
            <w:r w:rsidR="00706E11" w:rsidRPr="003B7EF1">
              <w:t xml:space="preserve"> meeting</w:t>
            </w:r>
            <w:r w:rsidR="00390341" w:rsidRPr="003B7EF1">
              <w:t>.</w:t>
            </w:r>
          </w:p>
          <w:p w14:paraId="44962180" w14:textId="3DE09A79" w:rsidR="00CD2420" w:rsidRPr="003B7EF1" w:rsidRDefault="00CD2420" w:rsidP="00231F2B">
            <w:pPr>
              <w:pStyle w:val="Bulletlist"/>
              <w:jc w:val="both"/>
              <w:rPr>
                <w:color w:val="00B0F0"/>
              </w:rPr>
            </w:pPr>
            <w:r w:rsidRPr="003B7EF1">
              <w:lastRenderedPageBreak/>
              <w:t xml:space="preserve">Work with Microsoft resources </w:t>
            </w:r>
            <w:r w:rsidR="00557509" w:rsidRPr="003B7EF1">
              <w:t xml:space="preserve">who are </w:t>
            </w:r>
            <w:r w:rsidRPr="003B7EF1">
              <w:t>providing additional assistance related to Office 365 security and compliance governance planning.</w:t>
            </w:r>
          </w:p>
        </w:tc>
      </w:tr>
      <w:tr w:rsidR="00A2434B" w:rsidRPr="002B6812" w14:paraId="378AFBAF" w14:textId="77777777" w:rsidTr="2C59D827">
        <w:trPr>
          <w:trHeight w:val="422"/>
        </w:trPr>
        <w:tc>
          <w:tcPr>
            <w:tcW w:w="3068"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auto"/>
          </w:tcPr>
          <w:p w14:paraId="06E763BF" w14:textId="57D7DC05" w:rsidR="00A2434B" w:rsidRPr="002B6812" w:rsidRDefault="00A2434B" w:rsidP="00231F2B">
            <w:pPr>
              <w:jc w:val="both"/>
              <w:rPr>
                <w:rFonts w:eastAsia="Calibri"/>
              </w:rPr>
            </w:pPr>
            <w:r w:rsidRPr="002B6812">
              <w:rPr>
                <w:rFonts w:eastAsia="Calibri"/>
                <w:b/>
              </w:rPr>
              <w:lastRenderedPageBreak/>
              <w:t>Key assumptions</w:t>
            </w:r>
          </w:p>
        </w:tc>
        <w:tc>
          <w:tcPr>
            <w:tcW w:w="6294"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FFFFFF" w:themeFill="background1"/>
          </w:tcPr>
          <w:p w14:paraId="75EA45F7" w14:textId="66ACC8BA" w:rsidR="00A2434B" w:rsidRPr="002B6812" w:rsidRDefault="004744AF" w:rsidP="00231F2B">
            <w:pPr>
              <w:pStyle w:val="TableText"/>
              <w:jc w:val="both"/>
            </w:pPr>
            <w:r w:rsidRPr="002B6812">
              <w:t>Customer</w:t>
            </w:r>
            <w:r w:rsidR="00CD2420" w:rsidRPr="002B6812">
              <w:t xml:space="preserve"> stakeholders have working knowledge of Office 365 security and compliance capabilities and are able to provide requirements and </w:t>
            </w:r>
            <w:r w:rsidR="00787335">
              <w:t>make</w:t>
            </w:r>
            <w:r w:rsidR="00787335" w:rsidRPr="002B6812">
              <w:t xml:space="preserve"> </w:t>
            </w:r>
            <w:r w:rsidR="00CD2420" w:rsidRPr="002B6812">
              <w:t>decisions related to the production of the directives</w:t>
            </w:r>
            <w:r w:rsidR="00787335">
              <w:t xml:space="preserve"> and </w:t>
            </w:r>
            <w:r w:rsidR="00CD2420" w:rsidRPr="002B6812">
              <w:t>output.</w:t>
            </w:r>
          </w:p>
        </w:tc>
      </w:tr>
      <w:tr w:rsidR="00A2434B" w:rsidRPr="002B6812" w14:paraId="0E539BB8" w14:textId="77777777" w:rsidTr="2C59D827">
        <w:trPr>
          <w:trHeight w:val="422"/>
        </w:trPr>
        <w:tc>
          <w:tcPr>
            <w:tcW w:w="3068"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auto"/>
          </w:tcPr>
          <w:p w14:paraId="69E6323A" w14:textId="77777777" w:rsidR="00A2434B" w:rsidRPr="002B6812" w:rsidRDefault="00A2434B" w:rsidP="00231F2B">
            <w:pPr>
              <w:jc w:val="both"/>
              <w:rPr>
                <w:rFonts w:eastAsia="Calibri"/>
                <w:b/>
              </w:rPr>
            </w:pPr>
            <w:r w:rsidRPr="002B6812">
              <w:rPr>
                <w:rFonts w:eastAsia="Calibri"/>
                <w:b/>
              </w:rPr>
              <w:t>Project deliverables</w:t>
            </w:r>
            <w:r w:rsidRPr="002B6812">
              <w:rPr>
                <w:rFonts w:eastAsia="Calibri"/>
                <w:b/>
              </w:rPr>
              <w:br/>
            </w:r>
            <w:r w:rsidRPr="002B6812">
              <w:rPr>
                <w:rFonts w:eastAsia="Calibri"/>
              </w:rPr>
              <w:t>Content for this project component will be included in these project deliverables</w:t>
            </w:r>
          </w:p>
        </w:tc>
        <w:tc>
          <w:tcPr>
            <w:tcW w:w="6294"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FFFFFF" w:themeFill="background1"/>
          </w:tcPr>
          <w:p w14:paraId="159F2A18" w14:textId="77777777" w:rsidR="00A2434B" w:rsidRPr="002B6812" w:rsidRDefault="00A2434B" w:rsidP="00231F2B">
            <w:pPr>
              <w:pStyle w:val="TableBullet1"/>
              <w:jc w:val="both"/>
            </w:pPr>
            <w:r w:rsidRPr="002B6812">
              <w:t>Project plan</w:t>
            </w:r>
          </w:p>
          <w:p w14:paraId="70B09B3C" w14:textId="5BADCBB4" w:rsidR="00D32F29" w:rsidRDefault="00D32F29" w:rsidP="00231F2B">
            <w:pPr>
              <w:pStyle w:val="TableBullet1"/>
              <w:jc w:val="both"/>
            </w:pPr>
            <w:r w:rsidRPr="00AD444D">
              <w:rPr>
                <w:rFonts w:eastAsia="Calibri"/>
              </w:rPr>
              <w:t xml:space="preserve">Governance </w:t>
            </w:r>
            <w:r w:rsidRPr="009B05B6">
              <w:rPr>
                <w:rFonts w:eastAsia="Calibri"/>
              </w:rPr>
              <w:t>plan</w:t>
            </w:r>
            <w:r>
              <w:rPr>
                <w:rFonts w:eastAsia="Calibri"/>
              </w:rPr>
              <w:t xml:space="preserve"> </w:t>
            </w:r>
          </w:p>
          <w:p w14:paraId="3F21CA1D" w14:textId="598C2692" w:rsidR="005337FE" w:rsidRPr="002B6812" w:rsidRDefault="005337FE" w:rsidP="00231F2B">
            <w:pPr>
              <w:pStyle w:val="TableBullet1"/>
              <w:jc w:val="both"/>
            </w:pPr>
            <w:r w:rsidRPr="002B6812">
              <w:t xml:space="preserve">Delivery </w:t>
            </w:r>
            <w:r w:rsidR="00787335">
              <w:t>s</w:t>
            </w:r>
            <w:r w:rsidR="00787335" w:rsidRPr="002B6812">
              <w:t xml:space="preserve">ummary </w:t>
            </w:r>
          </w:p>
        </w:tc>
      </w:tr>
    </w:tbl>
    <w:p w14:paraId="66F157B6" w14:textId="3193F1AF" w:rsidR="0061258B" w:rsidRPr="002B6812" w:rsidRDefault="00F64CF4" w:rsidP="00231F2B">
      <w:pPr>
        <w:pStyle w:val="Heading4"/>
        <w:jc w:val="both"/>
        <w:rPr>
          <w:rFonts w:eastAsia="Calibri"/>
        </w:rPr>
      </w:pPr>
      <w:bookmarkStart w:id="73" w:name="_Toc515009694"/>
      <w:bookmarkStart w:id="74" w:name="_Timeline"/>
      <w:bookmarkStart w:id="75" w:name="_Toc476167708"/>
      <w:bookmarkStart w:id="76" w:name="_Toc476168041"/>
      <w:bookmarkStart w:id="77" w:name="_Ref514404753"/>
      <w:bookmarkStart w:id="78" w:name="_Toc514413044"/>
      <w:bookmarkStart w:id="79" w:name="_Toc517762000"/>
      <w:bookmarkEnd w:id="73"/>
      <w:bookmarkEnd w:id="74"/>
      <w:r w:rsidRPr="002B6812">
        <w:t>Office 365 Applications Governance (OAG-01)</w:t>
      </w:r>
    </w:p>
    <w:tbl>
      <w:tblPr>
        <w:tblStyle w:val="TableGrid1"/>
        <w:tblW w:w="9362" w:type="dxa"/>
        <w:tblInd w:w="-5" w:type="dxa"/>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Look w:val="04A0" w:firstRow="1" w:lastRow="0" w:firstColumn="1" w:lastColumn="0" w:noHBand="0" w:noVBand="1"/>
      </w:tblPr>
      <w:tblGrid>
        <w:gridCol w:w="3068"/>
        <w:gridCol w:w="6294"/>
      </w:tblGrid>
      <w:tr w:rsidR="00AE6C05" w:rsidRPr="002B6812" w14:paraId="29CDF85A" w14:textId="77777777" w:rsidTr="2C59D827">
        <w:trPr>
          <w:trHeight w:val="542"/>
          <w:tblHeader/>
        </w:trPr>
        <w:tc>
          <w:tcPr>
            <w:tcW w:w="3068"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008272"/>
          </w:tcPr>
          <w:p w14:paraId="4E5C294A" w14:textId="77777777" w:rsidR="00AE6C05" w:rsidRPr="002B6812" w:rsidRDefault="00AE6C05" w:rsidP="00231F2B">
            <w:pPr>
              <w:jc w:val="both"/>
              <w:rPr>
                <w:rFonts w:eastAsia="Calibri"/>
                <w:b/>
                <w:color w:val="FFFFFF"/>
              </w:rPr>
            </w:pPr>
            <w:r w:rsidRPr="002B6812">
              <w:rPr>
                <w:rFonts w:eastAsia="Calibri"/>
                <w:b/>
                <w:color w:val="FFFFFF" w:themeColor="background1"/>
              </w:rPr>
              <w:t>Category</w:t>
            </w:r>
          </w:p>
        </w:tc>
        <w:tc>
          <w:tcPr>
            <w:tcW w:w="6294"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008272"/>
          </w:tcPr>
          <w:p w14:paraId="40A8E109" w14:textId="77777777" w:rsidR="00AE6C05" w:rsidRPr="002B6812" w:rsidRDefault="00AE6C05" w:rsidP="00231F2B">
            <w:pPr>
              <w:jc w:val="both"/>
              <w:rPr>
                <w:rFonts w:eastAsia="Calibri"/>
                <w:b/>
                <w:color w:val="FFFFFF"/>
              </w:rPr>
            </w:pPr>
            <w:r w:rsidRPr="002B6812">
              <w:rPr>
                <w:rFonts w:eastAsia="Calibri"/>
                <w:b/>
                <w:color w:val="FFFFFF" w:themeColor="background1"/>
              </w:rPr>
              <w:t>Description</w:t>
            </w:r>
          </w:p>
        </w:tc>
      </w:tr>
      <w:tr w:rsidR="00AE6C05" w:rsidRPr="002B6812" w14:paraId="5456733D" w14:textId="77777777" w:rsidTr="2C59D827">
        <w:trPr>
          <w:trHeight w:val="422"/>
        </w:trPr>
        <w:tc>
          <w:tcPr>
            <w:tcW w:w="3068"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auto"/>
          </w:tcPr>
          <w:p w14:paraId="5DBD659E" w14:textId="77777777" w:rsidR="00AE6C05" w:rsidRPr="002B6812" w:rsidRDefault="00AE6C05" w:rsidP="00231F2B">
            <w:pPr>
              <w:jc w:val="both"/>
              <w:rPr>
                <w:rFonts w:eastAsia="Calibri"/>
              </w:rPr>
            </w:pPr>
            <w:r w:rsidRPr="002B6812">
              <w:rPr>
                <w:rFonts w:eastAsia="Calibri"/>
                <w:b/>
              </w:rPr>
              <w:t>Microsoft activities</w:t>
            </w:r>
            <w:r w:rsidRPr="002B6812">
              <w:rPr>
                <w:rFonts w:eastAsia="Calibri"/>
                <w:b/>
              </w:rPr>
              <w:br/>
            </w:r>
            <w:r w:rsidRPr="002B6812">
              <w:rPr>
                <w:rFonts w:eastAsia="Calibri"/>
              </w:rPr>
              <w:t>The activities to be performed by Microsoft</w:t>
            </w:r>
          </w:p>
        </w:tc>
        <w:tc>
          <w:tcPr>
            <w:tcW w:w="6294"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FFFFFF" w:themeFill="background1"/>
          </w:tcPr>
          <w:p w14:paraId="45F03ED5" w14:textId="77777777" w:rsidR="00AE6C05" w:rsidRPr="002B6812" w:rsidRDefault="00AE6C05" w:rsidP="00231F2B">
            <w:pPr>
              <w:pStyle w:val="TableText"/>
              <w:jc w:val="both"/>
              <w:rPr>
                <w:b/>
              </w:rPr>
            </w:pPr>
            <w:r w:rsidRPr="002B6812">
              <w:rPr>
                <w:b/>
              </w:rPr>
              <w:t xml:space="preserve">Assess </w:t>
            </w:r>
            <w:r w:rsidRPr="002B6812">
              <w:rPr>
                <w:b/>
                <w:bCs/>
              </w:rPr>
              <w:t>phase</w:t>
            </w:r>
          </w:p>
          <w:p w14:paraId="6E11D73F" w14:textId="77777777" w:rsidR="009C15B9" w:rsidRPr="002B6812" w:rsidRDefault="009C15B9" w:rsidP="00231F2B">
            <w:pPr>
              <w:pStyle w:val="TableBullet1"/>
              <w:contextualSpacing w:val="0"/>
              <w:jc w:val="both"/>
              <w:rPr>
                <w:b/>
              </w:rPr>
            </w:pPr>
            <w:r w:rsidRPr="002B6812">
              <w:t>After a kickoff meeting, provide a series of assessment and planning workshops, focusing on the following:</w:t>
            </w:r>
          </w:p>
          <w:p w14:paraId="3D7B76A9" w14:textId="77777777" w:rsidR="009C15B9" w:rsidRPr="002B6812" w:rsidRDefault="009C15B9" w:rsidP="00231F2B">
            <w:pPr>
              <w:pStyle w:val="Bulletlist"/>
              <w:numPr>
                <w:ilvl w:val="1"/>
                <w:numId w:val="27"/>
              </w:numPr>
              <w:ind w:left="787"/>
              <w:jc w:val="both"/>
            </w:pPr>
            <w:r w:rsidRPr="002B6812">
              <w:t>Office 365 (core) applications overviews, current state assessment, and requirements</w:t>
            </w:r>
          </w:p>
          <w:p w14:paraId="44840517" w14:textId="77777777" w:rsidR="009C15B9" w:rsidRPr="002B6812" w:rsidRDefault="009C15B9" w:rsidP="00231F2B">
            <w:pPr>
              <w:pStyle w:val="Bulletlist"/>
              <w:numPr>
                <w:ilvl w:val="1"/>
                <w:numId w:val="27"/>
              </w:numPr>
              <w:ind w:left="787"/>
              <w:jc w:val="both"/>
            </w:pPr>
            <w:r w:rsidRPr="002B6812">
              <w:t>Office 365 Groups</w:t>
            </w:r>
          </w:p>
          <w:p w14:paraId="17C41914" w14:textId="5EA967D9" w:rsidR="009C15B9" w:rsidRPr="002B6812" w:rsidRDefault="009C15B9" w:rsidP="00231F2B">
            <w:pPr>
              <w:pStyle w:val="Bulletlist"/>
              <w:numPr>
                <w:ilvl w:val="1"/>
                <w:numId w:val="27"/>
              </w:numPr>
              <w:ind w:left="787"/>
              <w:jc w:val="both"/>
            </w:pPr>
            <w:r w:rsidRPr="002B6812">
              <w:t xml:space="preserve">Exchange </w:t>
            </w:r>
            <w:r w:rsidR="00206D5C" w:rsidRPr="002B6812">
              <w:t>O</w:t>
            </w:r>
            <w:r w:rsidRPr="002B6812">
              <w:t>nline</w:t>
            </w:r>
          </w:p>
          <w:p w14:paraId="5902BFF3" w14:textId="1322B712" w:rsidR="009C15B9" w:rsidRPr="002B6812" w:rsidRDefault="009C15B9" w:rsidP="00231F2B">
            <w:pPr>
              <w:pStyle w:val="Bulletlist"/>
              <w:numPr>
                <w:ilvl w:val="1"/>
                <w:numId w:val="27"/>
              </w:numPr>
              <w:ind w:left="787"/>
              <w:jc w:val="both"/>
            </w:pPr>
            <w:r w:rsidRPr="002B6812">
              <w:t xml:space="preserve">SharePoint </w:t>
            </w:r>
            <w:r w:rsidR="00206D5C" w:rsidRPr="002B6812">
              <w:t>O</w:t>
            </w:r>
            <w:r w:rsidRPr="002B6812">
              <w:t>nlin</w:t>
            </w:r>
            <w:r w:rsidR="00206D5C" w:rsidRPr="002B6812">
              <w:t>e</w:t>
            </w:r>
          </w:p>
          <w:p w14:paraId="598AA325" w14:textId="77777777" w:rsidR="009C15B9" w:rsidRPr="002B6812" w:rsidRDefault="009C15B9" w:rsidP="00231F2B">
            <w:pPr>
              <w:pStyle w:val="Bulletlist"/>
              <w:numPr>
                <w:ilvl w:val="1"/>
                <w:numId w:val="27"/>
              </w:numPr>
              <w:ind w:left="787"/>
              <w:jc w:val="both"/>
            </w:pPr>
            <w:r w:rsidRPr="002B6812">
              <w:t>OneDrive for Business</w:t>
            </w:r>
          </w:p>
          <w:p w14:paraId="36A1A26D" w14:textId="77777777" w:rsidR="009C15B9" w:rsidRPr="002B6812" w:rsidRDefault="009C15B9" w:rsidP="00231F2B">
            <w:pPr>
              <w:pStyle w:val="Bulletlist"/>
              <w:numPr>
                <w:ilvl w:val="1"/>
                <w:numId w:val="27"/>
              </w:numPr>
              <w:ind w:left="787"/>
              <w:jc w:val="both"/>
            </w:pPr>
            <w:r w:rsidRPr="002B6812">
              <w:t>Microsoft Teams</w:t>
            </w:r>
          </w:p>
          <w:p w14:paraId="314BB94E" w14:textId="60A25700" w:rsidR="003B7EF1" w:rsidRPr="00ED25DF" w:rsidRDefault="00F64CF4" w:rsidP="00231F2B">
            <w:pPr>
              <w:pStyle w:val="TableBullet1"/>
              <w:jc w:val="both"/>
              <w:rPr>
                <w:rFonts w:eastAsia="Calibri"/>
              </w:rPr>
            </w:pPr>
            <w:r w:rsidRPr="002B6812">
              <w:t>D</w:t>
            </w:r>
            <w:r w:rsidR="00170725" w:rsidRPr="002B6812">
              <w:t>evelop d</w:t>
            </w:r>
            <w:r w:rsidRPr="002B6812">
              <w:t>irectives, documentation</w:t>
            </w:r>
            <w:r w:rsidR="00170725" w:rsidRPr="002B6812">
              <w:t>,</w:t>
            </w:r>
            <w:r w:rsidRPr="002B6812">
              <w:t xml:space="preserve"> and </w:t>
            </w:r>
            <w:r w:rsidR="00787335">
              <w:t xml:space="preserve">the </w:t>
            </w:r>
            <w:r w:rsidRPr="002B6812">
              <w:t>report</w:t>
            </w:r>
            <w:r w:rsidR="00E8414F">
              <w:t xml:space="preserve"> </w:t>
            </w:r>
            <w:r w:rsidRPr="002B6812">
              <w:t>out.</w:t>
            </w:r>
          </w:p>
          <w:p w14:paraId="3368BE3A" w14:textId="3FECE355" w:rsidR="005C5789" w:rsidRPr="003B7EF1" w:rsidRDefault="00275F1F" w:rsidP="00231F2B">
            <w:pPr>
              <w:pStyle w:val="Bulletlist"/>
              <w:jc w:val="both"/>
              <w:rPr>
                <w:color w:val="00B0F0"/>
              </w:rPr>
            </w:pPr>
            <w:bookmarkStart w:id="80" w:name="_Hlk5202762"/>
            <w:r w:rsidRPr="003B7EF1">
              <w:t>Provide t</w:t>
            </w:r>
            <w:r w:rsidR="00F64CF4" w:rsidRPr="003B7EF1">
              <w:t>ime-boxed assistance with additional Office 365 applications governance planning activities.</w:t>
            </w:r>
            <w:bookmarkEnd w:id="80"/>
          </w:p>
        </w:tc>
      </w:tr>
      <w:tr w:rsidR="00AE6C05" w:rsidRPr="002B6812" w14:paraId="778C5C7F" w14:textId="77777777" w:rsidTr="2C59D827">
        <w:trPr>
          <w:trHeight w:val="422"/>
        </w:trPr>
        <w:tc>
          <w:tcPr>
            <w:tcW w:w="3068"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auto"/>
          </w:tcPr>
          <w:p w14:paraId="138FBF88" w14:textId="2ECD9AEE" w:rsidR="00AE6C05" w:rsidRPr="002B6812" w:rsidRDefault="004744AF" w:rsidP="00231F2B">
            <w:pPr>
              <w:jc w:val="both"/>
              <w:rPr>
                <w:rFonts w:eastAsia="Calibri"/>
              </w:rPr>
            </w:pPr>
            <w:r w:rsidRPr="002B6812">
              <w:rPr>
                <w:rFonts w:eastAsia="Calibri"/>
                <w:b/>
              </w:rPr>
              <w:t>Customer</w:t>
            </w:r>
            <w:r w:rsidR="00AE6C05" w:rsidRPr="002B6812">
              <w:rPr>
                <w:rFonts w:eastAsia="Calibri"/>
                <w:b/>
              </w:rPr>
              <w:t xml:space="preserve"> activities</w:t>
            </w:r>
            <w:r w:rsidR="00AE6C05" w:rsidRPr="002B6812">
              <w:rPr>
                <w:rFonts w:eastAsia="Calibri"/>
                <w:b/>
              </w:rPr>
              <w:br/>
            </w:r>
            <w:r w:rsidR="00AE6C05" w:rsidRPr="002B6812">
              <w:rPr>
                <w:rFonts w:eastAsia="Calibri"/>
              </w:rPr>
              <w:t xml:space="preserve">The activities to be performed by the </w:t>
            </w:r>
            <w:r w:rsidRPr="002B6812">
              <w:rPr>
                <w:rFonts w:eastAsia="Calibri"/>
              </w:rPr>
              <w:t>Customer</w:t>
            </w:r>
          </w:p>
        </w:tc>
        <w:tc>
          <w:tcPr>
            <w:tcW w:w="6294"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FFFFFF" w:themeFill="background1"/>
          </w:tcPr>
          <w:p w14:paraId="0CB38C1E" w14:textId="77777777" w:rsidR="00AE6C05" w:rsidRPr="002B6812" w:rsidRDefault="00AE6C05" w:rsidP="00231F2B">
            <w:pPr>
              <w:pStyle w:val="TableText"/>
              <w:jc w:val="both"/>
              <w:rPr>
                <w:b/>
              </w:rPr>
            </w:pPr>
            <w:r w:rsidRPr="002B6812">
              <w:rPr>
                <w:b/>
              </w:rPr>
              <w:t xml:space="preserve">Assess </w:t>
            </w:r>
            <w:r w:rsidRPr="002B6812">
              <w:rPr>
                <w:b/>
                <w:bCs/>
              </w:rPr>
              <w:t>phase</w:t>
            </w:r>
          </w:p>
          <w:p w14:paraId="066CE4FB" w14:textId="6A72157D" w:rsidR="00F64CF4" w:rsidRPr="002B6812" w:rsidRDefault="00F64CF4" w:rsidP="00231F2B">
            <w:pPr>
              <w:pStyle w:val="TableBullet1"/>
              <w:jc w:val="both"/>
            </w:pPr>
            <w:r w:rsidRPr="002B6812">
              <w:t>Participat</w:t>
            </w:r>
            <w:r w:rsidR="00275F1F" w:rsidRPr="002B6812">
              <w:t>e</w:t>
            </w:r>
            <w:r w:rsidRPr="002B6812">
              <w:t xml:space="preserve"> in logistics planning</w:t>
            </w:r>
            <w:r w:rsidR="00275F1F" w:rsidRPr="002B6812">
              <w:t>.</w:t>
            </w:r>
          </w:p>
          <w:p w14:paraId="1A9922A4" w14:textId="6708E5AB" w:rsidR="00F64CF4" w:rsidRPr="002B6812" w:rsidRDefault="00275F1F" w:rsidP="00231F2B">
            <w:pPr>
              <w:pStyle w:val="TableBullet1"/>
              <w:jc w:val="both"/>
            </w:pPr>
            <w:r w:rsidRPr="002B6812">
              <w:t>Participate in the w</w:t>
            </w:r>
            <w:r w:rsidR="00F64CF4" w:rsidRPr="002B6812">
              <w:t>orkshop</w:t>
            </w:r>
            <w:r w:rsidRPr="002B6812">
              <w:t>s.</w:t>
            </w:r>
          </w:p>
          <w:p w14:paraId="7FD29C8E" w14:textId="75180B49" w:rsidR="00F64CF4" w:rsidRPr="002B6812" w:rsidRDefault="00F64CF4" w:rsidP="00231F2B">
            <w:pPr>
              <w:pStyle w:val="TableBullet1"/>
              <w:jc w:val="both"/>
            </w:pPr>
            <w:r w:rsidRPr="002B6812">
              <w:t>Communicat</w:t>
            </w:r>
            <w:r w:rsidR="00275F1F" w:rsidRPr="002B6812">
              <w:t>e</w:t>
            </w:r>
            <w:r w:rsidRPr="002B6812">
              <w:t xml:space="preserve"> business and technical requirements</w:t>
            </w:r>
            <w:r w:rsidR="00275F1F" w:rsidRPr="002B6812">
              <w:t>.</w:t>
            </w:r>
          </w:p>
          <w:p w14:paraId="4DCCEF84" w14:textId="750153B4" w:rsidR="00F64CF4" w:rsidRPr="002B6812" w:rsidRDefault="00F64CF4" w:rsidP="00231F2B">
            <w:pPr>
              <w:pStyle w:val="TableBullet1"/>
              <w:jc w:val="both"/>
            </w:pPr>
            <w:r w:rsidRPr="002B6812">
              <w:t>Participat</w:t>
            </w:r>
            <w:r w:rsidR="00275F1F" w:rsidRPr="002B6812">
              <w:t>e</w:t>
            </w:r>
            <w:r w:rsidRPr="002B6812">
              <w:t xml:space="preserve"> in decision making related to the production of directives</w:t>
            </w:r>
            <w:r w:rsidR="00275F1F" w:rsidRPr="002B6812">
              <w:t>.</w:t>
            </w:r>
          </w:p>
          <w:p w14:paraId="4A0D8593" w14:textId="40B27873" w:rsidR="00F64CF4" w:rsidRPr="003B7EF1" w:rsidRDefault="00F64CF4" w:rsidP="00231F2B">
            <w:pPr>
              <w:pStyle w:val="TableBullet1"/>
              <w:jc w:val="both"/>
            </w:pPr>
            <w:r w:rsidRPr="002B6812">
              <w:t>Codevelop directives</w:t>
            </w:r>
            <w:r w:rsidR="004151A8" w:rsidRPr="002B6812">
              <w:t>.</w:t>
            </w:r>
          </w:p>
          <w:p w14:paraId="5534F0BD" w14:textId="6F27E2E8" w:rsidR="00AE6C05" w:rsidRPr="003B7EF1" w:rsidRDefault="00F64CF4" w:rsidP="00231F2B">
            <w:pPr>
              <w:pStyle w:val="TableBullet1"/>
              <w:jc w:val="both"/>
              <w:rPr>
                <w:rFonts w:ascii="Segoe UI Semilight" w:eastAsiaTheme="minorEastAsia" w:hAnsi="Segoe UI Semilight" w:cs="Segoe UI Semilight"/>
                <w:szCs w:val="18"/>
              </w:rPr>
            </w:pPr>
            <w:r w:rsidRPr="003B7EF1">
              <w:t>Participat</w:t>
            </w:r>
            <w:r w:rsidR="004151A8" w:rsidRPr="003B7EF1">
              <w:t>e in the</w:t>
            </w:r>
            <w:r w:rsidRPr="003B7EF1">
              <w:t xml:space="preserve"> report-out</w:t>
            </w:r>
            <w:r w:rsidR="00706E11" w:rsidRPr="003B7EF1">
              <w:t xml:space="preserve"> meeting</w:t>
            </w:r>
            <w:r w:rsidR="004151A8" w:rsidRPr="003B7EF1">
              <w:t>.</w:t>
            </w:r>
          </w:p>
          <w:p w14:paraId="35C23C34" w14:textId="210A3654" w:rsidR="00F64CF4" w:rsidRPr="003B7EF1" w:rsidRDefault="00F64CF4" w:rsidP="00231F2B">
            <w:pPr>
              <w:pStyle w:val="Bulletlist"/>
              <w:jc w:val="both"/>
              <w:rPr>
                <w:color w:val="00B0F0"/>
              </w:rPr>
            </w:pPr>
            <w:r w:rsidRPr="003B7EF1">
              <w:t xml:space="preserve">Work with Microsoft resources providing additional assistance related to Office 365 </w:t>
            </w:r>
            <w:r w:rsidR="00C30B8A" w:rsidRPr="003B7EF1">
              <w:t>applications</w:t>
            </w:r>
            <w:r w:rsidRPr="003B7EF1">
              <w:t xml:space="preserve"> governance planning.</w:t>
            </w:r>
          </w:p>
        </w:tc>
      </w:tr>
      <w:tr w:rsidR="00AE6C05" w:rsidRPr="002B6812" w14:paraId="17A1F082" w14:textId="77777777" w:rsidTr="2C59D827">
        <w:trPr>
          <w:trHeight w:val="422"/>
        </w:trPr>
        <w:tc>
          <w:tcPr>
            <w:tcW w:w="3068"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auto"/>
          </w:tcPr>
          <w:p w14:paraId="5EC56A86" w14:textId="77777777" w:rsidR="00AE6C05" w:rsidRPr="002B6812" w:rsidRDefault="00AE6C05" w:rsidP="00231F2B">
            <w:pPr>
              <w:jc w:val="both"/>
              <w:rPr>
                <w:rFonts w:eastAsia="Calibri"/>
              </w:rPr>
            </w:pPr>
            <w:r w:rsidRPr="002B6812">
              <w:rPr>
                <w:rFonts w:eastAsia="Calibri"/>
                <w:b/>
              </w:rPr>
              <w:lastRenderedPageBreak/>
              <w:t>Key assumptions</w:t>
            </w:r>
          </w:p>
        </w:tc>
        <w:tc>
          <w:tcPr>
            <w:tcW w:w="6294"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FFFFFF" w:themeFill="background1"/>
          </w:tcPr>
          <w:p w14:paraId="56947038" w14:textId="4498883F" w:rsidR="00AE6C05" w:rsidRPr="002B6812" w:rsidRDefault="004744AF" w:rsidP="00231F2B">
            <w:pPr>
              <w:pStyle w:val="TableText"/>
              <w:jc w:val="both"/>
            </w:pPr>
            <w:r w:rsidRPr="002B6812">
              <w:t>Customer</w:t>
            </w:r>
            <w:r w:rsidR="00F64CF4" w:rsidRPr="002B6812">
              <w:t xml:space="preserve"> stakeholders have working knowledge of Office 365 application governance capabilities and are able to provide requirements and </w:t>
            </w:r>
            <w:r w:rsidR="00F2467C">
              <w:t>make</w:t>
            </w:r>
            <w:r w:rsidR="00F2467C" w:rsidRPr="002B6812">
              <w:t xml:space="preserve"> </w:t>
            </w:r>
            <w:r w:rsidR="00F64CF4" w:rsidRPr="002B6812">
              <w:t>decisions related to the production of the directives</w:t>
            </w:r>
            <w:r w:rsidR="00575F57">
              <w:t xml:space="preserve"> and </w:t>
            </w:r>
            <w:r w:rsidR="00F64CF4" w:rsidRPr="002B6812">
              <w:t>output.</w:t>
            </w:r>
          </w:p>
        </w:tc>
      </w:tr>
      <w:tr w:rsidR="00AE6C05" w:rsidRPr="002B6812" w14:paraId="396650CE" w14:textId="77777777" w:rsidTr="2C59D827">
        <w:trPr>
          <w:trHeight w:val="422"/>
        </w:trPr>
        <w:tc>
          <w:tcPr>
            <w:tcW w:w="3068"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auto"/>
          </w:tcPr>
          <w:p w14:paraId="3A946EBD" w14:textId="77777777" w:rsidR="00AE6C05" w:rsidRPr="002B6812" w:rsidRDefault="00AE6C05" w:rsidP="00231F2B">
            <w:pPr>
              <w:jc w:val="both"/>
              <w:rPr>
                <w:rFonts w:eastAsia="Calibri"/>
                <w:b/>
              </w:rPr>
            </w:pPr>
            <w:r w:rsidRPr="002B6812">
              <w:rPr>
                <w:rFonts w:eastAsia="Calibri"/>
                <w:b/>
              </w:rPr>
              <w:t>Project deliverables</w:t>
            </w:r>
            <w:r w:rsidRPr="002B6812">
              <w:rPr>
                <w:rFonts w:eastAsia="Calibri"/>
                <w:b/>
              </w:rPr>
              <w:br/>
            </w:r>
            <w:r w:rsidRPr="002B6812">
              <w:rPr>
                <w:rFonts w:eastAsia="Calibri"/>
              </w:rPr>
              <w:t>Content for this project component will be included in these project deliverables</w:t>
            </w:r>
          </w:p>
        </w:tc>
        <w:tc>
          <w:tcPr>
            <w:tcW w:w="6294"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FFFFFF" w:themeFill="background1"/>
          </w:tcPr>
          <w:p w14:paraId="4FB86C33" w14:textId="77777777" w:rsidR="00FA71E6" w:rsidRPr="002B6812" w:rsidRDefault="00FA71E6" w:rsidP="00231F2B">
            <w:pPr>
              <w:pStyle w:val="TableBullet1"/>
              <w:jc w:val="both"/>
            </w:pPr>
            <w:r w:rsidRPr="002B6812">
              <w:t>Project plan</w:t>
            </w:r>
          </w:p>
          <w:p w14:paraId="7561F61D" w14:textId="672B167E" w:rsidR="00D32F29" w:rsidRDefault="00D32F29" w:rsidP="00231F2B">
            <w:pPr>
              <w:pStyle w:val="TableBullet1"/>
              <w:jc w:val="both"/>
            </w:pPr>
            <w:r w:rsidRPr="00AD444D">
              <w:rPr>
                <w:rFonts w:eastAsia="Calibri"/>
              </w:rPr>
              <w:t xml:space="preserve">Governance </w:t>
            </w:r>
            <w:r w:rsidRPr="009B05B6">
              <w:rPr>
                <w:rFonts w:eastAsia="Calibri"/>
              </w:rPr>
              <w:t>plan</w:t>
            </w:r>
            <w:r>
              <w:rPr>
                <w:rFonts w:eastAsia="Calibri"/>
              </w:rPr>
              <w:t xml:space="preserve"> </w:t>
            </w:r>
          </w:p>
          <w:p w14:paraId="6B691562" w14:textId="38782CF8" w:rsidR="00AE6C05" w:rsidRPr="002B6812" w:rsidRDefault="00FA71E6" w:rsidP="00231F2B">
            <w:pPr>
              <w:pStyle w:val="TableBullet1"/>
              <w:jc w:val="both"/>
            </w:pPr>
            <w:r w:rsidRPr="002B6812">
              <w:t xml:space="preserve">Delivery </w:t>
            </w:r>
            <w:r w:rsidR="00575F57">
              <w:t>s</w:t>
            </w:r>
            <w:r w:rsidR="00575F57" w:rsidRPr="002B6812">
              <w:t>ummary</w:t>
            </w:r>
          </w:p>
        </w:tc>
      </w:tr>
    </w:tbl>
    <w:p w14:paraId="3C5B9DBD" w14:textId="77EF094E" w:rsidR="00933BC1" w:rsidRPr="002B6812" w:rsidRDefault="00933BC1" w:rsidP="00231F2B">
      <w:pPr>
        <w:pStyle w:val="Heading4"/>
        <w:jc w:val="both"/>
      </w:pPr>
      <w:bookmarkStart w:id="81" w:name="_Timeline_1"/>
      <w:bookmarkEnd w:id="81"/>
      <w:r w:rsidRPr="002B6812">
        <w:t>Office 365 Operations Governance (OOG-01)</w:t>
      </w:r>
    </w:p>
    <w:tbl>
      <w:tblPr>
        <w:tblStyle w:val="TableGrid1"/>
        <w:tblW w:w="9362" w:type="dxa"/>
        <w:tblInd w:w="-5" w:type="dxa"/>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Look w:val="04A0" w:firstRow="1" w:lastRow="0" w:firstColumn="1" w:lastColumn="0" w:noHBand="0" w:noVBand="1"/>
      </w:tblPr>
      <w:tblGrid>
        <w:gridCol w:w="3068"/>
        <w:gridCol w:w="6294"/>
      </w:tblGrid>
      <w:tr w:rsidR="00933BC1" w:rsidRPr="002B6812" w14:paraId="26941BD5" w14:textId="77777777" w:rsidTr="00530B69">
        <w:trPr>
          <w:trHeight w:val="542"/>
          <w:tblHeader/>
        </w:trPr>
        <w:tc>
          <w:tcPr>
            <w:tcW w:w="3068"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008272"/>
          </w:tcPr>
          <w:p w14:paraId="39E13867" w14:textId="77777777" w:rsidR="00933BC1" w:rsidRPr="002B6812" w:rsidRDefault="00933BC1" w:rsidP="00231F2B">
            <w:pPr>
              <w:jc w:val="both"/>
              <w:rPr>
                <w:rFonts w:eastAsia="Calibri"/>
                <w:b/>
                <w:color w:val="FFFFFF"/>
              </w:rPr>
            </w:pPr>
            <w:r w:rsidRPr="002B6812">
              <w:rPr>
                <w:rFonts w:eastAsia="Calibri"/>
                <w:b/>
                <w:color w:val="FFFFFF" w:themeColor="background1"/>
              </w:rPr>
              <w:t>Category</w:t>
            </w:r>
          </w:p>
        </w:tc>
        <w:tc>
          <w:tcPr>
            <w:tcW w:w="6294"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008272"/>
          </w:tcPr>
          <w:p w14:paraId="103D9BF1" w14:textId="77777777" w:rsidR="00933BC1" w:rsidRPr="002B6812" w:rsidRDefault="00933BC1" w:rsidP="00231F2B">
            <w:pPr>
              <w:jc w:val="both"/>
              <w:rPr>
                <w:rFonts w:eastAsia="Calibri"/>
                <w:b/>
                <w:color w:val="FFFFFF"/>
              </w:rPr>
            </w:pPr>
            <w:r w:rsidRPr="002B6812">
              <w:rPr>
                <w:rFonts w:eastAsia="Calibri"/>
                <w:b/>
                <w:color w:val="FFFFFF" w:themeColor="background1"/>
              </w:rPr>
              <w:t>Description</w:t>
            </w:r>
          </w:p>
        </w:tc>
      </w:tr>
      <w:tr w:rsidR="00933BC1" w:rsidRPr="002B6812" w14:paraId="787CCBFB" w14:textId="77777777" w:rsidTr="00530B69">
        <w:trPr>
          <w:trHeight w:val="422"/>
        </w:trPr>
        <w:tc>
          <w:tcPr>
            <w:tcW w:w="3068"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auto"/>
          </w:tcPr>
          <w:p w14:paraId="1AFC8576" w14:textId="77777777" w:rsidR="00933BC1" w:rsidRPr="002B6812" w:rsidRDefault="00933BC1" w:rsidP="00231F2B">
            <w:pPr>
              <w:jc w:val="both"/>
              <w:rPr>
                <w:rFonts w:eastAsia="Calibri"/>
              </w:rPr>
            </w:pPr>
            <w:r w:rsidRPr="002B6812">
              <w:rPr>
                <w:rFonts w:eastAsia="Calibri"/>
                <w:b/>
              </w:rPr>
              <w:t>Microsoft activities</w:t>
            </w:r>
            <w:r w:rsidRPr="002B6812">
              <w:rPr>
                <w:rFonts w:eastAsia="Calibri"/>
                <w:b/>
              </w:rPr>
              <w:br/>
            </w:r>
            <w:r w:rsidRPr="002B6812">
              <w:rPr>
                <w:rFonts w:eastAsia="Calibri"/>
              </w:rPr>
              <w:t>The activities to be performed by Microsoft</w:t>
            </w:r>
          </w:p>
        </w:tc>
        <w:tc>
          <w:tcPr>
            <w:tcW w:w="6294"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FFFFFF" w:themeFill="background1"/>
          </w:tcPr>
          <w:p w14:paraId="6498B37E" w14:textId="77777777" w:rsidR="00933BC1" w:rsidRPr="002B6812" w:rsidRDefault="00933BC1" w:rsidP="00231F2B">
            <w:pPr>
              <w:pStyle w:val="TableText"/>
              <w:jc w:val="both"/>
              <w:rPr>
                <w:b/>
              </w:rPr>
            </w:pPr>
            <w:r w:rsidRPr="002B6812">
              <w:rPr>
                <w:b/>
              </w:rPr>
              <w:t>Assess phase</w:t>
            </w:r>
          </w:p>
          <w:p w14:paraId="154CD420" w14:textId="77777777" w:rsidR="00A73213" w:rsidRPr="002B6812" w:rsidRDefault="00A73213" w:rsidP="00231F2B">
            <w:pPr>
              <w:pStyle w:val="Bulletlist"/>
              <w:contextualSpacing w:val="0"/>
              <w:jc w:val="both"/>
              <w:rPr>
                <w:b/>
              </w:rPr>
            </w:pPr>
            <w:r w:rsidRPr="002B6812">
              <w:t>After a kickoff meeting, provide a series of assessment and planning workshops, focusing on the following:</w:t>
            </w:r>
          </w:p>
          <w:p w14:paraId="3F729529" w14:textId="20816B97" w:rsidR="00A73213" w:rsidRPr="002B6812" w:rsidRDefault="00A73213" w:rsidP="00231F2B">
            <w:pPr>
              <w:pStyle w:val="Bulletlist"/>
              <w:numPr>
                <w:ilvl w:val="1"/>
                <w:numId w:val="27"/>
              </w:numPr>
              <w:ind w:left="787"/>
              <w:jc w:val="both"/>
            </w:pPr>
            <w:r w:rsidRPr="002B6812">
              <w:t>Office 365 operations governance overview, current state assessment</w:t>
            </w:r>
            <w:r w:rsidR="00575F57">
              <w:t>,</w:t>
            </w:r>
            <w:r w:rsidRPr="002B6812">
              <w:t xml:space="preserve"> and requirements</w:t>
            </w:r>
          </w:p>
          <w:p w14:paraId="29D10EF4" w14:textId="77777777" w:rsidR="00A73213" w:rsidRPr="002B6812" w:rsidRDefault="00A73213" w:rsidP="00231F2B">
            <w:pPr>
              <w:pStyle w:val="Bulletlist"/>
              <w:numPr>
                <w:ilvl w:val="1"/>
                <w:numId w:val="27"/>
              </w:numPr>
              <w:ind w:left="787"/>
              <w:jc w:val="both"/>
            </w:pPr>
            <w:r w:rsidRPr="002B6812">
              <w:t>Office 365 service management and support</w:t>
            </w:r>
          </w:p>
          <w:p w14:paraId="54375DF0" w14:textId="77777777" w:rsidR="00A73213" w:rsidRPr="002B6812" w:rsidRDefault="00A73213" w:rsidP="00231F2B">
            <w:pPr>
              <w:pStyle w:val="Bulletlist"/>
              <w:numPr>
                <w:ilvl w:val="1"/>
                <w:numId w:val="27"/>
              </w:numPr>
              <w:ind w:left="787"/>
              <w:jc w:val="both"/>
            </w:pPr>
            <w:r w:rsidRPr="002B6812">
              <w:t>Office 365 training and adoption</w:t>
            </w:r>
          </w:p>
          <w:p w14:paraId="6B1B9BF9" w14:textId="77777777" w:rsidR="00A73213" w:rsidRPr="002B6812" w:rsidRDefault="00A73213" w:rsidP="00231F2B">
            <w:pPr>
              <w:pStyle w:val="Bulletlist"/>
              <w:numPr>
                <w:ilvl w:val="1"/>
                <w:numId w:val="27"/>
              </w:numPr>
              <w:ind w:left="787"/>
              <w:jc w:val="both"/>
            </w:pPr>
            <w:r w:rsidRPr="002B6812">
              <w:t>Office 365 monitoring and reporting</w:t>
            </w:r>
          </w:p>
          <w:p w14:paraId="1D3B8CDB" w14:textId="77777777" w:rsidR="00A73213" w:rsidRPr="00B5168F" w:rsidRDefault="00A73213" w:rsidP="00231F2B">
            <w:pPr>
              <w:pStyle w:val="Bulletlist"/>
              <w:numPr>
                <w:ilvl w:val="1"/>
                <w:numId w:val="27"/>
              </w:numPr>
              <w:spacing w:before="0"/>
              <w:ind w:left="792"/>
              <w:contextualSpacing w:val="0"/>
              <w:jc w:val="both"/>
            </w:pPr>
            <w:r w:rsidRPr="00B5168F">
              <w:t>Office 365 roles and responsibilities</w:t>
            </w:r>
          </w:p>
          <w:p w14:paraId="0CBCAF4D" w14:textId="73BE9177" w:rsidR="00933BC1" w:rsidRPr="00B5168F" w:rsidRDefault="00933BC1" w:rsidP="00231F2B">
            <w:pPr>
              <w:pStyle w:val="Bulletlist"/>
              <w:contextualSpacing w:val="0"/>
              <w:jc w:val="both"/>
            </w:pPr>
            <w:r w:rsidRPr="00B5168F">
              <w:t>D</w:t>
            </w:r>
            <w:r w:rsidR="00575F57" w:rsidRPr="00B5168F">
              <w:t>evelop d</w:t>
            </w:r>
            <w:r w:rsidRPr="00B5168F">
              <w:t>irectives</w:t>
            </w:r>
            <w:r w:rsidR="00575F57" w:rsidRPr="00B5168F">
              <w:t>,</w:t>
            </w:r>
            <w:r w:rsidRPr="00B5168F">
              <w:t xml:space="preserve"> documentation</w:t>
            </w:r>
            <w:r w:rsidR="00575F57" w:rsidRPr="00B5168F">
              <w:t>,</w:t>
            </w:r>
            <w:r w:rsidRPr="00B5168F">
              <w:t xml:space="preserve"> and </w:t>
            </w:r>
            <w:r w:rsidR="00575F57" w:rsidRPr="00B5168F">
              <w:t xml:space="preserve">the </w:t>
            </w:r>
            <w:r w:rsidR="000759A2" w:rsidRPr="00B5168F">
              <w:t>report</w:t>
            </w:r>
            <w:r w:rsidR="00661059" w:rsidRPr="00B5168F">
              <w:t xml:space="preserve"> </w:t>
            </w:r>
            <w:r w:rsidRPr="00B5168F">
              <w:t>out.</w:t>
            </w:r>
          </w:p>
          <w:p w14:paraId="01DF8EFA" w14:textId="4C6BAD48" w:rsidR="00933BC1" w:rsidRPr="003B7EF1" w:rsidRDefault="00CF5984" w:rsidP="00231F2B">
            <w:pPr>
              <w:pStyle w:val="Bulletlist"/>
              <w:jc w:val="both"/>
              <w:rPr>
                <w:color w:val="00B0F0"/>
              </w:rPr>
            </w:pPr>
            <w:r w:rsidRPr="00B5168F">
              <w:t>Provide t</w:t>
            </w:r>
            <w:r w:rsidR="00933BC1" w:rsidRPr="00B5168F">
              <w:t>ime</w:t>
            </w:r>
            <w:r w:rsidR="00933BC1" w:rsidRPr="003B7EF1">
              <w:t>-boxed assistance with additional Office 365 operations governance planning activities.</w:t>
            </w:r>
          </w:p>
        </w:tc>
      </w:tr>
      <w:tr w:rsidR="00933BC1" w:rsidRPr="002B6812" w14:paraId="00EC38E9" w14:textId="77777777" w:rsidTr="00530B69">
        <w:trPr>
          <w:trHeight w:val="422"/>
        </w:trPr>
        <w:tc>
          <w:tcPr>
            <w:tcW w:w="3068"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auto"/>
          </w:tcPr>
          <w:p w14:paraId="66AA611B" w14:textId="63EA49E5" w:rsidR="00933BC1" w:rsidRPr="002B6812" w:rsidRDefault="004744AF" w:rsidP="00231F2B">
            <w:pPr>
              <w:jc w:val="both"/>
              <w:rPr>
                <w:rFonts w:eastAsia="Calibri"/>
              </w:rPr>
            </w:pPr>
            <w:r w:rsidRPr="002B6812">
              <w:rPr>
                <w:rFonts w:eastAsia="Calibri"/>
                <w:b/>
              </w:rPr>
              <w:t>Customer</w:t>
            </w:r>
            <w:r w:rsidR="00933BC1" w:rsidRPr="002B6812">
              <w:rPr>
                <w:rFonts w:eastAsia="Calibri"/>
                <w:b/>
              </w:rPr>
              <w:t xml:space="preserve"> activities</w:t>
            </w:r>
            <w:r w:rsidR="00933BC1" w:rsidRPr="002B6812">
              <w:rPr>
                <w:rFonts w:eastAsia="Calibri"/>
                <w:b/>
              </w:rPr>
              <w:br/>
            </w:r>
            <w:r w:rsidR="00933BC1" w:rsidRPr="002B6812">
              <w:rPr>
                <w:rFonts w:eastAsia="Calibri"/>
              </w:rPr>
              <w:t xml:space="preserve">The activities to be performed by the </w:t>
            </w:r>
            <w:r w:rsidRPr="002B6812">
              <w:rPr>
                <w:rFonts w:eastAsia="Calibri"/>
              </w:rPr>
              <w:t>Customer</w:t>
            </w:r>
          </w:p>
        </w:tc>
        <w:tc>
          <w:tcPr>
            <w:tcW w:w="6294"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FFFFFF" w:themeFill="background1"/>
          </w:tcPr>
          <w:p w14:paraId="315C4291" w14:textId="77777777" w:rsidR="00933BC1" w:rsidRPr="002B6812" w:rsidRDefault="00933BC1" w:rsidP="00231F2B">
            <w:pPr>
              <w:pStyle w:val="TableText"/>
              <w:jc w:val="both"/>
              <w:rPr>
                <w:b/>
              </w:rPr>
            </w:pPr>
            <w:r w:rsidRPr="002B6812">
              <w:rPr>
                <w:b/>
              </w:rPr>
              <w:t>Assess phase</w:t>
            </w:r>
          </w:p>
          <w:p w14:paraId="3B7294E2" w14:textId="0AB71187" w:rsidR="00933BC1" w:rsidRPr="002B6812" w:rsidRDefault="00933BC1" w:rsidP="00231F2B">
            <w:pPr>
              <w:pStyle w:val="TableBullet1"/>
              <w:jc w:val="both"/>
            </w:pPr>
            <w:r w:rsidRPr="002B6812">
              <w:t>Participat</w:t>
            </w:r>
            <w:r w:rsidR="00CF5984" w:rsidRPr="002B6812">
              <w:t>e</w:t>
            </w:r>
            <w:r w:rsidRPr="002B6812">
              <w:t xml:space="preserve"> in logistics planning</w:t>
            </w:r>
            <w:r w:rsidR="00CF5984" w:rsidRPr="002B6812">
              <w:t>.</w:t>
            </w:r>
          </w:p>
          <w:p w14:paraId="35C684A2" w14:textId="5359C31D" w:rsidR="00933BC1" w:rsidRPr="002B6812" w:rsidRDefault="00CF5984" w:rsidP="00231F2B">
            <w:pPr>
              <w:pStyle w:val="TableBullet1"/>
              <w:jc w:val="both"/>
            </w:pPr>
            <w:r w:rsidRPr="002B6812">
              <w:t>Participate in the workshops.</w:t>
            </w:r>
          </w:p>
          <w:p w14:paraId="1BDB0F39" w14:textId="359F064E" w:rsidR="00933BC1" w:rsidRPr="002B6812" w:rsidRDefault="00933BC1" w:rsidP="00231F2B">
            <w:pPr>
              <w:pStyle w:val="TableBullet1"/>
              <w:jc w:val="both"/>
            </w:pPr>
            <w:r w:rsidRPr="002B6812">
              <w:t>Communicat</w:t>
            </w:r>
            <w:r w:rsidR="00575F57">
              <w:t>e</w:t>
            </w:r>
            <w:r w:rsidRPr="002B6812">
              <w:t xml:space="preserve"> business and technical requirements.</w:t>
            </w:r>
          </w:p>
          <w:p w14:paraId="3DE3C56A" w14:textId="0EF7D3BC" w:rsidR="00933BC1" w:rsidRPr="002B6812" w:rsidRDefault="00933BC1" w:rsidP="00231F2B">
            <w:pPr>
              <w:pStyle w:val="TableBullet1"/>
              <w:jc w:val="both"/>
            </w:pPr>
            <w:r w:rsidRPr="002B6812">
              <w:t>Participat</w:t>
            </w:r>
            <w:r w:rsidR="000A2D03" w:rsidRPr="002B6812">
              <w:t>e</w:t>
            </w:r>
            <w:r w:rsidRPr="002B6812">
              <w:t xml:space="preserve"> in decision making</w:t>
            </w:r>
            <w:r w:rsidR="00575F57">
              <w:t xml:space="preserve"> that is</w:t>
            </w:r>
            <w:r w:rsidRPr="002B6812">
              <w:t xml:space="preserve"> related to the production of directives.</w:t>
            </w:r>
          </w:p>
          <w:p w14:paraId="661946D3" w14:textId="67AE6119" w:rsidR="00933BC1" w:rsidRPr="003B7EF1" w:rsidRDefault="00933BC1" w:rsidP="00231F2B">
            <w:pPr>
              <w:pStyle w:val="TableBullet1"/>
              <w:jc w:val="both"/>
            </w:pPr>
            <w:r w:rsidRPr="003B7EF1">
              <w:t>Codevelop directives</w:t>
            </w:r>
            <w:r w:rsidR="000A2D03" w:rsidRPr="003B7EF1">
              <w:t>.</w:t>
            </w:r>
          </w:p>
          <w:p w14:paraId="26460044" w14:textId="73596BB6" w:rsidR="00933BC1" w:rsidRPr="003B7EF1" w:rsidRDefault="00575F57" w:rsidP="00231F2B">
            <w:pPr>
              <w:pStyle w:val="TableBullet1"/>
              <w:jc w:val="both"/>
              <w:rPr>
                <w:rFonts w:eastAsia="Calibri"/>
                <w:b/>
              </w:rPr>
            </w:pPr>
            <w:r w:rsidRPr="003B7EF1">
              <w:t xml:space="preserve">Participate </w:t>
            </w:r>
            <w:r w:rsidR="00933BC1" w:rsidRPr="003B7EF1">
              <w:t xml:space="preserve">in </w:t>
            </w:r>
            <w:r w:rsidRPr="003B7EF1">
              <w:t xml:space="preserve">the </w:t>
            </w:r>
            <w:r w:rsidR="00933BC1" w:rsidRPr="003B7EF1">
              <w:t>report-out</w:t>
            </w:r>
            <w:r w:rsidR="00706E11" w:rsidRPr="003B7EF1">
              <w:t xml:space="preserve"> meeting.</w:t>
            </w:r>
          </w:p>
          <w:p w14:paraId="64E00351" w14:textId="7BD75854" w:rsidR="00933BC1" w:rsidRPr="003B7EF1" w:rsidRDefault="00933BC1" w:rsidP="00231F2B">
            <w:pPr>
              <w:pStyle w:val="Bulletlist"/>
              <w:jc w:val="both"/>
              <w:rPr>
                <w:color w:val="00B0F0"/>
              </w:rPr>
            </w:pPr>
            <w:r w:rsidRPr="003B7EF1">
              <w:t xml:space="preserve">Work with Microsoft resources </w:t>
            </w:r>
            <w:r w:rsidR="004C396C" w:rsidRPr="003B7EF1">
              <w:t xml:space="preserve">that are </w:t>
            </w:r>
            <w:r w:rsidRPr="003B7EF1">
              <w:t xml:space="preserve">providing additional assistance related to Office 365 </w:t>
            </w:r>
            <w:r w:rsidR="00CF0717" w:rsidRPr="003B7EF1">
              <w:t xml:space="preserve">operations </w:t>
            </w:r>
            <w:r w:rsidRPr="003B7EF1">
              <w:t>governance planning.</w:t>
            </w:r>
          </w:p>
        </w:tc>
      </w:tr>
      <w:tr w:rsidR="00933BC1" w:rsidRPr="002B6812" w14:paraId="7B6FFF94" w14:textId="77777777" w:rsidTr="00530B69">
        <w:trPr>
          <w:trHeight w:val="422"/>
        </w:trPr>
        <w:tc>
          <w:tcPr>
            <w:tcW w:w="3068"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auto"/>
          </w:tcPr>
          <w:p w14:paraId="014FE724" w14:textId="77777777" w:rsidR="00933BC1" w:rsidRPr="002B6812" w:rsidRDefault="00933BC1" w:rsidP="00231F2B">
            <w:pPr>
              <w:jc w:val="both"/>
              <w:rPr>
                <w:rFonts w:eastAsia="Calibri"/>
              </w:rPr>
            </w:pPr>
            <w:r w:rsidRPr="002B6812">
              <w:rPr>
                <w:rFonts w:eastAsia="Calibri"/>
                <w:b/>
              </w:rPr>
              <w:t>Key assumptions</w:t>
            </w:r>
          </w:p>
        </w:tc>
        <w:tc>
          <w:tcPr>
            <w:tcW w:w="6294"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FFFFFF" w:themeFill="background1"/>
          </w:tcPr>
          <w:p w14:paraId="7162EECC" w14:textId="5E5DE06F" w:rsidR="00933BC1" w:rsidRPr="002B6812" w:rsidRDefault="004744AF" w:rsidP="00231F2B">
            <w:pPr>
              <w:pStyle w:val="TableText"/>
              <w:jc w:val="both"/>
            </w:pPr>
            <w:r w:rsidRPr="002B6812">
              <w:t>Customer</w:t>
            </w:r>
            <w:r w:rsidR="00933BC1" w:rsidRPr="002B6812">
              <w:t xml:space="preserve"> stakeholders have working knowledge of Office 365 security and </w:t>
            </w:r>
            <w:r w:rsidR="00933BC1" w:rsidRPr="0038037D">
              <w:t>compliance</w:t>
            </w:r>
            <w:r w:rsidR="00933BC1" w:rsidRPr="002B6812">
              <w:t xml:space="preserve"> capabilities and are able to provide requirements and </w:t>
            </w:r>
            <w:r w:rsidR="00395FBA">
              <w:t>mak</w:t>
            </w:r>
            <w:r w:rsidR="00395FBA" w:rsidRPr="002B6812">
              <w:t xml:space="preserve">e </w:t>
            </w:r>
            <w:r w:rsidR="00933BC1" w:rsidRPr="002B6812">
              <w:t>decisions related to the production of the directives</w:t>
            </w:r>
            <w:r w:rsidR="00395FBA">
              <w:t xml:space="preserve"> and </w:t>
            </w:r>
            <w:r w:rsidR="00933BC1" w:rsidRPr="002B6812">
              <w:t>output.</w:t>
            </w:r>
          </w:p>
        </w:tc>
      </w:tr>
      <w:tr w:rsidR="00933BC1" w:rsidRPr="002B6812" w14:paraId="01BF6A14" w14:textId="77777777" w:rsidTr="00530B69">
        <w:trPr>
          <w:trHeight w:val="422"/>
        </w:trPr>
        <w:tc>
          <w:tcPr>
            <w:tcW w:w="3068"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auto"/>
          </w:tcPr>
          <w:p w14:paraId="12ACBED7" w14:textId="77777777" w:rsidR="00933BC1" w:rsidRPr="002B6812" w:rsidRDefault="00933BC1" w:rsidP="00231F2B">
            <w:pPr>
              <w:jc w:val="both"/>
              <w:rPr>
                <w:rFonts w:eastAsia="Calibri"/>
                <w:b/>
              </w:rPr>
            </w:pPr>
            <w:r w:rsidRPr="002B6812">
              <w:rPr>
                <w:rFonts w:eastAsia="Calibri"/>
                <w:b/>
              </w:rPr>
              <w:lastRenderedPageBreak/>
              <w:t>Project deliverables</w:t>
            </w:r>
            <w:r w:rsidRPr="002B6812">
              <w:rPr>
                <w:rFonts w:eastAsia="Calibri"/>
                <w:b/>
              </w:rPr>
              <w:br/>
            </w:r>
            <w:r w:rsidRPr="002B6812">
              <w:rPr>
                <w:rFonts w:eastAsia="Calibri"/>
              </w:rPr>
              <w:t>Content for this project component will be included in these project deliverables</w:t>
            </w:r>
          </w:p>
        </w:tc>
        <w:tc>
          <w:tcPr>
            <w:tcW w:w="6294"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FFFFFF" w:themeFill="background1"/>
          </w:tcPr>
          <w:p w14:paraId="0821EB24" w14:textId="77777777" w:rsidR="00933BC1" w:rsidRPr="002B6812" w:rsidRDefault="00933BC1" w:rsidP="00231F2B">
            <w:pPr>
              <w:pStyle w:val="TableBullet1"/>
              <w:jc w:val="both"/>
            </w:pPr>
            <w:r w:rsidRPr="002B6812">
              <w:t>Project plan</w:t>
            </w:r>
          </w:p>
          <w:p w14:paraId="2E5718D3" w14:textId="6F9B2C82" w:rsidR="00D32F29" w:rsidRDefault="00D32F29" w:rsidP="00231F2B">
            <w:pPr>
              <w:pStyle w:val="TableBullet1"/>
              <w:jc w:val="both"/>
            </w:pPr>
            <w:r w:rsidRPr="00AD444D">
              <w:rPr>
                <w:rFonts w:eastAsia="Calibri"/>
              </w:rPr>
              <w:t xml:space="preserve">Governance </w:t>
            </w:r>
            <w:r w:rsidRPr="009B05B6">
              <w:rPr>
                <w:rFonts w:eastAsia="Calibri"/>
              </w:rPr>
              <w:t>plan</w:t>
            </w:r>
            <w:r>
              <w:rPr>
                <w:rFonts w:eastAsia="Calibri"/>
              </w:rPr>
              <w:t xml:space="preserve"> </w:t>
            </w:r>
          </w:p>
          <w:p w14:paraId="6359A943" w14:textId="68C37B1E" w:rsidR="00933BC1" w:rsidRPr="002B6812" w:rsidRDefault="00933BC1" w:rsidP="00231F2B">
            <w:pPr>
              <w:pStyle w:val="TableBullet1"/>
              <w:jc w:val="both"/>
            </w:pPr>
            <w:r w:rsidRPr="002B6812">
              <w:t xml:space="preserve">Delivery </w:t>
            </w:r>
            <w:r w:rsidR="0038037D">
              <w:t>s</w:t>
            </w:r>
            <w:r w:rsidR="0038037D" w:rsidRPr="002B6812">
              <w:t xml:space="preserve">ummary </w:t>
            </w:r>
          </w:p>
        </w:tc>
      </w:tr>
    </w:tbl>
    <w:p w14:paraId="51B824BD" w14:textId="5CB52DE9" w:rsidR="009B1142" w:rsidRPr="002B6812" w:rsidRDefault="00C416FE" w:rsidP="00231F2B">
      <w:pPr>
        <w:pStyle w:val="Heading2"/>
        <w:jc w:val="both"/>
      </w:pPr>
      <w:bookmarkStart w:id="82" w:name="_Toc5870098"/>
      <w:bookmarkStart w:id="83" w:name="_Toc5883442"/>
      <w:bookmarkStart w:id="84" w:name="_Ref5804712"/>
      <w:bookmarkStart w:id="85" w:name="_Ref5805399"/>
      <w:bookmarkStart w:id="86" w:name="_Toc31291368"/>
      <w:bookmarkEnd w:id="82"/>
      <w:bookmarkEnd w:id="83"/>
      <w:r w:rsidRPr="002B6812">
        <w:t>Timeline</w:t>
      </w:r>
      <w:bookmarkEnd w:id="75"/>
      <w:bookmarkEnd w:id="76"/>
      <w:bookmarkEnd w:id="77"/>
      <w:bookmarkEnd w:id="78"/>
      <w:bookmarkEnd w:id="79"/>
      <w:bookmarkEnd w:id="84"/>
      <w:bookmarkEnd w:id="85"/>
      <w:bookmarkEnd w:id="86"/>
    </w:p>
    <w:p w14:paraId="20664765" w14:textId="4CD740EC" w:rsidR="002641DA" w:rsidRPr="002B6812" w:rsidRDefault="002641DA" w:rsidP="00231F2B">
      <w:pPr>
        <w:jc w:val="both"/>
      </w:pPr>
      <w:r w:rsidRPr="002B6812">
        <w:t>During project planning, a detailed timeline will be developed. All dates and durations are relative to the project start date and are estimates only.</w:t>
      </w:r>
    </w:p>
    <w:p w14:paraId="78E287AE" w14:textId="4F5EAE50" w:rsidR="000D5F5C" w:rsidRPr="002B6812" w:rsidRDefault="000D5F5C" w:rsidP="00231F2B">
      <w:pPr>
        <w:jc w:val="both"/>
      </w:pPr>
      <w:r w:rsidRPr="002B6812">
        <w:rPr>
          <w:b/>
        </w:rPr>
        <w:t>Important</w:t>
      </w:r>
      <w:r w:rsidRPr="002B6812">
        <w:rPr>
          <w:rFonts w:eastAsiaTheme="minorEastAsia"/>
          <w:b/>
          <w:sz w:val="22"/>
        </w:rPr>
        <w:t>:</w:t>
      </w:r>
      <w:r w:rsidRPr="002B6812">
        <w:t xml:space="preserve"> </w:t>
      </w:r>
      <w:r w:rsidR="009E0939" w:rsidRPr="002B6812">
        <w:t xml:space="preserve">these </w:t>
      </w:r>
      <w:r w:rsidRPr="002B6812">
        <w:t xml:space="preserve">timelines assume continuous full-time delivery and should thus be interpreted as the minimum number of days required for delivery. The timeline </w:t>
      </w:r>
      <w:r w:rsidR="009E0939" w:rsidRPr="002B6812">
        <w:t xml:space="preserve">might </w:t>
      </w:r>
      <w:r w:rsidRPr="002B6812">
        <w:t>be extended at Microsoft discretion to accommodate part-time resource availability or scheduling conflicts for important meetings and workshops.</w:t>
      </w:r>
    </w:p>
    <w:p w14:paraId="3A5DB063" w14:textId="3136CAEF" w:rsidR="005C03E0" w:rsidRDefault="005C03E0" w:rsidP="00231F2B">
      <w:pPr>
        <w:jc w:val="both"/>
      </w:pPr>
      <w:r>
        <w:rPr>
          <w:noProof/>
        </w:rPr>
        <w:drawing>
          <wp:inline distT="0" distB="0" distL="0" distR="0" wp14:anchorId="1E14070C" wp14:editId="407B8D76">
            <wp:extent cx="6362700" cy="829945"/>
            <wp:effectExtent l="38100" t="0" r="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37D50C1" w14:textId="48FE9AF9" w:rsidR="00C44D16" w:rsidRPr="002B6812" w:rsidRDefault="00C44D16" w:rsidP="00231F2B">
      <w:pPr>
        <w:pStyle w:val="Heading2"/>
        <w:jc w:val="both"/>
      </w:pPr>
      <w:bookmarkStart w:id="87" w:name="_Toc5883444"/>
      <w:bookmarkStart w:id="88" w:name="_Toc476167709"/>
      <w:bookmarkStart w:id="89" w:name="_Toc476168042"/>
      <w:bookmarkStart w:id="90" w:name="_Ref477932041"/>
      <w:bookmarkStart w:id="91" w:name="_Toc514413045"/>
      <w:bookmarkStart w:id="92" w:name="_Toc517762001"/>
      <w:bookmarkStart w:id="93" w:name="_Toc31291369"/>
      <w:bookmarkEnd w:id="87"/>
      <w:r w:rsidRPr="002B6812">
        <w:t>Deliverable acceptance process</w:t>
      </w:r>
      <w:bookmarkEnd w:id="88"/>
      <w:bookmarkEnd w:id="89"/>
      <w:bookmarkEnd w:id="90"/>
      <w:bookmarkEnd w:id="91"/>
      <w:bookmarkEnd w:id="92"/>
      <w:bookmarkEnd w:id="93"/>
    </w:p>
    <w:p w14:paraId="698FDD25" w14:textId="2BFCBC95" w:rsidR="00C44D16" w:rsidRPr="002B6812" w:rsidRDefault="00C44D16" w:rsidP="00231F2B">
      <w:pPr>
        <w:jc w:val="both"/>
      </w:pPr>
      <w:r w:rsidRPr="002B6812">
        <w:t>During the project</w:t>
      </w:r>
      <w:r w:rsidR="00E40CE7" w:rsidRPr="002B6812">
        <w:t>,</w:t>
      </w:r>
      <w:r w:rsidRPr="002B6812">
        <w:t xml:space="preserve"> </w:t>
      </w:r>
      <w:r w:rsidR="00840E9D" w:rsidRPr="002B6812">
        <w:t>Microsoft</w:t>
      </w:r>
      <w:r w:rsidRPr="002B6812">
        <w:t xml:space="preserve"> will submit certain deliverables </w:t>
      </w:r>
      <w:r w:rsidR="00D44A6B" w:rsidRPr="002B6812">
        <w:t xml:space="preserve">(listed in the </w:t>
      </w:r>
      <w:r w:rsidR="00550DD8" w:rsidRPr="002B6812">
        <w:fldChar w:fldCharType="begin"/>
      </w:r>
      <w:r w:rsidR="00550DD8" w:rsidRPr="002B6812">
        <w:instrText xml:space="preserve"> REF _Ref477873467 \h </w:instrText>
      </w:r>
      <w:r w:rsidR="00231F2B">
        <w:instrText xml:space="preserve"> \* MERGEFORMAT </w:instrText>
      </w:r>
      <w:r w:rsidR="00550DD8" w:rsidRPr="002B6812">
        <w:fldChar w:fldCharType="separate"/>
      </w:r>
      <w:r w:rsidR="00812548" w:rsidRPr="002B6812">
        <w:t>Approach</w:t>
      </w:r>
      <w:r w:rsidR="00550DD8" w:rsidRPr="002B6812">
        <w:fldChar w:fldCharType="end"/>
      </w:r>
      <w:r w:rsidR="00ED7049" w:rsidRPr="002B6812">
        <w:t xml:space="preserve"> </w:t>
      </w:r>
      <w:r w:rsidR="00D44A6B" w:rsidRPr="002B6812">
        <w:t xml:space="preserve">section as deliverables with </w:t>
      </w:r>
      <w:r w:rsidR="00ED7049" w:rsidRPr="002B6812">
        <w:t>“</w:t>
      </w:r>
      <w:r w:rsidR="006965B5" w:rsidRPr="002B6812">
        <w:t xml:space="preserve">Acceptance </w:t>
      </w:r>
      <w:r w:rsidR="00ED7049" w:rsidRPr="002B6812">
        <w:t>required</w:t>
      </w:r>
      <w:r w:rsidR="006965B5" w:rsidRPr="002B6812">
        <w:t>?</w:t>
      </w:r>
      <w:r w:rsidR="00ED7049" w:rsidRPr="002B6812">
        <w:t xml:space="preserve">” </w:t>
      </w:r>
      <w:r w:rsidR="00D44A6B" w:rsidRPr="002B6812">
        <w:t xml:space="preserve">equal </w:t>
      </w:r>
      <w:r w:rsidR="006965B5" w:rsidRPr="002B6812">
        <w:t xml:space="preserve">to </w:t>
      </w:r>
      <w:r w:rsidR="00ED7049" w:rsidRPr="002B6812">
        <w:t>“</w:t>
      </w:r>
      <w:r w:rsidR="006965B5" w:rsidRPr="002B6812">
        <w:t>Y</w:t>
      </w:r>
      <w:r w:rsidR="00ED7049" w:rsidRPr="002B6812">
        <w:t>es”</w:t>
      </w:r>
      <w:r w:rsidR="00D44A6B" w:rsidRPr="002B6812">
        <w:t xml:space="preserve">) </w:t>
      </w:r>
      <w:r w:rsidRPr="002B6812">
        <w:t xml:space="preserve">for </w:t>
      </w:r>
      <w:r w:rsidR="00840E9D" w:rsidRPr="002B6812">
        <w:t xml:space="preserve">the </w:t>
      </w:r>
      <w:r w:rsidR="004744AF" w:rsidRPr="002B6812">
        <w:t>Customer</w:t>
      </w:r>
      <w:r w:rsidR="00BC30AA" w:rsidRPr="002B6812">
        <w:t>’s review and approval.</w:t>
      </w:r>
    </w:p>
    <w:p w14:paraId="4F23B6E6" w14:textId="3A8A9C54" w:rsidR="00840E9D" w:rsidRPr="002B6812" w:rsidRDefault="4BAA7215" w:rsidP="00231F2B">
      <w:pPr>
        <w:jc w:val="both"/>
      </w:pPr>
      <w:r w:rsidRPr="002B6812">
        <w:t xml:space="preserve">Within three business days of the date of submittal, the </w:t>
      </w:r>
      <w:r w:rsidR="004744AF" w:rsidRPr="002B6812">
        <w:t>Customer</w:t>
      </w:r>
      <w:r w:rsidRPr="002B6812">
        <w:t xml:space="preserve"> is required to:</w:t>
      </w:r>
    </w:p>
    <w:p w14:paraId="282C62F5" w14:textId="7C6DF092" w:rsidR="006965B5" w:rsidRPr="002B6812" w:rsidRDefault="4BAA7215" w:rsidP="00231F2B">
      <w:pPr>
        <w:pStyle w:val="Bulletlist"/>
        <w:ind w:left="270" w:hanging="270"/>
        <w:jc w:val="both"/>
      </w:pPr>
      <w:r w:rsidRPr="002B6812">
        <w:rPr>
          <w:b/>
          <w:bCs/>
        </w:rPr>
        <w:t>Accept the deliverable</w:t>
      </w:r>
      <w:r w:rsidRPr="002B6812">
        <w:t xml:space="preserve"> by signing, dating, and returning a service deliverable acceptance form, which can be sent by email, or by using (or partially using) the deliverable</w:t>
      </w:r>
      <w:r w:rsidR="000F0D89" w:rsidRPr="002B6812">
        <w:t>.</w:t>
      </w:r>
    </w:p>
    <w:p w14:paraId="49DD1CD5" w14:textId="6FE53CF2" w:rsidR="00840E9D" w:rsidRPr="002B6812" w:rsidRDefault="4BAA7215" w:rsidP="00231F2B">
      <w:pPr>
        <w:ind w:firstLine="360"/>
        <w:jc w:val="both"/>
      </w:pPr>
      <w:r w:rsidRPr="002B6812">
        <w:t>Or</w:t>
      </w:r>
    </w:p>
    <w:p w14:paraId="42A7EA53" w14:textId="6B93AE3C" w:rsidR="00840E9D" w:rsidRPr="002B6812" w:rsidRDefault="4BAA7215" w:rsidP="00231F2B">
      <w:pPr>
        <w:pStyle w:val="Bulletlist"/>
        <w:ind w:left="270" w:hanging="270"/>
        <w:jc w:val="both"/>
      </w:pPr>
      <w:r w:rsidRPr="002B6812">
        <w:rPr>
          <w:b/>
          <w:bCs/>
        </w:rPr>
        <w:t>Reject the deliverable</w:t>
      </w:r>
      <w:r w:rsidRPr="002B6812">
        <w:t xml:space="preserve"> by notifying Microsoft in writing; the </w:t>
      </w:r>
      <w:r w:rsidR="004744AF" w:rsidRPr="002B6812">
        <w:t>Customer</w:t>
      </w:r>
      <w:r w:rsidRPr="002B6812">
        <w:t xml:space="preserve"> must include a complete list of reasons for rejection.</w:t>
      </w:r>
    </w:p>
    <w:p w14:paraId="19A3DF0B" w14:textId="7DAAF4BC" w:rsidR="00840E9D" w:rsidRPr="002B6812" w:rsidRDefault="4BAA7215" w:rsidP="00231F2B">
      <w:pPr>
        <w:jc w:val="both"/>
      </w:pPr>
      <w:r w:rsidRPr="002B6812">
        <w:t>Deliverables shall be deemed accepted unless the written rejection notification is received by Microsoft in the time</w:t>
      </w:r>
      <w:r w:rsidR="00091DAE" w:rsidRPr="002B6812">
        <w:t xml:space="preserve"> </w:t>
      </w:r>
      <w:r w:rsidRPr="002B6812">
        <w:t>frame specified.</w:t>
      </w:r>
    </w:p>
    <w:p w14:paraId="3EB05F78" w14:textId="77777777" w:rsidR="00840E9D" w:rsidRPr="002B6812" w:rsidRDefault="4BAA7215" w:rsidP="00231F2B">
      <w:pPr>
        <w:jc w:val="both"/>
      </w:pPr>
      <w:r w:rsidRPr="002B6812">
        <w:t>If a rejection notification is received, Microsoft will correct problems with a deliverable that are in scope for the project (and documented in this SOW), after which the deliverable is deemed accepted.</w:t>
      </w:r>
    </w:p>
    <w:p w14:paraId="0F4B5A76" w14:textId="463A3139" w:rsidR="00BE7980" w:rsidRPr="002B6812" w:rsidRDefault="0031303E" w:rsidP="00231F2B">
      <w:pPr>
        <w:jc w:val="both"/>
      </w:pPr>
      <w:r w:rsidRPr="002B6812">
        <w:t xml:space="preserve">Problems </w:t>
      </w:r>
      <w:r w:rsidR="00BE7980" w:rsidRPr="002B6812">
        <w:t>that are outside the scope of this S</w:t>
      </w:r>
      <w:r w:rsidR="00E40CE7" w:rsidRPr="002B6812">
        <w:t>OW</w:t>
      </w:r>
      <w:r w:rsidR="00BE7980" w:rsidRPr="002B6812">
        <w:t xml:space="preserve">, and feedback provided after a deliverable has been accepted will be addressed as a change request, managed as described in the </w:t>
      </w:r>
      <w:r w:rsidR="00160775" w:rsidRPr="002B6812">
        <w:fldChar w:fldCharType="begin"/>
      </w:r>
      <w:r w:rsidR="00160775" w:rsidRPr="002B6812">
        <w:instrText xml:space="preserve"> REF _Ref477932885 \h </w:instrText>
      </w:r>
      <w:r w:rsidR="009E0939" w:rsidRPr="002B6812">
        <w:instrText xml:space="preserve"> \* MERGEFORMAT </w:instrText>
      </w:r>
      <w:r w:rsidR="00160775" w:rsidRPr="002B6812">
        <w:fldChar w:fldCharType="separate"/>
      </w:r>
      <w:r w:rsidR="00812548" w:rsidRPr="002B6812">
        <w:t>Change management process</w:t>
      </w:r>
      <w:r w:rsidR="00160775" w:rsidRPr="002B6812">
        <w:fldChar w:fldCharType="end"/>
      </w:r>
      <w:r w:rsidR="00BE7980" w:rsidRPr="002B6812">
        <w:t xml:space="preserve"> section.</w:t>
      </w:r>
    </w:p>
    <w:p w14:paraId="58DA0881" w14:textId="19D54675" w:rsidR="00364836" w:rsidRPr="002B6812" w:rsidRDefault="00364836" w:rsidP="00231F2B">
      <w:pPr>
        <w:pStyle w:val="Heading2"/>
        <w:jc w:val="both"/>
      </w:pPr>
      <w:bookmarkStart w:id="94" w:name="_Toc476167710"/>
      <w:bookmarkStart w:id="95" w:name="_Toc476168043"/>
      <w:bookmarkStart w:id="96" w:name="_Toc514413046"/>
      <w:bookmarkStart w:id="97" w:name="_Toc517762002"/>
      <w:bookmarkStart w:id="98" w:name="_Toc31291370"/>
      <w:r w:rsidRPr="002B6812">
        <w:t>Project governance</w:t>
      </w:r>
      <w:bookmarkEnd w:id="94"/>
      <w:bookmarkEnd w:id="95"/>
      <w:bookmarkEnd w:id="96"/>
      <w:bookmarkEnd w:id="97"/>
      <w:bookmarkEnd w:id="98"/>
    </w:p>
    <w:p w14:paraId="3F851A13" w14:textId="1072277D" w:rsidR="00364836" w:rsidRPr="002B6812" w:rsidRDefault="4BAA7215" w:rsidP="00231F2B">
      <w:pPr>
        <w:jc w:val="both"/>
      </w:pPr>
      <w:r w:rsidRPr="002B6812">
        <w:t>The governance structure and processes the team will adhere to for the project are described in the following sections</w:t>
      </w:r>
      <w:r w:rsidR="001029A8" w:rsidRPr="002B6812">
        <w:t>.</w:t>
      </w:r>
    </w:p>
    <w:p w14:paraId="7046233D" w14:textId="77777777" w:rsidR="00BB669A" w:rsidRPr="002B6812" w:rsidRDefault="00BB669A" w:rsidP="00231F2B">
      <w:pPr>
        <w:pStyle w:val="Heading3"/>
        <w:jc w:val="both"/>
      </w:pPr>
      <w:bookmarkStart w:id="99" w:name="_Toc476168044"/>
      <w:r w:rsidRPr="002B6812">
        <w:lastRenderedPageBreak/>
        <w:t>Project communication</w:t>
      </w:r>
      <w:bookmarkEnd w:id="99"/>
    </w:p>
    <w:p w14:paraId="4DC2E148" w14:textId="77777777" w:rsidR="00BB669A" w:rsidRPr="002B6812" w:rsidRDefault="4BAA7215" w:rsidP="00231F2B">
      <w:pPr>
        <w:jc w:val="both"/>
      </w:pPr>
      <w:r w:rsidRPr="002B6812">
        <w:t>The following will be used to communicate during the project:</w:t>
      </w:r>
    </w:p>
    <w:p w14:paraId="48496664" w14:textId="3C12E20C" w:rsidR="00104AB3" w:rsidRPr="002B6812" w:rsidRDefault="4BAA7215" w:rsidP="00231F2B">
      <w:pPr>
        <w:pStyle w:val="Bulletlist"/>
        <w:ind w:left="270" w:hanging="270"/>
        <w:jc w:val="both"/>
      </w:pPr>
      <w:r w:rsidRPr="002B6812">
        <w:rPr>
          <w:b/>
          <w:bCs/>
        </w:rPr>
        <w:t>Communication plan</w:t>
      </w:r>
      <w:r w:rsidRPr="002B6812">
        <w:t xml:space="preserve">: </w:t>
      </w:r>
      <w:r w:rsidR="00A76B04">
        <w:t>t</w:t>
      </w:r>
      <w:r w:rsidR="00A76B04" w:rsidRPr="002B6812">
        <w:t xml:space="preserve">his </w:t>
      </w:r>
      <w:r w:rsidRPr="002B6812">
        <w:t xml:space="preserve">document will describe the frequency, audience, and content of communication with the team and stakeholders. It will be developed by Microsoft and the </w:t>
      </w:r>
      <w:r w:rsidR="004744AF" w:rsidRPr="002B6812">
        <w:t>Customer</w:t>
      </w:r>
      <w:r w:rsidRPr="002B6812">
        <w:t xml:space="preserve"> as part of project planning.</w:t>
      </w:r>
    </w:p>
    <w:p w14:paraId="42E9DEFF" w14:textId="3B76B137" w:rsidR="00BB669A" w:rsidRPr="002B6812" w:rsidRDefault="4BAA7215" w:rsidP="00231F2B">
      <w:pPr>
        <w:pStyle w:val="Bulletlist"/>
        <w:ind w:left="270" w:hanging="270"/>
        <w:jc w:val="both"/>
      </w:pPr>
      <w:r w:rsidRPr="002B6812">
        <w:rPr>
          <w:b/>
          <w:bCs/>
        </w:rPr>
        <w:t>Status reports</w:t>
      </w:r>
      <w:r w:rsidRPr="002B6812">
        <w:t xml:space="preserve">: </w:t>
      </w:r>
      <w:r w:rsidR="00A76B04">
        <w:t>t</w:t>
      </w:r>
      <w:r w:rsidR="00A76B04" w:rsidRPr="002B6812">
        <w:t xml:space="preserve">he </w:t>
      </w:r>
      <w:r w:rsidRPr="002B6812">
        <w:t xml:space="preserve">Microsoft team will prepare and issue regular status reports to project stakeholders </w:t>
      </w:r>
      <w:r w:rsidR="001029A8" w:rsidRPr="002B6812">
        <w:t xml:space="preserve">according to </w:t>
      </w:r>
      <w:r w:rsidRPr="002B6812">
        <w:t>the frequency defined in the communication plan.</w:t>
      </w:r>
    </w:p>
    <w:p w14:paraId="6706E72D" w14:textId="77777777" w:rsidR="00E54AE8" w:rsidRPr="002B6812" w:rsidRDefault="00E54AE8" w:rsidP="00231F2B">
      <w:pPr>
        <w:pStyle w:val="Heading3"/>
        <w:jc w:val="both"/>
      </w:pPr>
      <w:bookmarkStart w:id="100" w:name="_Toc476168045"/>
      <w:r w:rsidRPr="002B6812">
        <w:t>Risk and issue management</w:t>
      </w:r>
      <w:bookmarkEnd w:id="100"/>
    </w:p>
    <w:p w14:paraId="0EDFAA74" w14:textId="77777777" w:rsidR="00E54AE8" w:rsidRPr="002B6812" w:rsidRDefault="4BAA7215" w:rsidP="00231F2B">
      <w:pPr>
        <w:jc w:val="both"/>
      </w:pPr>
      <w:r w:rsidRPr="002B6812">
        <w:t>The following general procedure will be used to manage active project issues and risks during the project:</w:t>
      </w:r>
    </w:p>
    <w:p w14:paraId="359AD658" w14:textId="5DC1D7B5" w:rsidR="00E54AE8" w:rsidRPr="002B6812" w:rsidRDefault="4BAA7215" w:rsidP="00231F2B">
      <w:pPr>
        <w:pStyle w:val="Bulletlist"/>
        <w:ind w:left="270" w:hanging="270"/>
        <w:jc w:val="both"/>
      </w:pPr>
      <w:r w:rsidRPr="002B6812">
        <w:rPr>
          <w:b/>
          <w:bCs/>
        </w:rPr>
        <w:t>Identify</w:t>
      </w:r>
      <w:r w:rsidRPr="002B6812">
        <w:t xml:space="preserve">: </w:t>
      </w:r>
      <w:r w:rsidR="00BD590B" w:rsidRPr="002B6812">
        <w:t xml:space="preserve">identify </w:t>
      </w:r>
      <w:r w:rsidRPr="002B6812">
        <w:t>and document project issues (current problems) and risks (potential problems that could affect the project).</w:t>
      </w:r>
    </w:p>
    <w:p w14:paraId="101DBC46" w14:textId="707D315D" w:rsidR="00E54AE8" w:rsidRPr="002B6812" w:rsidRDefault="4BAA7215" w:rsidP="00231F2B">
      <w:pPr>
        <w:pStyle w:val="Bulletlist"/>
        <w:ind w:left="270" w:hanging="270"/>
        <w:jc w:val="both"/>
      </w:pPr>
      <w:r w:rsidRPr="002B6812">
        <w:rPr>
          <w:b/>
          <w:bCs/>
        </w:rPr>
        <w:t>Analyze and prioritize</w:t>
      </w:r>
      <w:r w:rsidRPr="002B6812">
        <w:t xml:space="preserve">: </w:t>
      </w:r>
      <w:r w:rsidR="00BD590B" w:rsidRPr="002B6812">
        <w:t xml:space="preserve">assess </w:t>
      </w:r>
      <w:r w:rsidRPr="002B6812">
        <w:t>the potential impact and determine the highest priority risks and problems that will be actively managed.</w:t>
      </w:r>
    </w:p>
    <w:p w14:paraId="5FCC75C9" w14:textId="0DDBAB3C" w:rsidR="00E54AE8" w:rsidRPr="002B6812" w:rsidRDefault="4BAA7215" w:rsidP="00231F2B">
      <w:pPr>
        <w:pStyle w:val="Bulletlist"/>
        <w:ind w:left="270" w:hanging="270"/>
        <w:jc w:val="both"/>
      </w:pPr>
      <w:r w:rsidRPr="002B6812">
        <w:rPr>
          <w:b/>
          <w:bCs/>
        </w:rPr>
        <w:t>Plan and schedule</w:t>
      </w:r>
      <w:r w:rsidRPr="002B6812">
        <w:t xml:space="preserve">: </w:t>
      </w:r>
      <w:r w:rsidR="00BD590B" w:rsidRPr="002B6812">
        <w:t xml:space="preserve">determine </w:t>
      </w:r>
      <w:r w:rsidRPr="002B6812">
        <w:t>the strategy for managing priority risks and issues</w:t>
      </w:r>
      <w:r w:rsidR="00EB1EE9" w:rsidRPr="002B6812">
        <w:t xml:space="preserve"> </w:t>
      </w:r>
      <w:r w:rsidRPr="002B6812">
        <w:t>and identify a resource who can take responsibility for mitigation and remediation.</w:t>
      </w:r>
    </w:p>
    <w:p w14:paraId="41CF8E3D" w14:textId="3F44C662" w:rsidR="00E54AE8" w:rsidRPr="002B6812" w:rsidRDefault="4BAA7215" w:rsidP="00231F2B">
      <w:pPr>
        <w:pStyle w:val="Bulletlist"/>
        <w:ind w:left="270" w:hanging="270"/>
        <w:jc w:val="both"/>
      </w:pPr>
      <w:r w:rsidRPr="002B6812">
        <w:rPr>
          <w:b/>
          <w:bCs/>
        </w:rPr>
        <w:t>Track and report</w:t>
      </w:r>
      <w:r w:rsidRPr="002B6812">
        <w:t xml:space="preserve">: </w:t>
      </w:r>
      <w:r w:rsidR="00BD590B" w:rsidRPr="002B6812">
        <w:t xml:space="preserve">monitor </w:t>
      </w:r>
      <w:r w:rsidRPr="002B6812">
        <w:t>and report the status of risks and problems.</w:t>
      </w:r>
    </w:p>
    <w:p w14:paraId="52909B6B" w14:textId="4C7B702C" w:rsidR="00C4139D" w:rsidRPr="002B6812" w:rsidRDefault="4BAA7215" w:rsidP="00231F2B">
      <w:pPr>
        <w:pStyle w:val="Bulletlist"/>
        <w:ind w:left="270" w:hanging="270"/>
        <w:jc w:val="both"/>
      </w:pPr>
      <w:r w:rsidRPr="002B6812">
        <w:rPr>
          <w:b/>
          <w:bCs/>
        </w:rPr>
        <w:t>Escalate</w:t>
      </w:r>
      <w:r w:rsidRPr="002B6812">
        <w:t xml:space="preserve">: </w:t>
      </w:r>
      <w:r w:rsidR="00BD590B" w:rsidRPr="002B6812">
        <w:t xml:space="preserve">escalate </w:t>
      </w:r>
      <w:r w:rsidRPr="002B6812">
        <w:t>to project sponsors the high impact problems and risks that the team is unable to resolve.</w:t>
      </w:r>
    </w:p>
    <w:p w14:paraId="10A728DF" w14:textId="368B2845" w:rsidR="00E54AE8" w:rsidRPr="002B6812" w:rsidRDefault="4BAA7215" w:rsidP="00231F2B">
      <w:pPr>
        <w:pStyle w:val="Bulletlist"/>
        <w:ind w:left="270" w:hanging="270"/>
        <w:jc w:val="both"/>
      </w:pPr>
      <w:r w:rsidRPr="002B6812">
        <w:rPr>
          <w:b/>
          <w:bCs/>
        </w:rPr>
        <w:t>Control</w:t>
      </w:r>
      <w:r w:rsidRPr="002B6812">
        <w:t xml:space="preserve">: </w:t>
      </w:r>
      <w:r w:rsidR="002C7A6F" w:rsidRPr="002B6812">
        <w:t xml:space="preserve">review </w:t>
      </w:r>
      <w:r w:rsidRPr="002B6812">
        <w:t>the effectiveness of risk and issue management actions.</w:t>
      </w:r>
    </w:p>
    <w:p w14:paraId="292323AD" w14:textId="77777777" w:rsidR="00E54AE8" w:rsidRPr="002B6812" w:rsidRDefault="4BAA7215" w:rsidP="00231F2B">
      <w:pPr>
        <w:jc w:val="both"/>
      </w:pPr>
      <w:r w:rsidRPr="002B6812">
        <w:t>Active issues and risks will be regularly monitored during the project.</w:t>
      </w:r>
    </w:p>
    <w:p w14:paraId="441C6C4E" w14:textId="77777777" w:rsidR="002952F0" w:rsidRPr="002B6812" w:rsidRDefault="002952F0" w:rsidP="00231F2B">
      <w:pPr>
        <w:pStyle w:val="Heading3"/>
        <w:jc w:val="both"/>
      </w:pPr>
      <w:bookmarkStart w:id="101" w:name="_Change_management_process"/>
      <w:bookmarkStart w:id="102" w:name="_Toc476168046"/>
      <w:bookmarkStart w:id="103" w:name="_Ref477866682"/>
      <w:bookmarkStart w:id="104" w:name="_Ref477932885"/>
      <w:bookmarkStart w:id="105" w:name="_Ref477934302"/>
      <w:bookmarkStart w:id="106" w:name="_Ref514404898"/>
      <w:bookmarkEnd w:id="101"/>
      <w:r w:rsidRPr="002B6812">
        <w:t>Change management process</w:t>
      </w:r>
      <w:bookmarkEnd w:id="102"/>
      <w:bookmarkEnd w:id="103"/>
      <w:bookmarkEnd w:id="104"/>
      <w:bookmarkEnd w:id="105"/>
      <w:bookmarkEnd w:id="106"/>
    </w:p>
    <w:p w14:paraId="1173B89E" w14:textId="77777777" w:rsidR="003E1B4E" w:rsidRPr="002B6812" w:rsidRDefault="4BAA7215" w:rsidP="00231F2B">
      <w:pPr>
        <w:jc w:val="both"/>
      </w:pPr>
      <w:r w:rsidRPr="002B6812">
        <w:t>During the project, either party is able to request modifications to the Services described in this SOW. These changes only take effect when the proposed change is agreed upon by both parties. The change management process steps are:</w:t>
      </w:r>
    </w:p>
    <w:p w14:paraId="1F7E356E" w14:textId="604122F7" w:rsidR="003E1B4E" w:rsidRPr="002B6812" w:rsidRDefault="4BAA7215" w:rsidP="00231F2B">
      <w:pPr>
        <w:pStyle w:val="Bulletlist"/>
        <w:ind w:left="270" w:hanging="270"/>
        <w:jc w:val="both"/>
      </w:pPr>
      <w:r w:rsidRPr="002B6812">
        <w:rPr>
          <w:b/>
          <w:bCs/>
        </w:rPr>
        <w:t>The change is documented</w:t>
      </w:r>
      <w:r w:rsidRPr="002B6812">
        <w:t xml:space="preserve">: All change requests will be documented by Microsoft in a Microsoft change request form and submitted to the </w:t>
      </w:r>
      <w:r w:rsidR="004744AF" w:rsidRPr="002B6812">
        <w:t>Customer</w:t>
      </w:r>
      <w:r w:rsidRPr="002B6812">
        <w:t>. The change request form includes:</w:t>
      </w:r>
    </w:p>
    <w:p w14:paraId="47D480FF" w14:textId="77777777" w:rsidR="003E1B4E" w:rsidRPr="002B6812" w:rsidRDefault="4BAA7215" w:rsidP="00231F2B">
      <w:pPr>
        <w:pStyle w:val="Bulletlist"/>
        <w:numPr>
          <w:ilvl w:val="1"/>
          <w:numId w:val="5"/>
        </w:numPr>
        <w:jc w:val="both"/>
      </w:pPr>
      <w:r w:rsidRPr="002B6812">
        <w:t>A description of the change.</w:t>
      </w:r>
    </w:p>
    <w:p w14:paraId="3E658DC7" w14:textId="237E4923" w:rsidR="003E1B4E" w:rsidRPr="002B6812" w:rsidRDefault="4BAA7215" w:rsidP="00231F2B">
      <w:pPr>
        <w:pStyle w:val="Bulletlist"/>
        <w:numPr>
          <w:ilvl w:val="1"/>
          <w:numId w:val="5"/>
        </w:numPr>
        <w:jc w:val="both"/>
      </w:pPr>
      <w:r w:rsidRPr="002B6812">
        <w:t>The estimated effect of implementing the change.</w:t>
      </w:r>
    </w:p>
    <w:p w14:paraId="58FCEEA6" w14:textId="53795010" w:rsidR="004723A1" w:rsidRPr="002B6812" w:rsidRDefault="4BAA7215" w:rsidP="00231F2B">
      <w:pPr>
        <w:pStyle w:val="Bulletlist"/>
        <w:ind w:left="270" w:hanging="270"/>
        <w:jc w:val="both"/>
      </w:pPr>
      <w:r w:rsidRPr="002B6812">
        <w:rPr>
          <w:b/>
          <w:bCs/>
        </w:rPr>
        <w:t>The change is submitted</w:t>
      </w:r>
      <w:r w:rsidRPr="002B6812">
        <w:t xml:space="preserve">: </w:t>
      </w:r>
      <w:r w:rsidR="00CD2ED4">
        <w:t>t</w:t>
      </w:r>
      <w:r w:rsidR="00CD2ED4" w:rsidRPr="002B6812">
        <w:t xml:space="preserve">he </w:t>
      </w:r>
      <w:r w:rsidRPr="002B6812">
        <w:t xml:space="preserve">change request form will be provided to the </w:t>
      </w:r>
      <w:r w:rsidR="004744AF" w:rsidRPr="002B6812">
        <w:t>Customer</w:t>
      </w:r>
      <w:r w:rsidRPr="002B6812">
        <w:t>.</w:t>
      </w:r>
    </w:p>
    <w:p w14:paraId="7A5C2A99" w14:textId="700161C8" w:rsidR="004723A1" w:rsidRPr="002B6812" w:rsidRDefault="4BAA7215" w:rsidP="00231F2B">
      <w:pPr>
        <w:pStyle w:val="Bulletlist"/>
        <w:ind w:left="270" w:hanging="270"/>
        <w:jc w:val="both"/>
      </w:pPr>
      <w:r w:rsidRPr="002B6812">
        <w:rPr>
          <w:b/>
          <w:bCs/>
        </w:rPr>
        <w:t>The change is accepted or rejected</w:t>
      </w:r>
      <w:r w:rsidRPr="002B6812">
        <w:t xml:space="preserve">: </w:t>
      </w:r>
      <w:r w:rsidR="00CD2ED4">
        <w:t>t</w:t>
      </w:r>
      <w:r w:rsidR="00CD2ED4" w:rsidRPr="002B6812">
        <w:t xml:space="preserve">he </w:t>
      </w:r>
      <w:r w:rsidR="004744AF" w:rsidRPr="002B6812">
        <w:t>Customer</w:t>
      </w:r>
      <w:r w:rsidRPr="002B6812">
        <w:t xml:space="preserve"> has </w:t>
      </w:r>
      <w:r w:rsidR="008C2723" w:rsidRPr="002B6812">
        <w:t>three</w:t>
      </w:r>
      <w:r w:rsidRPr="002B6812">
        <w:t xml:space="preserve"> business days to confirm the following to Microsoft:</w:t>
      </w:r>
    </w:p>
    <w:p w14:paraId="3CDB16AF" w14:textId="79A5BC03" w:rsidR="004723A1" w:rsidRPr="002B6812" w:rsidRDefault="4BAA7215" w:rsidP="00231F2B">
      <w:pPr>
        <w:pStyle w:val="Bulletlist"/>
        <w:numPr>
          <w:ilvl w:val="1"/>
          <w:numId w:val="5"/>
        </w:numPr>
        <w:jc w:val="both"/>
      </w:pPr>
      <w:r w:rsidRPr="002B6812">
        <w:t xml:space="preserve">Acceptance—the </w:t>
      </w:r>
      <w:r w:rsidR="004744AF" w:rsidRPr="002B6812">
        <w:t>Customer</w:t>
      </w:r>
      <w:r w:rsidRPr="002B6812">
        <w:t xml:space="preserve"> must sign and return change request form.</w:t>
      </w:r>
    </w:p>
    <w:p w14:paraId="3C020F04" w14:textId="11FC265B" w:rsidR="004723A1" w:rsidRPr="002B6812" w:rsidRDefault="4BAA7215" w:rsidP="00231F2B">
      <w:pPr>
        <w:pStyle w:val="Bulletlist"/>
        <w:numPr>
          <w:ilvl w:val="1"/>
          <w:numId w:val="5"/>
        </w:numPr>
        <w:jc w:val="both"/>
      </w:pPr>
      <w:r w:rsidRPr="002B6812">
        <w:t xml:space="preserve">Rejection—if the </w:t>
      </w:r>
      <w:r w:rsidR="004744AF" w:rsidRPr="002B6812">
        <w:t>Customer</w:t>
      </w:r>
      <w:r w:rsidRPr="002B6812">
        <w:t xml:space="preserve"> does not want to proceed with the change or does not provide an approval within </w:t>
      </w:r>
      <w:r w:rsidR="000F0D89" w:rsidRPr="002B6812">
        <w:t>three</w:t>
      </w:r>
      <w:r w:rsidRPr="002B6812">
        <w:t xml:space="preserve"> business days, no changes will be performed.</w:t>
      </w:r>
    </w:p>
    <w:p w14:paraId="74FC510F" w14:textId="77777777" w:rsidR="00892C8C" w:rsidRPr="002B6812" w:rsidRDefault="00892C8C" w:rsidP="00231F2B">
      <w:pPr>
        <w:pStyle w:val="Heading3"/>
        <w:jc w:val="both"/>
      </w:pPr>
      <w:bookmarkStart w:id="107" w:name="_Toc476168048"/>
      <w:r w:rsidRPr="002B6812">
        <w:t>Escalation path</w:t>
      </w:r>
      <w:bookmarkEnd w:id="107"/>
    </w:p>
    <w:p w14:paraId="411DF501" w14:textId="75B975F5" w:rsidR="00892C8C" w:rsidRPr="002B6812" w:rsidRDefault="4BAA7215" w:rsidP="00231F2B">
      <w:pPr>
        <w:jc w:val="both"/>
      </w:pPr>
      <w:r w:rsidRPr="002B6812">
        <w:t xml:space="preserve">The Microsoft project manager will work closely with the </w:t>
      </w:r>
      <w:r w:rsidR="004744AF" w:rsidRPr="002B6812">
        <w:t>Customer</w:t>
      </w:r>
      <w:r w:rsidR="00396594" w:rsidRPr="002B6812">
        <w:t xml:space="preserve"> project manager</w:t>
      </w:r>
      <w:r w:rsidRPr="002B6812">
        <w:t xml:space="preserve">, </w:t>
      </w:r>
      <w:r w:rsidR="00396594" w:rsidRPr="002B6812">
        <w:t>sponsor</w:t>
      </w:r>
      <w:r w:rsidRPr="002B6812">
        <w:t xml:space="preserve">, and other designees to manage project issues, risks, and change requests as described previously. The </w:t>
      </w:r>
      <w:r w:rsidR="004744AF" w:rsidRPr="002B6812">
        <w:t>Customer</w:t>
      </w:r>
      <w:r w:rsidRPr="002B6812">
        <w:t xml:space="preserve"> will </w:t>
      </w:r>
      <w:r w:rsidRPr="002B6812">
        <w:lastRenderedPageBreak/>
        <w:t>provide reasonable access to the sponsor or sponsors in order to expedite resolution. The standard escalation path for review, approval, or dispute resolution is as follows:</w:t>
      </w:r>
    </w:p>
    <w:p w14:paraId="354D0A6B" w14:textId="02EA33F7" w:rsidR="00892C8C" w:rsidRPr="002B6812" w:rsidRDefault="4BAA7215" w:rsidP="00231F2B">
      <w:pPr>
        <w:pStyle w:val="Bulletlist"/>
        <w:ind w:left="270" w:hanging="270"/>
        <w:jc w:val="both"/>
      </w:pPr>
      <w:r w:rsidRPr="002B6812">
        <w:t xml:space="preserve">Project team member (Microsoft or the </w:t>
      </w:r>
      <w:r w:rsidR="004744AF" w:rsidRPr="002B6812">
        <w:t>Customer</w:t>
      </w:r>
      <w:r w:rsidRPr="002B6812">
        <w:t>)</w:t>
      </w:r>
    </w:p>
    <w:p w14:paraId="679589A7" w14:textId="1E63CB93" w:rsidR="00892C8C" w:rsidRPr="002B6812" w:rsidRDefault="4BAA7215" w:rsidP="00231F2B">
      <w:pPr>
        <w:pStyle w:val="Bulletlist"/>
        <w:ind w:left="270" w:hanging="270"/>
        <w:jc w:val="both"/>
      </w:pPr>
      <w:r w:rsidRPr="002B6812">
        <w:t xml:space="preserve">Project </w:t>
      </w:r>
      <w:r w:rsidR="000F0D89" w:rsidRPr="002B6812">
        <w:t>m</w:t>
      </w:r>
      <w:r w:rsidR="00396594" w:rsidRPr="002B6812">
        <w:t xml:space="preserve">anager </w:t>
      </w:r>
      <w:r w:rsidRPr="002B6812">
        <w:t xml:space="preserve">(Microsoft and the </w:t>
      </w:r>
      <w:r w:rsidR="004744AF" w:rsidRPr="002B6812">
        <w:t>Customer</w:t>
      </w:r>
      <w:r w:rsidRPr="002B6812">
        <w:t>)</w:t>
      </w:r>
    </w:p>
    <w:p w14:paraId="6ECEC340" w14:textId="44878332" w:rsidR="00892C8C" w:rsidRPr="002B6812" w:rsidRDefault="4BAA7215" w:rsidP="00231F2B">
      <w:pPr>
        <w:pStyle w:val="Bulletlist"/>
        <w:ind w:left="270" w:hanging="270"/>
        <w:jc w:val="both"/>
      </w:pPr>
      <w:r w:rsidRPr="002B6812">
        <w:t xml:space="preserve">Microsoft </w:t>
      </w:r>
      <w:r w:rsidR="000F0D89" w:rsidRPr="002B6812">
        <w:t>d</w:t>
      </w:r>
      <w:r w:rsidR="00396594" w:rsidRPr="002B6812">
        <w:t xml:space="preserve">elivery </w:t>
      </w:r>
      <w:r w:rsidR="000F0D89" w:rsidRPr="002B6812">
        <w:t>m</w:t>
      </w:r>
      <w:r w:rsidR="00396594" w:rsidRPr="002B6812">
        <w:t>anager</w:t>
      </w:r>
    </w:p>
    <w:p w14:paraId="0D256A8F" w14:textId="1DCC70F6" w:rsidR="00892C8C" w:rsidRPr="002B6812" w:rsidRDefault="4BAA7215" w:rsidP="00231F2B">
      <w:pPr>
        <w:pStyle w:val="Bulletlist"/>
        <w:ind w:left="270" w:hanging="270"/>
        <w:jc w:val="both"/>
      </w:pPr>
      <w:r w:rsidRPr="002B6812">
        <w:t xml:space="preserve">Microsoft and the </w:t>
      </w:r>
      <w:r w:rsidR="004744AF" w:rsidRPr="002B6812">
        <w:t>Customer</w:t>
      </w:r>
      <w:r w:rsidRPr="002B6812">
        <w:t xml:space="preserve"> </w:t>
      </w:r>
      <w:r w:rsidR="00396594" w:rsidRPr="002B6812">
        <w:t>project sponsor</w:t>
      </w:r>
    </w:p>
    <w:p w14:paraId="11054783" w14:textId="59D10DE0" w:rsidR="00AB4D70" w:rsidRPr="002B6812" w:rsidRDefault="00AB4D70" w:rsidP="00231F2B">
      <w:pPr>
        <w:pStyle w:val="Heading2"/>
        <w:jc w:val="both"/>
      </w:pPr>
      <w:bookmarkStart w:id="108" w:name="_Toc476167711"/>
      <w:bookmarkStart w:id="109" w:name="_Toc476168049"/>
      <w:bookmarkStart w:id="110" w:name="_Toc514413047"/>
      <w:bookmarkStart w:id="111" w:name="_Toc517762003"/>
      <w:bookmarkStart w:id="112" w:name="_Toc31291371"/>
      <w:r w:rsidRPr="002B6812">
        <w:t>Project completion</w:t>
      </w:r>
      <w:bookmarkEnd w:id="108"/>
      <w:bookmarkEnd w:id="109"/>
      <w:bookmarkEnd w:id="110"/>
      <w:bookmarkEnd w:id="111"/>
      <w:bookmarkEnd w:id="112"/>
    </w:p>
    <w:p w14:paraId="3B607A69" w14:textId="19DB6D3C" w:rsidR="00AB4D70" w:rsidRPr="003B7EF1" w:rsidRDefault="00884E0D" w:rsidP="00231F2B">
      <w:pPr>
        <w:pStyle w:val="Optional"/>
        <w:jc w:val="both"/>
        <w:rPr>
          <w:color w:val="auto"/>
        </w:rPr>
      </w:pPr>
      <w:r w:rsidRPr="003B7EF1">
        <w:rPr>
          <w:color w:val="auto"/>
        </w:rPr>
        <w:t xml:space="preserve">Microsoft will provide </w:t>
      </w:r>
      <w:r w:rsidR="00140C9E" w:rsidRPr="003B7EF1">
        <w:rPr>
          <w:color w:val="auto"/>
        </w:rPr>
        <w:t>S</w:t>
      </w:r>
      <w:r w:rsidR="00AB4D70" w:rsidRPr="003B7EF1">
        <w:rPr>
          <w:color w:val="auto"/>
        </w:rPr>
        <w:t>ervices defined in this S</w:t>
      </w:r>
      <w:r w:rsidR="00E40CE7" w:rsidRPr="003B7EF1">
        <w:rPr>
          <w:color w:val="auto"/>
        </w:rPr>
        <w:t>OW</w:t>
      </w:r>
      <w:r w:rsidR="00AB4D70" w:rsidRPr="003B7EF1">
        <w:rPr>
          <w:color w:val="auto"/>
        </w:rPr>
        <w:t xml:space="preserve"> to the ext</w:t>
      </w:r>
      <w:r w:rsidR="00DE1F95" w:rsidRPr="003B7EF1">
        <w:rPr>
          <w:color w:val="auto"/>
        </w:rPr>
        <w:t>ent of the fees</w:t>
      </w:r>
      <w:r w:rsidR="00AB4D70" w:rsidRPr="003B7EF1">
        <w:rPr>
          <w:color w:val="auto"/>
        </w:rPr>
        <w:t xml:space="preserve"> available and the term specified in the Work Order. If addition</w:t>
      </w:r>
      <w:r w:rsidRPr="003B7EF1">
        <w:rPr>
          <w:color w:val="auto"/>
        </w:rPr>
        <w:t xml:space="preserve">al </w:t>
      </w:r>
      <w:r w:rsidR="00590C71" w:rsidRPr="003B7EF1">
        <w:rPr>
          <w:color w:val="auto"/>
        </w:rPr>
        <w:t>S</w:t>
      </w:r>
      <w:r w:rsidR="00AB4D70" w:rsidRPr="003B7EF1">
        <w:rPr>
          <w:color w:val="auto"/>
        </w:rPr>
        <w:t xml:space="preserve">ervices are required, the </w:t>
      </w:r>
      <w:r w:rsidR="00A11E61" w:rsidRPr="003B7EF1">
        <w:rPr>
          <w:color w:val="auto"/>
        </w:rPr>
        <w:fldChar w:fldCharType="begin"/>
      </w:r>
      <w:r w:rsidR="00A11E61" w:rsidRPr="003B7EF1">
        <w:rPr>
          <w:color w:val="auto"/>
        </w:rPr>
        <w:instrText xml:space="preserve"> REF _Ref477934302 \h </w:instrText>
      </w:r>
      <w:r w:rsidR="00231F2B">
        <w:rPr>
          <w:color w:val="auto"/>
        </w:rPr>
        <w:instrText xml:space="preserve"> \* MERGEFORMAT </w:instrText>
      </w:r>
      <w:r w:rsidR="00A11E61" w:rsidRPr="003B7EF1">
        <w:rPr>
          <w:color w:val="auto"/>
        </w:rPr>
      </w:r>
      <w:r w:rsidR="00A11E61" w:rsidRPr="003B7EF1">
        <w:rPr>
          <w:color w:val="auto"/>
        </w:rPr>
        <w:fldChar w:fldCharType="separate"/>
      </w:r>
      <w:r w:rsidR="00812548" w:rsidRPr="003B7EF1">
        <w:rPr>
          <w:color w:val="auto"/>
        </w:rPr>
        <w:t>Change management process</w:t>
      </w:r>
      <w:r w:rsidR="00A11E61" w:rsidRPr="003B7EF1">
        <w:rPr>
          <w:color w:val="auto"/>
        </w:rPr>
        <w:fldChar w:fldCharType="end"/>
      </w:r>
      <w:r w:rsidR="00A11E61" w:rsidRPr="003B7EF1">
        <w:rPr>
          <w:color w:val="auto"/>
        </w:rPr>
        <w:t xml:space="preserve"> </w:t>
      </w:r>
      <w:r w:rsidR="00AB4D70" w:rsidRPr="003B7EF1">
        <w:rPr>
          <w:color w:val="auto"/>
        </w:rPr>
        <w:t xml:space="preserve">will be followed and the contract modified. The project will be considered complete </w:t>
      </w:r>
      <w:r w:rsidR="00152B24" w:rsidRPr="003B7EF1">
        <w:rPr>
          <w:color w:val="auto"/>
        </w:rPr>
        <w:t xml:space="preserve">when </w:t>
      </w:r>
      <w:r w:rsidR="00A11E61" w:rsidRPr="003B7EF1">
        <w:rPr>
          <w:color w:val="auto"/>
        </w:rPr>
        <w:t xml:space="preserve">at least one </w:t>
      </w:r>
      <w:r w:rsidR="00152B24" w:rsidRPr="003B7EF1">
        <w:rPr>
          <w:color w:val="auto"/>
        </w:rPr>
        <w:t xml:space="preserve">of the following conditions </w:t>
      </w:r>
      <w:r w:rsidR="00A11E61" w:rsidRPr="003B7EF1">
        <w:rPr>
          <w:color w:val="auto"/>
        </w:rPr>
        <w:t xml:space="preserve">has been </w:t>
      </w:r>
      <w:r w:rsidR="00152B24" w:rsidRPr="003B7EF1">
        <w:rPr>
          <w:color w:val="auto"/>
        </w:rPr>
        <w:t>met:</w:t>
      </w:r>
    </w:p>
    <w:p w14:paraId="7F44ECED" w14:textId="77777777" w:rsidR="00152B24" w:rsidRPr="003B7EF1" w:rsidRDefault="4BAA7215" w:rsidP="00231F2B">
      <w:pPr>
        <w:pStyle w:val="Bulletlist"/>
        <w:ind w:left="270" w:hanging="270"/>
        <w:jc w:val="both"/>
      </w:pPr>
      <w:r w:rsidRPr="003B7EF1">
        <w:t>All fees available have been utilized for Services delivered and expenses incurred.</w:t>
      </w:r>
    </w:p>
    <w:p w14:paraId="124237B0" w14:textId="77777777" w:rsidR="00152B24" w:rsidRPr="003B7EF1" w:rsidRDefault="4BAA7215" w:rsidP="00231F2B">
      <w:pPr>
        <w:pStyle w:val="Bulletlist"/>
        <w:ind w:left="270" w:hanging="270"/>
        <w:jc w:val="both"/>
      </w:pPr>
      <w:r w:rsidRPr="003B7EF1">
        <w:t>The term of the project has expired.</w:t>
      </w:r>
    </w:p>
    <w:p w14:paraId="115F0A85" w14:textId="77777777" w:rsidR="00152B24" w:rsidRPr="003B7EF1" w:rsidRDefault="4BAA7215" w:rsidP="00231F2B">
      <w:pPr>
        <w:pStyle w:val="Bulletlist"/>
        <w:ind w:left="270" w:hanging="270"/>
        <w:jc w:val="both"/>
      </w:pPr>
      <w:r w:rsidRPr="003B7EF1">
        <w:t>All Microsoft activities and in-scope items have been completed.</w:t>
      </w:r>
    </w:p>
    <w:p w14:paraId="062350E9" w14:textId="77777777" w:rsidR="00152B24" w:rsidRPr="003B7EF1" w:rsidRDefault="4BAA7215" w:rsidP="00231F2B">
      <w:pPr>
        <w:pStyle w:val="Bulletlist"/>
        <w:ind w:left="270" w:hanging="270"/>
        <w:jc w:val="both"/>
      </w:pPr>
      <w:r w:rsidRPr="003B7EF1">
        <w:t>The Work Order has been terminated.</w:t>
      </w:r>
    </w:p>
    <w:p w14:paraId="29882AFF" w14:textId="39E9DDF2" w:rsidR="00152B24" w:rsidRPr="002B6812" w:rsidRDefault="00152B24" w:rsidP="00231F2B">
      <w:pPr>
        <w:pStyle w:val="Heading1"/>
        <w:jc w:val="both"/>
      </w:pPr>
      <w:bookmarkStart w:id="113" w:name="_Toc476167712"/>
      <w:bookmarkStart w:id="114" w:name="_Toc476168050"/>
      <w:bookmarkStart w:id="115" w:name="_Toc514413048"/>
      <w:bookmarkStart w:id="116" w:name="_Toc517762004"/>
      <w:bookmarkStart w:id="117" w:name="_Toc31291372"/>
      <w:r w:rsidRPr="002B6812">
        <w:t>Project organization</w:t>
      </w:r>
      <w:bookmarkEnd w:id="113"/>
      <w:bookmarkEnd w:id="114"/>
      <w:bookmarkEnd w:id="115"/>
      <w:bookmarkEnd w:id="116"/>
      <w:bookmarkEnd w:id="117"/>
    </w:p>
    <w:p w14:paraId="67E63C12" w14:textId="7F8D4FFA" w:rsidR="00C84DD9" w:rsidRPr="002B6812" w:rsidRDefault="00C84DD9" w:rsidP="00231F2B">
      <w:pPr>
        <w:pStyle w:val="Heading2"/>
        <w:jc w:val="both"/>
      </w:pPr>
      <w:bookmarkStart w:id="118" w:name="_Toc476167713"/>
      <w:bookmarkStart w:id="119" w:name="_Toc476168051"/>
      <w:bookmarkStart w:id="120" w:name="_Toc514413049"/>
      <w:bookmarkStart w:id="121" w:name="_Toc517762005"/>
      <w:bookmarkStart w:id="122" w:name="_Toc31291373"/>
      <w:r w:rsidRPr="002B6812">
        <w:t>Project roles and responsibilities</w:t>
      </w:r>
      <w:bookmarkEnd w:id="118"/>
      <w:bookmarkEnd w:id="119"/>
      <w:bookmarkEnd w:id="120"/>
      <w:bookmarkEnd w:id="121"/>
      <w:bookmarkEnd w:id="122"/>
    </w:p>
    <w:p w14:paraId="26887B5C" w14:textId="79CA8B05" w:rsidR="0049395D" w:rsidRPr="002B6812" w:rsidRDefault="4BAA7215" w:rsidP="00231F2B">
      <w:pPr>
        <w:jc w:val="both"/>
      </w:pPr>
      <w:r w:rsidRPr="002B6812">
        <w:t>The key project roles and the responsibilities are as follows.</w:t>
      </w:r>
    </w:p>
    <w:p w14:paraId="5CF12EF8" w14:textId="4079B9D3" w:rsidR="0049395D" w:rsidRPr="002B6812" w:rsidRDefault="004744AF" w:rsidP="00231F2B">
      <w:pPr>
        <w:pStyle w:val="Heading4"/>
        <w:jc w:val="both"/>
      </w:pPr>
      <w:r w:rsidRPr="002B6812">
        <w:t>Customer</w:t>
      </w:r>
    </w:p>
    <w:tbl>
      <w:tblPr>
        <w:tblStyle w:val="TableGrid1"/>
        <w:tblW w:w="9357"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885"/>
        <w:gridCol w:w="1575"/>
        <w:gridCol w:w="4897"/>
      </w:tblGrid>
      <w:tr w:rsidR="009D355E" w:rsidRPr="002B6812" w14:paraId="19652D9A" w14:textId="77777777" w:rsidTr="006E141B">
        <w:trPr>
          <w:trHeight w:val="363"/>
          <w:tblHeader/>
        </w:trPr>
        <w:tc>
          <w:tcPr>
            <w:tcW w:w="2885" w:type="dxa"/>
            <w:shd w:val="clear" w:color="auto" w:fill="008272"/>
          </w:tcPr>
          <w:p w14:paraId="2BA3C2ED" w14:textId="77777777" w:rsidR="009D355E" w:rsidRPr="002B6812" w:rsidRDefault="009D355E" w:rsidP="00231F2B">
            <w:pPr>
              <w:pStyle w:val="Table-Header"/>
              <w:jc w:val="both"/>
            </w:pPr>
            <w:r w:rsidRPr="002B6812">
              <w:t>Role</w:t>
            </w:r>
          </w:p>
        </w:tc>
        <w:tc>
          <w:tcPr>
            <w:tcW w:w="1575" w:type="dxa"/>
            <w:shd w:val="clear" w:color="auto" w:fill="008272"/>
          </w:tcPr>
          <w:p w14:paraId="4479C7FA" w14:textId="77777777" w:rsidR="009D355E" w:rsidRPr="002B6812" w:rsidRDefault="009D355E" w:rsidP="00231F2B">
            <w:pPr>
              <w:pStyle w:val="Table-Header"/>
              <w:jc w:val="both"/>
            </w:pPr>
            <w:r w:rsidRPr="002B6812">
              <w:t>Component ID(s)</w:t>
            </w:r>
          </w:p>
        </w:tc>
        <w:tc>
          <w:tcPr>
            <w:tcW w:w="4897" w:type="dxa"/>
            <w:shd w:val="clear" w:color="auto" w:fill="008272"/>
          </w:tcPr>
          <w:p w14:paraId="0EF99F69" w14:textId="77777777" w:rsidR="009D355E" w:rsidRPr="002B6812" w:rsidRDefault="009D355E" w:rsidP="00231F2B">
            <w:pPr>
              <w:pStyle w:val="Table-Header"/>
              <w:jc w:val="both"/>
            </w:pPr>
            <w:r w:rsidRPr="002B6812">
              <w:t>Responsibilities</w:t>
            </w:r>
          </w:p>
        </w:tc>
      </w:tr>
      <w:tr w:rsidR="009D355E" w:rsidRPr="002B6812" w14:paraId="18494951" w14:textId="77777777" w:rsidTr="006E141B">
        <w:trPr>
          <w:trHeight w:val="436"/>
        </w:trPr>
        <w:tc>
          <w:tcPr>
            <w:tcW w:w="2885" w:type="dxa"/>
          </w:tcPr>
          <w:p w14:paraId="59933819" w14:textId="77777777" w:rsidR="009D355E" w:rsidRPr="002B6812" w:rsidRDefault="009D355E" w:rsidP="00231F2B">
            <w:pPr>
              <w:pStyle w:val="TableText"/>
              <w:jc w:val="both"/>
            </w:pPr>
            <w:r w:rsidRPr="002B6812">
              <w:t>Project sponsor</w:t>
            </w:r>
          </w:p>
        </w:tc>
        <w:tc>
          <w:tcPr>
            <w:tcW w:w="1575" w:type="dxa"/>
          </w:tcPr>
          <w:p w14:paraId="7FDBF809" w14:textId="77777777" w:rsidR="009D355E" w:rsidRPr="002B6812" w:rsidRDefault="00847649" w:rsidP="00231F2B">
            <w:pPr>
              <w:pStyle w:val="TableBullet1"/>
              <w:numPr>
                <w:ilvl w:val="0"/>
                <w:numId w:val="0"/>
              </w:numPr>
              <w:ind w:left="360" w:hanging="360"/>
              <w:jc w:val="both"/>
            </w:pPr>
            <w:r w:rsidRPr="002B6812">
              <w:t>All</w:t>
            </w:r>
          </w:p>
        </w:tc>
        <w:tc>
          <w:tcPr>
            <w:tcW w:w="4897" w:type="dxa"/>
            <w:shd w:val="clear" w:color="auto" w:fill="auto"/>
          </w:tcPr>
          <w:p w14:paraId="34C7731F" w14:textId="5C9442B3" w:rsidR="009D355E" w:rsidRPr="002B6812" w:rsidRDefault="009D355E" w:rsidP="00231F2B">
            <w:pPr>
              <w:pStyle w:val="TableBullet1"/>
              <w:spacing w:after="0"/>
              <w:contextualSpacing w:val="0"/>
              <w:jc w:val="both"/>
            </w:pPr>
            <w:r w:rsidRPr="002B6812">
              <w:t xml:space="preserve">Provide the estimated project commitment: </w:t>
            </w:r>
            <w:r w:rsidR="006501EC">
              <w:t>16h per week</w:t>
            </w:r>
          </w:p>
          <w:p w14:paraId="62983DDB" w14:textId="1864EE19" w:rsidR="009D355E" w:rsidRPr="002B6812" w:rsidRDefault="009D355E" w:rsidP="00231F2B">
            <w:pPr>
              <w:pStyle w:val="TableBullet1"/>
              <w:jc w:val="both"/>
            </w:pPr>
            <w:r w:rsidRPr="002B6812">
              <w:t>Make key project decisions</w:t>
            </w:r>
            <w:r w:rsidR="00667A31" w:rsidRPr="002B6812">
              <w:t>.</w:t>
            </w:r>
          </w:p>
          <w:p w14:paraId="0589F359" w14:textId="4568BA01" w:rsidR="009D355E" w:rsidRPr="002B6812" w:rsidRDefault="009D355E" w:rsidP="00231F2B">
            <w:pPr>
              <w:pStyle w:val="TableBullet1"/>
              <w:jc w:val="both"/>
            </w:pPr>
            <w:r w:rsidRPr="002B6812">
              <w:t>Serve as a point of escalation to support clearing project roadblocks</w:t>
            </w:r>
            <w:r w:rsidR="002F0F2C" w:rsidRPr="002B6812">
              <w:t>.</w:t>
            </w:r>
          </w:p>
        </w:tc>
      </w:tr>
      <w:tr w:rsidR="009D355E" w:rsidRPr="002B6812" w14:paraId="3B2ED236" w14:textId="77777777" w:rsidTr="006E141B">
        <w:trPr>
          <w:trHeight w:val="436"/>
        </w:trPr>
        <w:tc>
          <w:tcPr>
            <w:tcW w:w="2885" w:type="dxa"/>
          </w:tcPr>
          <w:p w14:paraId="4E8E73CE" w14:textId="1CD491FF" w:rsidR="009D355E" w:rsidRPr="002B6812" w:rsidRDefault="009D355E" w:rsidP="00231F2B">
            <w:pPr>
              <w:pStyle w:val="TableText"/>
              <w:jc w:val="both"/>
            </w:pPr>
            <w:r w:rsidRPr="002B6812">
              <w:t xml:space="preserve">Project </w:t>
            </w:r>
            <w:r w:rsidR="00667A31" w:rsidRPr="002B6812">
              <w:t>manager</w:t>
            </w:r>
          </w:p>
        </w:tc>
        <w:tc>
          <w:tcPr>
            <w:tcW w:w="1575" w:type="dxa"/>
          </w:tcPr>
          <w:p w14:paraId="49FD7556" w14:textId="40C1D68C" w:rsidR="009D355E" w:rsidRPr="002B6812" w:rsidRDefault="00847649" w:rsidP="00231F2B">
            <w:pPr>
              <w:pStyle w:val="TableBullet1"/>
              <w:numPr>
                <w:ilvl w:val="0"/>
                <w:numId w:val="0"/>
              </w:numPr>
              <w:ind w:left="360" w:hanging="360"/>
              <w:jc w:val="both"/>
            </w:pPr>
            <w:r w:rsidRPr="002B6812">
              <w:t>All</w:t>
            </w:r>
            <w:r w:rsidR="005337FE" w:rsidRPr="002B6812">
              <w:t xml:space="preserve"> </w:t>
            </w:r>
          </w:p>
        </w:tc>
        <w:tc>
          <w:tcPr>
            <w:tcW w:w="4897" w:type="dxa"/>
            <w:shd w:val="clear" w:color="auto" w:fill="auto"/>
          </w:tcPr>
          <w:p w14:paraId="1B8B335E" w14:textId="0C895AFB" w:rsidR="009D355E" w:rsidRPr="002B6812" w:rsidRDefault="009D355E" w:rsidP="00231F2B">
            <w:pPr>
              <w:pStyle w:val="TableBullet1"/>
              <w:spacing w:after="0"/>
              <w:contextualSpacing w:val="0"/>
              <w:jc w:val="both"/>
            </w:pPr>
            <w:r w:rsidRPr="002B6812">
              <w:t xml:space="preserve">Provide the estimated project commitment: </w:t>
            </w:r>
            <w:r w:rsidR="006501EC">
              <w:t>8h per week</w:t>
            </w:r>
          </w:p>
          <w:p w14:paraId="463E6FCB" w14:textId="706ADB22" w:rsidR="009D355E" w:rsidRPr="002B6812" w:rsidRDefault="009D355E" w:rsidP="00231F2B">
            <w:pPr>
              <w:pStyle w:val="TableBullet1"/>
              <w:jc w:val="both"/>
            </w:pPr>
            <w:r w:rsidRPr="002B6812">
              <w:t xml:space="preserve">Serve as </w:t>
            </w:r>
            <w:r w:rsidR="0059592D">
              <w:t xml:space="preserve">the </w:t>
            </w:r>
            <w:r w:rsidRPr="002B6812">
              <w:t>primary point of contact for the Microsoft team</w:t>
            </w:r>
            <w:r w:rsidR="00667A31" w:rsidRPr="002B6812">
              <w:t>.</w:t>
            </w:r>
          </w:p>
          <w:p w14:paraId="6453A5FF" w14:textId="2754A434" w:rsidR="009D355E" w:rsidRPr="002B6812" w:rsidRDefault="009D355E" w:rsidP="00231F2B">
            <w:pPr>
              <w:pStyle w:val="TableBullet1"/>
              <w:jc w:val="both"/>
            </w:pPr>
            <w:r w:rsidRPr="002B6812">
              <w:t>Manage the overall project</w:t>
            </w:r>
            <w:r w:rsidR="00667A31" w:rsidRPr="002B6812">
              <w:t>.</w:t>
            </w:r>
          </w:p>
          <w:p w14:paraId="78140D03" w14:textId="73762C02" w:rsidR="009D355E" w:rsidRPr="002B6812" w:rsidRDefault="009D355E" w:rsidP="00231F2B">
            <w:pPr>
              <w:pStyle w:val="TableBullet1"/>
              <w:jc w:val="both"/>
            </w:pPr>
            <w:r w:rsidRPr="002B6812">
              <w:t>Deliver the project on schedule</w:t>
            </w:r>
            <w:r w:rsidR="00667A31" w:rsidRPr="002B6812">
              <w:t>.</w:t>
            </w:r>
          </w:p>
          <w:p w14:paraId="60A263E1" w14:textId="1780D4FC" w:rsidR="005337FE" w:rsidRPr="002B6812" w:rsidRDefault="009D355E" w:rsidP="00231F2B">
            <w:pPr>
              <w:pStyle w:val="TableBullet1"/>
              <w:jc w:val="both"/>
              <w:rPr>
                <w:iCs/>
              </w:rPr>
            </w:pPr>
            <w:r w:rsidRPr="002B6812">
              <w:t xml:space="preserve">Take responsibility for </w:t>
            </w:r>
            <w:r w:rsidR="004744AF" w:rsidRPr="002B6812">
              <w:t>Customer</w:t>
            </w:r>
            <w:r w:rsidRPr="002B6812">
              <w:t xml:space="preserve"> resource allocation, risk management, and project priorities</w:t>
            </w:r>
            <w:r w:rsidR="00667A31" w:rsidRPr="002B6812">
              <w:t>.</w:t>
            </w:r>
          </w:p>
          <w:p w14:paraId="35027AD3" w14:textId="0E2B3578" w:rsidR="009D355E" w:rsidRPr="002B6812" w:rsidRDefault="009D355E" w:rsidP="00231F2B">
            <w:pPr>
              <w:pStyle w:val="TableBullet1"/>
              <w:jc w:val="both"/>
            </w:pPr>
            <w:r w:rsidRPr="002B6812">
              <w:t>Communicate with executive stakeholders</w:t>
            </w:r>
            <w:r w:rsidR="00995F02" w:rsidRPr="002B6812">
              <w:t>.</w:t>
            </w:r>
          </w:p>
        </w:tc>
      </w:tr>
      <w:tr w:rsidR="00CB326D" w:rsidRPr="002B6812" w14:paraId="032376B6" w14:textId="77777777" w:rsidTr="006E141B">
        <w:trPr>
          <w:trHeight w:val="436"/>
        </w:trPr>
        <w:tc>
          <w:tcPr>
            <w:tcW w:w="2885" w:type="dxa"/>
          </w:tcPr>
          <w:p w14:paraId="689F0462" w14:textId="781F8DB9" w:rsidR="00CB326D" w:rsidRPr="002B6812" w:rsidRDefault="006E141B" w:rsidP="00231F2B">
            <w:pPr>
              <w:pStyle w:val="TableText"/>
              <w:jc w:val="both"/>
            </w:pPr>
            <w:r w:rsidRPr="002B6812">
              <w:rPr>
                <w:iCs/>
              </w:rPr>
              <w:lastRenderedPageBreak/>
              <w:t>Office 365 (or related communication</w:t>
            </w:r>
            <w:r w:rsidR="00C03967">
              <w:rPr>
                <w:iCs/>
              </w:rPr>
              <w:t xml:space="preserve"> or </w:t>
            </w:r>
            <w:r w:rsidRPr="002B6812">
              <w:rPr>
                <w:iCs/>
              </w:rPr>
              <w:t>collaboration) product manager</w:t>
            </w:r>
          </w:p>
        </w:tc>
        <w:tc>
          <w:tcPr>
            <w:tcW w:w="1575" w:type="dxa"/>
          </w:tcPr>
          <w:p w14:paraId="37780C34" w14:textId="31A1534D" w:rsidR="00CB326D" w:rsidRPr="002B6812" w:rsidRDefault="006E141B" w:rsidP="00231F2B">
            <w:pPr>
              <w:pStyle w:val="TableBullet1"/>
              <w:numPr>
                <w:ilvl w:val="0"/>
                <w:numId w:val="0"/>
              </w:numPr>
              <w:jc w:val="both"/>
            </w:pPr>
            <w:r w:rsidRPr="002B6812">
              <w:t>OAI</w:t>
            </w:r>
            <w:r w:rsidR="00CB326D" w:rsidRPr="002B6812">
              <w:t>-01</w:t>
            </w:r>
            <w:r w:rsidR="00D46850" w:rsidRPr="002B6812">
              <w:t>, SCG-01</w:t>
            </w:r>
            <w:r w:rsidR="005B2FEF" w:rsidRPr="002B6812">
              <w:t>, OAG-01</w:t>
            </w:r>
            <w:r w:rsidR="00CF0717" w:rsidRPr="002B6812">
              <w:t>, OOG-01</w:t>
            </w:r>
          </w:p>
        </w:tc>
        <w:tc>
          <w:tcPr>
            <w:tcW w:w="4897" w:type="dxa"/>
            <w:shd w:val="clear" w:color="auto" w:fill="auto"/>
          </w:tcPr>
          <w:p w14:paraId="7AB67704" w14:textId="6D8CE020" w:rsidR="006E141B" w:rsidRPr="002B6812" w:rsidRDefault="006E141B" w:rsidP="00231F2B">
            <w:pPr>
              <w:pStyle w:val="TableBullet1"/>
              <w:jc w:val="both"/>
            </w:pPr>
            <w:r w:rsidRPr="002B6812">
              <w:rPr>
                <w:iCs/>
              </w:rPr>
              <w:t>Participate in workshops and provide requirements related to the organization's existing and planned communication and collaboration service offerings</w:t>
            </w:r>
            <w:r w:rsidR="00CF0717" w:rsidRPr="002B6812">
              <w:rPr>
                <w:iCs/>
              </w:rPr>
              <w:t>.</w:t>
            </w:r>
          </w:p>
          <w:p w14:paraId="00100F31" w14:textId="16028BB6" w:rsidR="00CB326D" w:rsidRPr="002B6812" w:rsidRDefault="006E141B" w:rsidP="00231F2B">
            <w:pPr>
              <w:pStyle w:val="TableBullet1"/>
              <w:jc w:val="both"/>
            </w:pPr>
            <w:r w:rsidRPr="002B6812">
              <w:rPr>
                <w:iCs/>
              </w:rPr>
              <w:t>Assist with decision making and directives development.</w:t>
            </w:r>
          </w:p>
        </w:tc>
      </w:tr>
      <w:tr w:rsidR="00D46850" w:rsidRPr="002B6812" w14:paraId="1D642C6B" w14:textId="77777777" w:rsidTr="006E141B">
        <w:trPr>
          <w:trHeight w:val="436"/>
        </w:trPr>
        <w:tc>
          <w:tcPr>
            <w:tcW w:w="2885" w:type="dxa"/>
          </w:tcPr>
          <w:p w14:paraId="028DE888" w14:textId="507F1772" w:rsidR="00D46850" w:rsidRPr="002B6812" w:rsidRDefault="00D46850" w:rsidP="00231F2B">
            <w:pPr>
              <w:pStyle w:val="TableText"/>
              <w:spacing w:before="0" w:after="0"/>
              <w:jc w:val="both"/>
            </w:pPr>
            <w:r w:rsidRPr="002B6812">
              <w:rPr>
                <w:iCs/>
              </w:rPr>
              <w:t>Office 365 (or related communication</w:t>
            </w:r>
            <w:r w:rsidR="00C03967">
              <w:rPr>
                <w:iCs/>
              </w:rPr>
              <w:t xml:space="preserve"> or </w:t>
            </w:r>
            <w:r w:rsidRPr="002B6812">
              <w:rPr>
                <w:iCs/>
              </w:rPr>
              <w:t>collaboration) infrastructure lead</w:t>
            </w:r>
          </w:p>
        </w:tc>
        <w:tc>
          <w:tcPr>
            <w:tcW w:w="1575" w:type="dxa"/>
          </w:tcPr>
          <w:p w14:paraId="191E6452" w14:textId="08C908C7" w:rsidR="00D46850" w:rsidRPr="002B6812" w:rsidRDefault="00D46850" w:rsidP="00231F2B">
            <w:pPr>
              <w:pStyle w:val="TableBullet1"/>
              <w:numPr>
                <w:ilvl w:val="0"/>
                <w:numId w:val="0"/>
              </w:numPr>
              <w:jc w:val="both"/>
            </w:pPr>
            <w:r w:rsidRPr="002B6812">
              <w:t>OAI-01, SCG-01</w:t>
            </w:r>
            <w:r w:rsidR="005B2FEF" w:rsidRPr="002B6812">
              <w:t>, OAG-01</w:t>
            </w:r>
            <w:r w:rsidR="00CF0717" w:rsidRPr="002B6812">
              <w:t>, OOG-01</w:t>
            </w:r>
          </w:p>
        </w:tc>
        <w:tc>
          <w:tcPr>
            <w:tcW w:w="4897" w:type="dxa"/>
            <w:shd w:val="clear" w:color="auto" w:fill="auto"/>
          </w:tcPr>
          <w:p w14:paraId="4F3E8376" w14:textId="36B358F1" w:rsidR="00D46850" w:rsidRPr="002B6812" w:rsidRDefault="00D46850" w:rsidP="00231F2B">
            <w:pPr>
              <w:pStyle w:val="TableBullet1"/>
              <w:jc w:val="both"/>
            </w:pPr>
            <w:r w:rsidRPr="002B6812">
              <w:rPr>
                <w:iCs/>
              </w:rPr>
              <w:t>Participate in workshops and provide requirements related to the organization's existing and planned communication and collaboration infrastructure</w:t>
            </w:r>
            <w:r w:rsidR="00CF0717" w:rsidRPr="002B6812">
              <w:rPr>
                <w:iCs/>
              </w:rPr>
              <w:t>, and operations</w:t>
            </w:r>
            <w:r w:rsidRPr="002B6812">
              <w:rPr>
                <w:iCs/>
              </w:rPr>
              <w:t>.</w:t>
            </w:r>
          </w:p>
          <w:p w14:paraId="70A8F8F8" w14:textId="179877F4" w:rsidR="00D46850" w:rsidRPr="002B6812" w:rsidRDefault="00D46850" w:rsidP="00231F2B">
            <w:pPr>
              <w:pStyle w:val="TableBullet1"/>
              <w:jc w:val="both"/>
            </w:pPr>
            <w:r w:rsidRPr="002B6812">
              <w:rPr>
                <w:iCs/>
              </w:rPr>
              <w:t>Assist with decision making and directives development.</w:t>
            </w:r>
          </w:p>
        </w:tc>
      </w:tr>
      <w:tr w:rsidR="00D46850" w:rsidRPr="002B6812" w14:paraId="415DBA4B" w14:textId="77777777" w:rsidTr="006E141B">
        <w:trPr>
          <w:trHeight w:val="436"/>
        </w:trPr>
        <w:tc>
          <w:tcPr>
            <w:tcW w:w="2885" w:type="dxa"/>
          </w:tcPr>
          <w:p w14:paraId="2331AC68" w14:textId="3FD3E97B" w:rsidR="00D46850" w:rsidRPr="002B6812" w:rsidRDefault="00D46850" w:rsidP="00231F2B">
            <w:pPr>
              <w:pStyle w:val="TableText"/>
              <w:spacing w:before="0" w:after="0"/>
              <w:jc w:val="both"/>
              <w:rPr>
                <w:iCs/>
              </w:rPr>
            </w:pPr>
            <w:r w:rsidRPr="002B6812">
              <w:rPr>
                <w:iCs/>
              </w:rPr>
              <w:t>Office 365 (or related communication</w:t>
            </w:r>
            <w:r w:rsidR="00C03967">
              <w:rPr>
                <w:iCs/>
              </w:rPr>
              <w:t xml:space="preserve"> or </w:t>
            </w:r>
            <w:r w:rsidRPr="002B6812">
              <w:rPr>
                <w:iCs/>
              </w:rPr>
              <w:t>collaboration) security (or compliance) lead</w:t>
            </w:r>
          </w:p>
        </w:tc>
        <w:tc>
          <w:tcPr>
            <w:tcW w:w="1575" w:type="dxa"/>
          </w:tcPr>
          <w:p w14:paraId="43AFCBB3" w14:textId="04C62A7F" w:rsidR="00D46850" w:rsidRPr="002B6812" w:rsidRDefault="00D46850" w:rsidP="00231F2B">
            <w:pPr>
              <w:pStyle w:val="TableBullet1"/>
              <w:numPr>
                <w:ilvl w:val="0"/>
                <w:numId w:val="0"/>
              </w:numPr>
              <w:jc w:val="both"/>
            </w:pPr>
            <w:r w:rsidRPr="002B6812">
              <w:t>OAI-01, SCG-01</w:t>
            </w:r>
            <w:r w:rsidR="005B2FEF" w:rsidRPr="002B6812">
              <w:t>, OAG-01</w:t>
            </w:r>
            <w:r w:rsidR="00CF0717" w:rsidRPr="002B6812">
              <w:t>, OOG-01</w:t>
            </w:r>
          </w:p>
        </w:tc>
        <w:tc>
          <w:tcPr>
            <w:tcW w:w="4897" w:type="dxa"/>
            <w:shd w:val="clear" w:color="auto" w:fill="auto"/>
          </w:tcPr>
          <w:p w14:paraId="02E6497D" w14:textId="3FB0DE9D" w:rsidR="00D46850" w:rsidRPr="002B6812" w:rsidRDefault="00D46850" w:rsidP="00231F2B">
            <w:pPr>
              <w:pStyle w:val="TableBullet1"/>
              <w:jc w:val="both"/>
              <w:rPr>
                <w:iCs/>
              </w:rPr>
            </w:pPr>
            <w:r w:rsidRPr="002B6812">
              <w:rPr>
                <w:iCs/>
              </w:rPr>
              <w:t>Participate in workshops and provide requirements related to the organization's high-level security and compliance requirements.</w:t>
            </w:r>
          </w:p>
          <w:p w14:paraId="4A267B87" w14:textId="0A629477" w:rsidR="00D46850" w:rsidRPr="002B6812" w:rsidRDefault="00D46850" w:rsidP="00231F2B">
            <w:pPr>
              <w:pStyle w:val="TableBullet1"/>
              <w:jc w:val="both"/>
              <w:rPr>
                <w:iCs/>
              </w:rPr>
            </w:pPr>
            <w:r w:rsidRPr="002B6812">
              <w:rPr>
                <w:iCs/>
              </w:rPr>
              <w:t>Assist with decision making and directives development.</w:t>
            </w:r>
          </w:p>
        </w:tc>
      </w:tr>
      <w:tr w:rsidR="00D46850" w:rsidRPr="002B6812" w14:paraId="64DBC16D" w14:textId="77777777" w:rsidTr="006E141B">
        <w:trPr>
          <w:trHeight w:val="436"/>
        </w:trPr>
        <w:tc>
          <w:tcPr>
            <w:tcW w:w="2885" w:type="dxa"/>
          </w:tcPr>
          <w:p w14:paraId="553AD1C2" w14:textId="1358A8D9" w:rsidR="00D46850" w:rsidRPr="002B6812" w:rsidRDefault="00D46850" w:rsidP="00231F2B">
            <w:pPr>
              <w:pStyle w:val="TableText"/>
              <w:spacing w:before="0" w:after="0"/>
              <w:jc w:val="both"/>
              <w:rPr>
                <w:iCs/>
              </w:rPr>
            </w:pPr>
            <w:r w:rsidRPr="002B6812">
              <w:rPr>
                <w:iCs/>
              </w:rPr>
              <w:t>Office 365 (or related communication</w:t>
            </w:r>
            <w:r w:rsidR="00C03967">
              <w:rPr>
                <w:iCs/>
              </w:rPr>
              <w:t xml:space="preserve"> or </w:t>
            </w:r>
            <w:r w:rsidRPr="002B6812">
              <w:rPr>
                <w:iCs/>
              </w:rPr>
              <w:t xml:space="preserve">collaboration) </w:t>
            </w:r>
            <w:r w:rsidR="009E1199">
              <w:rPr>
                <w:iCs/>
              </w:rPr>
              <w:t>IA</w:t>
            </w:r>
            <w:r w:rsidRPr="002B6812">
              <w:rPr>
                <w:iCs/>
              </w:rPr>
              <w:t xml:space="preserve"> lead</w:t>
            </w:r>
          </w:p>
        </w:tc>
        <w:tc>
          <w:tcPr>
            <w:tcW w:w="1575" w:type="dxa"/>
          </w:tcPr>
          <w:p w14:paraId="4C8DE0E2" w14:textId="3DD85557" w:rsidR="00D46850" w:rsidRPr="002B6812" w:rsidRDefault="00D46850" w:rsidP="00231F2B">
            <w:pPr>
              <w:pStyle w:val="TableBullet1"/>
              <w:numPr>
                <w:ilvl w:val="0"/>
                <w:numId w:val="0"/>
              </w:numPr>
              <w:jc w:val="both"/>
            </w:pPr>
            <w:r w:rsidRPr="002B6812">
              <w:t>OAI-01, SCG-01</w:t>
            </w:r>
            <w:r w:rsidR="005B2FEF" w:rsidRPr="002B6812">
              <w:t>, OAG-01</w:t>
            </w:r>
            <w:r w:rsidR="00CF0717" w:rsidRPr="002B6812">
              <w:t>, OOG-01</w:t>
            </w:r>
          </w:p>
        </w:tc>
        <w:tc>
          <w:tcPr>
            <w:tcW w:w="4897" w:type="dxa"/>
            <w:shd w:val="clear" w:color="auto" w:fill="auto"/>
          </w:tcPr>
          <w:p w14:paraId="543133F4" w14:textId="4B523704" w:rsidR="00D46850" w:rsidRPr="002B6812" w:rsidRDefault="00D46850" w:rsidP="00231F2B">
            <w:pPr>
              <w:pStyle w:val="TableBullet1"/>
              <w:jc w:val="both"/>
              <w:rPr>
                <w:iCs/>
              </w:rPr>
            </w:pPr>
            <w:r w:rsidRPr="002B6812">
              <w:rPr>
                <w:iCs/>
              </w:rPr>
              <w:t>Participate in workshops and provide IA-specific requirements.</w:t>
            </w:r>
          </w:p>
          <w:p w14:paraId="79F91D08" w14:textId="48007264" w:rsidR="00D46850" w:rsidRPr="002B6812" w:rsidRDefault="00D46850" w:rsidP="00231F2B">
            <w:pPr>
              <w:pStyle w:val="TableBullet1"/>
              <w:jc w:val="both"/>
              <w:rPr>
                <w:iCs/>
              </w:rPr>
            </w:pPr>
            <w:r w:rsidRPr="002B6812">
              <w:rPr>
                <w:iCs/>
              </w:rPr>
              <w:t>Assist with decision making and directives development.</w:t>
            </w:r>
          </w:p>
        </w:tc>
      </w:tr>
      <w:tr w:rsidR="006E141B" w:rsidRPr="002B6812" w14:paraId="58756B21" w14:textId="77777777" w:rsidTr="006E141B">
        <w:trPr>
          <w:trHeight w:val="436"/>
        </w:trPr>
        <w:tc>
          <w:tcPr>
            <w:tcW w:w="2885" w:type="dxa"/>
          </w:tcPr>
          <w:p w14:paraId="25BD7EAC" w14:textId="2C157869" w:rsidR="006E141B" w:rsidRPr="002B6812" w:rsidRDefault="006E141B" w:rsidP="00231F2B">
            <w:pPr>
              <w:pStyle w:val="TableText"/>
              <w:spacing w:before="0" w:after="0"/>
              <w:jc w:val="both"/>
              <w:rPr>
                <w:iCs/>
              </w:rPr>
            </w:pPr>
            <w:r w:rsidRPr="002B6812">
              <w:rPr>
                <w:iCs/>
              </w:rPr>
              <w:t>Business representative</w:t>
            </w:r>
            <w:r w:rsidR="00166A06">
              <w:rPr>
                <w:iCs/>
              </w:rPr>
              <w:t xml:space="preserve"> or </w:t>
            </w:r>
            <w:r w:rsidRPr="002B6812">
              <w:rPr>
                <w:iCs/>
              </w:rPr>
              <w:t>liaison</w:t>
            </w:r>
          </w:p>
        </w:tc>
        <w:tc>
          <w:tcPr>
            <w:tcW w:w="1575" w:type="dxa"/>
          </w:tcPr>
          <w:p w14:paraId="71B16233" w14:textId="19814E3D" w:rsidR="006E141B" w:rsidRPr="002B6812" w:rsidRDefault="00D46850" w:rsidP="00231F2B">
            <w:pPr>
              <w:pStyle w:val="TableBullet1"/>
              <w:numPr>
                <w:ilvl w:val="0"/>
                <w:numId w:val="0"/>
              </w:numPr>
              <w:jc w:val="both"/>
            </w:pPr>
            <w:r w:rsidRPr="002B6812">
              <w:t>OAI-01, SCG-01</w:t>
            </w:r>
            <w:r w:rsidR="005B2FEF" w:rsidRPr="002B6812">
              <w:t>, OAG-01</w:t>
            </w:r>
            <w:r w:rsidR="00CF0717" w:rsidRPr="002B6812">
              <w:t>, OOG-01</w:t>
            </w:r>
          </w:p>
        </w:tc>
        <w:tc>
          <w:tcPr>
            <w:tcW w:w="4897" w:type="dxa"/>
            <w:shd w:val="clear" w:color="auto" w:fill="auto"/>
          </w:tcPr>
          <w:p w14:paraId="35EBB702" w14:textId="4EB91375" w:rsidR="006E141B" w:rsidRPr="002B6812" w:rsidRDefault="006E141B" w:rsidP="00231F2B">
            <w:pPr>
              <w:pStyle w:val="TableBullet1"/>
              <w:jc w:val="both"/>
              <w:rPr>
                <w:iCs/>
              </w:rPr>
            </w:pPr>
            <w:r w:rsidRPr="002B6812">
              <w:rPr>
                <w:iCs/>
              </w:rPr>
              <w:t>Participate in workshops and provide business requirements.</w:t>
            </w:r>
          </w:p>
          <w:p w14:paraId="3D1136F0" w14:textId="14CDCADA" w:rsidR="006E141B" w:rsidRPr="002B6812" w:rsidRDefault="006E141B" w:rsidP="00231F2B">
            <w:pPr>
              <w:pStyle w:val="TableBullet1"/>
              <w:jc w:val="both"/>
              <w:rPr>
                <w:iCs/>
              </w:rPr>
            </w:pPr>
            <w:r w:rsidRPr="002B6812">
              <w:rPr>
                <w:iCs/>
              </w:rPr>
              <w:t>Optionally, assist with decision making and directives development.</w:t>
            </w:r>
          </w:p>
        </w:tc>
      </w:tr>
    </w:tbl>
    <w:p w14:paraId="31D49B89" w14:textId="77777777" w:rsidR="00C84DD9" w:rsidRPr="002B6812" w:rsidRDefault="4BAA7215" w:rsidP="00231F2B">
      <w:pPr>
        <w:pStyle w:val="Heading4"/>
        <w:jc w:val="both"/>
      </w:pPr>
      <w:r w:rsidRPr="002B6812">
        <w:t>Microsoft</w:t>
      </w:r>
    </w:p>
    <w:tbl>
      <w:tblPr>
        <w:tblStyle w:val="TableGrid1"/>
        <w:tblW w:w="9357"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1887"/>
        <w:gridCol w:w="1710"/>
        <w:gridCol w:w="5760"/>
      </w:tblGrid>
      <w:tr w:rsidR="00111485" w:rsidRPr="002B6812" w14:paraId="1F57F4A8" w14:textId="77777777" w:rsidTr="00BD7430">
        <w:trPr>
          <w:trHeight w:val="363"/>
          <w:tblHeader/>
        </w:trPr>
        <w:tc>
          <w:tcPr>
            <w:tcW w:w="1887" w:type="dxa"/>
            <w:shd w:val="clear" w:color="auto" w:fill="008272"/>
          </w:tcPr>
          <w:p w14:paraId="445F9B2E" w14:textId="77777777" w:rsidR="00111485" w:rsidRPr="002B6812" w:rsidRDefault="00111485" w:rsidP="00231F2B">
            <w:pPr>
              <w:pStyle w:val="Table-Header"/>
              <w:jc w:val="both"/>
            </w:pPr>
            <w:r w:rsidRPr="002B6812">
              <w:t>Role</w:t>
            </w:r>
          </w:p>
        </w:tc>
        <w:tc>
          <w:tcPr>
            <w:tcW w:w="1710" w:type="dxa"/>
            <w:shd w:val="clear" w:color="auto" w:fill="008272"/>
          </w:tcPr>
          <w:p w14:paraId="22D10755" w14:textId="2B84B456" w:rsidR="00111485" w:rsidRPr="002B6812" w:rsidRDefault="00111485" w:rsidP="00231F2B">
            <w:pPr>
              <w:pStyle w:val="Table-Header"/>
              <w:jc w:val="both"/>
            </w:pPr>
            <w:r w:rsidRPr="002B6812">
              <w:t>Component IDs</w:t>
            </w:r>
          </w:p>
        </w:tc>
        <w:tc>
          <w:tcPr>
            <w:tcW w:w="5760" w:type="dxa"/>
            <w:shd w:val="clear" w:color="auto" w:fill="008272"/>
          </w:tcPr>
          <w:p w14:paraId="481316A1" w14:textId="77777777" w:rsidR="00111485" w:rsidRPr="002B6812" w:rsidRDefault="00111485" w:rsidP="00231F2B">
            <w:pPr>
              <w:pStyle w:val="Table-Header"/>
              <w:jc w:val="both"/>
            </w:pPr>
            <w:r w:rsidRPr="002B6812">
              <w:t>Responsibilities</w:t>
            </w:r>
          </w:p>
        </w:tc>
      </w:tr>
      <w:tr w:rsidR="00111485" w:rsidRPr="002B6812" w14:paraId="51CC3EEF" w14:textId="77777777" w:rsidTr="00BD7430">
        <w:trPr>
          <w:trHeight w:val="436"/>
        </w:trPr>
        <w:tc>
          <w:tcPr>
            <w:tcW w:w="1887" w:type="dxa"/>
          </w:tcPr>
          <w:p w14:paraId="0C51A687" w14:textId="433F4E67" w:rsidR="00111485" w:rsidRPr="003B7EF1" w:rsidRDefault="00111485" w:rsidP="00231F2B">
            <w:pPr>
              <w:pStyle w:val="Optional"/>
              <w:jc w:val="both"/>
              <w:rPr>
                <w:color w:val="auto"/>
              </w:rPr>
            </w:pPr>
            <w:r w:rsidRPr="003B7EF1">
              <w:rPr>
                <w:color w:val="auto"/>
              </w:rPr>
              <w:t xml:space="preserve">Microsoft </w:t>
            </w:r>
            <w:r w:rsidR="003C2087" w:rsidRPr="003B7EF1">
              <w:rPr>
                <w:color w:val="auto"/>
              </w:rPr>
              <w:t>delivery manager</w:t>
            </w:r>
          </w:p>
        </w:tc>
        <w:tc>
          <w:tcPr>
            <w:tcW w:w="1710" w:type="dxa"/>
          </w:tcPr>
          <w:p w14:paraId="336E4630" w14:textId="77777777" w:rsidR="00111485" w:rsidRPr="003B7EF1" w:rsidRDefault="00111485" w:rsidP="00231F2B">
            <w:pPr>
              <w:pStyle w:val="Optional"/>
              <w:jc w:val="both"/>
              <w:rPr>
                <w:color w:val="auto"/>
              </w:rPr>
            </w:pPr>
            <w:r w:rsidRPr="003B7EF1">
              <w:rPr>
                <w:color w:val="auto"/>
              </w:rPr>
              <w:t>All</w:t>
            </w:r>
          </w:p>
        </w:tc>
        <w:tc>
          <w:tcPr>
            <w:tcW w:w="5760" w:type="dxa"/>
            <w:shd w:val="clear" w:color="auto" w:fill="auto"/>
            <w:vAlign w:val="center"/>
          </w:tcPr>
          <w:p w14:paraId="28875B4F" w14:textId="0149C12D" w:rsidR="00111485" w:rsidRPr="003B7EF1" w:rsidRDefault="00111485" w:rsidP="00231F2B">
            <w:pPr>
              <w:pStyle w:val="TableBullet1"/>
              <w:jc w:val="both"/>
            </w:pPr>
            <w:r w:rsidRPr="003B7EF1">
              <w:t>Manage and coordinate the overall Microsoft project</w:t>
            </w:r>
            <w:r w:rsidR="003C2087" w:rsidRPr="003B7EF1">
              <w:t>.</w:t>
            </w:r>
          </w:p>
          <w:p w14:paraId="19D9C0F5" w14:textId="490190DB" w:rsidR="00111485" w:rsidRPr="003B7EF1" w:rsidRDefault="00111485" w:rsidP="00231F2B">
            <w:pPr>
              <w:pStyle w:val="TableBullet1"/>
              <w:jc w:val="both"/>
            </w:pPr>
            <w:r w:rsidRPr="003B7EF1">
              <w:t>Serve as a single point of contact for escalations, billing issues, personnel matters, and contract extensions</w:t>
            </w:r>
            <w:r w:rsidR="003C2087" w:rsidRPr="003B7EF1">
              <w:t>.</w:t>
            </w:r>
          </w:p>
        </w:tc>
      </w:tr>
      <w:tr w:rsidR="00111485" w:rsidRPr="002B6812" w14:paraId="50957250" w14:textId="77777777" w:rsidTr="00BD7430">
        <w:trPr>
          <w:trHeight w:val="436"/>
        </w:trPr>
        <w:tc>
          <w:tcPr>
            <w:tcW w:w="1887" w:type="dxa"/>
          </w:tcPr>
          <w:p w14:paraId="23973F0D" w14:textId="3D8ADD79" w:rsidR="00111485" w:rsidRPr="003B7EF1" w:rsidRDefault="00111485" w:rsidP="00231F2B">
            <w:pPr>
              <w:pStyle w:val="TableText"/>
              <w:jc w:val="both"/>
            </w:pPr>
            <w:r w:rsidRPr="003B7EF1">
              <w:t xml:space="preserve">Microsoft </w:t>
            </w:r>
            <w:r w:rsidR="008F6A76" w:rsidRPr="003B7EF1">
              <w:t>p</w:t>
            </w:r>
            <w:r w:rsidRPr="003B7EF1">
              <w:t xml:space="preserve">roject </w:t>
            </w:r>
            <w:r w:rsidR="003C2087" w:rsidRPr="003B7EF1">
              <w:t>manager</w:t>
            </w:r>
          </w:p>
        </w:tc>
        <w:tc>
          <w:tcPr>
            <w:tcW w:w="1710" w:type="dxa"/>
          </w:tcPr>
          <w:p w14:paraId="7C5AA299" w14:textId="77777777" w:rsidR="00111485" w:rsidRPr="003B7EF1" w:rsidRDefault="00111485" w:rsidP="00231F2B">
            <w:pPr>
              <w:pStyle w:val="TableText"/>
              <w:jc w:val="both"/>
            </w:pPr>
            <w:r w:rsidRPr="003B7EF1">
              <w:t>All</w:t>
            </w:r>
          </w:p>
        </w:tc>
        <w:tc>
          <w:tcPr>
            <w:tcW w:w="5760" w:type="dxa"/>
            <w:shd w:val="clear" w:color="auto" w:fill="auto"/>
            <w:vAlign w:val="center"/>
          </w:tcPr>
          <w:p w14:paraId="3C1CAF5C" w14:textId="5071E7B3" w:rsidR="00111485" w:rsidRPr="003B7EF1" w:rsidRDefault="00111485" w:rsidP="00231F2B">
            <w:pPr>
              <w:pStyle w:val="TableBullet1"/>
              <w:jc w:val="both"/>
            </w:pPr>
            <w:r w:rsidRPr="003B7EF1">
              <w:t>Manage and coordinate Microsoft project delivery</w:t>
            </w:r>
            <w:r w:rsidR="003C2087" w:rsidRPr="003B7EF1">
              <w:t>.</w:t>
            </w:r>
          </w:p>
          <w:p w14:paraId="338025ED" w14:textId="68933BEE" w:rsidR="00111485" w:rsidRPr="003B7EF1" w:rsidRDefault="00111485" w:rsidP="00231F2B">
            <w:pPr>
              <w:pStyle w:val="TableBullet1"/>
              <w:jc w:val="both"/>
            </w:pPr>
            <w:r w:rsidRPr="003B7EF1">
              <w:t>Take responsibility for issue and risk management, change management, project priorities, status communications, and status meetings</w:t>
            </w:r>
            <w:r w:rsidR="003C2087" w:rsidRPr="003B7EF1">
              <w:t>.</w:t>
            </w:r>
          </w:p>
          <w:p w14:paraId="563BD634" w14:textId="372A61AE" w:rsidR="00111485" w:rsidRPr="003B7EF1" w:rsidRDefault="00111485" w:rsidP="00231F2B">
            <w:pPr>
              <w:pStyle w:val="TableBullet1"/>
              <w:jc w:val="both"/>
            </w:pPr>
            <w:r w:rsidRPr="003B7EF1">
              <w:t xml:space="preserve">Coordinate Microsoft </w:t>
            </w:r>
            <w:r w:rsidRPr="003B7EF1">
              <w:rPr>
                <w:rStyle w:val="OptionalChar"/>
                <w:color w:val="auto"/>
              </w:rPr>
              <w:t>and Microsoft</w:t>
            </w:r>
            <w:r w:rsidRPr="003B7EF1" w:rsidDel="00C35540">
              <w:rPr>
                <w:rStyle w:val="OptionalChar"/>
                <w:color w:val="auto"/>
              </w:rPr>
              <w:t xml:space="preserve"> </w:t>
            </w:r>
            <w:r w:rsidRPr="003B7EF1">
              <w:rPr>
                <w:rStyle w:val="OptionalChar"/>
                <w:color w:val="auto"/>
              </w:rPr>
              <w:t>subcontractor</w:t>
            </w:r>
            <w:r w:rsidRPr="003B7EF1">
              <w:t xml:space="preserve"> resources but not </w:t>
            </w:r>
            <w:r w:rsidR="004744AF" w:rsidRPr="003B7EF1">
              <w:t>Customer</w:t>
            </w:r>
            <w:r w:rsidRPr="003B7EF1">
              <w:t xml:space="preserve"> resources</w:t>
            </w:r>
            <w:r w:rsidR="003C2087" w:rsidRPr="003B7EF1">
              <w:t>.</w:t>
            </w:r>
          </w:p>
        </w:tc>
      </w:tr>
      <w:tr w:rsidR="006E141B" w:rsidRPr="002B6812" w14:paraId="5A986E38" w14:textId="77777777" w:rsidTr="00BD7430">
        <w:trPr>
          <w:trHeight w:val="436"/>
        </w:trPr>
        <w:tc>
          <w:tcPr>
            <w:tcW w:w="1887" w:type="dxa"/>
          </w:tcPr>
          <w:p w14:paraId="292155F7" w14:textId="10463BFF" w:rsidR="006E141B" w:rsidRPr="002B6812" w:rsidRDefault="006E141B" w:rsidP="00231F2B">
            <w:pPr>
              <w:pStyle w:val="TableText"/>
              <w:jc w:val="both"/>
            </w:pPr>
            <w:r w:rsidRPr="002B6812">
              <w:t>Microsoft architect</w:t>
            </w:r>
          </w:p>
        </w:tc>
        <w:tc>
          <w:tcPr>
            <w:tcW w:w="1710" w:type="dxa"/>
          </w:tcPr>
          <w:p w14:paraId="7EEBB739" w14:textId="7F45AB5B" w:rsidR="006E141B" w:rsidRPr="002B6812" w:rsidRDefault="006E141B" w:rsidP="00231F2B">
            <w:pPr>
              <w:pStyle w:val="TableText"/>
              <w:jc w:val="both"/>
            </w:pPr>
            <w:r w:rsidRPr="002B6812">
              <w:t>All</w:t>
            </w:r>
          </w:p>
        </w:tc>
        <w:tc>
          <w:tcPr>
            <w:tcW w:w="5760" w:type="dxa"/>
            <w:shd w:val="clear" w:color="auto" w:fill="auto"/>
            <w:vAlign w:val="center"/>
          </w:tcPr>
          <w:p w14:paraId="33E10563" w14:textId="5AD12B89" w:rsidR="006E141B" w:rsidRPr="002B6812" w:rsidRDefault="006E141B" w:rsidP="00231F2B">
            <w:pPr>
              <w:pStyle w:val="TableText"/>
              <w:jc w:val="both"/>
              <w:rPr>
                <w:iCs/>
              </w:rPr>
            </w:pPr>
            <w:r w:rsidRPr="002B6812">
              <w:t>Provide guidance based on Microsoft-recommended practices.</w:t>
            </w:r>
          </w:p>
        </w:tc>
      </w:tr>
      <w:tr w:rsidR="00111485" w:rsidRPr="002B6812" w14:paraId="155A0CBE" w14:textId="77777777" w:rsidTr="00BD7430">
        <w:trPr>
          <w:trHeight w:val="436"/>
        </w:trPr>
        <w:tc>
          <w:tcPr>
            <w:tcW w:w="1887" w:type="dxa"/>
          </w:tcPr>
          <w:p w14:paraId="104F56B5" w14:textId="7FCF2C6D" w:rsidR="00111485" w:rsidRPr="002B6812" w:rsidRDefault="00111485" w:rsidP="00231F2B">
            <w:pPr>
              <w:pStyle w:val="TableText"/>
              <w:jc w:val="both"/>
            </w:pPr>
            <w:r w:rsidRPr="002B6812">
              <w:lastRenderedPageBreak/>
              <w:t xml:space="preserve">Microsoft </w:t>
            </w:r>
            <w:r w:rsidR="00BA1F30" w:rsidRPr="002B6812">
              <w:t>senior</w:t>
            </w:r>
            <w:r w:rsidR="006E141B" w:rsidRPr="002B6812">
              <w:t xml:space="preserve">. consultant </w:t>
            </w:r>
          </w:p>
        </w:tc>
        <w:tc>
          <w:tcPr>
            <w:tcW w:w="1710" w:type="dxa"/>
          </w:tcPr>
          <w:p w14:paraId="4EBE29F5" w14:textId="29513C53" w:rsidR="00111485" w:rsidRPr="002B6812" w:rsidRDefault="005B2FEF" w:rsidP="00231F2B">
            <w:pPr>
              <w:pStyle w:val="TableText"/>
              <w:jc w:val="both"/>
            </w:pPr>
            <w:r w:rsidRPr="002B6812">
              <w:t>All</w:t>
            </w:r>
          </w:p>
        </w:tc>
        <w:tc>
          <w:tcPr>
            <w:tcW w:w="5760" w:type="dxa"/>
            <w:shd w:val="clear" w:color="auto" w:fill="auto"/>
            <w:vAlign w:val="center"/>
          </w:tcPr>
          <w:p w14:paraId="2492231E" w14:textId="1D071B04" w:rsidR="00111485" w:rsidRPr="002B6812" w:rsidRDefault="006E141B" w:rsidP="00231F2B">
            <w:pPr>
              <w:pStyle w:val="TableText"/>
              <w:jc w:val="both"/>
            </w:pPr>
            <w:r w:rsidRPr="002B6812">
              <w:rPr>
                <w:iCs/>
              </w:rPr>
              <w:t>Lead workshops, provide technical expertise, drive decision making and directives development, and provide</w:t>
            </w:r>
            <w:r w:rsidR="00640C56">
              <w:rPr>
                <w:iCs/>
              </w:rPr>
              <w:t xml:space="preserve"> or </w:t>
            </w:r>
            <w:r w:rsidRPr="002B6812">
              <w:rPr>
                <w:iCs/>
              </w:rPr>
              <w:t>deliver documentation and report out.</w:t>
            </w:r>
          </w:p>
        </w:tc>
      </w:tr>
      <w:tr w:rsidR="00BD7430" w:rsidRPr="002B6812" w14:paraId="69738AA6" w14:textId="77777777" w:rsidTr="0029012A">
        <w:trPr>
          <w:trHeight w:val="436"/>
        </w:trPr>
        <w:tc>
          <w:tcPr>
            <w:tcW w:w="1887" w:type="dxa"/>
          </w:tcPr>
          <w:p w14:paraId="3AA79C81" w14:textId="6F561017" w:rsidR="00BD7430" w:rsidRPr="002B6812" w:rsidRDefault="00BD7430" w:rsidP="00231F2B">
            <w:pPr>
              <w:pStyle w:val="TableText"/>
              <w:jc w:val="both"/>
            </w:pPr>
            <w:r w:rsidRPr="002B6812">
              <w:t xml:space="preserve">Microsoft </w:t>
            </w:r>
            <w:r w:rsidR="003C2087" w:rsidRPr="002B6812">
              <w:t xml:space="preserve">consultant </w:t>
            </w:r>
          </w:p>
        </w:tc>
        <w:tc>
          <w:tcPr>
            <w:tcW w:w="1710" w:type="dxa"/>
          </w:tcPr>
          <w:p w14:paraId="4B2BE5A4" w14:textId="171FAE80" w:rsidR="00BD7430" w:rsidRPr="002B6812" w:rsidRDefault="005B2FEF" w:rsidP="00231F2B">
            <w:pPr>
              <w:pStyle w:val="TableText"/>
              <w:jc w:val="both"/>
            </w:pPr>
            <w:r w:rsidRPr="002B6812">
              <w:t>All</w:t>
            </w:r>
          </w:p>
        </w:tc>
        <w:tc>
          <w:tcPr>
            <w:tcW w:w="5760" w:type="dxa"/>
            <w:shd w:val="clear" w:color="auto" w:fill="auto"/>
          </w:tcPr>
          <w:p w14:paraId="3C822FE0" w14:textId="3DB19EF4" w:rsidR="00B47B99" w:rsidRPr="002B6812" w:rsidRDefault="006E141B" w:rsidP="00231F2B">
            <w:pPr>
              <w:pStyle w:val="TableText"/>
              <w:jc w:val="both"/>
            </w:pPr>
            <w:r w:rsidRPr="002B6812">
              <w:rPr>
                <w:iCs/>
              </w:rPr>
              <w:t xml:space="preserve">Assist </w:t>
            </w:r>
            <w:r w:rsidR="00CE4ECC">
              <w:rPr>
                <w:iCs/>
              </w:rPr>
              <w:t xml:space="preserve">the </w:t>
            </w:r>
            <w:r w:rsidRPr="002B6812">
              <w:rPr>
                <w:iCs/>
              </w:rPr>
              <w:t>lead consultant</w:t>
            </w:r>
            <w:r w:rsidR="00CE4ECC">
              <w:rPr>
                <w:iCs/>
              </w:rPr>
              <w:t xml:space="preserve"> with </w:t>
            </w:r>
            <w:r w:rsidRPr="002B6812">
              <w:rPr>
                <w:iCs/>
              </w:rPr>
              <w:t>coordination</w:t>
            </w:r>
            <w:r w:rsidR="00DC53D8">
              <w:rPr>
                <w:iCs/>
              </w:rPr>
              <w:t xml:space="preserve"> or </w:t>
            </w:r>
            <w:r w:rsidRPr="002B6812">
              <w:rPr>
                <w:iCs/>
              </w:rPr>
              <w:t>logistics, product overviews (as required), requirements documentation, workshop output (directives) documentation, and report</w:t>
            </w:r>
            <w:r w:rsidR="005E3892">
              <w:rPr>
                <w:iCs/>
              </w:rPr>
              <w:t>-out</w:t>
            </w:r>
            <w:r w:rsidRPr="002B6812">
              <w:rPr>
                <w:iCs/>
              </w:rPr>
              <w:t xml:space="preserve"> production.</w:t>
            </w:r>
          </w:p>
        </w:tc>
      </w:tr>
    </w:tbl>
    <w:p w14:paraId="6AED8665" w14:textId="367DDAD4" w:rsidR="0089268B" w:rsidRPr="002B6812" w:rsidRDefault="004744AF" w:rsidP="00231F2B">
      <w:pPr>
        <w:pStyle w:val="Heading1"/>
        <w:jc w:val="both"/>
      </w:pPr>
      <w:bookmarkStart w:id="123" w:name="_Toc515009701"/>
      <w:bookmarkStart w:id="124" w:name="_Toc476167714"/>
      <w:bookmarkStart w:id="125" w:name="_Toc476168052"/>
      <w:bookmarkStart w:id="126" w:name="_Ref514405014"/>
      <w:bookmarkStart w:id="127" w:name="_Toc514413050"/>
      <w:bookmarkStart w:id="128" w:name="_Toc517762006"/>
      <w:bookmarkStart w:id="129" w:name="_Toc31291374"/>
      <w:bookmarkEnd w:id="123"/>
      <w:r w:rsidRPr="002B6812">
        <w:t>Customer</w:t>
      </w:r>
      <w:r w:rsidR="0089268B" w:rsidRPr="002B6812">
        <w:t xml:space="preserve"> responsibilities and project assumptions</w:t>
      </w:r>
      <w:bookmarkEnd w:id="124"/>
      <w:bookmarkEnd w:id="125"/>
      <w:bookmarkEnd w:id="126"/>
      <w:bookmarkEnd w:id="127"/>
      <w:bookmarkEnd w:id="128"/>
      <w:bookmarkEnd w:id="129"/>
    </w:p>
    <w:p w14:paraId="3549BE03" w14:textId="79E15382" w:rsidR="002F1155" w:rsidRPr="002B6812" w:rsidRDefault="004744AF" w:rsidP="00231F2B">
      <w:pPr>
        <w:pStyle w:val="Heading2"/>
        <w:jc w:val="both"/>
      </w:pPr>
      <w:bookmarkStart w:id="130" w:name="_Toc476167715"/>
      <w:bookmarkStart w:id="131" w:name="_Toc476168053"/>
      <w:bookmarkStart w:id="132" w:name="_Toc514413051"/>
      <w:bookmarkStart w:id="133" w:name="_Toc517762007"/>
      <w:bookmarkStart w:id="134" w:name="_Toc31291375"/>
      <w:r w:rsidRPr="002B6812">
        <w:t>Customer</w:t>
      </w:r>
      <w:r w:rsidR="00737D61" w:rsidRPr="002B6812">
        <w:t xml:space="preserve"> responsibilities</w:t>
      </w:r>
      <w:bookmarkEnd w:id="130"/>
      <w:bookmarkEnd w:id="131"/>
      <w:bookmarkEnd w:id="132"/>
      <w:bookmarkEnd w:id="133"/>
      <w:bookmarkEnd w:id="134"/>
    </w:p>
    <w:p w14:paraId="72904518" w14:textId="11FA46C1" w:rsidR="00737D61" w:rsidRPr="002B6812" w:rsidRDefault="00737D61" w:rsidP="00231F2B">
      <w:pPr>
        <w:jc w:val="both"/>
      </w:pPr>
      <w:r w:rsidRPr="002B6812">
        <w:t>In addition to</w:t>
      </w:r>
      <w:r w:rsidR="0015000E" w:rsidRPr="002B6812">
        <w:t xml:space="preserve"> the</w:t>
      </w:r>
      <w:r w:rsidRPr="002B6812">
        <w:t xml:space="preserve"> </w:t>
      </w:r>
      <w:r w:rsidR="004744AF" w:rsidRPr="002B6812">
        <w:t>Customer</w:t>
      </w:r>
      <w:r w:rsidRPr="002B6812">
        <w:t xml:space="preserve"> activities defined </w:t>
      </w:r>
      <w:r w:rsidR="00A67A54" w:rsidRPr="002B6812">
        <w:t xml:space="preserve">in the </w:t>
      </w:r>
      <w:r w:rsidR="00C35540" w:rsidRPr="002B6812">
        <w:fldChar w:fldCharType="begin"/>
      </w:r>
      <w:r w:rsidR="00C35540" w:rsidRPr="002B6812">
        <w:instrText xml:space="preserve"> REF _Ref477936654 \h </w:instrText>
      </w:r>
      <w:r w:rsidR="00231F2B">
        <w:instrText xml:space="preserve"> \* MERGEFORMAT </w:instrText>
      </w:r>
      <w:r w:rsidR="00C35540" w:rsidRPr="002B6812">
        <w:fldChar w:fldCharType="separate"/>
      </w:r>
      <w:r w:rsidR="00812548" w:rsidRPr="002B6812">
        <w:t>Approach</w:t>
      </w:r>
      <w:r w:rsidR="00C35540" w:rsidRPr="002B6812">
        <w:fldChar w:fldCharType="end"/>
      </w:r>
      <w:r w:rsidR="00C35540" w:rsidRPr="002B6812">
        <w:t xml:space="preserve"> </w:t>
      </w:r>
      <w:r w:rsidR="00A67A54" w:rsidRPr="002B6812">
        <w:t xml:space="preserve">section, </w:t>
      </w:r>
      <w:r w:rsidRPr="002B6812">
        <w:t xml:space="preserve">the </w:t>
      </w:r>
      <w:r w:rsidR="004744AF" w:rsidRPr="002B6812">
        <w:t>Customer</w:t>
      </w:r>
      <w:r w:rsidRPr="002B6812">
        <w:t xml:space="preserve"> is also required to</w:t>
      </w:r>
      <w:r w:rsidR="00CE5B67" w:rsidRPr="002B6812">
        <w:t>:</w:t>
      </w:r>
    </w:p>
    <w:p w14:paraId="23B7AEDE" w14:textId="240BA933" w:rsidR="00CE5B67" w:rsidRPr="002B6812" w:rsidRDefault="4BAA7215" w:rsidP="00231F2B">
      <w:pPr>
        <w:pStyle w:val="Bulletlist"/>
        <w:ind w:left="270" w:hanging="270"/>
        <w:jc w:val="both"/>
      </w:pPr>
      <w:r w:rsidRPr="002B6812">
        <w:t>Provide information</w:t>
      </w:r>
      <w:r w:rsidR="00010553" w:rsidRPr="002B6812">
        <w:t>.</w:t>
      </w:r>
    </w:p>
    <w:p w14:paraId="58BC4BF2" w14:textId="6E66BD00" w:rsidR="004D04B9" w:rsidRPr="002B6812" w:rsidRDefault="4BAA7215" w:rsidP="00231F2B">
      <w:pPr>
        <w:pStyle w:val="Bulletlist"/>
        <w:numPr>
          <w:ilvl w:val="1"/>
          <w:numId w:val="5"/>
        </w:numPr>
        <w:jc w:val="both"/>
      </w:pPr>
      <w:r w:rsidRPr="002B6812">
        <w:t xml:space="preserve">This includes accurate, timely (within </w:t>
      </w:r>
      <w:r w:rsidR="008C2723" w:rsidRPr="002B6812">
        <w:t>three</w:t>
      </w:r>
      <w:r w:rsidRPr="002B6812">
        <w:t xml:space="preserve"> business days or as mutually agreed</w:t>
      </w:r>
      <w:r w:rsidR="004536EA" w:rsidRPr="002B6812">
        <w:t xml:space="preserve"> </w:t>
      </w:r>
      <w:r w:rsidR="000432CD" w:rsidRPr="002B6812">
        <w:t>upon</w:t>
      </w:r>
      <w:r w:rsidRPr="002B6812">
        <w:t>), and complete information.</w:t>
      </w:r>
    </w:p>
    <w:p w14:paraId="4ABA5FD3" w14:textId="51B77FEE" w:rsidR="005D19D2" w:rsidRPr="002B6812" w:rsidRDefault="4BAA7215" w:rsidP="00231F2B">
      <w:pPr>
        <w:pStyle w:val="Bulletlist"/>
        <w:ind w:left="270" w:hanging="270"/>
        <w:jc w:val="both"/>
      </w:pPr>
      <w:r w:rsidRPr="002B6812">
        <w:t>Provide access to people and resources.</w:t>
      </w:r>
    </w:p>
    <w:p w14:paraId="6AFB047B" w14:textId="20800578" w:rsidR="004D04B9" w:rsidRPr="002B6812" w:rsidRDefault="4BAA7215" w:rsidP="00231F2B">
      <w:pPr>
        <w:pStyle w:val="Bulletlist"/>
        <w:numPr>
          <w:ilvl w:val="1"/>
          <w:numId w:val="5"/>
        </w:numPr>
        <w:jc w:val="both"/>
      </w:pPr>
      <w:r w:rsidRPr="002B6812">
        <w:t xml:space="preserve">This includes access to knowledgeable </w:t>
      </w:r>
      <w:r w:rsidR="004744AF" w:rsidRPr="002B6812">
        <w:t>Customer</w:t>
      </w:r>
      <w:r w:rsidRPr="002B6812">
        <w:t xml:space="preserve"> personnel, including business user representatives, and access to funding if additional budget is needed to deliver project scope.</w:t>
      </w:r>
    </w:p>
    <w:p w14:paraId="3AE7D2ED" w14:textId="086895A2" w:rsidR="005D19D2" w:rsidRPr="002B6812" w:rsidRDefault="4BAA7215" w:rsidP="00231F2B">
      <w:pPr>
        <w:pStyle w:val="Bulletlist"/>
        <w:ind w:left="270" w:hanging="270"/>
        <w:jc w:val="both"/>
      </w:pPr>
      <w:r w:rsidRPr="002B6812">
        <w:t>Provide access to systems.</w:t>
      </w:r>
    </w:p>
    <w:p w14:paraId="6A93ABD5" w14:textId="493413D1" w:rsidR="004D04B9" w:rsidRPr="002B6812" w:rsidRDefault="4BAA7215" w:rsidP="00231F2B">
      <w:pPr>
        <w:pStyle w:val="Bulletlist"/>
        <w:numPr>
          <w:ilvl w:val="1"/>
          <w:numId w:val="5"/>
        </w:numPr>
        <w:jc w:val="both"/>
      </w:pPr>
      <w:r w:rsidRPr="002B6812">
        <w:t xml:space="preserve">This includes access to all necessary </w:t>
      </w:r>
      <w:r w:rsidR="004744AF" w:rsidRPr="002B6812">
        <w:t>Customer</w:t>
      </w:r>
      <w:r w:rsidRPr="002B6812">
        <w:t xml:space="preserve"> work locations, networks, systems, and applications (remote and onsite).</w:t>
      </w:r>
    </w:p>
    <w:p w14:paraId="3E33ED23" w14:textId="77777777" w:rsidR="00C35540" w:rsidRPr="002B6812" w:rsidRDefault="4BAA7215" w:rsidP="00231F2B">
      <w:pPr>
        <w:pStyle w:val="Bulletlist"/>
        <w:ind w:left="270" w:hanging="270"/>
        <w:jc w:val="both"/>
      </w:pPr>
      <w:r w:rsidRPr="002B6812">
        <w:t>Provide a work environment.</w:t>
      </w:r>
    </w:p>
    <w:p w14:paraId="691D1AA0" w14:textId="0F054DDD" w:rsidR="004D04B9" w:rsidRPr="002B6812" w:rsidRDefault="4BAA7215" w:rsidP="00231F2B">
      <w:pPr>
        <w:pStyle w:val="Bulletlist"/>
        <w:numPr>
          <w:ilvl w:val="1"/>
          <w:numId w:val="5"/>
        </w:numPr>
        <w:jc w:val="both"/>
      </w:pPr>
      <w:r w:rsidRPr="002B6812">
        <w:t>This consists of suitable work spaces, including desks, chairs, and Internet access.</w:t>
      </w:r>
    </w:p>
    <w:p w14:paraId="1C934DD5" w14:textId="77777777" w:rsidR="00C35540" w:rsidRPr="002B6812" w:rsidRDefault="4BAA7215" w:rsidP="00231F2B">
      <w:pPr>
        <w:pStyle w:val="Bulletlist"/>
        <w:ind w:left="270" w:hanging="270"/>
        <w:jc w:val="both"/>
      </w:pPr>
      <w:r w:rsidRPr="002B6812">
        <w:t>Manage non-Microsoft resources.</w:t>
      </w:r>
    </w:p>
    <w:p w14:paraId="5A1DB8D2" w14:textId="74DB3DB4" w:rsidR="004D04B9" w:rsidRPr="002B6812" w:rsidRDefault="4BAA7215" w:rsidP="00231F2B">
      <w:pPr>
        <w:pStyle w:val="Bulletlist"/>
        <w:numPr>
          <w:ilvl w:val="1"/>
          <w:numId w:val="5"/>
        </w:numPr>
        <w:jc w:val="both"/>
      </w:pPr>
      <w:r w:rsidRPr="002B6812">
        <w:t xml:space="preserve">The </w:t>
      </w:r>
      <w:r w:rsidR="004744AF" w:rsidRPr="002B6812">
        <w:t>Customer</w:t>
      </w:r>
      <w:r w:rsidRPr="002B6812">
        <w:t xml:space="preserve"> will assume responsibility for the management of all </w:t>
      </w:r>
      <w:r w:rsidR="004744AF" w:rsidRPr="002B6812">
        <w:t>Customer</w:t>
      </w:r>
      <w:r w:rsidRPr="002B6812">
        <w:t xml:space="preserve"> personnel and vendors who are not managed by Microsoft.</w:t>
      </w:r>
    </w:p>
    <w:p w14:paraId="41484554" w14:textId="77777777" w:rsidR="004B1433" w:rsidRPr="002B6812" w:rsidRDefault="4BAA7215" w:rsidP="00231F2B">
      <w:pPr>
        <w:pStyle w:val="Bulletlist"/>
        <w:ind w:left="270" w:hanging="270"/>
        <w:jc w:val="both"/>
      </w:pPr>
      <w:r w:rsidRPr="002B6812">
        <w:t>Manage external dependencies.</w:t>
      </w:r>
    </w:p>
    <w:p w14:paraId="0C9876B8" w14:textId="02922399" w:rsidR="004D04B9" w:rsidRPr="002B6812" w:rsidRDefault="4BAA7215" w:rsidP="00231F2B">
      <w:pPr>
        <w:pStyle w:val="Bulletlist"/>
        <w:numPr>
          <w:ilvl w:val="1"/>
          <w:numId w:val="5"/>
        </w:numPr>
        <w:jc w:val="both"/>
      </w:pPr>
      <w:r w:rsidRPr="002B6812">
        <w:t xml:space="preserve">The </w:t>
      </w:r>
      <w:r w:rsidR="004744AF" w:rsidRPr="002B6812">
        <w:t>Customer</w:t>
      </w:r>
      <w:r w:rsidRPr="002B6812">
        <w:t xml:space="preserve"> will facilitate any interactions with related projects or programs in order to manage external project dependencies.</w:t>
      </w:r>
    </w:p>
    <w:p w14:paraId="500F2418" w14:textId="16327A1B" w:rsidR="007D3787" w:rsidRPr="002B6812" w:rsidRDefault="007D3787" w:rsidP="00231F2B">
      <w:pPr>
        <w:pStyle w:val="Heading2"/>
        <w:jc w:val="both"/>
      </w:pPr>
      <w:bookmarkStart w:id="135" w:name="_Toc476167716"/>
      <w:bookmarkStart w:id="136" w:name="_Toc476168054"/>
      <w:bookmarkStart w:id="137" w:name="_Toc514413052"/>
      <w:bookmarkStart w:id="138" w:name="_Toc517762008"/>
      <w:bookmarkStart w:id="139" w:name="_Toc31291376"/>
      <w:r w:rsidRPr="002B6812">
        <w:t xml:space="preserve">Project </w:t>
      </w:r>
      <w:bookmarkEnd w:id="135"/>
      <w:bookmarkEnd w:id="136"/>
      <w:r w:rsidR="006209A1" w:rsidRPr="002B6812">
        <w:t>assumptions</w:t>
      </w:r>
      <w:bookmarkEnd w:id="137"/>
      <w:bookmarkEnd w:id="138"/>
      <w:bookmarkEnd w:id="139"/>
    </w:p>
    <w:p w14:paraId="47E35D96" w14:textId="43F44639" w:rsidR="00EC7993" w:rsidRPr="002B6812" w:rsidRDefault="4BAA7215" w:rsidP="00231F2B">
      <w:pPr>
        <w:jc w:val="both"/>
      </w:pPr>
      <w:r w:rsidRPr="002B6812">
        <w:t xml:space="preserve">The project scope, </w:t>
      </w:r>
      <w:r w:rsidR="00590C71" w:rsidRPr="002B6812">
        <w:t>S</w:t>
      </w:r>
      <w:r w:rsidRPr="002B6812">
        <w:t xml:space="preserve">ervices, fees, timeline, and our detailed solution are based on the information provided by the </w:t>
      </w:r>
      <w:r w:rsidR="004744AF" w:rsidRPr="002B6812">
        <w:t>Customer</w:t>
      </w:r>
      <w:r w:rsidRPr="002B6812">
        <w:t xml:space="preserve"> to date. During the project, the information and assumptions in this SOW will be validated, and if a material difference is present, this could result in Microsoft initiating a change request to cover additional work or extend the project duration. In addition, the following assumptions have been made:</w:t>
      </w:r>
    </w:p>
    <w:p w14:paraId="788A10BD" w14:textId="4F53DF43" w:rsidR="003D158B" w:rsidRPr="002B6812" w:rsidRDefault="4BAA7215" w:rsidP="00231F2B">
      <w:pPr>
        <w:pStyle w:val="Bulletlist"/>
        <w:ind w:left="270" w:hanging="270"/>
        <w:jc w:val="both"/>
      </w:pPr>
      <w:r w:rsidRPr="002B6812">
        <w:t>Work day:</w:t>
      </w:r>
    </w:p>
    <w:p w14:paraId="63B12D47" w14:textId="021494FE" w:rsidR="004D04B9" w:rsidRPr="002B6812" w:rsidRDefault="4BAA7215" w:rsidP="00231F2B">
      <w:pPr>
        <w:pStyle w:val="Bulletlist"/>
        <w:numPr>
          <w:ilvl w:val="1"/>
          <w:numId w:val="5"/>
        </w:numPr>
        <w:jc w:val="both"/>
      </w:pPr>
      <w:r w:rsidRPr="002B6812">
        <w:t>The standard work day for the Microsoft project team is</w:t>
      </w:r>
      <w:r w:rsidR="006501EC">
        <w:t xml:space="preserve"> </w:t>
      </w:r>
      <w:r w:rsidRPr="002B6812">
        <w:t xml:space="preserve">between </w:t>
      </w:r>
      <w:r w:rsidR="006501EC">
        <w:t>9</w:t>
      </w:r>
      <w:r w:rsidRPr="002B6812">
        <w:t xml:space="preserve"> AM and </w:t>
      </w:r>
      <w:r w:rsidR="006501EC">
        <w:t>6</w:t>
      </w:r>
      <w:r w:rsidRPr="002B6812">
        <w:t xml:space="preserve"> PM, Monday through Friday.</w:t>
      </w:r>
    </w:p>
    <w:p w14:paraId="1F22D822" w14:textId="77777777" w:rsidR="009E719B" w:rsidRPr="002B6812" w:rsidRDefault="4BAA7215" w:rsidP="00231F2B">
      <w:pPr>
        <w:pStyle w:val="Bulletlist"/>
        <w:ind w:left="270" w:hanging="270"/>
        <w:jc w:val="both"/>
      </w:pPr>
      <w:r w:rsidRPr="002B6812">
        <w:t>Standard holidays:</w:t>
      </w:r>
    </w:p>
    <w:p w14:paraId="16CA53F1" w14:textId="77777777" w:rsidR="009E719B" w:rsidRPr="002B6812" w:rsidRDefault="4BAA7215" w:rsidP="00231F2B">
      <w:pPr>
        <w:pStyle w:val="Bulletlist"/>
        <w:numPr>
          <w:ilvl w:val="1"/>
          <w:numId w:val="5"/>
        </w:numPr>
        <w:jc w:val="both"/>
      </w:pPr>
      <w:r w:rsidRPr="002B6812">
        <w:lastRenderedPageBreak/>
        <w:t>Observance of consultants’ country-of-residence holidays is assumed and has been factored into the project timeline.</w:t>
      </w:r>
    </w:p>
    <w:p w14:paraId="6B02F1E1" w14:textId="77777777" w:rsidR="003D158B" w:rsidRPr="002B6812" w:rsidRDefault="4BAA7215" w:rsidP="00231F2B">
      <w:pPr>
        <w:pStyle w:val="Bulletlist"/>
        <w:ind w:left="270" w:hanging="270"/>
        <w:jc w:val="both"/>
      </w:pPr>
      <w:r w:rsidRPr="002B6812">
        <w:t>Remote working:</w:t>
      </w:r>
    </w:p>
    <w:p w14:paraId="6B0640D1" w14:textId="77597E94" w:rsidR="004D04B9" w:rsidRPr="002B6812" w:rsidRDefault="4BAA7215" w:rsidP="00231F2B">
      <w:pPr>
        <w:pStyle w:val="Bulletlist"/>
        <w:numPr>
          <w:ilvl w:val="1"/>
          <w:numId w:val="5"/>
        </w:numPr>
        <w:jc w:val="both"/>
      </w:pPr>
      <w:r w:rsidRPr="002B6812">
        <w:t xml:space="preserve">The Microsoft project team may perform </w:t>
      </w:r>
      <w:r w:rsidR="00590C71" w:rsidRPr="002B6812">
        <w:t>S</w:t>
      </w:r>
      <w:r w:rsidRPr="002B6812">
        <w:t>ervices remotely.</w:t>
      </w:r>
    </w:p>
    <w:p w14:paraId="69F18A55" w14:textId="6D29DF30" w:rsidR="004D04B9" w:rsidRPr="002B6812" w:rsidRDefault="4BAA7215" w:rsidP="00231F2B">
      <w:pPr>
        <w:pStyle w:val="Bulletlist"/>
        <w:numPr>
          <w:ilvl w:val="1"/>
          <w:numId w:val="5"/>
        </w:numPr>
        <w:jc w:val="both"/>
      </w:pPr>
      <w:r w:rsidRPr="002B6812">
        <w:t xml:space="preserve">If the Microsoft project team is required to be present at the </w:t>
      </w:r>
      <w:r w:rsidR="004744AF" w:rsidRPr="002B6812">
        <w:t>Customer</w:t>
      </w:r>
      <w:r w:rsidRPr="002B6812">
        <w:t xml:space="preserve"> location on a weekly basis, resources will typically be on site for </w:t>
      </w:r>
      <w:r w:rsidR="008C2723" w:rsidRPr="002B6812">
        <w:t>three</w:t>
      </w:r>
      <w:r w:rsidRPr="002B6812">
        <w:t xml:space="preserve"> nights and </w:t>
      </w:r>
      <w:r w:rsidR="008C2723" w:rsidRPr="002B6812">
        <w:t>four</w:t>
      </w:r>
      <w:r w:rsidRPr="002B6812">
        <w:t xml:space="preserve"> days, arriving on a Monday and leaving on a Thursday.</w:t>
      </w:r>
    </w:p>
    <w:p w14:paraId="7254DB2F" w14:textId="77777777" w:rsidR="003D158B" w:rsidRPr="002B6812" w:rsidRDefault="4BAA7215" w:rsidP="00231F2B">
      <w:pPr>
        <w:pStyle w:val="Bulletlist"/>
        <w:ind w:left="270" w:hanging="270"/>
        <w:jc w:val="both"/>
      </w:pPr>
      <w:r w:rsidRPr="002B6812">
        <w:t>Language:</w:t>
      </w:r>
    </w:p>
    <w:p w14:paraId="3C698107" w14:textId="55F76125" w:rsidR="004D04B9" w:rsidRPr="002B6812" w:rsidRDefault="4BAA7215" w:rsidP="00231F2B">
      <w:pPr>
        <w:pStyle w:val="Bulletlist"/>
        <w:numPr>
          <w:ilvl w:val="1"/>
          <w:numId w:val="5"/>
        </w:numPr>
        <w:jc w:val="both"/>
      </w:pPr>
      <w:r w:rsidRPr="002B6812">
        <w:t xml:space="preserve">All project communications and documentation will </w:t>
      </w:r>
      <w:r w:rsidRPr="003B7EF1">
        <w:t xml:space="preserve">be in </w:t>
      </w:r>
      <w:r w:rsidR="003B7EF1" w:rsidRPr="003B7EF1">
        <w:rPr>
          <w:rStyle w:val="InstructionalChar"/>
          <w:color w:val="auto"/>
        </w:rPr>
        <w:t xml:space="preserve">English. </w:t>
      </w:r>
      <w:r w:rsidRPr="003B7EF1">
        <w:t xml:space="preserve">Local </w:t>
      </w:r>
      <w:r w:rsidRPr="002B6812">
        <w:t xml:space="preserve">language support and translations will be provided by the </w:t>
      </w:r>
      <w:r w:rsidR="004744AF" w:rsidRPr="002B6812">
        <w:t>Customer</w:t>
      </w:r>
      <w:r w:rsidRPr="002B6812">
        <w:t>.</w:t>
      </w:r>
    </w:p>
    <w:p w14:paraId="3687B333" w14:textId="77777777" w:rsidR="003D158B" w:rsidRPr="002B6812" w:rsidRDefault="4BAA7215" w:rsidP="00231F2B">
      <w:pPr>
        <w:pStyle w:val="Bulletlist"/>
        <w:ind w:left="270" w:hanging="270"/>
        <w:jc w:val="both"/>
      </w:pPr>
      <w:r w:rsidRPr="002B6812">
        <w:t>Staffing:</w:t>
      </w:r>
    </w:p>
    <w:p w14:paraId="0EF27436" w14:textId="77777777" w:rsidR="004D04B9" w:rsidRPr="002B6812" w:rsidRDefault="4BAA7215" w:rsidP="00231F2B">
      <w:pPr>
        <w:pStyle w:val="Bulletlist"/>
        <w:numPr>
          <w:ilvl w:val="1"/>
          <w:numId w:val="5"/>
        </w:numPr>
        <w:jc w:val="both"/>
      </w:pPr>
      <w:r w:rsidRPr="002B6812">
        <w:t>If necessary, Microsoft will make staffing changes. These can include, but are not limited to, the number of resources, individuals, and project roles.</w:t>
      </w:r>
    </w:p>
    <w:p w14:paraId="0660F671" w14:textId="77777777" w:rsidR="00BB19E5" w:rsidRPr="002B6812" w:rsidRDefault="4BAA7215" w:rsidP="00231F2B">
      <w:pPr>
        <w:pStyle w:val="Bulletlist"/>
        <w:ind w:left="270" w:hanging="270"/>
        <w:jc w:val="both"/>
      </w:pPr>
      <w:r w:rsidRPr="002B6812">
        <w:t>Informal knowledge transfer:</w:t>
      </w:r>
    </w:p>
    <w:p w14:paraId="50DAF0B7" w14:textId="1F1A2E44" w:rsidR="004D04B9" w:rsidRPr="002B6812" w:rsidRDefault="004744AF" w:rsidP="00231F2B">
      <w:pPr>
        <w:pStyle w:val="Bulletlist"/>
        <w:numPr>
          <w:ilvl w:val="1"/>
          <w:numId w:val="5"/>
        </w:numPr>
        <w:jc w:val="both"/>
      </w:pPr>
      <w:r w:rsidRPr="002B6812">
        <w:t>Customer</w:t>
      </w:r>
      <w:r w:rsidR="4BAA7215" w:rsidRPr="002B6812">
        <w:t xml:space="preserve"> staff members who work alongside Microsoft staff will be provided with information knowledge transfer throughout the project. No formal training materials will be developed or delivered as part of this informal knowledge transfer.</w:t>
      </w:r>
    </w:p>
    <w:p w14:paraId="24DB5AF1" w14:textId="47E63207" w:rsidR="00AC1B81" w:rsidRPr="002B6812" w:rsidRDefault="00AC1B81" w:rsidP="00231F2B">
      <w:pPr>
        <w:pStyle w:val="Bulletlist"/>
        <w:numPr>
          <w:ilvl w:val="0"/>
          <w:numId w:val="0"/>
        </w:numPr>
        <w:jc w:val="both"/>
        <w:rPr>
          <w:color w:val="FF66FF"/>
        </w:rPr>
      </w:pPr>
    </w:p>
    <w:sectPr w:rsidR="00AC1B81" w:rsidRPr="002B6812" w:rsidSect="00812548">
      <w:footerReference w:type="default" r:id="rId15"/>
      <w:pgSz w:w="12240" w:h="15840" w:code="1"/>
      <w:pgMar w:top="1440" w:right="1440" w:bottom="1440" w:left="1440" w:header="72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DB77E2" w14:textId="77777777" w:rsidR="00C96C62" w:rsidRDefault="00C96C62" w:rsidP="000D404A">
      <w:pPr>
        <w:spacing w:after="0" w:line="240" w:lineRule="auto"/>
      </w:pPr>
      <w:r>
        <w:separator/>
      </w:r>
    </w:p>
    <w:p w14:paraId="7A92F09D" w14:textId="77777777" w:rsidR="00C96C62" w:rsidRDefault="00C96C62"/>
  </w:endnote>
  <w:endnote w:type="continuationSeparator" w:id="0">
    <w:p w14:paraId="2CD96690" w14:textId="77777777" w:rsidR="00C96C62" w:rsidRDefault="00C96C62" w:rsidP="000D404A">
      <w:pPr>
        <w:spacing w:after="0" w:line="240" w:lineRule="auto"/>
      </w:pPr>
      <w:r>
        <w:continuationSeparator/>
      </w:r>
    </w:p>
    <w:p w14:paraId="2B406BF8" w14:textId="77777777" w:rsidR="00C96C62" w:rsidRDefault="00C96C62"/>
  </w:endnote>
  <w:endnote w:type="continuationNotice" w:id="1">
    <w:p w14:paraId="3FCE7A1D" w14:textId="77777777" w:rsidR="00C96C62" w:rsidRDefault="00C96C62">
      <w:pPr>
        <w:spacing w:after="0" w:line="240" w:lineRule="auto"/>
      </w:pPr>
    </w:p>
    <w:p w14:paraId="6F2F7490" w14:textId="77777777" w:rsidR="00C96C62" w:rsidRDefault="00C96C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egoe">
    <w:altName w:val="Segoe UI"/>
    <w:charset w:val="00"/>
    <w:family w:val="swiss"/>
    <w:pitch w:val="variable"/>
    <w:sig w:usb0="00000001" w:usb1="4000205B" w:usb2="00000000" w:usb3="00000000" w:csb0="0000009F" w:csb1="00000000"/>
  </w:font>
  <w:font w:name="Segoe Black">
    <w:altName w:val="Arial"/>
    <w:charset w:val="00"/>
    <w:family w:val="swiss"/>
    <w:pitch w:val="variable"/>
    <w:sig w:usb0="A00002AF" w:usb1="4000205B" w:usb2="00000000" w:usb3="00000000" w:csb0="0000009F" w:csb1="00000000"/>
  </w:font>
  <w:font w:name="Segoe Light">
    <w:altName w:val="Arial"/>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Pro">
    <w:altName w:val="Segoe UI"/>
    <w:charset w:val="00"/>
    <w:family w:val="swiss"/>
    <w:pitch w:val="variable"/>
    <w:sig w:usb0="00000001" w:usb1="4000205B" w:usb2="00000000" w:usb3="00000000" w:csb0="0000009F" w:csb1="00000000"/>
  </w:font>
  <w:font w:name="Yu Mincho">
    <w:charset w:val="80"/>
    <w:family w:val="roman"/>
    <w:pitch w:val="variable"/>
    <w:sig w:usb0="800002E7" w:usb1="2AC7FCFF" w:usb2="00000012" w:usb3="00000000" w:csb0="0002009F" w:csb1="00000000"/>
  </w:font>
  <w:font w:name="Segoe Semibold">
    <w:altName w:val="Segoe UI Semibold"/>
    <w:charset w:val="00"/>
    <w:family w:val="swiss"/>
    <w:pitch w:val="variable"/>
    <w:sig w:usb0="A00002AF" w:usb1="4000205B" w:usb2="00000000" w:usb3="00000000" w:csb0="0000009F" w:csb1="00000000"/>
  </w:font>
  <w:font w:name="Segoe UI Semilight">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4CF20B" w14:textId="2F98B797" w:rsidR="005671E9" w:rsidRPr="006F70AE" w:rsidRDefault="005671E9" w:rsidP="006F70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D9677" w14:textId="77777777" w:rsidR="005671E9" w:rsidRPr="006F70AE" w:rsidRDefault="005671E9" w:rsidP="006F70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AF687D" w14:textId="77777777" w:rsidR="00C96C62" w:rsidRDefault="00C96C62" w:rsidP="000D404A">
      <w:pPr>
        <w:spacing w:after="0" w:line="240" w:lineRule="auto"/>
      </w:pPr>
      <w:r>
        <w:separator/>
      </w:r>
    </w:p>
    <w:p w14:paraId="75485FA5" w14:textId="77777777" w:rsidR="00C96C62" w:rsidRDefault="00C96C62"/>
  </w:footnote>
  <w:footnote w:type="continuationSeparator" w:id="0">
    <w:p w14:paraId="740B40C6" w14:textId="77777777" w:rsidR="00C96C62" w:rsidRDefault="00C96C62" w:rsidP="000D404A">
      <w:pPr>
        <w:spacing w:after="0" w:line="240" w:lineRule="auto"/>
      </w:pPr>
      <w:r>
        <w:continuationSeparator/>
      </w:r>
    </w:p>
    <w:p w14:paraId="6EC0D427" w14:textId="77777777" w:rsidR="00C96C62" w:rsidRDefault="00C96C62"/>
  </w:footnote>
  <w:footnote w:type="continuationNotice" w:id="1">
    <w:p w14:paraId="38FF9081" w14:textId="77777777" w:rsidR="00C96C62" w:rsidRDefault="00C96C62">
      <w:pPr>
        <w:spacing w:after="0" w:line="240" w:lineRule="auto"/>
      </w:pPr>
    </w:p>
    <w:p w14:paraId="3F577137" w14:textId="77777777" w:rsidR="00C96C62" w:rsidRDefault="00C96C6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1"/>
    <w:multiLevelType w:val="singleLevel"/>
    <w:tmpl w:val="DD0241DA"/>
    <w:lvl w:ilvl="0">
      <w:start w:val="1"/>
      <w:numFmt w:val="bullet"/>
      <w:pStyle w:val="ListBullet4"/>
      <w:lvlText w:val="o"/>
      <w:lvlJc w:val="left"/>
      <w:pPr>
        <w:ind w:left="1800" w:hanging="360"/>
      </w:pPr>
      <w:rPr>
        <w:rFonts w:ascii="Courier New" w:hAnsi="Courier New" w:hint="default"/>
        <w:color w:val="008AC8"/>
      </w:rPr>
    </w:lvl>
  </w:abstractNum>
  <w:abstractNum w:abstractNumId="1" w15:restartNumberingAfterBreak="0">
    <w:nsid w:val="FFFFFF82"/>
    <w:multiLevelType w:val="singleLevel"/>
    <w:tmpl w:val="D38AF324"/>
    <w:lvl w:ilvl="0">
      <w:start w:val="1"/>
      <w:numFmt w:val="bullet"/>
      <w:pStyle w:val="ListBullet3"/>
      <w:lvlText w:val="•"/>
      <w:lvlJc w:val="left"/>
      <w:pPr>
        <w:ind w:left="1440" w:hanging="360"/>
      </w:pPr>
      <w:rPr>
        <w:rFonts w:ascii="Segoe UI" w:hAnsi="Segoe UI" w:hint="default"/>
        <w:color w:val="008AC8"/>
      </w:rPr>
    </w:lvl>
  </w:abstractNum>
  <w:abstractNum w:abstractNumId="2" w15:restartNumberingAfterBreak="0">
    <w:nsid w:val="FFFFFF83"/>
    <w:multiLevelType w:val="singleLevel"/>
    <w:tmpl w:val="867A59A0"/>
    <w:lvl w:ilvl="0">
      <w:start w:val="1"/>
      <w:numFmt w:val="bullet"/>
      <w:pStyle w:val="ListBullet2"/>
      <w:lvlText w:val="o"/>
      <w:lvlJc w:val="left"/>
      <w:pPr>
        <w:ind w:left="792" w:hanging="360"/>
      </w:pPr>
      <w:rPr>
        <w:rFonts w:ascii="Courier New" w:hAnsi="Courier New" w:hint="default"/>
        <w:color w:val="008AC8"/>
      </w:rPr>
    </w:lvl>
  </w:abstractNum>
  <w:abstractNum w:abstractNumId="3" w15:restartNumberingAfterBreak="0">
    <w:nsid w:val="01F01591"/>
    <w:multiLevelType w:val="hybridMultilevel"/>
    <w:tmpl w:val="0EA062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AD44F9"/>
    <w:multiLevelType w:val="multilevel"/>
    <w:tmpl w:val="2F1482CE"/>
    <w:styleLink w:val="TableBullets"/>
    <w:lvl w:ilvl="0">
      <w:start w:val="1"/>
      <w:numFmt w:val="bullet"/>
      <w:pStyle w:val="TableBullet1MS"/>
      <w:lvlText w:val="▪"/>
      <w:lvlJc w:val="left"/>
      <w:pPr>
        <w:ind w:left="216" w:hanging="216"/>
      </w:pPr>
      <w:rPr>
        <w:rFonts w:ascii="Segoe" w:hAnsi="Segoe" w:hint="default"/>
        <w:b w:val="0"/>
        <w:i w:val="0"/>
        <w:color w:val="000000"/>
        <w:sz w:val="20"/>
      </w:rPr>
    </w:lvl>
    <w:lvl w:ilvl="1">
      <w:start w:val="1"/>
      <w:numFmt w:val="bullet"/>
      <w:pStyle w:val="TableBullet2MS"/>
      <w:lvlText w:val="−"/>
      <w:lvlJc w:val="left"/>
      <w:pPr>
        <w:ind w:left="432" w:hanging="216"/>
      </w:pPr>
      <w:rPr>
        <w:rFonts w:ascii="Segoe" w:hAnsi="Segoe" w:hint="default"/>
        <w:b w:val="0"/>
        <w:i w:val="0"/>
        <w:color w:val="000000"/>
        <w:sz w:val="20"/>
      </w:rPr>
    </w:lvl>
    <w:lvl w:ilvl="2">
      <w:start w:val="1"/>
      <w:numFmt w:val="bullet"/>
      <w:lvlText w:val="▪"/>
      <w:lvlJc w:val="left"/>
      <w:pPr>
        <w:ind w:left="648" w:hanging="216"/>
      </w:pPr>
      <w:rPr>
        <w:rFonts w:ascii="Segoe Black" w:hAnsi="Segoe Black"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5" w15:restartNumberingAfterBreak="0">
    <w:nsid w:val="052E72D1"/>
    <w:multiLevelType w:val="hybridMultilevel"/>
    <w:tmpl w:val="F54AA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3C5C8F"/>
    <w:multiLevelType w:val="multilevel"/>
    <w:tmpl w:val="9A8A2970"/>
    <w:lvl w:ilvl="0">
      <w:start w:val="1"/>
      <w:numFmt w:val="decimal"/>
      <w:lvlRestart w:val="0"/>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pStyle w:val="NumHeading3"/>
      <w:lvlText w:val="%1.%2.%6"/>
      <w:lvlJc w:val="left"/>
      <w:pPr>
        <w:tabs>
          <w:tab w:val="num" w:pos="4680"/>
        </w:tabs>
        <w:ind w:left="2736" w:hanging="936"/>
      </w:pPr>
      <w:rPr>
        <w:rFonts w:hint="default"/>
      </w:rPr>
    </w:lvl>
    <w:lvl w:ilvl="6">
      <w:start w:val="1"/>
      <w:numFmt w:val="decimal"/>
      <w:pStyle w:val="NumHeading4"/>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7" w15:restartNumberingAfterBreak="0">
    <w:nsid w:val="0D5D63F2"/>
    <w:multiLevelType w:val="hybridMultilevel"/>
    <w:tmpl w:val="11567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1C1D9B"/>
    <w:multiLevelType w:val="hybridMultilevel"/>
    <w:tmpl w:val="DC58B8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CB62B9E"/>
    <w:multiLevelType w:val="hybridMultilevel"/>
    <w:tmpl w:val="BD305C74"/>
    <w:lvl w:ilvl="0" w:tplc="E3A23968">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EEC6974"/>
    <w:multiLevelType w:val="hybridMultilevel"/>
    <w:tmpl w:val="8730B8DE"/>
    <w:lvl w:ilvl="0" w:tplc="04090001">
      <w:start w:val="1"/>
      <w:numFmt w:val="bullet"/>
      <w:lvlText w:val=""/>
      <w:lvlJc w:val="left"/>
      <w:pPr>
        <w:ind w:left="720" w:hanging="360"/>
      </w:pPr>
      <w:rPr>
        <w:rFonts w:ascii="Symbol" w:hAnsi="Symbol" w:hint="default"/>
        <w:sz w:val="19"/>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83173E"/>
    <w:multiLevelType w:val="multilevel"/>
    <w:tmpl w:val="AE1CD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057DCF"/>
    <w:multiLevelType w:val="hybridMultilevel"/>
    <w:tmpl w:val="926003CA"/>
    <w:lvl w:ilvl="0" w:tplc="DA28F3E6">
      <w:start w:val="1"/>
      <w:numFmt w:val="bullet"/>
      <w:pStyle w:val="Bulletlist"/>
      <w:lvlText w:val=""/>
      <w:lvlJc w:val="left"/>
      <w:pPr>
        <w:ind w:left="360" w:hanging="360"/>
      </w:pPr>
      <w:rPr>
        <w:rFonts w:ascii="Symbol" w:hAnsi="Symbol" w:hint="default"/>
        <w:color w:val="auto"/>
        <w:sz w:val="19"/>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4" w15:restartNumberingAfterBreak="0">
    <w:nsid w:val="30625920"/>
    <w:multiLevelType w:val="hybridMultilevel"/>
    <w:tmpl w:val="F120E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901CB9"/>
    <w:multiLevelType w:val="multilevel"/>
    <w:tmpl w:val="0409001F"/>
    <w:numStyleLink w:val="Style1"/>
  </w:abstractNum>
  <w:abstractNum w:abstractNumId="16" w15:restartNumberingAfterBreak="0">
    <w:nsid w:val="38D338B4"/>
    <w:multiLevelType w:val="hybridMultilevel"/>
    <w:tmpl w:val="16F29EB6"/>
    <w:lvl w:ilvl="0" w:tplc="24A2C4C0">
      <w:start w:val="1"/>
      <w:numFmt w:val="bullet"/>
      <w:lvlText w:val=""/>
      <w:lvlJc w:val="left"/>
      <w:pPr>
        <w:ind w:left="720" w:hanging="360"/>
      </w:pPr>
      <w:rPr>
        <w:rFonts w:ascii="Symbol" w:hAnsi="Symbol" w:hint="default"/>
        <w:color w:val="00B0F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E77DD0"/>
    <w:multiLevelType w:val="multilevel"/>
    <w:tmpl w:val="C92E8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17977DE"/>
    <w:multiLevelType w:val="hybridMultilevel"/>
    <w:tmpl w:val="97ECC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A5424B"/>
    <w:multiLevelType w:val="hybridMultilevel"/>
    <w:tmpl w:val="9A74ED7A"/>
    <w:lvl w:ilvl="0" w:tplc="6798C24C">
      <w:start w:val="1"/>
      <w:numFmt w:val="bullet"/>
      <w:pStyle w:val="TableBullet3"/>
      <w:lvlText w:val=""/>
      <w:lvlJc w:val="left"/>
      <w:pPr>
        <w:ind w:left="1080" w:hanging="360"/>
      </w:pPr>
      <w:rPr>
        <w:rFonts w:ascii="Symbol" w:hAnsi="Symbol" w:hint="default"/>
        <w:b w:val="0"/>
        <w:i/>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5286566"/>
    <w:multiLevelType w:val="multilevel"/>
    <w:tmpl w:val="BFEA11AE"/>
    <w:styleLink w:val="NumberBulletStylesMS"/>
    <w:lvl w:ilvl="0">
      <w:start w:val="1"/>
      <w:numFmt w:val="decimal"/>
      <w:lvlText w:val="%1."/>
      <w:lvlJc w:val="left"/>
      <w:pPr>
        <w:ind w:left="288" w:hanging="288"/>
      </w:pPr>
      <w:rPr>
        <w:rFonts w:ascii="Segoe Light" w:hAnsi="Segoe Light" w:hint="default"/>
        <w:color w:val="557EB9"/>
        <w:sz w:val="20"/>
      </w:rPr>
    </w:lvl>
    <w:lvl w:ilvl="1">
      <w:start w:val="1"/>
      <w:numFmt w:val="lowerLetter"/>
      <w:lvlText w:val="%2."/>
      <w:lvlJc w:val="left"/>
      <w:pPr>
        <w:ind w:left="576" w:hanging="288"/>
      </w:pPr>
      <w:rPr>
        <w:rFonts w:ascii="Segoe Light" w:hAnsi="Segoe Light" w:hint="default"/>
        <w:b w:val="0"/>
        <w:i w:val="0"/>
        <w:color w:val="557EB9"/>
        <w:sz w:val="20"/>
      </w:rPr>
    </w:lvl>
    <w:lvl w:ilvl="2">
      <w:start w:val="1"/>
      <w:numFmt w:val="lowerRoman"/>
      <w:lvlText w:val="%3."/>
      <w:lvlJc w:val="left"/>
      <w:pPr>
        <w:ind w:left="864" w:hanging="288"/>
      </w:pPr>
      <w:rPr>
        <w:rFonts w:ascii="Segoe Light" w:hAnsi="Segoe Light" w:hint="default"/>
        <w:b w:val="0"/>
        <w:i w:val="0"/>
        <w:color w:val="557EB9"/>
        <w:sz w:val="20"/>
      </w:rPr>
    </w:lvl>
    <w:lvl w:ilvl="3">
      <w:start w:val="1"/>
      <w:numFmt w:val="decimal"/>
      <w:lvlText w:val="%4."/>
      <w:lvlJc w:val="left"/>
      <w:pPr>
        <w:ind w:left="1152" w:hanging="288"/>
      </w:pPr>
      <w:rPr>
        <w:rFonts w:ascii="Segoe Light" w:hAnsi="Segoe Light" w:hint="default"/>
        <w:b w:val="0"/>
        <w:i w:val="0"/>
        <w:color w:val="557EB9"/>
        <w:sz w:val="20"/>
      </w:rPr>
    </w:lvl>
    <w:lvl w:ilvl="4">
      <w:start w:val="1"/>
      <w:numFmt w:val="lowerLetter"/>
      <w:lvlText w:val="%5."/>
      <w:lvlJc w:val="left"/>
      <w:pPr>
        <w:ind w:left="1440" w:hanging="288"/>
      </w:pPr>
      <w:rPr>
        <w:rFonts w:ascii="Segoe Light" w:hAnsi="Segoe Light" w:hint="default"/>
        <w:b w:val="0"/>
        <w:i w:val="0"/>
        <w:color w:val="557EB9"/>
        <w:sz w:val="20"/>
      </w:rPr>
    </w:lvl>
    <w:lvl w:ilvl="5">
      <w:start w:val="1"/>
      <w:numFmt w:val="none"/>
      <w:lvlText w:val="%6"/>
      <w:lvlJc w:val="right"/>
      <w:pPr>
        <w:ind w:left="3960" w:hanging="180"/>
      </w:pPr>
      <w:rPr>
        <w:rFonts w:hint="default"/>
      </w:rPr>
    </w:lvl>
    <w:lvl w:ilvl="6">
      <w:start w:val="1"/>
      <w:numFmt w:val="none"/>
      <w:lvlText w:val="%7"/>
      <w:lvlJc w:val="left"/>
      <w:pPr>
        <w:ind w:left="4680" w:hanging="360"/>
      </w:pPr>
      <w:rPr>
        <w:rFonts w:hint="default"/>
      </w:rPr>
    </w:lvl>
    <w:lvl w:ilvl="7">
      <w:start w:val="1"/>
      <w:numFmt w:val="none"/>
      <w:lvlText w:val="%8"/>
      <w:lvlJc w:val="left"/>
      <w:pPr>
        <w:ind w:left="5400" w:hanging="360"/>
      </w:pPr>
      <w:rPr>
        <w:rFonts w:hint="default"/>
      </w:rPr>
    </w:lvl>
    <w:lvl w:ilvl="8">
      <w:start w:val="1"/>
      <w:numFmt w:val="none"/>
      <w:lvlText w:val="%9"/>
      <w:lvlJc w:val="right"/>
      <w:pPr>
        <w:ind w:left="6120" w:hanging="180"/>
      </w:pPr>
      <w:rPr>
        <w:rFonts w:hint="default"/>
      </w:rPr>
    </w:lvl>
  </w:abstractNum>
  <w:abstractNum w:abstractNumId="21" w15:restartNumberingAfterBreak="0">
    <w:nsid w:val="4B776B48"/>
    <w:multiLevelType w:val="hybridMultilevel"/>
    <w:tmpl w:val="3B42CD6A"/>
    <w:lvl w:ilvl="0" w:tplc="A3B877F2">
      <w:start w:val="1"/>
      <w:numFmt w:val="bullet"/>
      <w:pStyle w:val="Bullet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523125"/>
    <w:multiLevelType w:val="hybridMultilevel"/>
    <w:tmpl w:val="5B6C9BFC"/>
    <w:lvl w:ilvl="0" w:tplc="F6F4771E">
      <w:start w:val="1"/>
      <w:numFmt w:val="bullet"/>
      <w:pStyle w:val="Bullet3"/>
      <w:lvlText w:val="o"/>
      <w:lvlJc w:val="left"/>
      <w:pPr>
        <w:ind w:left="1080" w:hanging="360"/>
      </w:pPr>
      <w:rPr>
        <w:rFonts w:ascii="Courier New" w:hAnsi="Courier New" w:hint="default"/>
        <w:b w:val="0"/>
        <w:i/>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D6978D8"/>
    <w:multiLevelType w:val="hybridMultilevel"/>
    <w:tmpl w:val="73DE6ECE"/>
    <w:lvl w:ilvl="0" w:tplc="EAAC5AAE">
      <w:start w:val="1"/>
      <w:numFmt w:val="bullet"/>
      <w:lvlText w:val=""/>
      <w:lvlJc w:val="left"/>
      <w:pPr>
        <w:ind w:left="360" w:hanging="360"/>
      </w:pPr>
      <w:rPr>
        <w:rFonts w:ascii="Symbol" w:hAnsi="Symbol" w:hint="default"/>
        <w:sz w:val="19"/>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A3A3899"/>
    <w:multiLevelType w:val="hybridMultilevel"/>
    <w:tmpl w:val="7154224C"/>
    <w:lvl w:ilvl="0" w:tplc="07824E34">
      <w:start w:val="1"/>
      <w:numFmt w:val="lowerRoman"/>
      <w:pStyle w:val="NumBullet3"/>
      <w:lvlText w:val="%1."/>
      <w:lvlJc w:val="right"/>
      <w:pPr>
        <w:ind w:left="936" w:hanging="360"/>
      </w:pPr>
      <w:rPr>
        <w:rFonts w:hint="default"/>
        <w:color w:val="008AC8"/>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5" w15:restartNumberingAfterBreak="0">
    <w:nsid w:val="622978A4"/>
    <w:multiLevelType w:val="multilevel"/>
    <w:tmpl w:val="0409001F"/>
    <w:styleLink w:val="Style1"/>
    <w:lvl w:ilvl="0">
      <w:start w:val="1"/>
      <w:numFmt w:val="decimal"/>
      <w:pStyle w:val="Heading1"/>
      <w:lvlText w:val="%1."/>
      <w:lvlJc w:val="left"/>
      <w:pPr>
        <w:ind w:left="360" w:hanging="360"/>
      </w:p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2326C6E"/>
    <w:multiLevelType w:val="hybridMultilevel"/>
    <w:tmpl w:val="58308EA0"/>
    <w:lvl w:ilvl="0" w:tplc="29CE240E">
      <w:start w:val="1"/>
      <w:numFmt w:val="lowerLetter"/>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8D692A"/>
    <w:multiLevelType w:val="hybridMultilevel"/>
    <w:tmpl w:val="7BB0B1D6"/>
    <w:lvl w:ilvl="0" w:tplc="EAAC5AAE">
      <w:start w:val="1"/>
      <w:numFmt w:val="bullet"/>
      <w:lvlText w:val=""/>
      <w:lvlJc w:val="left"/>
      <w:pPr>
        <w:ind w:left="360" w:hanging="360"/>
      </w:pPr>
      <w:rPr>
        <w:rFonts w:ascii="Symbol" w:hAnsi="Symbol" w:hint="default"/>
        <w:sz w:val="19"/>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BED2331"/>
    <w:multiLevelType w:val="hybridMultilevel"/>
    <w:tmpl w:val="8FE4B56C"/>
    <w:lvl w:ilvl="0" w:tplc="04090001">
      <w:start w:val="1"/>
      <w:numFmt w:val="bullet"/>
      <w:lvlText w:val=""/>
      <w:lvlJc w:val="left"/>
      <w:pPr>
        <w:ind w:left="720" w:hanging="360"/>
      </w:pPr>
      <w:rPr>
        <w:rFonts w:ascii="Symbol" w:hAnsi="Symbol" w:hint="default"/>
        <w:sz w:val="19"/>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926C0B"/>
    <w:multiLevelType w:val="multilevel"/>
    <w:tmpl w:val="64463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C326833"/>
    <w:multiLevelType w:val="hybridMultilevel"/>
    <w:tmpl w:val="5C8E4058"/>
    <w:lvl w:ilvl="0" w:tplc="04090001">
      <w:start w:val="1"/>
      <w:numFmt w:val="bullet"/>
      <w:lvlText w:val=""/>
      <w:lvlJc w:val="left"/>
      <w:pPr>
        <w:ind w:left="720" w:hanging="360"/>
      </w:pPr>
      <w:rPr>
        <w:rFonts w:ascii="Symbol" w:hAnsi="Symbol" w:hint="default"/>
        <w:sz w:val="19"/>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5"/>
  </w:num>
  <w:num w:numId="3">
    <w:abstractNumId w:val="15"/>
  </w:num>
  <w:num w:numId="4">
    <w:abstractNumId w:val="13"/>
  </w:num>
  <w:num w:numId="5">
    <w:abstractNumId w:val="9"/>
  </w:num>
  <w:num w:numId="6">
    <w:abstractNumId w:val="4"/>
  </w:num>
  <w:num w:numId="7">
    <w:abstractNumId w:val="24"/>
  </w:num>
  <w:num w:numId="8">
    <w:abstractNumId w:val="26"/>
  </w:num>
  <w:num w:numId="9">
    <w:abstractNumId w:val="18"/>
  </w:num>
  <w:num w:numId="10">
    <w:abstractNumId w:val="14"/>
  </w:num>
  <w:num w:numId="11">
    <w:abstractNumId w:val="7"/>
  </w:num>
  <w:num w:numId="12">
    <w:abstractNumId w:val="12"/>
  </w:num>
  <w:num w:numId="13">
    <w:abstractNumId w:val="21"/>
  </w:num>
  <w:num w:numId="14">
    <w:abstractNumId w:val="5"/>
  </w:num>
  <w:num w:numId="15">
    <w:abstractNumId w:val="6"/>
  </w:num>
  <w:num w:numId="16">
    <w:abstractNumId w:val="19"/>
  </w:num>
  <w:num w:numId="17">
    <w:abstractNumId w:val="22"/>
  </w:num>
  <w:num w:numId="18">
    <w:abstractNumId w:val="2"/>
  </w:num>
  <w:num w:numId="19">
    <w:abstractNumId w:val="1"/>
  </w:num>
  <w:num w:numId="20">
    <w:abstractNumId w:val="0"/>
  </w:num>
  <w:num w:numId="21">
    <w:abstractNumId w:val="3"/>
  </w:num>
  <w:num w:numId="22">
    <w:abstractNumId w:val="27"/>
  </w:num>
  <w:num w:numId="23">
    <w:abstractNumId w:val="10"/>
  </w:num>
  <w:num w:numId="24">
    <w:abstractNumId w:val="28"/>
  </w:num>
  <w:num w:numId="25">
    <w:abstractNumId w:val="30"/>
  </w:num>
  <w:num w:numId="26">
    <w:abstractNumId w:val="8"/>
  </w:num>
  <w:num w:numId="27">
    <w:abstractNumId w:val="23"/>
  </w:num>
  <w:num w:numId="28">
    <w:abstractNumId w:val="12"/>
  </w:num>
  <w:num w:numId="29">
    <w:abstractNumId w:val="12"/>
  </w:num>
  <w:num w:numId="30">
    <w:abstractNumId w:val="12"/>
  </w:num>
  <w:num w:numId="31">
    <w:abstractNumId w:val="12"/>
  </w:num>
  <w:num w:numId="32">
    <w:abstractNumId w:val="16"/>
  </w:num>
  <w:num w:numId="33">
    <w:abstractNumId w:val="12"/>
  </w:num>
  <w:num w:numId="34">
    <w:abstractNumId w:val="12"/>
  </w:num>
  <w:num w:numId="35">
    <w:abstractNumId w:val="11"/>
  </w:num>
  <w:num w:numId="36">
    <w:abstractNumId w:val="29"/>
  </w:num>
  <w:num w:numId="37">
    <w:abstractNumId w:val="1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removePersonalInformation/>
  <w:removeDateAndTime/>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283"/>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A14"/>
    <w:rsid w:val="0000094A"/>
    <w:rsid w:val="00000E4A"/>
    <w:rsid w:val="00000E4F"/>
    <w:rsid w:val="00001922"/>
    <w:rsid w:val="00002AFB"/>
    <w:rsid w:val="0000571D"/>
    <w:rsid w:val="00005972"/>
    <w:rsid w:val="00005F61"/>
    <w:rsid w:val="00006345"/>
    <w:rsid w:val="00006950"/>
    <w:rsid w:val="00007020"/>
    <w:rsid w:val="00007898"/>
    <w:rsid w:val="00007F5F"/>
    <w:rsid w:val="000101EE"/>
    <w:rsid w:val="00010553"/>
    <w:rsid w:val="00011638"/>
    <w:rsid w:val="000122F9"/>
    <w:rsid w:val="00013ABD"/>
    <w:rsid w:val="000149FA"/>
    <w:rsid w:val="0001567C"/>
    <w:rsid w:val="00015C12"/>
    <w:rsid w:val="000160B6"/>
    <w:rsid w:val="000163EF"/>
    <w:rsid w:val="00016E38"/>
    <w:rsid w:val="00016EE6"/>
    <w:rsid w:val="00017196"/>
    <w:rsid w:val="0001741F"/>
    <w:rsid w:val="0001756A"/>
    <w:rsid w:val="00017A2C"/>
    <w:rsid w:val="00017ECC"/>
    <w:rsid w:val="00017EE6"/>
    <w:rsid w:val="00020672"/>
    <w:rsid w:val="0002090A"/>
    <w:rsid w:val="00020CC5"/>
    <w:rsid w:val="000210BE"/>
    <w:rsid w:val="00023346"/>
    <w:rsid w:val="0002392F"/>
    <w:rsid w:val="00024171"/>
    <w:rsid w:val="000246BC"/>
    <w:rsid w:val="00024A12"/>
    <w:rsid w:val="000251D3"/>
    <w:rsid w:val="00025E4F"/>
    <w:rsid w:val="0002755A"/>
    <w:rsid w:val="00027DA4"/>
    <w:rsid w:val="00027EC9"/>
    <w:rsid w:val="0003062B"/>
    <w:rsid w:val="00030A8E"/>
    <w:rsid w:val="00030C8E"/>
    <w:rsid w:val="00030D28"/>
    <w:rsid w:val="000311BF"/>
    <w:rsid w:val="00031658"/>
    <w:rsid w:val="00031BBA"/>
    <w:rsid w:val="0003395C"/>
    <w:rsid w:val="00034943"/>
    <w:rsid w:val="00034DE1"/>
    <w:rsid w:val="00034F3B"/>
    <w:rsid w:val="00035125"/>
    <w:rsid w:val="0003527C"/>
    <w:rsid w:val="000352F9"/>
    <w:rsid w:val="000354A7"/>
    <w:rsid w:val="00035730"/>
    <w:rsid w:val="00036CDA"/>
    <w:rsid w:val="000374A4"/>
    <w:rsid w:val="00040DD3"/>
    <w:rsid w:val="00041367"/>
    <w:rsid w:val="000417FD"/>
    <w:rsid w:val="000418CD"/>
    <w:rsid w:val="00041DE1"/>
    <w:rsid w:val="00043018"/>
    <w:rsid w:val="000432CD"/>
    <w:rsid w:val="000432D7"/>
    <w:rsid w:val="00043379"/>
    <w:rsid w:val="00043E48"/>
    <w:rsid w:val="0004406D"/>
    <w:rsid w:val="0004420C"/>
    <w:rsid w:val="00045721"/>
    <w:rsid w:val="000468D5"/>
    <w:rsid w:val="00046AFD"/>
    <w:rsid w:val="00047F18"/>
    <w:rsid w:val="0005053E"/>
    <w:rsid w:val="00050F4E"/>
    <w:rsid w:val="00051A88"/>
    <w:rsid w:val="0005205F"/>
    <w:rsid w:val="00052880"/>
    <w:rsid w:val="00052EA6"/>
    <w:rsid w:val="00053D58"/>
    <w:rsid w:val="00054590"/>
    <w:rsid w:val="00054914"/>
    <w:rsid w:val="00055010"/>
    <w:rsid w:val="00055369"/>
    <w:rsid w:val="00056ABB"/>
    <w:rsid w:val="00057271"/>
    <w:rsid w:val="0005786B"/>
    <w:rsid w:val="000578AC"/>
    <w:rsid w:val="00057F3D"/>
    <w:rsid w:val="00060D41"/>
    <w:rsid w:val="0006105F"/>
    <w:rsid w:val="000618C7"/>
    <w:rsid w:val="00062796"/>
    <w:rsid w:val="0006295A"/>
    <w:rsid w:val="00062D61"/>
    <w:rsid w:val="000652D4"/>
    <w:rsid w:val="00065D6B"/>
    <w:rsid w:val="0006674B"/>
    <w:rsid w:val="00066A12"/>
    <w:rsid w:val="00066CFC"/>
    <w:rsid w:val="00067C64"/>
    <w:rsid w:val="00070944"/>
    <w:rsid w:val="0007099D"/>
    <w:rsid w:val="0007132F"/>
    <w:rsid w:val="000721AD"/>
    <w:rsid w:val="0007237C"/>
    <w:rsid w:val="00072506"/>
    <w:rsid w:val="00072729"/>
    <w:rsid w:val="000730ED"/>
    <w:rsid w:val="0007385D"/>
    <w:rsid w:val="00073CDE"/>
    <w:rsid w:val="00073F6D"/>
    <w:rsid w:val="000749DD"/>
    <w:rsid w:val="0007565A"/>
    <w:rsid w:val="000759A2"/>
    <w:rsid w:val="00075B28"/>
    <w:rsid w:val="000768FE"/>
    <w:rsid w:val="00076AAB"/>
    <w:rsid w:val="00077DE5"/>
    <w:rsid w:val="000819CF"/>
    <w:rsid w:val="00082535"/>
    <w:rsid w:val="000827FD"/>
    <w:rsid w:val="00082C73"/>
    <w:rsid w:val="00083531"/>
    <w:rsid w:val="00084F9E"/>
    <w:rsid w:val="0008641F"/>
    <w:rsid w:val="0008736E"/>
    <w:rsid w:val="00087713"/>
    <w:rsid w:val="0009058B"/>
    <w:rsid w:val="000916AA"/>
    <w:rsid w:val="000918FB"/>
    <w:rsid w:val="00091DAE"/>
    <w:rsid w:val="00092649"/>
    <w:rsid w:val="000926FA"/>
    <w:rsid w:val="000929EA"/>
    <w:rsid w:val="00093309"/>
    <w:rsid w:val="00093B8F"/>
    <w:rsid w:val="00093E4A"/>
    <w:rsid w:val="00094884"/>
    <w:rsid w:val="00094E12"/>
    <w:rsid w:val="00095619"/>
    <w:rsid w:val="0009697B"/>
    <w:rsid w:val="00096DA7"/>
    <w:rsid w:val="00097118"/>
    <w:rsid w:val="00097B9C"/>
    <w:rsid w:val="000A015C"/>
    <w:rsid w:val="000A13F1"/>
    <w:rsid w:val="000A2D03"/>
    <w:rsid w:val="000A3544"/>
    <w:rsid w:val="000A3D1D"/>
    <w:rsid w:val="000A48BB"/>
    <w:rsid w:val="000A5694"/>
    <w:rsid w:val="000A6144"/>
    <w:rsid w:val="000A6163"/>
    <w:rsid w:val="000A6BD9"/>
    <w:rsid w:val="000A6D95"/>
    <w:rsid w:val="000A79F4"/>
    <w:rsid w:val="000A7A6F"/>
    <w:rsid w:val="000A7AB5"/>
    <w:rsid w:val="000A7D5D"/>
    <w:rsid w:val="000A7E36"/>
    <w:rsid w:val="000B179B"/>
    <w:rsid w:val="000B25F2"/>
    <w:rsid w:val="000B2A20"/>
    <w:rsid w:val="000B3436"/>
    <w:rsid w:val="000B476E"/>
    <w:rsid w:val="000B5C7F"/>
    <w:rsid w:val="000B5C82"/>
    <w:rsid w:val="000B60A6"/>
    <w:rsid w:val="000B62A5"/>
    <w:rsid w:val="000B7232"/>
    <w:rsid w:val="000B7519"/>
    <w:rsid w:val="000C00A2"/>
    <w:rsid w:val="000C0574"/>
    <w:rsid w:val="000C0B02"/>
    <w:rsid w:val="000C1216"/>
    <w:rsid w:val="000C161F"/>
    <w:rsid w:val="000C1BB1"/>
    <w:rsid w:val="000C21B0"/>
    <w:rsid w:val="000C21C3"/>
    <w:rsid w:val="000C2611"/>
    <w:rsid w:val="000C26BF"/>
    <w:rsid w:val="000C278E"/>
    <w:rsid w:val="000C27BE"/>
    <w:rsid w:val="000C3FCD"/>
    <w:rsid w:val="000C4337"/>
    <w:rsid w:val="000C4A75"/>
    <w:rsid w:val="000C591B"/>
    <w:rsid w:val="000C659A"/>
    <w:rsid w:val="000C7613"/>
    <w:rsid w:val="000C7842"/>
    <w:rsid w:val="000D03E9"/>
    <w:rsid w:val="000D2502"/>
    <w:rsid w:val="000D2ABF"/>
    <w:rsid w:val="000D3265"/>
    <w:rsid w:val="000D3AD5"/>
    <w:rsid w:val="000D404A"/>
    <w:rsid w:val="000D4974"/>
    <w:rsid w:val="000D4DE5"/>
    <w:rsid w:val="000D4E93"/>
    <w:rsid w:val="000D5984"/>
    <w:rsid w:val="000D5ECD"/>
    <w:rsid w:val="000D5F5C"/>
    <w:rsid w:val="000D626E"/>
    <w:rsid w:val="000D6708"/>
    <w:rsid w:val="000D6F3A"/>
    <w:rsid w:val="000D75D8"/>
    <w:rsid w:val="000D761C"/>
    <w:rsid w:val="000D7A3C"/>
    <w:rsid w:val="000E0521"/>
    <w:rsid w:val="000E06B0"/>
    <w:rsid w:val="000E0D4A"/>
    <w:rsid w:val="000E11D0"/>
    <w:rsid w:val="000E14C1"/>
    <w:rsid w:val="000E15C2"/>
    <w:rsid w:val="000E21C9"/>
    <w:rsid w:val="000E2601"/>
    <w:rsid w:val="000E26DC"/>
    <w:rsid w:val="000E529B"/>
    <w:rsid w:val="000E68EB"/>
    <w:rsid w:val="000E6B6E"/>
    <w:rsid w:val="000E6DB3"/>
    <w:rsid w:val="000E7924"/>
    <w:rsid w:val="000E7FAE"/>
    <w:rsid w:val="000F051E"/>
    <w:rsid w:val="000F0D89"/>
    <w:rsid w:val="000F164C"/>
    <w:rsid w:val="000F1748"/>
    <w:rsid w:val="000F17AA"/>
    <w:rsid w:val="000F230A"/>
    <w:rsid w:val="000F38CE"/>
    <w:rsid w:val="000F3952"/>
    <w:rsid w:val="000F4784"/>
    <w:rsid w:val="000F4FEE"/>
    <w:rsid w:val="000F53B2"/>
    <w:rsid w:val="000F59BC"/>
    <w:rsid w:val="000F5A4B"/>
    <w:rsid w:val="000F5B04"/>
    <w:rsid w:val="000F5BC3"/>
    <w:rsid w:val="000F5C2A"/>
    <w:rsid w:val="000F5F63"/>
    <w:rsid w:val="000F60C1"/>
    <w:rsid w:val="000F66DD"/>
    <w:rsid w:val="000F6B41"/>
    <w:rsid w:val="000F7177"/>
    <w:rsid w:val="001000B2"/>
    <w:rsid w:val="00100A82"/>
    <w:rsid w:val="00100CBC"/>
    <w:rsid w:val="001029A8"/>
    <w:rsid w:val="00104009"/>
    <w:rsid w:val="001049E4"/>
    <w:rsid w:val="00104AB3"/>
    <w:rsid w:val="00104E74"/>
    <w:rsid w:val="00104F35"/>
    <w:rsid w:val="00105D19"/>
    <w:rsid w:val="001062C3"/>
    <w:rsid w:val="00107A71"/>
    <w:rsid w:val="00107E85"/>
    <w:rsid w:val="00110922"/>
    <w:rsid w:val="001109CA"/>
    <w:rsid w:val="00110C0C"/>
    <w:rsid w:val="00110CAA"/>
    <w:rsid w:val="00111485"/>
    <w:rsid w:val="00111EBA"/>
    <w:rsid w:val="00112AD1"/>
    <w:rsid w:val="00112B88"/>
    <w:rsid w:val="00112BBF"/>
    <w:rsid w:val="00112EB1"/>
    <w:rsid w:val="0011309F"/>
    <w:rsid w:val="00113849"/>
    <w:rsid w:val="001146EB"/>
    <w:rsid w:val="00115347"/>
    <w:rsid w:val="0011559E"/>
    <w:rsid w:val="00116F41"/>
    <w:rsid w:val="00117AE2"/>
    <w:rsid w:val="00120430"/>
    <w:rsid w:val="0012088D"/>
    <w:rsid w:val="00121300"/>
    <w:rsid w:val="00121E9B"/>
    <w:rsid w:val="001223BA"/>
    <w:rsid w:val="001227B8"/>
    <w:rsid w:val="001227DD"/>
    <w:rsid w:val="00122DAB"/>
    <w:rsid w:val="00123297"/>
    <w:rsid w:val="00124716"/>
    <w:rsid w:val="001248B6"/>
    <w:rsid w:val="001264A1"/>
    <w:rsid w:val="00126C65"/>
    <w:rsid w:val="00127120"/>
    <w:rsid w:val="00127B5B"/>
    <w:rsid w:val="00127BA7"/>
    <w:rsid w:val="0013051D"/>
    <w:rsid w:val="0013098F"/>
    <w:rsid w:val="00131593"/>
    <w:rsid w:val="00131718"/>
    <w:rsid w:val="00131D1D"/>
    <w:rsid w:val="00132206"/>
    <w:rsid w:val="00132CAF"/>
    <w:rsid w:val="001330DB"/>
    <w:rsid w:val="00133A38"/>
    <w:rsid w:val="00133F01"/>
    <w:rsid w:val="00134115"/>
    <w:rsid w:val="0013452E"/>
    <w:rsid w:val="001348C1"/>
    <w:rsid w:val="001352B8"/>
    <w:rsid w:val="0013601D"/>
    <w:rsid w:val="0013609B"/>
    <w:rsid w:val="00136FD4"/>
    <w:rsid w:val="001375D5"/>
    <w:rsid w:val="001379F1"/>
    <w:rsid w:val="00137A1A"/>
    <w:rsid w:val="00137F0F"/>
    <w:rsid w:val="00140B01"/>
    <w:rsid w:val="00140C9E"/>
    <w:rsid w:val="00140F8B"/>
    <w:rsid w:val="00143640"/>
    <w:rsid w:val="00143BF8"/>
    <w:rsid w:val="00144202"/>
    <w:rsid w:val="00144A66"/>
    <w:rsid w:val="00145594"/>
    <w:rsid w:val="00145B58"/>
    <w:rsid w:val="00146A9C"/>
    <w:rsid w:val="00146F01"/>
    <w:rsid w:val="001474C6"/>
    <w:rsid w:val="00147509"/>
    <w:rsid w:val="0014786B"/>
    <w:rsid w:val="0015000E"/>
    <w:rsid w:val="00150981"/>
    <w:rsid w:val="0015119E"/>
    <w:rsid w:val="00151705"/>
    <w:rsid w:val="00151DD2"/>
    <w:rsid w:val="00152B24"/>
    <w:rsid w:val="00152D75"/>
    <w:rsid w:val="00153F72"/>
    <w:rsid w:val="00154222"/>
    <w:rsid w:val="001573E2"/>
    <w:rsid w:val="00160775"/>
    <w:rsid w:val="001623D0"/>
    <w:rsid w:val="00163CF7"/>
    <w:rsid w:val="00163E35"/>
    <w:rsid w:val="0016410C"/>
    <w:rsid w:val="001646DA"/>
    <w:rsid w:val="0016552B"/>
    <w:rsid w:val="00166A06"/>
    <w:rsid w:val="001678C8"/>
    <w:rsid w:val="00167F49"/>
    <w:rsid w:val="0017041C"/>
    <w:rsid w:val="00170725"/>
    <w:rsid w:val="0017127E"/>
    <w:rsid w:val="001727AB"/>
    <w:rsid w:val="00172AE4"/>
    <w:rsid w:val="00172B91"/>
    <w:rsid w:val="00172F0C"/>
    <w:rsid w:val="00173661"/>
    <w:rsid w:val="00175AF6"/>
    <w:rsid w:val="00175B0C"/>
    <w:rsid w:val="00175C44"/>
    <w:rsid w:val="00175F53"/>
    <w:rsid w:val="0017674D"/>
    <w:rsid w:val="001806AB"/>
    <w:rsid w:val="00180E12"/>
    <w:rsid w:val="00180F6D"/>
    <w:rsid w:val="00181485"/>
    <w:rsid w:val="001817B5"/>
    <w:rsid w:val="001820B5"/>
    <w:rsid w:val="00182C8C"/>
    <w:rsid w:val="001834E0"/>
    <w:rsid w:val="0018362C"/>
    <w:rsid w:val="00183788"/>
    <w:rsid w:val="00184A56"/>
    <w:rsid w:val="00184CE2"/>
    <w:rsid w:val="00184DC4"/>
    <w:rsid w:val="00184FCD"/>
    <w:rsid w:val="00185DBD"/>
    <w:rsid w:val="0018628C"/>
    <w:rsid w:val="00186870"/>
    <w:rsid w:val="00186DE3"/>
    <w:rsid w:val="00186F68"/>
    <w:rsid w:val="00187294"/>
    <w:rsid w:val="00187B2D"/>
    <w:rsid w:val="00190553"/>
    <w:rsid w:val="001906AB"/>
    <w:rsid w:val="00190796"/>
    <w:rsid w:val="00191055"/>
    <w:rsid w:val="001912C7"/>
    <w:rsid w:val="00192BB0"/>
    <w:rsid w:val="00193650"/>
    <w:rsid w:val="0019411C"/>
    <w:rsid w:val="0019433C"/>
    <w:rsid w:val="0019440A"/>
    <w:rsid w:val="00194CB5"/>
    <w:rsid w:val="0019508D"/>
    <w:rsid w:val="00195849"/>
    <w:rsid w:val="00195EDA"/>
    <w:rsid w:val="001967E6"/>
    <w:rsid w:val="001970D1"/>
    <w:rsid w:val="001976F5"/>
    <w:rsid w:val="00197B4A"/>
    <w:rsid w:val="001A12A0"/>
    <w:rsid w:val="001A1317"/>
    <w:rsid w:val="001A1896"/>
    <w:rsid w:val="001A1C88"/>
    <w:rsid w:val="001A2323"/>
    <w:rsid w:val="001A2543"/>
    <w:rsid w:val="001A280C"/>
    <w:rsid w:val="001A2908"/>
    <w:rsid w:val="001A36A3"/>
    <w:rsid w:val="001A48D0"/>
    <w:rsid w:val="001A4C84"/>
    <w:rsid w:val="001A55E7"/>
    <w:rsid w:val="001A5A64"/>
    <w:rsid w:val="001A6AAB"/>
    <w:rsid w:val="001A6C58"/>
    <w:rsid w:val="001A6C7B"/>
    <w:rsid w:val="001B0C0E"/>
    <w:rsid w:val="001B1155"/>
    <w:rsid w:val="001B16ED"/>
    <w:rsid w:val="001B2695"/>
    <w:rsid w:val="001B520F"/>
    <w:rsid w:val="001B6490"/>
    <w:rsid w:val="001B6D60"/>
    <w:rsid w:val="001B75EB"/>
    <w:rsid w:val="001B7C42"/>
    <w:rsid w:val="001B7C82"/>
    <w:rsid w:val="001B7EA5"/>
    <w:rsid w:val="001C00BA"/>
    <w:rsid w:val="001C0C18"/>
    <w:rsid w:val="001C0DC6"/>
    <w:rsid w:val="001C148F"/>
    <w:rsid w:val="001C221D"/>
    <w:rsid w:val="001C222C"/>
    <w:rsid w:val="001C293B"/>
    <w:rsid w:val="001C2E99"/>
    <w:rsid w:val="001C2EF2"/>
    <w:rsid w:val="001C308F"/>
    <w:rsid w:val="001C3410"/>
    <w:rsid w:val="001C47D7"/>
    <w:rsid w:val="001C4CD2"/>
    <w:rsid w:val="001C5050"/>
    <w:rsid w:val="001C530B"/>
    <w:rsid w:val="001C5DBD"/>
    <w:rsid w:val="001C704F"/>
    <w:rsid w:val="001D1042"/>
    <w:rsid w:val="001D175A"/>
    <w:rsid w:val="001D2149"/>
    <w:rsid w:val="001D2F8A"/>
    <w:rsid w:val="001D31C8"/>
    <w:rsid w:val="001D37A0"/>
    <w:rsid w:val="001D47B2"/>
    <w:rsid w:val="001D4942"/>
    <w:rsid w:val="001D4D54"/>
    <w:rsid w:val="001D52AC"/>
    <w:rsid w:val="001D561C"/>
    <w:rsid w:val="001D5848"/>
    <w:rsid w:val="001D6BDB"/>
    <w:rsid w:val="001D6D80"/>
    <w:rsid w:val="001D714E"/>
    <w:rsid w:val="001D7223"/>
    <w:rsid w:val="001D79D7"/>
    <w:rsid w:val="001E1C39"/>
    <w:rsid w:val="001E1CDF"/>
    <w:rsid w:val="001E20E3"/>
    <w:rsid w:val="001E2B48"/>
    <w:rsid w:val="001E47D0"/>
    <w:rsid w:val="001E75B5"/>
    <w:rsid w:val="001F018E"/>
    <w:rsid w:val="001F0F4F"/>
    <w:rsid w:val="001F1EA1"/>
    <w:rsid w:val="001F25B3"/>
    <w:rsid w:val="001F2609"/>
    <w:rsid w:val="001F346C"/>
    <w:rsid w:val="001F3A44"/>
    <w:rsid w:val="001F3AAD"/>
    <w:rsid w:val="001F4C08"/>
    <w:rsid w:val="001F561F"/>
    <w:rsid w:val="001F5AFD"/>
    <w:rsid w:val="001F5C43"/>
    <w:rsid w:val="001F64D5"/>
    <w:rsid w:val="001F6AAE"/>
    <w:rsid w:val="001F6EC2"/>
    <w:rsid w:val="001F7D05"/>
    <w:rsid w:val="0020098C"/>
    <w:rsid w:val="00201398"/>
    <w:rsid w:val="002019DC"/>
    <w:rsid w:val="00201F1D"/>
    <w:rsid w:val="00202F1A"/>
    <w:rsid w:val="00202F45"/>
    <w:rsid w:val="00203434"/>
    <w:rsid w:val="00204721"/>
    <w:rsid w:val="0020647D"/>
    <w:rsid w:val="00206D5C"/>
    <w:rsid w:val="00206DB9"/>
    <w:rsid w:val="00207450"/>
    <w:rsid w:val="00207F62"/>
    <w:rsid w:val="0021091A"/>
    <w:rsid w:val="002109C3"/>
    <w:rsid w:val="00210AEC"/>
    <w:rsid w:val="00210E32"/>
    <w:rsid w:val="00210EF0"/>
    <w:rsid w:val="00211AD1"/>
    <w:rsid w:val="00211BFD"/>
    <w:rsid w:val="00212302"/>
    <w:rsid w:val="00212B2E"/>
    <w:rsid w:val="00212DC5"/>
    <w:rsid w:val="00213322"/>
    <w:rsid w:val="00213542"/>
    <w:rsid w:val="002146FC"/>
    <w:rsid w:val="002149B2"/>
    <w:rsid w:val="00214DF8"/>
    <w:rsid w:val="00214FF6"/>
    <w:rsid w:val="00215216"/>
    <w:rsid w:val="00215270"/>
    <w:rsid w:val="002152AA"/>
    <w:rsid w:val="00215ABD"/>
    <w:rsid w:val="00215AE2"/>
    <w:rsid w:val="00215E1D"/>
    <w:rsid w:val="00216130"/>
    <w:rsid w:val="00216273"/>
    <w:rsid w:val="0021649A"/>
    <w:rsid w:val="00216FE6"/>
    <w:rsid w:val="002178CC"/>
    <w:rsid w:val="00217C9C"/>
    <w:rsid w:val="00217E33"/>
    <w:rsid w:val="002208EE"/>
    <w:rsid w:val="00223BD9"/>
    <w:rsid w:val="00224036"/>
    <w:rsid w:val="00224329"/>
    <w:rsid w:val="00224701"/>
    <w:rsid w:val="00224D48"/>
    <w:rsid w:val="00225A58"/>
    <w:rsid w:val="00226B85"/>
    <w:rsid w:val="00227900"/>
    <w:rsid w:val="002301D6"/>
    <w:rsid w:val="00230503"/>
    <w:rsid w:val="00230AC0"/>
    <w:rsid w:val="00230B93"/>
    <w:rsid w:val="00230C34"/>
    <w:rsid w:val="00231F2B"/>
    <w:rsid w:val="00232419"/>
    <w:rsid w:val="0023246C"/>
    <w:rsid w:val="0023359F"/>
    <w:rsid w:val="002335E5"/>
    <w:rsid w:val="002338D4"/>
    <w:rsid w:val="00233A8C"/>
    <w:rsid w:val="0023427C"/>
    <w:rsid w:val="00234B59"/>
    <w:rsid w:val="0023521F"/>
    <w:rsid w:val="00235C46"/>
    <w:rsid w:val="00235D3C"/>
    <w:rsid w:val="002367F0"/>
    <w:rsid w:val="00236B5C"/>
    <w:rsid w:val="00237265"/>
    <w:rsid w:val="002376B5"/>
    <w:rsid w:val="0023777C"/>
    <w:rsid w:val="00237B24"/>
    <w:rsid w:val="00240478"/>
    <w:rsid w:val="002409CC"/>
    <w:rsid w:val="002413A4"/>
    <w:rsid w:val="00241661"/>
    <w:rsid w:val="002420ED"/>
    <w:rsid w:val="00243F9A"/>
    <w:rsid w:val="00244B75"/>
    <w:rsid w:val="00245311"/>
    <w:rsid w:val="002455C5"/>
    <w:rsid w:val="00246380"/>
    <w:rsid w:val="00246AC9"/>
    <w:rsid w:val="00246E87"/>
    <w:rsid w:val="0024708E"/>
    <w:rsid w:val="00247239"/>
    <w:rsid w:val="002477A7"/>
    <w:rsid w:val="00247ED7"/>
    <w:rsid w:val="002504D8"/>
    <w:rsid w:val="002508EA"/>
    <w:rsid w:val="00250CA8"/>
    <w:rsid w:val="00251319"/>
    <w:rsid w:val="002514EE"/>
    <w:rsid w:val="00251613"/>
    <w:rsid w:val="002524A7"/>
    <w:rsid w:val="002527D1"/>
    <w:rsid w:val="00252E67"/>
    <w:rsid w:val="00253A07"/>
    <w:rsid w:val="0025535A"/>
    <w:rsid w:val="0025590D"/>
    <w:rsid w:val="00257928"/>
    <w:rsid w:val="00260406"/>
    <w:rsid w:val="002605AB"/>
    <w:rsid w:val="00260B3B"/>
    <w:rsid w:val="00261F20"/>
    <w:rsid w:val="00262776"/>
    <w:rsid w:val="00262BD0"/>
    <w:rsid w:val="00263991"/>
    <w:rsid w:val="0026417E"/>
    <w:rsid w:val="002641DA"/>
    <w:rsid w:val="00264D37"/>
    <w:rsid w:val="00265317"/>
    <w:rsid w:val="00265FC9"/>
    <w:rsid w:val="002664EE"/>
    <w:rsid w:val="002667E7"/>
    <w:rsid w:val="00266B34"/>
    <w:rsid w:val="00266CF0"/>
    <w:rsid w:val="00267D79"/>
    <w:rsid w:val="00267D97"/>
    <w:rsid w:val="00267E4D"/>
    <w:rsid w:val="00267ED0"/>
    <w:rsid w:val="0027191D"/>
    <w:rsid w:val="00271A0B"/>
    <w:rsid w:val="00272278"/>
    <w:rsid w:val="00273C8F"/>
    <w:rsid w:val="0027421F"/>
    <w:rsid w:val="00274C7A"/>
    <w:rsid w:val="00275E64"/>
    <w:rsid w:val="00275F1F"/>
    <w:rsid w:val="0027741D"/>
    <w:rsid w:val="0027760D"/>
    <w:rsid w:val="00277730"/>
    <w:rsid w:val="00277FE9"/>
    <w:rsid w:val="0028103B"/>
    <w:rsid w:val="0028137B"/>
    <w:rsid w:val="0028152F"/>
    <w:rsid w:val="002822E2"/>
    <w:rsid w:val="00283BF4"/>
    <w:rsid w:val="002853DE"/>
    <w:rsid w:val="00285CBE"/>
    <w:rsid w:val="00286281"/>
    <w:rsid w:val="0029012A"/>
    <w:rsid w:val="00290EC0"/>
    <w:rsid w:val="002912BE"/>
    <w:rsid w:val="0029185F"/>
    <w:rsid w:val="002918BB"/>
    <w:rsid w:val="00292C31"/>
    <w:rsid w:val="00292F2E"/>
    <w:rsid w:val="00292FE1"/>
    <w:rsid w:val="002936D8"/>
    <w:rsid w:val="00293709"/>
    <w:rsid w:val="002952F0"/>
    <w:rsid w:val="002953B7"/>
    <w:rsid w:val="00295A8D"/>
    <w:rsid w:val="0029652A"/>
    <w:rsid w:val="002967F9"/>
    <w:rsid w:val="00297475"/>
    <w:rsid w:val="002974D7"/>
    <w:rsid w:val="002A0090"/>
    <w:rsid w:val="002A07AF"/>
    <w:rsid w:val="002A109E"/>
    <w:rsid w:val="002A1782"/>
    <w:rsid w:val="002A24DD"/>
    <w:rsid w:val="002A2F55"/>
    <w:rsid w:val="002A3345"/>
    <w:rsid w:val="002A440F"/>
    <w:rsid w:val="002A46F5"/>
    <w:rsid w:val="002A4AE8"/>
    <w:rsid w:val="002A5296"/>
    <w:rsid w:val="002A54E4"/>
    <w:rsid w:val="002A5634"/>
    <w:rsid w:val="002A5AD1"/>
    <w:rsid w:val="002A6216"/>
    <w:rsid w:val="002A6271"/>
    <w:rsid w:val="002A6767"/>
    <w:rsid w:val="002A7AB1"/>
    <w:rsid w:val="002A7BB3"/>
    <w:rsid w:val="002B04B6"/>
    <w:rsid w:val="002B0A2D"/>
    <w:rsid w:val="002B1792"/>
    <w:rsid w:val="002B1F7D"/>
    <w:rsid w:val="002B2762"/>
    <w:rsid w:val="002B3289"/>
    <w:rsid w:val="002B3576"/>
    <w:rsid w:val="002B3736"/>
    <w:rsid w:val="002B4659"/>
    <w:rsid w:val="002B535B"/>
    <w:rsid w:val="002B6667"/>
    <w:rsid w:val="002B6812"/>
    <w:rsid w:val="002B6A4B"/>
    <w:rsid w:val="002B7399"/>
    <w:rsid w:val="002B7A68"/>
    <w:rsid w:val="002B7F87"/>
    <w:rsid w:val="002C05FB"/>
    <w:rsid w:val="002C0C04"/>
    <w:rsid w:val="002C11C9"/>
    <w:rsid w:val="002C1E78"/>
    <w:rsid w:val="002C35B5"/>
    <w:rsid w:val="002C3AB5"/>
    <w:rsid w:val="002C4941"/>
    <w:rsid w:val="002C4FA5"/>
    <w:rsid w:val="002C5452"/>
    <w:rsid w:val="002C6704"/>
    <w:rsid w:val="002C6BFF"/>
    <w:rsid w:val="002C6EC0"/>
    <w:rsid w:val="002C75B1"/>
    <w:rsid w:val="002C7A6F"/>
    <w:rsid w:val="002D17E1"/>
    <w:rsid w:val="002D25D3"/>
    <w:rsid w:val="002D307C"/>
    <w:rsid w:val="002D3CA9"/>
    <w:rsid w:val="002D4A24"/>
    <w:rsid w:val="002D4C6D"/>
    <w:rsid w:val="002D6091"/>
    <w:rsid w:val="002D61A3"/>
    <w:rsid w:val="002D7F25"/>
    <w:rsid w:val="002E0703"/>
    <w:rsid w:val="002E0950"/>
    <w:rsid w:val="002E09B2"/>
    <w:rsid w:val="002E0C30"/>
    <w:rsid w:val="002E15A2"/>
    <w:rsid w:val="002E16FC"/>
    <w:rsid w:val="002E1E13"/>
    <w:rsid w:val="002E3B0F"/>
    <w:rsid w:val="002E3D1B"/>
    <w:rsid w:val="002E4699"/>
    <w:rsid w:val="002E4DEB"/>
    <w:rsid w:val="002E555E"/>
    <w:rsid w:val="002E57A0"/>
    <w:rsid w:val="002E59DC"/>
    <w:rsid w:val="002E5CBB"/>
    <w:rsid w:val="002E6271"/>
    <w:rsid w:val="002E69CA"/>
    <w:rsid w:val="002E6D32"/>
    <w:rsid w:val="002E6D86"/>
    <w:rsid w:val="002E7018"/>
    <w:rsid w:val="002E7ACB"/>
    <w:rsid w:val="002F0D46"/>
    <w:rsid w:val="002F0E79"/>
    <w:rsid w:val="002F0F2C"/>
    <w:rsid w:val="002F1155"/>
    <w:rsid w:val="002F11C0"/>
    <w:rsid w:val="002F1296"/>
    <w:rsid w:val="002F167C"/>
    <w:rsid w:val="002F23B9"/>
    <w:rsid w:val="002F27BD"/>
    <w:rsid w:val="002F27C2"/>
    <w:rsid w:val="002F38B1"/>
    <w:rsid w:val="002F3CBD"/>
    <w:rsid w:val="002F42C6"/>
    <w:rsid w:val="002F4AC0"/>
    <w:rsid w:val="002F4BBA"/>
    <w:rsid w:val="002F4C24"/>
    <w:rsid w:val="002F4D07"/>
    <w:rsid w:val="002F5808"/>
    <w:rsid w:val="002F61DC"/>
    <w:rsid w:val="002F6B1C"/>
    <w:rsid w:val="0030054A"/>
    <w:rsid w:val="00300CF1"/>
    <w:rsid w:val="00300F4C"/>
    <w:rsid w:val="00301522"/>
    <w:rsid w:val="00301E76"/>
    <w:rsid w:val="0030297C"/>
    <w:rsid w:val="00303266"/>
    <w:rsid w:val="0030327F"/>
    <w:rsid w:val="00303999"/>
    <w:rsid w:val="00304361"/>
    <w:rsid w:val="00304E1C"/>
    <w:rsid w:val="00305180"/>
    <w:rsid w:val="00305A54"/>
    <w:rsid w:val="003061A7"/>
    <w:rsid w:val="00306450"/>
    <w:rsid w:val="00306465"/>
    <w:rsid w:val="003066FB"/>
    <w:rsid w:val="0030673A"/>
    <w:rsid w:val="00306AD1"/>
    <w:rsid w:val="0030702A"/>
    <w:rsid w:val="00307A4C"/>
    <w:rsid w:val="00307DE9"/>
    <w:rsid w:val="00311B84"/>
    <w:rsid w:val="0031234C"/>
    <w:rsid w:val="00312A34"/>
    <w:rsid w:val="0031303E"/>
    <w:rsid w:val="003140CD"/>
    <w:rsid w:val="00314265"/>
    <w:rsid w:val="00314BFF"/>
    <w:rsid w:val="00314EAC"/>
    <w:rsid w:val="00315C2F"/>
    <w:rsid w:val="00315E98"/>
    <w:rsid w:val="00315F52"/>
    <w:rsid w:val="00316369"/>
    <w:rsid w:val="00317174"/>
    <w:rsid w:val="0031773E"/>
    <w:rsid w:val="00320CE9"/>
    <w:rsid w:val="0032261C"/>
    <w:rsid w:val="00322EBE"/>
    <w:rsid w:val="00322FC3"/>
    <w:rsid w:val="003236B0"/>
    <w:rsid w:val="00324AF0"/>
    <w:rsid w:val="00324E5B"/>
    <w:rsid w:val="00325247"/>
    <w:rsid w:val="00325347"/>
    <w:rsid w:val="0032686E"/>
    <w:rsid w:val="00326C25"/>
    <w:rsid w:val="003270F8"/>
    <w:rsid w:val="003303E4"/>
    <w:rsid w:val="00330823"/>
    <w:rsid w:val="00330A4C"/>
    <w:rsid w:val="003313E4"/>
    <w:rsid w:val="00333846"/>
    <w:rsid w:val="00333B5E"/>
    <w:rsid w:val="00333B64"/>
    <w:rsid w:val="00333C67"/>
    <w:rsid w:val="00335083"/>
    <w:rsid w:val="0033511C"/>
    <w:rsid w:val="00335669"/>
    <w:rsid w:val="0033567D"/>
    <w:rsid w:val="00335B22"/>
    <w:rsid w:val="00335DC9"/>
    <w:rsid w:val="0033615B"/>
    <w:rsid w:val="00337020"/>
    <w:rsid w:val="0033735E"/>
    <w:rsid w:val="003400ED"/>
    <w:rsid w:val="00340112"/>
    <w:rsid w:val="003403CB"/>
    <w:rsid w:val="003403D1"/>
    <w:rsid w:val="00340A1D"/>
    <w:rsid w:val="00340A70"/>
    <w:rsid w:val="003410E3"/>
    <w:rsid w:val="003413BE"/>
    <w:rsid w:val="00341767"/>
    <w:rsid w:val="00341ABC"/>
    <w:rsid w:val="003424CE"/>
    <w:rsid w:val="00342EE8"/>
    <w:rsid w:val="00343200"/>
    <w:rsid w:val="003436BF"/>
    <w:rsid w:val="00344281"/>
    <w:rsid w:val="003445BD"/>
    <w:rsid w:val="00345830"/>
    <w:rsid w:val="00345F21"/>
    <w:rsid w:val="00345FAC"/>
    <w:rsid w:val="003461A6"/>
    <w:rsid w:val="00347C16"/>
    <w:rsid w:val="00347CC0"/>
    <w:rsid w:val="00347F53"/>
    <w:rsid w:val="003502E3"/>
    <w:rsid w:val="00350AC8"/>
    <w:rsid w:val="00351A34"/>
    <w:rsid w:val="00351B2F"/>
    <w:rsid w:val="00351C21"/>
    <w:rsid w:val="00352D73"/>
    <w:rsid w:val="003537AC"/>
    <w:rsid w:val="00355265"/>
    <w:rsid w:val="00355F40"/>
    <w:rsid w:val="00356243"/>
    <w:rsid w:val="003569DC"/>
    <w:rsid w:val="00356B5C"/>
    <w:rsid w:val="003604E6"/>
    <w:rsid w:val="00361634"/>
    <w:rsid w:val="00361B79"/>
    <w:rsid w:val="00364836"/>
    <w:rsid w:val="00364854"/>
    <w:rsid w:val="00364ECC"/>
    <w:rsid w:val="003655EC"/>
    <w:rsid w:val="00366940"/>
    <w:rsid w:val="00367582"/>
    <w:rsid w:val="0036776F"/>
    <w:rsid w:val="00367BA6"/>
    <w:rsid w:val="00370C0D"/>
    <w:rsid w:val="00371AF2"/>
    <w:rsid w:val="00372083"/>
    <w:rsid w:val="003721E8"/>
    <w:rsid w:val="00372569"/>
    <w:rsid w:val="00372F2F"/>
    <w:rsid w:val="00374694"/>
    <w:rsid w:val="0037575D"/>
    <w:rsid w:val="00375A70"/>
    <w:rsid w:val="00376083"/>
    <w:rsid w:val="003764A2"/>
    <w:rsid w:val="0037702A"/>
    <w:rsid w:val="003777A0"/>
    <w:rsid w:val="0038037D"/>
    <w:rsid w:val="00380605"/>
    <w:rsid w:val="00380A0B"/>
    <w:rsid w:val="00381048"/>
    <w:rsid w:val="003810BB"/>
    <w:rsid w:val="00381227"/>
    <w:rsid w:val="00383B72"/>
    <w:rsid w:val="00383D84"/>
    <w:rsid w:val="003840B4"/>
    <w:rsid w:val="00384460"/>
    <w:rsid w:val="003845C1"/>
    <w:rsid w:val="00384713"/>
    <w:rsid w:val="00384A87"/>
    <w:rsid w:val="00384D9E"/>
    <w:rsid w:val="00384FD9"/>
    <w:rsid w:val="003860C4"/>
    <w:rsid w:val="003862AA"/>
    <w:rsid w:val="00386663"/>
    <w:rsid w:val="00390213"/>
    <w:rsid w:val="00390341"/>
    <w:rsid w:val="00390A88"/>
    <w:rsid w:val="0039123F"/>
    <w:rsid w:val="003915D0"/>
    <w:rsid w:val="0039235C"/>
    <w:rsid w:val="003925C9"/>
    <w:rsid w:val="00392AF5"/>
    <w:rsid w:val="00393B04"/>
    <w:rsid w:val="00394BAF"/>
    <w:rsid w:val="00395FBA"/>
    <w:rsid w:val="00396594"/>
    <w:rsid w:val="003966BA"/>
    <w:rsid w:val="00396D95"/>
    <w:rsid w:val="00396E53"/>
    <w:rsid w:val="00397364"/>
    <w:rsid w:val="00397E85"/>
    <w:rsid w:val="003A1152"/>
    <w:rsid w:val="003A177D"/>
    <w:rsid w:val="003A18DC"/>
    <w:rsid w:val="003A1D17"/>
    <w:rsid w:val="003A227F"/>
    <w:rsid w:val="003A252F"/>
    <w:rsid w:val="003A2B39"/>
    <w:rsid w:val="003A3734"/>
    <w:rsid w:val="003A499A"/>
    <w:rsid w:val="003A58A8"/>
    <w:rsid w:val="003A639F"/>
    <w:rsid w:val="003A65E8"/>
    <w:rsid w:val="003B05E1"/>
    <w:rsid w:val="003B1251"/>
    <w:rsid w:val="003B1ACF"/>
    <w:rsid w:val="003B1D40"/>
    <w:rsid w:val="003B2732"/>
    <w:rsid w:val="003B2A41"/>
    <w:rsid w:val="003B3321"/>
    <w:rsid w:val="003B369C"/>
    <w:rsid w:val="003B3CE3"/>
    <w:rsid w:val="003B57C7"/>
    <w:rsid w:val="003B6C24"/>
    <w:rsid w:val="003B70C5"/>
    <w:rsid w:val="003B7CA2"/>
    <w:rsid w:val="003B7D9E"/>
    <w:rsid w:val="003B7EF1"/>
    <w:rsid w:val="003C0177"/>
    <w:rsid w:val="003C08C8"/>
    <w:rsid w:val="003C1C2B"/>
    <w:rsid w:val="003C1EDE"/>
    <w:rsid w:val="003C2087"/>
    <w:rsid w:val="003C20F4"/>
    <w:rsid w:val="003C271C"/>
    <w:rsid w:val="003C2E1F"/>
    <w:rsid w:val="003C4D10"/>
    <w:rsid w:val="003C5286"/>
    <w:rsid w:val="003C536D"/>
    <w:rsid w:val="003C6FD1"/>
    <w:rsid w:val="003C72CF"/>
    <w:rsid w:val="003C7330"/>
    <w:rsid w:val="003C7420"/>
    <w:rsid w:val="003C745A"/>
    <w:rsid w:val="003C7C9C"/>
    <w:rsid w:val="003C7FAC"/>
    <w:rsid w:val="003D075F"/>
    <w:rsid w:val="003D0CB5"/>
    <w:rsid w:val="003D0D30"/>
    <w:rsid w:val="003D158B"/>
    <w:rsid w:val="003D1C77"/>
    <w:rsid w:val="003D1EFD"/>
    <w:rsid w:val="003D27AA"/>
    <w:rsid w:val="003D2CBA"/>
    <w:rsid w:val="003D326B"/>
    <w:rsid w:val="003D4FBE"/>
    <w:rsid w:val="003D5976"/>
    <w:rsid w:val="003D5C36"/>
    <w:rsid w:val="003D5EFD"/>
    <w:rsid w:val="003D6072"/>
    <w:rsid w:val="003D643C"/>
    <w:rsid w:val="003D6E88"/>
    <w:rsid w:val="003D751B"/>
    <w:rsid w:val="003D78AA"/>
    <w:rsid w:val="003E0860"/>
    <w:rsid w:val="003E08DE"/>
    <w:rsid w:val="003E0AF9"/>
    <w:rsid w:val="003E129C"/>
    <w:rsid w:val="003E1810"/>
    <w:rsid w:val="003E1A17"/>
    <w:rsid w:val="003E1B4E"/>
    <w:rsid w:val="003E1C68"/>
    <w:rsid w:val="003E260B"/>
    <w:rsid w:val="003E2B6C"/>
    <w:rsid w:val="003E2D06"/>
    <w:rsid w:val="003E45F7"/>
    <w:rsid w:val="003E47DE"/>
    <w:rsid w:val="003E55C6"/>
    <w:rsid w:val="003E5EE9"/>
    <w:rsid w:val="003E6087"/>
    <w:rsid w:val="003E6197"/>
    <w:rsid w:val="003E6C5F"/>
    <w:rsid w:val="003E7A64"/>
    <w:rsid w:val="003E7B6A"/>
    <w:rsid w:val="003F1D20"/>
    <w:rsid w:val="003F2048"/>
    <w:rsid w:val="003F204A"/>
    <w:rsid w:val="003F3004"/>
    <w:rsid w:val="003F3010"/>
    <w:rsid w:val="003F3C29"/>
    <w:rsid w:val="003F3E34"/>
    <w:rsid w:val="003F4C51"/>
    <w:rsid w:val="003F55E0"/>
    <w:rsid w:val="003F5D67"/>
    <w:rsid w:val="003F6207"/>
    <w:rsid w:val="003F632F"/>
    <w:rsid w:val="003F69A1"/>
    <w:rsid w:val="003F708B"/>
    <w:rsid w:val="003F779C"/>
    <w:rsid w:val="003F7AA8"/>
    <w:rsid w:val="003F7BD8"/>
    <w:rsid w:val="004005BF"/>
    <w:rsid w:val="004012A9"/>
    <w:rsid w:val="00402048"/>
    <w:rsid w:val="0040341A"/>
    <w:rsid w:val="00403FE9"/>
    <w:rsid w:val="0040599B"/>
    <w:rsid w:val="004059D6"/>
    <w:rsid w:val="00405F6A"/>
    <w:rsid w:val="00406F41"/>
    <w:rsid w:val="004071DF"/>
    <w:rsid w:val="00407820"/>
    <w:rsid w:val="00407A8B"/>
    <w:rsid w:val="00407D70"/>
    <w:rsid w:val="00410DC2"/>
    <w:rsid w:val="00412536"/>
    <w:rsid w:val="004125E8"/>
    <w:rsid w:val="00412B70"/>
    <w:rsid w:val="00413B06"/>
    <w:rsid w:val="00413DA5"/>
    <w:rsid w:val="00413EDB"/>
    <w:rsid w:val="004141E5"/>
    <w:rsid w:val="00414BF7"/>
    <w:rsid w:val="00414BF9"/>
    <w:rsid w:val="004151A8"/>
    <w:rsid w:val="004151C6"/>
    <w:rsid w:val="0041667A"/>
    <w:rsid w:val="00416752"/>
    <w:rsid w:val="00416B7C"/>
    <w:rsid w:val="004171D2"/>
    <w:rsid w:val="0041735B"/>
    <w:rsid w:val="00417802"/>
    <w:rsid w:val="00420211"/>
    <w:rsid w:val="004202CE"/>
    <w:rsid w:val="00420739"/>
    <w:rsid w:val="00421583"/>
    <w:rsid w:val="0042235A"/>
    <w:rsid w:val="00422952"/>
    <w:rsid w:val="004230B2"/>
    <w:rsid w:val="0042411F"/>
    <w:rsid w:val="00424E4C"/>
    <w:rsid w:val="00425049"/>
    <w:rsid w:val="00425123"/>
    <w:rsid w:val="0042523E"/>
    <w:rsid w:val="00425415"/>
    <w:rsid w:val="00425828"/>
    <w:rsid w:val="0042612D"/>
    <w:rsid w:val="0043078B"/>
    <w:rsid w:val="004308D6"/>
    <w:rsid w:val="00430FAF"/>
    <w:rsid w:val="00432528"/>
    <w:rsid w:val="00432DB2"/>
    <w:rsid w:val="004334AE"/>
    <w:rsid w:val="00433D3D"/>
    <w:rsid w:val="00434B10"/>
    <w:rsid w:val="00434B36"/>
    <w:rsid w:val="0043613E"/>
    <w:rsid w:val="004370A7"/>
    <w:rsid w:val="00437679"/>
    <w:rsid w:val="00440ED6"/>
    <w:rsid w:val="00441614"/>
    <w:rsid w:val="00441857"/>
    <w:rsid w:val="00442C7A"/>
    <w:rsid w:val="00442C99"/>
    <w:rsid w:val="0044457A"/>
    <w:rsid w:val="004446A6"/>
    <w:rsid w:val="00444CCA"/>
    <w:rsid w:val="00444EC7"/>
    <w:rsid w:val="004457AB"/>
    <w:rsid w:val="00445ABA"/>
    <w:rsid w:val="00445BE8"/>
    <w:rsid w:val="00445FDE"/>
    <w:rsid w:val="00446948"/>
    <w:rsid w:val="00446BAE"/>
    <w:rsid w:val="00447182"/>
    <w:rsid w:val="00447682"/>
    <w:rsid w:val="00450706"/>
    <w:rsid w:val="00450829"/>
    <w:rsid w:val="00450CBF"/>
    <w:rsid w:val="00450CE7"/>
    <w:rsid w:val="0045125A"/>
    <w:rsid w:val="00451A17"/>
    <w:rsid w:val="00452159"/>
    <w:rsid w:val="004524F6"/>
    <w:rsid w:val="004526B5"/>
    <w:rsid w:val="00452AB8"/>
    <w:rsid w:val="00453357"/>
    <w:rsid w:val="00453472"/>
    <w:rsid w:val="0045347E"/>
    <w:rsid w:val="004536EA"/>
    <w:rsid w:val="00453A29"/>
    <w:rsid w:val="00454AB1"/>
    <w:rsid w:val="004551AD"/>
    <w:rsid w:val="00455EB4"/>
    <w:rsid w:val="00455F61"/>
    <w:rsid w:val="0046031B"/>
    <w:rsid w:val="00461145"/>
    <w:rsid w:val="004618F6"/>
    <w:rsid w:val="00461B21"/>
    <w:rsid w:val="00462282"/>
    <w:rsid w:val="00462DE1"/>
    <w:rsid w:val="00463375"/>
    <w:rsid w:val="0046382B"/>
    <w:rsid w:val="00465D59"/>
    <w:rsid w:val="00466CBE"/>
    <w:rsid w:val="00466FCD"/>
    <w:rsid w:val="0046763C"/>
    <w:rsid w:val="004677B5"/>
    <w:rsid w:val="00467CEC"/>
    <w:rsid w:val="00470601"/>
    <w:rsid w:val="00470760"/>
    <w:rsid w:val="004707A2"/>
    <w:rsid w:val="00470B29"/>
    <w:rsid w:val="00470D02"/>
    <w:rsid w:val="00470DCE"/>
    <w:rsid w:val="00471420"/>
    <w:rsid w:val="0047145B"/>
    <w:rsid w:val="00471C25"/>
    <w:rsid w:val="004723A1"/>
    <w:rsid w:val="00472F64"/>
    <w:rsid w:val="00473061"/>
    <w:rsid w:val="00473310"/>
    <w:rsid w:val="00473667"/>
    <w:rsid w:val="004737C4"/>
    <w:rsid w:val="00473D89"/>
    <w:rsid w:val="004742D1"/>
    <w:rsid w:val="004744AF"/>
    <w:rsid w:val="00474631"/>
    <w:rsid w:val="004747D9"/>
    <w:rsid w:val="00475B0A"/>
    <w:rsid w:val="0047604F"/>
    <w:rsid w:val="00477463"/>
    <w:rsid w:val="00477AD4"/>
    <w:rsid w:val="004806DB"/>
    <w:rsid w:val="0048180A"/>
    <w:rsid w:val="004836F1"/>
    <w:rsid w:val="00484959"/>
    <w:rsid w:val="00484EDB"/>
    <w:rsid w:val="004852A3"/>
    <w:rsid w:val="00485751"/>
    <w:rsid w:val="004869AC"/>
    <w:rsid w:val="00487694"/>
    <w:rsid w:val="004879BC"/>
    <w:rsid w:val="00487B32"/>
    <w:rsid w:val="00487D3D"/>
    <w:rsid w:val="00490745"/>
    <w:rsid w:val="00490A8C"/>
    <w:rsid w:val="00492062"/>
    <w:rsid w:val="004924C6"/>
    <w:rsid w:val="0049279F"/>
    <w:rsid w:val="004927AD"/>
    <w:rsid w:val="00493343"/>
    <w:rsid w:val="00493659"/>
    <w:rsid w:val="0049395D"/>
    <w:rsid w:val="00494302"/>
    <w:rsid w:val="004944C2"/>
    <w:rsid w:val="004953E7"/>
    <w:rsid w:val="00495C07"/>
    <w:rsid w:val="0049654E"/>
    <w:rsid w:val="00496696"/>
    <w:rsid w:val="004969CF"/>
    <w:rsid w:val="004A1173"/>
    <w:rsid w:val="004A1C7E"/>
    <w:rsid w:val="004A1D65"/>
    <w:rsid w:val="004A2217"/>
    <w:rsid w:val="004A32A4"/>
    <w:rsid w:val="004A3492"/>
    <w:rsid w:val="004A3CEC"/>
    <w:rsid w:val="004A4297"/>
    <w:rsid w:val="004A4710"/>
    <w:rsid w:val="004A4D2E"/>
    <w:rsid w:val="004A4F8D"/>
    <w:rsid w:val="004A5390"/>
    <w:rsid w:val="004A577D"/>
    <w:rsid w:val="004A5DAF"/>
    <w:rsid w:val="004A635B"/>
    <w:rsid w:val="004A6D96"/>
    <w:rsid w:val="004A6F94"/>
    <w:rsid w:val="004A7187"/>
    <w:rsid w:val="004A767A"/>
    <w:rsid w:val="004A7E11"/>
    <w:rsid w:val="004B005C"/>
    <w:rsid w:val="004B0287"/>
    <w:rsid w:val="004B0557"/>
    <w:rsid w:val="004B10D0"/>
    <w:rsid w:val="004B1433"/>
    <w:rsid w:val="004B1CD9"/>
    <w:rsid w:val="004B2D41"/>
    <w:rsid w:val="004B3E01"/>
    <w:rsid w:val="004B5D33"/>
    <w:rsid w:val="004B5E06"/>
    <w:rsid w:val="004B5E1D"/>
    <w:rsid w:val="004B7D15"/>
    <w:rsid w:val="004C02F5"/>
    <w:rsid w:val="004C16AB"/>
    <w:rsid w:val="004C239A"/>
    <w:rsid w:val="004C2A6F"/>
    <w:rsid w:val="004C2BB6"/>
    <w:rsid w:val="004C33EB"/>
    <w:rsid w:val="004C34DB"/>
    <w:rsid w:val="004C396C"/>
    <w:rsid w:val="004C39DA"/>
    <w:rsid w:val="004C4C11"/>
    <w:rsid w:val="004C4DC3"/>
    <w:rsid w:val="004C536F"/>
    <w:rsid w:val="004C5656"/>
    <w:rsid w:val="004C70C4"/>
    <w:rsid w:val="004C7222"/>
    <w:rsid w:val="004C75F0"/>
    <w:rsid w:val="004C7DAF"/>
    <w:rsid w:val="004C7DDA"/>
    <w:rsid w:val="004D03A1"/>
    <w:rsid w:val="004D04B9"/>
    <w:rsid w:val="004D092D"/>
    <w:rsid w:val="004D0F79"/>
    <w:rsid w:val="004D153A"/>
    <w:rsid w:val="004D15EF"/>
    <w:rsid w:val="004D1EDC"/>
    <w:rsid w:val="004D27CB"/>
    <w:rsid w:val="004D3444"/>
    <w:rsid w:val="004D3ABD"/>
    <w:rsid w:val="004D3CC6"/>
    <w:rsid w:val="004D3FC7"/>
    <w:rsid w:val="004D4665"/>
    <w:rsid w:val="004D4E74"/>
    <w:rsid w:val="004D5577"/>
    <w:rsid w:val="004D5682"/>
    <w:rsid w:val="004D5911"/>
    <w:rsid w:val="004D5D6A"/>
    <w:rsid w:val="004D632C"/>
    <w:rsid w:val="004D658B"/>
    <w:rsid w:val="004D70AE"/>
    <w:rsid w:val="004D7288"/>
    <w:rsid w:val="004D7462"/>
    <w:rsid w:val="004E1360"/>
    <w:rsid w:val="004E1564"/>
    <w:rsid w:val="004E1807"/>
    <w:rsid w:val="004E2863"/>
    <w:rsid w:val="004E3806"/>
    <w:rsid w:val="004E3819"/>
    <w:rsid w:val="004E3A07"/>
    <w:rsid w:val="004E4E31"/>
    <w:rsid w:val="004E4FC4"/>
    <w:rsid w:val="004E5105"/>
    <w:rsid w:val="004E64B7"/>
    <w:rsid w:val="004E716C"/>
    <w:rsid w:val="004E7811"/>
    <w:rsid w:val="004F09B9"/>
    <w:rsid w:val="004F116A"/>
    <w:rsid w:val="004F13A6"/>
    <w:rsid w:val="004F1B99"/>
    <w:rsid w:val="004F3B32"/>
    <w:rsid w:val="004F4712"/>
    <w:rsid w:val="004F4BCE"/>
    <w:rsid w:val="004F5178"/>
    <w:rsid w:val="004F536A"/>
    <w:rsid w:val="004F5FB7"/>
    <w:rsid w:val="004F602A"/>
    <w:rsid w:val="004F69D6"/>
    <w:rsid w:val="004F6DEE"/>
    <w:rsid w:val="004F6F2E"/>
    <w:rsid w:val="005001D0"/>
    <w:rsid w:val="005005FA"/>
    <w:rsid w:val="00500F6E"/>
    <w:rsid w:val="00501068"/>
    <w:rsid w:val="005010F7"/>
    <w:rsid w:val="00502794"/>
    <w:rsid w:val="00502B50"/>
    <w:rsid w:val="00503750"/>
    <w:rsid w:val="00503ABE"/>
    <w:rsid w:val="005055CC"/>
    <w:rsid w:val="00506092"/>
    <w:rsid w:val="00506552"/>
    <w:rsid w:val="00507494"/>
    <w:rsid w:val="0050765D"/>
    <w:rsid w:val="00507953"/>
    <w:rsid w:val="00507CF2"/>
    <w:rsid w:val="00507DD0"/>
    <w:rsid w:val="0051029B"/>
    <w:rsid w:val="005120C6"/>
    <w:rsid w:val="0051236A"/>
    <w:rsid w:val="00512520"/>
    <w:rsid w:val="00512601"/>
    <w:rsid w:val="00513220"/>
    <w:rsid w:val="00513AAC"/>
    <w:rsid w:val="00514BD1"/>
    <w:rsid w:val="005152A6"/>
    <w:rsid w:val="0051565E"/>
    <w:rsid w:val="00515681"/>
    <w:rsid w:val="00515713"/>
    <w:rsid w:val="005158EC"/>
    <w:rsid w:val="00516171"/>
    <w:rsid w:val="0051632C"/>
    <w:rsid w:val="005164D3"/>
    <w:rsid w:val="00516B55"/>
    <w:rsid w:val="00517499"/>
    <w:rsid w:val="00517EA5"/>
    <w:rsid w:val="00521801"/>
    <w:rsid w:val="00521EB4"/>
    <w:rsid w:val="00522256"/>
    <w:rsid w:val="00522696"/>
    <w:rsid w:val="00522DE7"/>
    <w:rsid w:val="00523CB2"/>
    <w:rsid w:val="00524723"/>
    <w:rsid w:val="0052513E"/>
    <w:rsid w:val="0052546A"/>
    <w:rsid w:val="00525EBE"/>
    <w:rsid w:val="00526116"/>
    <w:rsid w:val="00527DEC"/>
    <w:rsid w:val="00530501"/>
    <w:rsid w:val="00530B69"/>
    <w:rsid w:val="0053124B"/>
    <w:rsid w:val="005319CD"/>
    <w:rsid w:val="00532F3B"/>
    <w:rsid w:val="005337FE"/>
    <w:rsid w:val="00534AA5"/>
    <w:rsid w:val="0053548C"/>
    <w:rsid w:val="005354EE"/>
    <w:rsid w:val="00535A39"/>
    <w:rsid w:val="00535DB7"/>
    <w:rsid w:val="00536DE1"/>
    <w:rsid w:val="005376D9"/>
    <w:rsid w:val="005376EE"/>
    <w:rsid w:val="00540904"/>
    <w:rsid w:val="00540C6D"/>
    <w:rsid w:val="0054136A"/>
    <w:rsid w:val="00541744"/>
    <w:rsid w:val="005418DE"/>
    <w:rsid w:val="00541958"/>
    <w:rsid w:val="005422C7"/>
    <w:rsid w:val="00543380"/>
    <w:rsid w:val="005434F0"/>
    <w:rsid w:val="005439A6"/>
    <w:rsid w:val="00543B8B"/>
    <w:rsid w:val="00543E05"/>
    <w:rsid w:val="005445F9"/>
    <w:rsid w:val="00544EC4"/>
    <w:rsid w:val="005450B4"/>
    <w:rsid w:val="00545B9A"/>
    <w:rsid w:val="00547EF6"/>
    <w:rsid w:val="00550C05"/>
    <w:rsid w:val="00550DD8"/>
    <w:rsid w:val="00551CAB"/>
    <w:rsid w:val="00551D71"/>
    <w:rsid w:val="0055273B"/>
    <w:rsid w:val="005529FB"/>
    <w:rsid w:val="0055339D"/>
    <w:rsid w:val="00553FDB"/>
    <w:rsid w:val="00554082"/>
    <w:rsid w:val="005551FB"/>
    <w:rsid w:val="0055598E"/>
    <w:rsid w:val="00555C8F"/>
    <w:rsid w:val="0055669D"/>
    <w:rsid w:val="00557078"/>
    <w:rsid w:val="00557509"/>
    <w:rsid w:val="00560768"/>
    <w:rsid w:val="0056090D"/>
    <w:rsid w:val="0056111C"/>
    <w:rsid w:val="00561801"/>
    <w:rsid w:val="00561C3E"/>
    <w:rsid w:val="00561FDE"/>
    <w:rsid w:val="00561FE3"/>
    <w:rsid w:val="00562452"/>
    <w:rsid w:val="00563AAE"/>
    <w:rsid w:val="00565011"/>
    <w:rsid w:val="00565B84"/>
    <w:rsid w:val="00565CAF"/>
    <w:rsid w:val="00565EB9"/>
    <w:rsid w:val="005662A3"/>
    <w:rsid w:val="005663DE"/>
    <w:rsid w:val="0056685E"/>
    <w:rsid w:val="005671E9"/>
    <w:rsid w:val="00567F8C"/>
    <w:rsid w:val="00570F3F"/>
    <w:rsid w:val="005716A8"/>
    <w:rsid w:val="00571B2A"/>
    <w:rsid w:val="00571C71"/>
    <w:rsid w:val="00572BF6"/>
    <w:rsid w:val="00572D85"/>
    <w:rsid w:val="00572EAB"/>
    <w:rsid w:val="005730DB"/>
    <w:rsid w:val="00573D6E"/>
    <w:rsid w:val="005743D4"/>
    <w:rsid w:val="005744AE"/>
    <w:rsid w:val="00574B4C"/>
    <w:rsid w:val="00574DAE"/>
    <w:rsid w:val="005752FA"/>
    <w:rsid w:val="00575F57"/>
    <w:rsid w:val="00577360"/>
    <w:rsid w:val="0057754C"/>
    <w:rsid w:val="00577864"/>
    <w:rsid w:val="0058051C"/>
    <w:rsid w:val="005808B4"/>
    <w:rsid w:val="00581198"/>
    <w:rsid w:val="00582071"/>
    <w:rsid w:val="00582081"/>
    <w:rsid w:val="00582654"/>
    <w:rsid w:val="005826D7"/>
    <w:rsid w:val="005830E9"/>
    <w:rsid w:val="00583D26"/>
    <w:rsid w:val="005844FA"/>
    <w:rsid w:val="00584D78"/>
    <w:rsid w:val="00584E1C"/>
    <w:rsid w:val="00585749"/>
    <w:rsid w:val="00585932"/>
    <w:rsid w:val="005859EC"/>
    <w:rsid w:val="00585C68"/>
    <w:rsid w:val="00585E3E"/>
    <w:rsid w:val="005874F7"/>
    <w:rsid w:val="00590704"/>
    <w:rsid w:val="00590C71"/>
    <w:rsid w:val="00590F67"/>
    <w:rsid w:val="00591078"/>
    <w:rsid w:val="00591224"/>
    <w:rsid w:val="005914CB"/>
    <w:rsid w:val="00592764"/>
    <w:rsid w:val="0059335F"/>
    <w:rsid w:val="00594027"/>
    <w:rsid w:val="00594353"/>
    <w:rsid w:val="005945BA"/>
    <w:rsid w:val="00595455"/>
    <w:rsid w:val="0059592D"/>
    <w:rsid w:val="00596FBB"/>
    <w:rsid w:val="005971B1"/>
    <w:rsid w:val="005973B0"/>
    <w:rsid w:val="005975FA"/>
    <w:rsid w:val="005A04A2"/>
    <w:rsid w:val="005A0FA4"/>
    <w:rsid w:val="005A17F4"/>
    <w:rsid w:val="005A1C5E"/>
    <w:rsid w:val="005A28D3"/>
    <w:rsid w:val="005A3173"/>
    <w:rsid w:val="005A5674"/>
    <w:rsid w:val="005A57F2"/>
    <w:rsid w:val="005A5DDF"/>
    <w:rsid w:val="005A60B4"/>
    <w:rsid w:val="005A60F0"/>
    <w:rsid w:val="005A6FAB"/>
    <w:rsid w:val="005A7399"/>
    <w:rsid w:val="005A7E4C"/>
    <w:rsid w:val="005A7F9F"/>
    <w:rsid w:val="005B0214"/>
    <w:rsid w:val="005B08A2"/>
    <w:rsid w:val="005B0F3A"/>
    <w:rsid w:val="005B2E7C"/>
    <w:rsid w:val="005B2FEF"/>
    <w:rsid w:val="005B3238"/>
    <w:rsid w:val="005B3695"/>
    <w:rsid w:val="005B3764"/>
    <w:rsid w:val="005B3AF8"/>
    <w:rsid w:val="005B3D96"/>
    <w:rsid w:val="005B4E02"/>
    <w:rsid w:val="005B58AE"/>
    <w:rsid w:val="005B765B"/>
    <w:rsid w:val="005B7A04"/>
    <w:rsid w:val="005C03C3"/>
    <w:rsid w:val="005C03E0"/>
    <w:rsid w:val="005C05C5"/>
    <w:rsid w:val="005C09C2"/>
    <w:rsid w:val="005C124A"/>
    <w:rsid w:val="005C14DF"/>
    <w:rsid w:val="005C34DC"/>
    <w:rsid w:val="005C38AA"/>
    <w:rsid w:val="005C38D2"/>
    <w:rsid w:val="005C3C1C"/>
    <w:rsid w:val="005C45F7"/>
    <w:rsid w:val="005C5789"/>
    <w:rsid w:val="005C66A2"/>
    <w:rsid w:val="005C6870"/>
    <w:rsid w:val="005C6D85"/>
    <w:rsid w:val="005C7393"/>
    <w:rsid w:val="005C7BE9"/>
    <w:rsid w:val="005D0704"/>
    <w:rsid w:val="005D115D"/>
    <w:rsid w:val="005D19D2"/>
    <w:rsid w:val="005D1CB2"/>
    <w:rsid w:val="005D21CA"/>
    <w:rsid w:val="005D2C77"/>
    <w:rsid w:val="005D32EF"/>
    <w:rsid w:val="005D3C09"/>
    <w:rsid w:val="005D58C0"/>
    <w:rsid w:val="005D61C5"/>
    <w:rsid w:val="005D67DA"/>
    <w:rsid w:val="005D72CA"/>
    <w:rsid w:val="005D7CEF"/>
    <w:rsid w:val="005D7EA9"/>
    <w:rsid w:val="005E00B9"/>
    <w:rsid w:val="005E0201"/>
    <w:rsid w:val="005E072E"/>
    <w:rsid w:val="005E2689"/>
    <w:rsid w:val="005E327D"/>
    <w:rsid w:val="005E3472"/>
    <w:rsid w:val="005E3892"/>
    <w:rsid w:val="005E475D"/>
    <w:rsid w:val="005E4CEF"/>
    <w:rsid w:val="005E4D03"/>
    <w:rsid w:val="005E5250"/>
    <w:rsid w:val="005E5FB8"/>
    <w:rsid w:val="005E7552"/>
    <w:rsid w:val="005E7CAE"/>
    <w:rsid w:val="005F0926"/>
    <w:rsid w:val="005F11B8"/>
    <w:rsid w:val="005F1318"/>
    <w:rsid w:val="005F1D74"/>
    <w:rsid w:val="005F2BC2"/>
    <w:rsid w:val="005F4115"/>
    <w:rsid w:val="005F4A62"/>
    <w:rsid w:val="005F5D40"/>
    <w:rsid w:val="005F635B"/>
    <w:rsid w:val="005F6674"/>
    <w:rsid w:val="005F6B1D"/>
    <w:rsid w:val="005F76AD"/>
    <w:rsid w:val="00600504"/>
    <w:rsid w:val="0060052B"/>
    <w:rsid w:val="00600F0D"/>
    <w:rsid w:val="006014E3"/>
    <w:rsid w:val="00601C8C"/>
    <w:rsid w:val="00602678"/>
    <w:rsid w:val="00602B93"/>
    <w:rsid w:val="00603269"/>
    <w:rsid w:val="00603507"/>
    <w:rsid w:val="00603A90"/>
    <w:rsid w:val="00603FA5"/>
    <w:rsid w:val="006053F9"/>
    <w:rsid w:val="00605C03"/>
    <w:rsid w:val="00605E33"/>
    <w:rsid w:val="00606366"/>
    <w:rsid w:val="00606B74"/>
    <w:rsid w:val="006072F8"/>
    <w:rsid w:val="0061030B"/>
    <w:rsid w:val="00611237"/>
    <w:rsid w:val="0061258B"/>
    <w:rsid w:val="00613815"/>
    <w:rsid w:val="00613A67"/>
    <w:rsid w:val="006148FE"/>
    <w:rsid w:val="00614A44"/>
    <w:rsid w:val="00614B3B"/>
    <w:rsid w:val="0061559F"/>
    <w:rsid w:val="00615E96"/>
    <w:rsid w:val="00616FE2"/>
    <w:rsid w:val="006170AC"/>
    <w:rsid w:val="00617AAB"/>
    <w:rsid w:val="00617D49"/>
    <w:rsid w:val="00620252"/>
    <w:rsid w:val="0062046D"/>
    <w:rsid w:val="0062057F"/>
    <w:rsid w:val="006209A1"/>
    <w:rsid w:val="00620C80"/>
    <w:rsid w:val="00622E17"/>
    <w:rsid w:val="00623BDA"/>
    <w:rsid w:val="00624200"/>
    <w:rsid w:val="006245D3"/>
    <w:rsid w:val="006256A5"/>
    <w:rsid w:val="00625899"/>
    <w:rsid w:val="00625C42"/>
    <w:rsid w:val="006266BF"/>
    <w:rsid w:val="00627539"/>
    <w:rsid w:val="00627A7D"/>
    <w:rsid w:val="006300A4"/>
    <w:rsid w:val="00630E84"/>
    <w:rsid w:val="00631ECD"/>
    <w:rsid w:val="006324A0"/>
    <w:rsid w:val="006324FD"/>
    <w:rsid w:val="006325EA"/>
    <w:rsid w:val="00632B25"/>
    <w:rsid w:val="00632D2B"/>
    <w:rsid w:val="00632ECC"/>
    <w:rsid w:val="00632F42"/>
    <w:rsid w:val="006333BA"/>
    <w:rsid w:val="006333E2"/>
    <w:rsid w:val="006338A3"/>
    <w:rsid w:val="0063394D"/>
    <w:rsid w:val="00633B9F"/>
    <w:rsid w:val="00633BCC"/>
    <w:rsid w:val="00634775"/>
    <w:rsid w:val="00634A93"/>
    <w:rsid w:val="00634D94"/>
    <w:rsid w:val="00635006"/>
    <w:rsid w:val="0063517D"/>
    <w:rsid w:val="00635FD9"/>
    <w:rsid w:val="0063622A"/>
    <w:rsid w:val="00636244"/>
    <w:rsid w:val="00636570"/>
    <w:rsid w:val="00636704"/>
    <w:rsid w:val="00636823"/>
    <w:rsid w:val="00636B13"/>
    <w:rsid w:val="00636DC6"/>
    <w:rsid w:val="006405D1"/>
    <w:rsid w:val="00640C56"/>
    <w:rsid w:val="00641043"/>
    <w:rsid w:val="006415F3"/>
    <w:rsid w:val="0064173F"/>
    <w:rsid w:val="00641CD2"/>
    <w:rsid w:val="00643932"/>
    <w:rsid w:val="00644548"/>
    <w:rsid w:val="006453AC"/>
    <w:rsid w:val="00645669"/>
    <w:rsid w:val="006466A5"/>
    <w:rsid w:val="00646808"/>
    <w:rsid w:val="006473C4"/>
    <w:rsid w:val="00647A0A"/>
    <w:rsid w:val="00647DDE"/>
    <w:rsid w:val="006501EC"/>
    <w:rsid w:val="006515EB"/>
    <w:rsid w:val="00651C27"/>
    <w:rsid w:val="00651C48"/>
    <w:rsid w:val="00652A0D"/>
    <w:rsid w:val="00653B51"/>
    <w:rsid w:val="00653C65"/>
    <w:rsid w:val="0065416B"/>
    <w:rsid w:val="00654690"/>
    <w:rsid w:val="0065494B"/>
    <w:rsid w:val="006550A3"/>
    <w:rsid w:val="00655F07"/>
    <w:rsid w:val="006560A2"/>
    <w:rsid w:val="006562F9"/>
    <w:rsid w:val="00656444"/>
    <w:rsid w:val="00660DAD"/>
    <w:rsid w:val="00661059"/>
    <w:rsid w:val="00661C3B"/>
    <w:rsid w:val="00661F1C"/>
    <w:rsid w:val="00663591"/>
    <w:rsid w:val="0066513F"/>
    <w:rsid w:val="00665531"/>
    <w:rsid w:val="0066562A"/>
    <w:rsid w:val="00665B42"/>
    <w:rsid w:val="00666831"/>
    <w:rsid w:val="00666BF3"/>
    <w:rsid w:val="00666DA4"/>
    <w:rsid w:val="006679AB"/>
    <w:rsid w:val="00667A31"/>
    <w:rsid w:val="00667E45"/>
    <w:rsid w:val="0067018E"/>
    <w:rsid w:val="00670A39"/>
    <w:rsid w:val="006714EE"/>
    <w:rsid w:val="00672D65"/>
    <w:rsid w:val="00675ACE"/>
    <w:rsid w:val="00676408"/>
    <w:rsid w:val="00676FA2"/>
    <w:rsid w:val="00676FAD"/>
    <w:rsid w:val="006771F5"/>
    <w:rsid w:val="006778D7"/>
    <w:rsid w:val="006778E7"/>
    <w:rsid w:val="00677CFB"/>
    <w:rsid w:val="00677F03"/>
    <w:rsid w:val="00680F5D"/>
    <w:rsid w:val="00682678"/>
    <w:rsid w:val="006832F2"/>
    <w:rsid w:val="0068384F"/>
    <w:rsid w:val="00683DFC"/>
    <w:rsid w:val="006842AA"/>
    <w:rsid w:val="0068444A"/>
    <w:rsid w:val="0068468C"/>
    <w:rsid w:val="00685025"/>
    <w:rsid w:val="0068532A"/>
    <w:rsid w:val="006864E5"/>
    <w:rsid w:val="00686ED3"/>
    <w:rsid w:val="00690837"/>
    <w:rsid w:val="00690D06"/>
    <w:rsid w:val="006913A2"/>
    <w:rsid w:val="00691500"/>
    <w:rsid w:val="00692086"/>
    <w:rsid w:val="0069284E"/>
    <w:rsid w:val="00694E51"/>
    <w:rsid w:val="00695447"/>
    <w:rsid w:val="00695C60"/>
    <w:rsid w:val="006963C2"/>
    <w:rsid w:val="006964B5"/>
    <w:rsid w:val="006965B5"/>
    <w:rsid w:val="00697ACE"/>
    <w:rsid w:val="006A0328"/>
    <w:rsid w:val="006A0883"/>
    <w:rsid w:val="006A0AC1"/>
    <w:rsid w:val="006A19F3"/>
    <w:rsid w:val="006A1AC6"/>
    <w:rsid w:val="006A2673"/>
    <w:rsid w:val="006A2C51"/>
    <w:rsid w:val="006A39FD"/>
    <w:rsid w:val="006A3AFE"/>
    <w:rsid w:val="006A4BBF"/>
    <w:rsid w:val="006A4D98"/>
    <w:rsid w:val="006A4E31"/>
    <w:rsid w:val="006A57FA"/>
    <w:rsid w:val="006A6345"/>
    <w:rsid w:val="006A63A1"/>
    <w:rsid w:val="006A66C4"/>
    <w:rsid w:val="006A71A9"/>
    <w:rsid w:val="006B1712"/>
    <w:rsid w:val="006B18CC"/>
    <w:rsid w:val="006B203B"/>
    <w:rsid w:val="006B2053"/>
    <w:rsid w:val="006B3157"/>
    <w:rsid w:val="006B41D9"/>
    <w:rsid w:val="006B4DEF"/>
    <w:rsid w:val="006B4FEE"/>
    <w:rsid w:val="006B63F2"/>
    <w:rsid w:val="006B6E94"/>
    <w:rsid w:val="006B7A1A"/>
    <w:rsid w:val="006C0011"/>
    <w:rsid w:val="006C0F6A"/>
    <w:rsid w:val="006C3707"/>
    <w:rsid w:val="006C3F03"/>
    <w:rsid w:val="006C40EA"/>
    <w:rsid w:val="006C5C4D"/>
    <w:rsid w:val="006C6051"/>
    <w:rsid w:val="006C60B7"/>
    <w:rsid w:val="006C694B"/>
    <w:rsid w:val="006C6B4A"/>
    <w:rsid w:val="006C6C2D"/>
    <w:rsid w:val="006D16B6"/>
    <w:rsid w:val="006D205C"/>
    <w:rsid w:val="006D23D7"/>
    <w:rsid w:val="006D25EC"/>
    <w:rsid w:val="006D3F45"/>
    <w:rsid w:val="006D3FEA"/>
    <w:rsid w:val="006D4F93"/>
    <w:rsid w:val="006D5EB8"/>
    <w:rsid w:val="006D6710"/>
    <w:rsid w:val="006D6C9F"/>
    <w:rsid w:val="006D6E88"/>
    <w:rsid w:val="006E05DB"/>
    <w:rsid w:val="006E07A0"/>
    <w:rsid w:val="006E1295"/>
    <w:rsid w:val="006E140C"/>
    <w:rsid w:val="006E141B"/>
    <w:rsid w:val="006E1E37"/>
    <w:rsid w:val="006E254E"/>
    <w:rsid w:val="006E2862"/>
    <w:rsid w:val="006E2942"/>
    <w:rsid w:val="006E30FA"/>
    <w:rsid w:val="006E344A"/>
    <w:rsid w:val="006E3A4D"/>
    <w:rsid w:val="006E3D8A"/>
    <w:rsid w:val="006E3ED7"/>
    <w:rsid w:val="006E45F9"/>
    <w:rsid w:val="006E5500"/>
    <w:rsid w:val="006E55E9"/>
    <w:rsid w:val="006E649A"/>
    <w:rsid w:val="006E6A14"/>
    <w:rsid w:val="006E6B5B"/>
    <w:rsid w:val="006E7520"/>
    <w:rsid w:val="006E7700"/>
    <w:rsid w:val="006E7C52"/>
    <w:rsid w:val="006E7E71"/>
    <w:rsid w:val="006E7F93"/>
    <w:rsid w:val="006F09D8"/>
    <w:rsid w:val="006F0AD5"/>
    <w:rsid w:val="006F0E0E"/>
    <w:rsid w:val="006F1D04"/>
    <w:rsid w:val="006F4268"/>
    <w:rsid w:val="006F44B6"/>
    <w:rsid w:val="006F4534"/>
    <w:rsid w:val="006F529D"/>
    <w:rsid w:val="006F6399"/>
    <w:rsid w:val="006F653E"/>
    <w:rsid w:val="006F65E6"/>
    <w:rsid w:val="006F70AE"/>
    <w:rsid w:val="006F7251"/>
    <w:rsid w:val="00700625"/>
    <w:rsid w:val="00700BDE"/>
    <w:rsid w:val="007019F5"/>
    <w:rsid w:val="00701A8A"/>
    <w:rsid w:val="0070209D"/>
    <w:rsid w:val="0070220B"/>
    <w:rsid w:val="00704608"/>
    <w:rsid w:val="00705B6A"/>
    <w:rsid w:val="00705C85"/>
    <w:rsid w:val="007062BF"/>
    <w:rsid w:val="00706325"/>
    <w:rsid w:val="00706E11"/>
    <w:rsid w:val="007077C2"/>
    <w:rsid w:val="00707EC2"/>
    <w:rsid w:val="007104D0"/>
    <w:rsid w:val="007111C6"/>
    <w:rsid w:val="007114A2"/>
    <w:rsid w:val="00711CDF"/>
    <w:rsid w:val="00711D4C"/>
    <w:rsid w:val="00711F42"/>
    <w:rsid w:val="00712ABC"/>
    <w:rsid w:val="00712F4A"/>
    <w:rsid w:val="00712FE5"/>
    <w:rsid w:val="00713406"/>
    <w:rsid w:val="00713B09"/>
    <w:rsid w:val="00713BAC"/>
    <w:rsid w:val="00714C3B"/>
    <w:rsid w:val="00714D48"/>
    <w:rsid w:val="007178C8"/>
    <w:rsid w:val="00717F2C"/>
    <w:rsid w:val="0072174A"/>
    <w:rsid w:val="00721887"/>
    <w:rsid w:val="007243E5"/>
    <w:rsid w:val="00724499"/>
    <w:rsid w:val="00724CB1"/>
    <w:rsid w:val="007256FC"/>
    <w:rsid w:val="00726784"/>
    <w:rsid w:val="00726BDA"/>
    <w:rsid w:val="00727054"/>
    <w:rsid w:val="00727058"/>
    <w:rsid w:val="007272A7"/>
    <w:rsid w:val="007306AC"/>
    <w:rsid w:val="0073114D"/>
    <w:rsid w:val="00731889"/>
    <w:rsid w:val="0073258E"/>
    <w:rsid w:val="00732681"/>
    <w:rsid w:val="007339A0"/>
    <w:rsid w:val="00734638"/>
    <w:rsid w:val="00734AAF"/>
    <w:rsid w:val="00736F65"/>
    <w:rsid w:val="00737608"/>
    <w:rsid w:val="00737D61"/>
    <w:rsid w:val="00740866"/>
    <w:rsid w:val="007408BA"/>
    <w:rsid w:val="00740C02"/>
    <w:rsid w:val="00740C99"/>
    <w:rsid w:val="00740DE1"/>
    <w:rsid w:val="007416B6"/>
    <w:rsid w:val="007426CE"/>
    <w:rsid w:val="00744773"/>
    <w:rsid w:val="00744DE0"/>
    <w:rsid w:val="007454A4"/>
    <w:rsid w:val="00745BE7"/>
    <w:rsid w:val="00746E1E"/>
    <w:rsid w:val="007478D1"/>
    <w:rsid w:val="00750F89"/>
    <w:rsid w:val="00750F8A"/>
    <w:rsid w:val="00751038"/>
    <w:rsid w:val="00751289"/>
    <w:rsid w:val="0075140D"/>
    <w:rsid w:val="007514F2"/>
    <w:rsid w:val="00752BE8"/>
    <w:rsid w:val="00752D42"/>
    <w:rsid w:val="007542A4"/>
    <w:rsid w:val="00754BCF"/>
    <w:rsid w:val="00755826"/>
    <w:rsid w:val="0075685F"/>
    <w:rsid w:val="00756E21"/>
    <w:rsid w:val="007572EB"/>
    <w:rsid w:val="007577CB"/>
    <w:rsid w:val="00757911"/>
    <w:rsid w:val="00760487"/>
    <w:rsid w:val="00760E83"/>
    <w:rsid w:val="00760FC1"/>
    <w:rsid w:val="007617D4"/>
    <w:rsid w:val="0076289A"/>
    <w:rsid w:val="007628DA"/>
    <w:rsid w:val="0076346C"/>
    <w:rsid w:val="00763740"/>
    <w:rsid w:val="00763E56"/>
    <w:rsid w:val="0076645E"/>
    <w:rsid w:val="00767330"/>
    <w:rsid w:val="00767A14"/>
    <w:rsid w:val="007715CA"/>
    <w:rsid w:val="007716EE"/>
    <w:rsid w:val="00772DD8"/>
    <w:rsid w:val="00772EE3"/>
    <w:rsid w:val="00773611"/>
    <w:rsid w:val="00773666"/>
    <w:rsid w:val="00775472"/>
    <w:rsid w:val="007769F4"/>
    <w:rsid w:val="00777494"/>
    <w:rsid w:val="007778DE"/>
    <w:rsid w:val="007805D7"/>
    <w:rsid w:val="0078078C"/>
    <w:rsid w:val="00780D6C"/>
    <w:rsid w:val="00781059"/>
    <w:rsid w:val="00781708"/>
    <w:rsid w:val="0078181C"/>
    <w:rsid w:val="00781954"/>
    <w:rsid w:val="00781ACF"/>
    <w:rsid w:val="00782517"/>
    <w:rsid w:val="007828C9"/>
    <w:rsid w:val="00782E30"/>
    <w:rsid w:val="007830F4"/>
    <w:rsid w:val="00783BD5"/>
    <w:rsid w:val="00784570"/>
    <w:rsid w:val="00784697"/>
    <w:rsid w:val="00785AF5"/>
    <w:rsid w:val="00786B67"/>
    <w:rsid w:val="00787114"/>
    <w:rsid w:val="00787335"/>
    <w:rsid w:val="007873BD"/>
    <w:rsid w:val="0079005A"/>
    <w:rsid w:val="007906A3"/>
    <w:rsid w:val="00790831"/>
    <w:rsid w:val="00790F8A"/>
    <w:rsid w:val="00791191"/>
    <w:rsid w:val="0079229C"/>
    <w:rsid w:val="00792830"/>
    <w:rsid w:val="00792A06"/>
    <w:rsid w:val="00792CC9"/>
    <w:rsid w:val="00793305"/>
    <w:rsid w:val="00794F98"/>
    <w:rsid w:val="007952F7"/>
    <w:rsid w:val="00796AF0"/>
    <w:rsid w:val="007971FB"/>
    <w:rsid w:val="007A06A7"/>
    <w:rsid w:val="007A0E2E"/>
    <w:rsid w:val="007A20C5"/>
    <w:rsid w:val="007A35D2"/>
    <w:rsid w:val="007A3880"/>
    <w:rsid w:val="007A3BD3"/>
    <w:rsid w:val="007A4CA8"/>
    <w:rsid w:val="007A4F07"/>
    <w:rsid w:val="007A6924"/>
    <w:rsid w:val="007A7479"/>
    <w:rsid w:val="007A7BA7"/>
    <w:rsid w:val="007B0088"/>
    <w:rsid w:val="007B082D"/>
    <w:rsid w:val="007B15ED"/>
    <w:rsid w:val="007B16EC"/>
    <w:rsid w:val="007B1773"/>
    <w:rsid w:val="007B1A1C"/>
    <w:rsid w:val="007B1CD3"/>
    <w:rsid w:val="007B2E81"/>
    <w:rsid w:val="007B520B"/>
    <w:rsid w:val="007B6244"/>
    <w:rsid w:val="007B6E27"/>
    <w:rsid w:val="007B7291"/>
    <w:rsid w:val="007B7D2E"/>
    <w:rsid w:val="007C00B3"/>
    <w:rsid w:val="007C016B"/>
    <w:rsid w:val="007C0649"/>
    <w:rsid w:val="007C1097"/>
    <w:rsid w:val="007C1B34"/>
    <w:rsid w:val="007C27D7"/>
    <w:rsid w:val="007C296E"/>
    <w:rsid w:val="007C2DD9"/>
    <w:rsid w:val="007C2E09"/>
    <w:rsid w:val="007C32D0"/>
    <w:rsid w:val="007C366E"/>
    <w:rsid w:val="007C3931"/>
    <w:rsid w:val="007C3BF8"/>
    <w:rsid w:val="007C3D03"/>
    <w:rsid w:val="007C3D5E"/>
    <w:rsid w:val="007C423D"/>
    <w:rsid w:val="007C42CA"/>
    <w:rsid w:val="007C6F94"/>
    <w:rsid w:val="007C78AA"/>
    <w:rsid w:val="007C7A4F"/>
    <w:rsid w:val="007D048B"/>
    <w:rsid w:val="007D1197"/>
    <w:rsid w:val="007D149B"/>
    <w:rsid w:val="007D1500"/>
    <w:rsid w:val="007D193A"/>
    <w:rsid w:val="007D1CE0"/>
    <w:rsid w:val="007D2425"/>
    <w:rsid w:val="007D26EB"/>
    <w:rsid w:val="007D2A16"/>
    <w:rsid w:val="007D3787"/>
    <w:rsid w:val="007D41B0"/>
    <w:rsid w:val="007D4496"/>
    <w:rsid w:val="007D4595"/>
    <w:rsid w:val="007D4890"/>
    <w:rsid w:val="007D48DA"/>
    <w:rsid w:val="007D4B03"/>
    <w:rsid w:val="007D55E3"/>
    <w:rsid w:val="007D5F7F"/>
    <w:rsid w:val="007D6117"/>
    <w:rsid w:val="007D660B"/>
    <w:rsid w:val="007D70AF"/>
    <w:rsid w:val="007D713D"/>
    <w:rsid w:val="007D7140"/>
    <w:rsid w:val="007E0207"/>
    <w:rsid w:val="007E1461"/>
    <w:rsid w:val="007E1C98"/>
    <w:rsid w:val="007E3CAA"/>
    <w:rsid w:val="007E5CC5"/>
    <w:rsid w:val="007E609D"/>
    <w:rsid w:val="007E62DA"/>
    <w:rsid w:val="007E74C8"/>
    <w:rsid w:val="007E765B"/>
    <w:rsid w:val="007E7B2B"/>
    <w:rsid w:val="007E7F79"/>
    <w:rsid w:val="007F03DB"/>
    <w:rsid w:val="007F1099"/>
    <w:rsid w:val="007F148A"/>
    <w:rsid w:val="007F1EA7"/>
    <w:rsid w:val="007F2464"/>
    <w:rsid w:val="007F2DE1"/>
    <w:rsid w:val="007F3384"/>
    <w:rsid w:val="007F499F"/>
    <w:rsid w:val="007F4B19"/>
    <w:rsid w:val="007F5F6A"/>
    <w:rsid w:val="007F6185"/>
    <w:rsid w:val="007F63BD"/>
    <w:rsid w:val="007F6507"/>
    <w:rsid w:val="007F6946"/>
    <w:rsid w:val="007F6A2B"/>
    <w:rsid w:val="007F7205"/>
    <w:rsid w:val="007F7420"/>
    <w:rsid w:val="007F7510"/>
    <w:rsid w:val="008010C1"/>
    <w:rsid w:val="0080133B"/>
    <w:rsid w:val="00801CC4"/>
    <w:rsid w:val="008034E1"/>
    <w:rsid w:val="008036DB"/>
    <w:rsid w:val="00804483"/>
    <w:rsid w:val="008046A4"/>
    <w:rsid w:val="00805131"/>
    <w:rsid w:val="008056B6"/>
    <w:rsid w:val="00805887"/>
    <w:rsid w:val="00805C97"/>
    <w:rsid w:val="008065C7"/>
    <w:rsid w:val="00806997"/>
    <w:rsid w:val="00806CC2"/>
    <w:rsid w:val="00806CEB"/>
    <w:rsid w:val="00807354"/>
    <w:rsid w:val="00807E46"/>
    <w:rsid w:val="0081160C"/>
    <w:rsid w:val="0081171B"/>
    <w:rsid w:val="00811F1B"/>
    <w:rsid w:val="00812548"/>
    <w:rsid w:val="008128FA"/>
    <w:rsid w:val="00812D0A"/>
    <w:rsid w:val="008130C6"/>
    <w:rsid w:val="0081701A"/>
    <w:rsid w:val="0081747B"/>
    <w:rsid w:val="0081757A"/>
    <w:rsid w:val="00821252"/>
    <w:rsid w:val="008215B3"/>
    <w:rsid w:val="00823412"/>
    <w:rsid w:val="00824980"/>
    <w:rsid w:val="00824A43"/>
    <w:rsid w:val="00825603"/>
    <w:rsid w:val="008258CC"/>
    <w:rsid w:val="00825A24"/>
    <w:rsid w:val="00826777"/>
    <w:rsid w:val="00827DB0"/>
    <w:rsid w:val="00830B85"/>
    <w:rsid w:val="0083191F"/>
    <w:rsid w:val="00831C93"/>
    <w:rsid w:val="008327AB"/>
    <w:rsid w:val="00832BA2"/>
    <w:rsid w:val="00832F0D"/>
    <w:rsid w:val="00833258"/>
    <w:rsid w:val="008336C4"/>
    <w:rsid w:val="00833A2A"/>
    <w:rsid w:val="00833D87"/>
    <w:rsid w:val="0083440A"/>
    <w:rsid w:val="00834865"/>
    <w:rsid w:val="00834CC4"/>
    <w:rsid w:val="00834EDA"/>
    <w:rsid w:val="00835927"/>
    <w:rsid w:val="00835A7B"/>
    <w:rsid w:val="008360E0"/>
    <w:rsid w:val="0083628A"/>
    <w:rsid w:val="008364C2"/>
    <w:rsid w:val="00836933"/>
    <w:rsid w:val="00836B6D"/>
    <w:rsid w:val="00836BAB"/>
    <w:rsid w:val="00840E9D"/>
    <w:rsid w:val="00840F43"/>
    <w:rsid w:val="00841066"/>
    <w:rsid w:val="00841CFA"/>
    <w:rsid w:val="00841F46"/>
    <w:rsid w:val="00843775"/>
    <w:rsid w:val="00843A58"/>
    <w:rsid w:val="008444E6"/>
    <w:rsid w:val="00845050"/>
    <w:rsid w:val="00845179"/>
    <w:rsid w:val="00846090"/>
    <w:rsid w:val="00846C22"/>
    <w:rsid w:val="00847649"/>
    <w:rsid w:val="0085025C"/>
    <w:rsid w:val="0085036D"/>
    <w:rsid w:val="00850F46"/>
    <w:rsid w:val="00851FFA"/>
    <w:rsid w:val="0085368F"/>
    <w:rsid w:val="00853CCC"/>
    <w:rsid w:val="00853D47"/>
    <w:rsid w:val="00854350"/>
    <w:rsid w:val="00854F42"/>
    <w:rsid w:val="008554BF"/>
    <w:rsid w:val="008557F0"/>
    <w:rsid w:val="008559BE"/>
    <w:rsid w:val="00855B36"/>
    <w:rsid w:val="00855E33"/>
    <w:rsid w:val="008562EB"/>
    <w:rsid w:val="00856478"/>
    <w:rsid w:val="00856788"/>
    <w:rsid w:val="00856CA1"/>
    <w:rsid w:val="00857C4E"/>
    <w:rsid w:val="00860C96"/>
    <w:rsid w:val="00861A88"/>
    <w:rsid w:val="00861B72"/>
    <w:rsid w:val="00862210"/>
    <w:rsid w:val="008623A0"/>
    <w:rsid w:val="00862735"/>
    <w:rsid w:val="00862775"/>
    <w:rsid w:val="00862FD0"/>
    <w:rsid w:val="00863400"/>
    <w:rsid w:val="008643AD"/>
    <w:rsid w:val="00865168"/>
    <w:rsid w:val="00865317"/>
    <w:rsid w:val="00867571"/>
    <w:rsid w:val="0087019E"/>
    <w:rsid w:val="008708A6"/>
    <w:rsid w:val="008708C7"/>
    <w:rsid w:val="008711AB"/>
    <w:rsid w:val="00871F1C"/>
    <w:rsid w:val="008720FC"/>
    <w:rsid w:val="008728B1"/>
    <w:rsid w:val="00872F10"/>
    <w:rsid w:val="00873538"/>
    <w:rsid w:val="00873A33"/>
    <w:rsid w:val="00874170"/>
    <w:rsid w:val="008757D6"/>
    <w:rsid w:val="00875E82"/>
    <w:rsid w:val="0087638A"/>
    <w:rsid w:val="00876DAE"/>
    <w:rsid w:val="0087762F"/>
    <w:rsid w:val="008803B7"/>
    <w:rsid w:val="008805CD"/>
    <w:rsid w:val="008807F6"/>
    <w:rsid w:val="00880C6C"/>
    <w:rsid w:val="008813B1"/>
    <w:rsid w:val="008815BD"/>
    <w:rsid w:val="00881813"/>
    <w:rsid w:val="00881E39"/>
    <w:rsid w:val="00881E85"/>
    <w:rsid w:val="0088229F"/>
    <w:rsid w:val="00883524"/>
    <w:rsid w:val="008849B7"/>
    <w:rsid w:val="00884AA4"/>
    <w:rsid w:val="00884CE7"/>
    <w:rsid w:val="00884E0D"/>
    <w:rsid w:val="00884FB5"/>
    <w:rsid w:val="0088685F"/>
    <w:rsid w:val="00886E93"/>
    <w:rsid w:val="008900B0"/>
    <w:rsid w:val="0089050C"/>
    <w:rsid w:val="00890EB8"/>
    <w:rsid w:val="00890F29"/>
    <w:rsid w:val="00891599"/>
    <w:rsid w:val="0089160C"/>
    <w:rsid w:val="0089268B"/>
    <w:rsid w:val="00892A12"/>
    <w:rsid w:val="00892C8C"/>
    <w:rsid w:val="00892D9F"/>
    <w:rsid w:val="00892DBF"/>
    <w:rsid w:val="00892EE4"/>
    <w:rsid w:val="0089421C"/>
    <w:rsid w:val="0089443D"/>
    <w:rsid w:val="0089526B"/>
    <w:rsid w:val="00895782"/>
    <w:rsid w:val="00895AD2"/>
    <w:rsid w:val="00895B0E"/>
    <w:rsid w:val="00896AE8"/>
    <w:rsid w:val="00897E84"/>
    <w:rsid w:val="008A000E"/>
    <w:rsid w:val="008A0A8E"/>
    <w:rsid w:val="008A0D34"/>
    <w:rsid w:val="008A1D80"/>
    <w:rsid w:val="008A1F73"/>
    <w:rsid w:val="008A2810"/>
    <w:rsid w:val="008A29AC"/>
    <w:rsid w:val="008A368A"/>
    <w:rsid w:val="008A3804"/>
    <w:rsid w:val="008A3C54"/>
    <w:rsid w:val="008A46DE"/>
    <w:rsid w:val="008A4AB1"/>
    <w:rsid w:val="008A5BE7"/>
    <w:rsid w:val="008A5F49"/>
    <w:rsid w:val="008A654C"/>
    <w:rsid w:val="008A671A"/>
    <w:rsid w:val="008A704F"/>
    <w:rsid w:val="008A7405"/>
    <w:rsid w:val="008B0ED9"/>
    <w:rsid w:val="008B1925"/>
    <w:rsid w:val="008B1E0D"/>
    <w:rsid w:val="008B279A"/>
    <w:rsid w:val="008B3DD7"/>
    <w:rsid w:val="008B50E7"/>
    <w:rsid w:val="008B61D6"/>
    <w:rsid w:val="008B64A5"/>
    <w:rsid w:val="008B7DF3"/>
    <w:rsid w:val="008C080B"/>
    <w:rsid w:val="008C0B26"/>
    <w:rsid w:val="008C1B10"/>
    <w:rsid w:val="008C2723"/>
    <w:rsid w:val="008C283D"/>
    <w:rsid w:val="008C411B"/>
    <w:rsid w:val="008C6736"/>
    <w:rsid w:val="008C6B1A"/>
    <w:rsid w:val="008C6C06"/>
    <w:rsid w:val="008C75DA"/>
    <w:rsid w:val="008D0D7A"/>
    <w:rsid w:val="008D151D"/>
    <w:rsid w:val="008D1D06"/>
    <w:rsid w:val="008D216F"/>
    <w:rsid w:val="008D2374"/>
    <w:rsid w:val="008D24EF"/>
    <w:rsid w:val="008D25CE"/>
    <w:rsid w:val="008D2D4D"/>
    <w:rsid w:val="008D2EF9"/>
    <w:rsid w:val="008D2F9E"/>
    <w:rsid w:val="008D41E3"/>
    <w:rsid w:val="008D4298"/>
    <w:rsid w:val="008D4453"/>
    <w:rsid w:val="008D5262"/>
    <w:rsid w:val="008D58E0"/>
    <w:rsid w:val="008D5B91"/>
    <w:rsid w:val="008D5EA5"/>
    <w:rsid w:val="008D5F73"/>
    <w:rsid w:val="008D686C"/>
    <w:rsid w:val="008D6B69"/>
    <w:rsid w:val="008D7121"/>
    <w:rsid w:val="008E01EA"/>
    <w:rsid w:val="008E04FB"/>
    <w:rsid w:val="008E08CB"/>
    <w:rsid w:val="008E0C1D"/>
    <w:rsid w:val="008E17EF"/>
    <w:rsid w:val="008E2356"/>
    <w:rsid w:val="008E2C62"/>
    <w:rsid w:val="008E304D"/>
    <w:rsid w:val="008E32B0"/>
    <w:rsid w:val="008E36D4"/>
    <w:rsid w:val="008E4058"/>
    <w:rsid w:val="008E4CE7"/>
    <w:rsid w:val="008E53DA"/>
    <w:rsid w:val="008E6137"/>
    <w:rsid w:val="008E6B79"/>
    <w:rsid w:val="008E6B81"/>
    <w:rsid w:val="008E6D34"/>
    <w:rsid w:val="008E71C6"/>
    <w:rsid w:val="008E740C"/>
    <w:rsid w:val="008E75E5"/>
    <w:rsid w:val="008F05A6"/>
    <w:rsid w:val="008F05AA"/>
    <w:rsid w:val="008F0695"/>
    <w:rsid w:val="008F0C7D"/>
    <w:rsid w:val="008F1CE0"/>
    <w:rsid w:val="008F2FBA"/>
    <w:rsid w:val="008F32C9"/>
    <w:rsid w:val="008F346A"/>
    <w:rsid w:val="008F39D4"/>
    <w:rsid w:val="008F3D52"/>
    <w:rsid w:val="008F5047"/>
    <w:rsid w:val="008F59D7"/>
    <w:rsid w:val="008F6487"/>
    <w:rsid w:val="008F6717"/>
    <w:rsid w:val="008F67C2"/>
    <w:rsid w:val="008F6A76"/>
    <w:rsid w:val="008F78EA"/>
    <w:rsid w:val="008F7DA4"/>
    <w:rsid w:val="008F7F1B"/>
    <w:rsid w:val="008F7FBF"/>
    <w:rsid w:val="00900634"/>
    <w:rsid w:val="009010C3"/>
    <w:rsid w:val="0090148D"/>
    <w:rsid w:val="00901704"/>
    <w:rsid w:val="00903C7C"/>
    <w:rsid w:val="009048A1"/>
    <w:rsid w:val="009056D0"/>
    <w:rsid w:val="00906158"/>
    <w:rsid w:val="0090665A"/>
    <w:rsid w:val="00906975"/>
    <w:rsid w:val="00906CA4"/>
    <w:rsid w:val="00906E97"/>
    <w:rsid w:val="00906FE5"/>
    <w:rsid w:val="00907206"/>
    <w:rsid w:val="009073E6"/>
    <w:rsid w:val="00907D61"/>
    <w:rsid w:val="0091059D"/>
    <w:rsid w:val="00910789"/>
    <w:rsid w:val="009117D4"/>
    <w:rsid w:val="00911BAA"/>
    <w:rsid w:val="00912055"/>
    <w:rsid w:val="009123A0"/>
    <w:rsid w:val="009126E2"/>
    <w:rsid w:val="00912DBC"/>
    <w:rsid w:val="00913763"/>
    <w:rsid w:val="00913AD0"/>
    <w:rsid w:val="009140ED"/>
    <w:rsid w:val="00914173"/>
    <w:rsid w:val="00914645"/>
    <w:rsid w:val="00915512"/>
    <w:rsid w:val="00915BA0"/>
    <w:rsid w:val="00915CF9"/>
    <w:rsid w:val="0091633F"/>
    <w:rsid w:val="00916733"/>
    <w:rsid w:val="009177EC"/>
    <w:rsid w:val="009178EF"/>
    <w:rsid w:val="0091791A"/>
    <w:rsid w:val="00917E02"/>
    <w:rsid w:val="00917F54"/>
    <w:rsid w:val="00921127"/>
    <w:rsid w:val="009217C2"/>
    <w:rsid w:val="00922416"/>
    <w:rsid w:val="00922A0C"/>
    <w:rsid w:val="00924229"/>
    <w:rsid w:val="009243B2"/>
    <w:rsid w:val="00924CAF"/>
    <w:rsid w:val="00925615"/>
    <w:rsid w:val="0092593F"/>
    <w:rsid w:val="00926157"/>
    <w:rsid w:val="009264CD"/>
    <w:rsid w:val="00926639"/>
    <w:rsid w:val="00926954"/>
    <w:rsid w:val="0093037C"/>
    <w:rsid w:val="00930597"/>
    <w:rsid w:val="00931A88"/>
    <w:rsid w:val="00931EC3"/>
    <w:rsid w:val="00931F7B"/>
    <w:rsid w:val="00932B6D"/>
    <w:rsid w:val="00933BC1"/>
    <w:rsid w:val="00933FC4"/>
    <w:rsid w:val="00935E9C"/>
    <w:rsid w:val="00935FE4"/>
    <w:rsid w:val="009369D9"/>
    <w:rsid w:val="00936CB1"/>
    <w:rsid w:val="00937665"/>
    <w:rsid w:val="009378D9"/>
    <w:rsid w:val="00941079"/>
    <w:rsid w:val="009414A5"/>
    <w:rsid w:val="00942632"/>
    <w:rsid w:val="00942AC5"/>
    <w:rsid w:val="00942F5F"/>
    <w:rsid w:val="009432C9"/>
    <w:rsid w:val="009435D8"/>
    <w:rsid w:val="009435E7"/>
    <w:rsid w:val="00944B43"/>
    <w:rsid w:val="0094588A"/>
    <w:rsid w:val="00946E33"/>
    <w:rsid w:val="0094755F"/>
    <w:rsid w:val="00947613"/>
    <w:rsid w:val="00947845"/>
    <w:rsid w:val="00947D02"/>
    <w:rsid w:val="00950B08"/>
    <w:rsid w:val="0095140F"/>
    <w:rsid w:val="00952BA8"/>
    <w:rsid w:val="00953B23"/>
    <w:rsid w:val="0095453F"/>
    <w:rsid w:val="00955247"/>
    <w:rsid w:val="00956F9A"/>
    <w:rsid w:val="00957EA8"/>
    <w:rsid w:val="0096002F"/>
    <w:rsid w:val="0096077C"/>
    <w:rsid w:val="00961735"/>
    <w:rsid w:val="009620C6"/>
    <w:rsid w:val="00963014"/>
    <w:rsid w:val="009633F4"/>
    <w:rsid w:val="00963D87"/>
    <w:rsid w:val="00964AA2"/>
    <w:rsid w:val="00964D65"/>
    <w:rsid w:val="00965488"/>
    <w:rsid w:val="0096563C"/>
    <w:rsid w:val="00965CAD"/>
    <w:rsid w:val="00966495"/>
    <w:rsid w:val="00966679"/>
    <w:rsid w:val="009677FF"/>
    <w:rsid w:val="00967EE1"/>
    <w:rsid w:val="00971FC8"/>
    <w:rsid w:val="00971FF6"/>
    <w:rsid w:val="009735BF"/>
    <w:rsid w:val="00974F1B"/>
    <w:rsid w:val="009751BA"/>
    <w:rsid w:val="00975319"/>
    <w:rsid w:val="00975B19"/>
    <w:rsid w:val="00977C61"/>
    <w:rsid w:val="00980101"/>
    <w:rsid w:val="00981BBA"/>
    <w:rsid w:val="00982354"/>
    <w:rsid w:val="00983129"/>
    <w:rsid w:val="009837F6"/>
    <w:rsid w:val="0098396F"/>
    <w:rsid w:val="009839C6"/>
    <w:rsid w:val="00984564"/>
    <w:rsid w:val="00985763"/>
    <w:rsid w:val="00985C5B"/>
    <w:rsid w:val="00985F3B"/>
    <w:rsid w:val="0099108B"/>
    <w:rsid w:val="00991745"/>
    <w:rsid w:val="009935AC"/>
    <w:rsid w:val="00993A82"/>
    <w:rsid w:val="00995ADE"/>
    <w:rsid w:val="00995C4D"/>
    <w:rsid w:val="00995F02"/>
    <w:rsid w:val="00996375"/>
    <w:rsid w:val="009964C1"/>
    <w:rsid w:val="009967B5"/>
    <w:rsid w:val="00996FE6"/>
    <w:rsid w:val="00997F23"/>
    <w:rsid w:val="009A12E4"/>
    <w:rsid w:val="009A1974"/>
    <w:rsid w:val="009A250D"/>
    <w:rsid w:val="009A4038"/>
    <w:rsid w:val="009A47D7"/>
    <w:rsid w:val="009A494F"/>
    <w:rsid w:val="009A4D63"/>
    <w:rsid w:val="009A5E8D"/>
    <w:rsid w:val="009A665C"/>
    <w:rsid w:val="009B05B6"/>
    <w:rsid w:val="009B1142"/>
    <w:rsid w:val="009B1ABA"/>
    <w:rsid w:val="009B1CE5"/>
    <w:rsid w:val="009B21F2"/>
    <w:rsid w:val="009B254C"/>
    <w:rsid w:val="009B2802"/>
    <w:rsid w:val="009B45B2"/>
    <w:rsid w:val="009B48BA"/>
    <w:rsid w:val="009B50A9"/>
    <w:rsid w:val="009B511D"/>
    <w:rsid w:val="009B545D"/>
    <w:rsid w:val="009B5C05"/>
    <w:rsid w:val="009B78F8"/>
    <w:rsid w:val="009B79C9"/>
    <w:rsid w:val="009B7E68"/>
    <w:rsid w:val="009C0497"/>
    <w:rsid w:val="009C15B9"/>
    <w:rsid w:val="009C1615"/>
    <w:rsid w:val="009C22C1"/>
    <w:rsid w:val="009C32C7"/>
    <w:rsid w:val="009C33C7"/>
    <w:rsid w:val="009C5216"/>
    <w:rsid w:val="009C56AC"/>
    <w:rsid w:val="009C572C"/>
    <w:rsid w:val="009C63A8"/>
    <w:rsid w:val="009D0442"/>
    <w:rsid w:val="009D2921"/>
    <w:rsid w:val="009D2DC4"/>
    <w:rsid w:val="009D355E"/>
    <w:rsid w:val="009D3902"/>
    <w:rsid w:val="009D42A8"/>
    <w:rsid w:val="009D46B1"/>
    <w:rsid w:val="009D47FE"/>
    <w:rsid w:val="009D4EBC"/>
    <w:rsid w:val="009D4FAD"/>
    <w:rsid w:val="009D5128"/>
    <w:rsid w:val="009D51F4"/>
    <w:rsid w:val="009D5795"/>
    <w:rsid w:val="009D6662"/>
    <w:rsid w:val="009D6780"/>
    <w:rsid w:val="009D6AB4"/>
    <w:rsid w:val="009D6D1C"/>
    <w:rsid w:val="009D6EEF"/>
    <w:rsid w:val="009D79B5"/>
    <w:rsid w:val="009D7B00"/>
    <w:rsid w:val="009E062E"/>
    <w:rsid w:val="009E0939"/>
    <w:rsid w:val="009E0ADD"/>
    <w:rsid w:val="009E1171"/>
    <w:rsid w:val="009E1199"/>
    <w:rsid w:val="009E1638"/>
    <w:rsid w:val="009E16E6"/>
    <w:rsid w:val="009E2A86"/>
    <w:rsid w:val="009E316D"/>
    <w:rsid w:val="009E44FB"/>
    <w:rsid w:val="009E4630"/>
    <w:rsid w:val="009E4B9F"/>
    <w:rsid w:val="009E5679"/>
    <w:rsid w:val="009E61CB"/>
    <w:rsid w:val="009E6DBA"/>
    <w:rsid w:val="009E719B"/>
    <w:rsid w:val="009F0335"/>
    <w:rsid w:val="009F0997"/>
    <w:rsid w:val="009F0CE8"/>
    <w:rsid w:val="009F0F5C"/>
    <w:rsid w:val="009F10E6"/>
    <w:rsid w:val="009F1C52"/>
    <w:rsid w:val="009F308C"/>
    <w:rsid w:val="009F3C74"/>
    <w:rsid w:val="009F44C3"/>
    <w:rsid w:val="009F50CB"/>
    <w:rsid w:val="009F5265"/>
    <w:rsid w:val="009F5CC9"/>
    <w:rsid w:val="009F6396"/>
    <w:rsid w:val="009F64EB"/>
    <w:rsid w:val="009F667F"/>
    <w:rsid w:val="009F6C3D"/>
    <w:rsid w:val="009F6F10"/>
    <w:rsid w:val="009F7929"/>
    <w:rsid w:val="009F7A72"/>
    <w:rsid w:val="00A003AF"/>
    <w:rsid w:val="00A01513"/>
    <w:rsid w:val="00A02A04"/>
    <w:rsid w:val="00A0371B"/>
    <w:rsid w:val="00A03B21"/>
    <w:rsid w:val="00A03C05"/>
    <w:rsid w:val="00A03D01"/>
    <w:rsid w:val="00A03EDF"/>
    <w:rsid w:val="00A045A1"/>
    <w:rsid w:val="00A04BBC"/>
    <w:rsid w:val="00A04E23"/>
    <w:rsid w:val="00A04E44"/>
    <w:rsid w:val="00A059E4"/>
    <w:rsid w:val="00A05F52"/>
    <w:rsid w:val="00A06350"/>
    <w:rsid w:val="00A06506"/>
    <w:rsid w:val="00A06A03"/>
    <w:rsid w:val="00A07229"/>
    <w:rsid w:val="00A07C1B"/>
    <w:rsid w:val="00A07FE5"/>
    <w:rsid w:val="00A10603"/>
    <w:rsid w:val="00A10E22"/>
    <w:rsid w:val="00A11459"/>
    <w:rsid w:val="00A11E61"/>
    <w:rsid w:val="00A12026"/>
    <w:rsid w:val="00A12437"/>
    <w:rsid w:val="00A133E0"/>
    <w:rsid w:val="00A13E76"/>
    <w:rsid w:val="00A148D7"/>
    <w:rsid w:val="00A15481"/>
    <w:rsid w:val="00A15EAC"/>
    <w:rsid w:val="00A16EDA"/>
    <w:rsid w:val="00A1743A"/>
    <w:rsid w:val="00A17A16"/>
    <w:rsid w:val="00A20487"/>
    <w:rsid w:val="00A210D1"/>
    <w:rsid w:val="00A213E3"/>
    <w:rsid w:val="00A21A18"/>
    <w:rsid w:val="00A21F51"/>
    <w:rsid w:val="00A2251A"/>
    <w:rsid w:val="00A22932"/>
    <w:rsid w:val="00A22B37"/>
    <w:rsid w:val="00A22F39"/>
    <w:rsid w:val="00A22F6A"/>
    <w:rsid w:val="00A233FF"/>
    <w:rsid w:val="00A23AB0"/>
    <w:rsid w:val="00A2434B"/>
    <w:rsid w:val="00A24CCB"/>
    <w:rsid w:val="00A24DAF"/>
    <w:rsid w:val="00A25676"/>
    <w:rsid w:val="00A26C0D"/>
    <w:rsid w:val="00A308DA"/>
    <w:rsid w:val="00A328AB"/>
    <w:rsid w:val="00A3381E"/>
    <w:rsid w:val="00A33AA0"/>
    <w:rsid w:val="00A33BF8"/>
    <w:rsid w:val="00A33E04"/>
    <w:rsid w:val="00A34543"/>
    <w:rsid w:val="00A35A6A"/>
    <w:rsid w:val="00A35E27"/>
    <w:rsid w:val="00A36641"/>
    <w:rsid w:val="00A375EF"/>
    <w:rsid w:val="00A40E94"/>
    <w:rsid w:val="00A41236"/>
    <w:rsid w:val="00A41CA2"/>
    <w:rsid w:val="00A43347"/>
    <w:rsid w:val="00A43555"/>
    <w:rsid w:val="00A44231"/>
    <w:rsid w:val="00A4429E"/>
    <w:rsid w:val="00A447A3"/>
    <w:rsid w:val="00A44A1F"/>
    <w:rsid w:val="00A44CEB"/>
    <w:rsid w:val="00A45305"/>
    <w:rsid w:val="00A4566E"/>
    <w:rsid w:val="00A45C0F"/>
    <w:rsid w:val="00A466CA"/>
    <w:rsid w:val="00A46926"/>
    <w:rsid w:val="00A46939"/>
    <w:rsid w:val="00A46D49"/>
    <w:rsid w:val="00A4770E"/>
    <w:rsid w:val="00A47D34"/>
    <w:rsid w:val="00A47E28"/>
    <w:rsid w:val="00A50955"/>
    <w:rsid w:val="00A52317"/>
    <w:rsid w:val="00A525B6"/>
    <w:rsid w:val="00A526EE"/>
    <w:rsid w:val="00A53530"/>
    <w:rsid w:val="00A54E68"/>
    <w:rsid w:val="00A55521"/>
    <w:rsid w:val="00A5637C"/>
    <w:rsid w:val="00A57EBD"/>
    <w:rsid w:val="00A61F08"/>
    <w:rsid w:val="00A62301"/>
    <w:rsid w:val="00A62391"/>
    <w:rsid w:val="00A62CC2"/>
    <w:rsid w:val="00A64241"/>
    <w:rsid w:val="00A643E6"/>
    <w:rsid w:val="00A6474E"/>
    <w:rsid w:val="00A64EC1"/>
    <w:rsid w:val="00A65C3A"/>
    <w:rsid w:val="00A66A95"/>
    <w:rsid w:val="00A67258"/>
    <w:rsid w:val="00A6780F"/>
    <w:rsid w:val="00A67A54"/>
    <w:rsid w:val="00A707C3"/>
    <w:rsid w:val="00A7099D"/>
    <w:rsid w:val="00A720DE"/>
    <w:rsid w:val="00A7236C"/>
    <w:rsid w:val="00A723BB"/>
    <w:rsid w:val="00A72EB0"/>
    <w:rsid w:val="00A72EDF"/>
    <w:rsid w:val="00A73213"/>
    <w:rsid w:val="00A740B1"/>
    <w:rsid w:val="00A74A02"/>
    <w:rsid w:val="00A75BD7"/>
    <w:rsid w:val="00A76846"/>
    <w:rsid w:val="00A768C7"/>
    <w:rsid w:val="00A76B04"/>
    <w:rsid w:val="00A77526"/>
    <w:rsid w:val="00A77E42"/>
    <w:rsid w:val="00A8042E"/>
    <w:rsid w:val="00A8061C"/>
    <w:rsid w:val="00A80773"/>
    <w:rsid w:val="00A808C2"/>
    <w:rsid w:val="00A80EF6"/>
    <w:rsid w:val="00A81032"/>
    <w:rsid w:val="00A8149E"/>
    <w:rsid w:val="00A81AA8"/>
    <w:rsid w:val="00A82EF5"/>
    <w:rsid w:val="00A8546D"/>
    <w:rsid w:val="00A8631E"/>
    <w:rsid w:val="00A86366"/>
    <w:rsid w:val="00A86A20"/>
    <w:rsid w:val="00A86A5C"/>
    <w:rsid w:val="00A86FCD"/>
    <w:rsid w:val="00A90871"/>
    <w:rsid w:val="00A914C9"/>
    <w:rsid w:val="00A91B84"/>
    <w:rsid w:val="00A9277F"/>
    <w:rsid w:val="00A92D6F"/>
    <w:rsid w:val="00A93406"/>
    <w:rsid w:val="00A93897"/>
    <w:rsid w:val="00A948A2"/>
    <w:rsid w:val="00A95CA8"/>
    <w:rsid w:val="00A95CF5"/>
    <w:rsid w:val="00A96647"/>
    <w:rsid w:val="00A97289"/>
    <w:rsid w:val="00AA0BD7"/>
    <w:rsid w:val="00AA1466"/>
    <w:rsid w:val="00AA2395"/>
    <w:rsid w:val="00AA3E83"/>
    <w:rsid w:val="00AA41A2"/>
    <w:rsid w:val="00AA4300"/>
    <w:rsid w:val="00AA48C5"/>
    <w:rsid w:val="00AA5233"/>
    <w:rsid w:val="00AA71B7"/>
    <w:rsid w:val="00AB0CBA"/>
    <w:rsid w:val="00AB139C"/>
    <w:rsid w:val="00AB189B"/>
    <w:rsid w:val="00AB1EF9"/>
    <w:rsid w:val="00AB2B7D"/>
    <w:rsid w:val="00AB486B"/>
    <w:rsid w:val="00AB4A80"/>
    <w:rsid w:val="00AB4D70"/>
    <w:rsid w:val="00AB51BC"/>
    <w:rsid w:val="00AB52B6"/>
    <w:rsid w:val="00AB5730"/>
    <w:rsid w:val="00AB5A00"/>
    <w:rsid w:val="00AB6A86"/>
    <w:rsid w:val="00AC029F"/>
    <w:rsid w:val="00AC059C"/>
    <w:rsid w:val="00AC08AB"/>
    <w:rsid w:val="00AC0E33"/>
    <w:rsid w:val="00AC1B81"/>
    <w:rsid w:val="00AC2B12"/>
    <w:rsid w:val="00AC2C70"/>
    <w:rsid w:val="00AC36A4"/>
    <w:rsid w:val="00AC3903"/>
    <w:rsid w:val="00AC4079"/>
    <w:rsid w:val="00AC40C3"/>
    <w:rsid w:val="00AC4C6D"/>
    <w:rsid w:val="00AC542D"/>
    <w:rsid w:val="00AC5849"/>
    <w:rsid w:val="00AC5FA5"/>
    <w:rsid w:val="00AC5FF5"/>
    <w:rsid w:val="00AC6BF1"/>
    <w:rsid w:val="00AC7441"/>
    <w:rsid w:val="00AC7506"/>
    <w:rsid w:val="00AC7E16"/>
    <w:rsid w:val="00AD0534"/>
    <w:rsid w:val="00AD2367"/>
    <w:rsid w:val="00AD2FA2"/>
    <w:rsid w:val="00AD370E"/>
    <w:rsid w:val="00AD3CAD"/>
    <w:rsid w:val="00AD444D"/>
    <w:rsid w:val="00AD5E9C"/>
    <w:rsid w:val="00AD5FC7"/>
    <w:rsid w:val="00AD6192"/>
    <w:rsid w:val="00AD6227"/>
    <w:rsid w:val="00AD6873"/>
    <w:rsid w:val="00AD6919"/>
    <w:rsid w:val="00AD6C74"/>
    <w:rsid w:val="00AD6EC1"/>
    <w:rsid w:val="00AD72BF"/>
    <w:rsid w:val="00AD733D"/>
    <w:rsid w:val="00AD76C8"/>
    <w:rsid w:val="00AD77F5"/>
    <w:rsid w:val="00AD7B0F"/>
    <w:rsid w:val="00AD7B88"/>
    <w:rsid w:val="00AD7FAF"/>
    <w:rsid w:val="00AE0312"/>
    <w:rsid w:val="00AE0586"/>
    <w:rsid w:val="00AE05FF"/>
    <w:rsid w:val="00AE0DA4"/>
    <w:rsid w:val="00AE12ED"/>
    <w:rsid w:val="00AE308B"/>
    <w:rsid w:val="00AE32FC"/>
    <w:rsid w:val="00AE3F54"/>
    <w:rsid w:val="00AE5406"/>
    <w:rsid w:val="00AE61D2"/>
    <w:rsid w:val="00AE69FE"/>
    <w:rsid w:val="00AE6C05"/>
    <w:rsid w:val="00AE6E31"/>
    <w:rsid w:val="00AE735E"/>
    <w:rsid w:val="00AE7C47"/>
    <w:rsid w:val="00AF09B2"/>
    <w:rsid w:val="00AF09FA"/>
    <w:rsid w:val="00AF0F24"/>
    <w:rsid w:val="00AF12C8"/>
    <w:rsid w:val="00AF28DD"/>
    <w:rsid w:val="00AF3207"/>
    <w:rsid w:val="00AF3A23"/>
    <w:rsid w:val="00AF4055"/>
    <w:rsid w:val="00AF517B"/>
    <w:rsid w:val="00AF6743"/>
    <w:rsid w:val="00AF7697"/>
    <w:rsid w:val="00AF7AA0"/>
    <w:rsid w:val="00B0198C"/>
    <w:rsid w:val="00B02923"/>
    <w:rsid w:val="00B02A38"/>
    <w:rsid w:val="00B02BBD"/>
    <w:rsid w:val="00B02EB8"/>
    <w:rsid w:val="00B035DD"/>
    <w:rsid w:val="00B0377B"/>
    <w:rsid w:val="00B074C0"/>
    <w:rsid w:val="00B07D17"/>
    <w:rsid w:val="00B07F14"/>
    <w:rsid w:val="00B11337"/>
    <w:rsid w:val="00B11421"/>
    <w:rsid w:val="00B118ED"/>
    <w:rsid w:val="00B13418"/>
    <w:rsid w:val="00B139EB"/>
    <w:rsid w:val="00B13C3D"/>
    <w:rsid w:val="00B1473B"/>
    <w:rsid w:val="00B14A83"/>
    <w:rsid w:val="00B14E4B"/>
    <w:rsid w:val="00B15F74"/>
    <w:rsid w:val="00B16DB4"/>
    <w:rsid w:val="00B1719E"/>
    <w:rsid w:val="00B22070"/>
    <w:rsid w:val="00B230B1"/>
    <w:rsid w:val="00B231A6"/>
    <w:rsid w:val="00B23223"/>
    <w:rsid w:val="00B2394A"/>
    <w:rsid w:val="00B23D66"/>
    <w:rsid w:val="00B241EC"/>
    <w:rsid w:val="00B2471A"/>
    <w:rsid w:val="00B2525A"/>
    <w:rsid w:val="00B274AE"/>
    <w:rsid w:val="00B2770C"/>
    <w:rsid w:val="00B27748"/>
    <w:rsid w:val="00B30E44"/>
    <w:rsid w:val="00B31619"/>
    <w:rsid w:val="00B32843"/>
    <w:rsid w:val="00B32BCB"/>
    <w:rsid w:val="00B32C4D"/>
    <w:rsid w:val="00B3360D"/>
    <w:rsid w:val="00B3377F"/>
    <w:rsid w:val="00B34898"/>
    <w:rsid w:val="00B34A04"/>
    <w:rsid w:val="00B34CD6"/>
    <w:rsid w:val="00B3512B"/>
    <w:rsid w:val="00B35790"/>
    <w:rsid w:val="00B368C6"/>
    <w:rsid w:val="00B36E29"/>
    <w:rsid w:val="00B3761D"/>
    <w:rsid w:val="00B3784D"/>
    <w:rsid w:val="00B37FE2"/>
    <w:rsid w:val="00B4049F"/>
    <w:rsid w:val="00B40D74"/>
    <w:rsid w:val="00B40F77"/>
    <w:rsid w:val="00B41034"/>
    <w:rsid w:val="00B41B64"/>
    <w:rsid w:val="00B41BF7"/>
    <w:rsid w:val="00B41D5B"/>
    <w:rsid w:val="00B41F0F"/>
    <w:rsid w:val="00B41FE8"/>
    <w:rsid w:val="00B42952"/>
    <w:rsid w:val="00B42C64"/>
    <w:rsid w:val="00B42F32"/>
    <w:rsid w:val="00B43F63"/>
    <w:rsid w:val="00B440BF"/>
    <w:rsid w:val="00B442B2"/>
    <w:rsid w:val="00B4488A"/>
    <w:rsid w:val="00B44F57"/>
    <w:rsid w:val="00B451B6"/>
    <w:rsid w:val="00B469A8"/>
    <w:rsid w:val="00B46E7E"/>
    <w:rsid w:val="00B47B6D"/>
    <w:rsid w:val="00B47B99"/>
    <w:rsid w:val="00B47E57"/>
    <w:rsid w:val="00B500AB"/>
    <w:rsid w:val="00B51378"/>
    <w:rsid w:val="00B5168F"/>
    <w:rsid w:val="00B5227F"/>
    <w:rsid w:val="00B52F72"/>
    <w:rsid w:val="00B5324B"/>
    <w:rsid w:val="00B5327D"/>
    <w:rsid w:val="00B534EE"/>
    <w:rsid w:val="00B53BDF"/>
    <w:rsid w:val="00B53FFF"/>
    <w:rsid w:val="00B5507E"/>
    <w:rsid w:val="00B55692"/>
    <w:rsid w:val="00B557B2"/>
    <w:rsid w:val="00B55BD4"/>
    <w:rsid w:val="00B57550"/>
    <w:rsid w:val="00B577BD"/>
    <w:rsid w:val="00B57B5D"/>
    <w:rsid w:val="00B57BAC"/>
    <w:rsid w:val="00B603BF"/>
    <w:rsid w:val="00B6190E"/>
    <w:rsid w:val="00B61DEF"/>
    <w:rsid w:val="00B6367B"/>
    <w:rsid w:val="00B6372C"/>
    <w:rsid w:val="00B6379D"/>
    <w:rsid w:val="00B63FAE"/>
    <w:rsid w:val="00B649E2"/>
    <w:rsid w:val="00B65487"/>
    <w:rsid w:val="00B6682B"/>
    <w:rsid w:val="00B66E7A"/>
    <w:rsid w:val="00B67496"/>
    <w:rsid w:val="00B67647"/>
    <w:rsid w:val="00B70E39"/>
    <w:rsid w:val="00B71036"/>
    <w:rsid w:val="00B7115A"/>
    <w:rsid w:val="00B719ED"/>
    <w:rsid w:val="00B71A01"/>
    <w:rsid w:val="00B71F3C"/>
    <w:rsid w:val="00B72309"/>
    <w:rsid w:val="00B72322"/>
    <w:rsid w:val="00B732D7"/>
    <w:rsid w:val="00B73E49"/>
    <w:rsid w:val="00B75769"/>
    <w:rsid w:val="00B7583B"/>
    <w:rsid w:val="00B763D6"/>
    <w:rsid w:val="00B76425"/>
    <w:rsid w:val="00B7733B"/>
    <w:rsid w:val="00B802AE"/>
    <w:rsid w:val="00B81BB9"/>
    <w:rsid w:val="00B82439"/>
    <w:rsid w:val="00B837B9"/>
    <w:rsid w:val="00B83BD5"/>
    <w:rsid w:val="00B84941"/>
    <w:rsid w:val="00B84E4F"/>
    <w:rsid w:val="00B85036"/>
    <w:rsid w:val="00B852B3"/>
    <w:rsid w:val="00B86244"/>
    <w:rsid w:val="00B86361"/>
    <w:rsid w:val="00B86962"/>
    <w:rsid w:val="00B87160"/>
    <w:rsid w:val="00B92A66"/>
    <w:rsid w:val="00B930BB"/>
    <w:rsid w:val="00B930F9"/>
    <w:rsid w:val="00B93343"/>
    <w:rsid w:val="00B9386A"/>
    <w:rsid w:val="00B93F42"/>
    <w:rsid w:val="00B94888"/>
    <w:rsid w:val="00B94A7D"/>
    <w:rsid w:val="00B957E5"/>
    <w:rsid w:val="00B96990"/>
    <w:rsid w:val="00B96EDE"/>
    <w:rsid w:val="00B974D2"/>
    <w:rsid w:val="00BA0A9F"/>
    <w:rsid w:val="00BA0DE4"/>
    <w:rsid w:val="00BA0EE9"/>
    <w:rsid w:val="00BA161C"/>
    <w:rsid w:val="00BA1F30"/>
    <w:rsid w:val="00BA208A"/>
    <w:rsid w:val="00BA302B"/>
    <w:rsid w:val="00BA310D"/>
    <w:rsid w:val="00BA4767"/>
    <w:rsid w:val="00BA4873"/>
    <w:rsid w:val="00BA48E8"/>
    <w:rsid w:val="00BA4E63"/>
    <w:rsid w:val="00BA4FE9"/>
    <w:rsid w:val="00BA50EA"/>
    <w:rsid w:val="00BA53C1"/>
    <w:rsid w:val="00BA5F48"/>
    <w:rsid w:val="00BA604E"/>
    <w:rsid w:val="00BA6294"/>
    <w:rsid w:val="00BA6C42"/>
    <w:rsid w:val="00BA7637"/>
    <w:rsid w:val="00BA76C6"/>
    <w:rsid w:val="00BB0A2A"/>
    <w:rsid w:val="00BB0E7F"/>
    <w:rsid w:val="00BB15D6"/>
    <w:rsid w:val="00BB19E5"/>
    <w:rsid w:val="00BB2091"/>
    <w:rsid w:val="00BB29DD"/>
    <w:rsid w:val="00BB2FC3"/>
    <w:rsid w:val="00BB42D9"/>
    <w:rsid w:val="00BB4346"/>
    <w:rsid w:val="00BB4A4F"/>
    <w:rsid w:val="00BB4CB7"/>
    <w:rsid w:val="00BB5261"/>
    <w:rsid w:val="00BB5FBE"/>
    <w:rsid w:val="00BB6144"/>
    <w:rsid w:val="00BB669A"/>
    <w:rsid w:val="00BB7103"/>
    <w:rsid w:val="00BB7731"/>
    <w:rsid w:val="00BB794B"/>
    <w:rsid w:val="00BC0BD8"/>
    <w:rsid w:val="00BC0C94"/>
    <w:rsid w:val="00BC1804"/>
    <w:rsid w:val="00BC2626"/>
    <w:rsid w:val="00BC2E99"/>
    <w:rsid w:val="00BC30AA"/>
    <w:rsid w:val="00BC457B"/>
    <w:rsid w:val="00BC4684"/>
    <w:rsid w:val="00BC4E85"/>
    <w:rsid w:val="00BC7B9B"/>
    <w:rsid w:val="00BD02F3"/>
    <w:rsid w:val="00BD0449"/>
    <w:rsid w:val="00BD047F"/>
    <w:rsid w:val="00BD08C0"/>
    <w:rsid w:val="00BD09A3"/>
    <w:rsid w:val="00BD0AAE"/>
    <w:rsid w:val="00BD16DA"/>
    <w:rsid w:val="00BD1C46"/>
    <w:rsid w:val="00BD2CE8"/>
    <w:rsid w:val="00BD3C0A"/>
    <w:rsid w:val="00BD3F15"/>
    <w:rsid w:val="00BD48BA"/>
    <w:rsid w:val="00BD4C1C"/>
    <w:rsid w:val="00BD4DCD"/>
    <w:rsid w:val="00BD579E"/>
    <w:rsid w:val="00BD590B"/>
    <w:rsid w:val="00BD593A"/>
    <w:rsid w:val="00BD7430"/>
    <w:rsid w:val="00BD7957"/>
    <w:rsid w:val="00BD7B8D"/>
    <w:rsid w:val="00BE0522"/>
    <w:rsid w:val="00BE1952"/>
    <w:rsid w:val="00BE19B7"/>
    <w:rsid w:val="00BE1B05"/>
    <w:rsid w:val="00BE3053"/>
    <w:rsid w:val="00BE40E6"/>
    <w:rsid w:val="00BE44DB"/>
    <w:rsid w:val="00BE4720"/>
    <w:rsid w:val="00BE4737"/>
    <w:rsid w:val="00BE5524"/>
    <w:rsid w:val="00BE5BCD"/>
    <w:rsid w:val="00BE72F7"/>
    <w:rsid w:val="00BE7980"/>
    <w:rsid w:val="00BE79AA"/>
    <w:rsid w:val="00BF17FE"/>
    <w:rsid w:val="00BF1F5C"/>
    <w:rsid w:val="00BF212B"/>
    <w:rsid w:val="00BF414F"/>
    <w:rsid w:val="00BF4757"/>
    <w:rsid w:val="00BF4DB0"/>
    <w:rsid w:val="00BF537C"/>
    <w:rsid w:val="00BF61F7"/>
    <w:rsid w:val="00BF7AB9"/>
    <w:rsid w:val="00C00181"/>
    <w:rsid w:val="00C00CAD"/>
    <w:rsid w:val="00C01880"/>
    <w:rsid w:val="00C027F5"/>
    <w:rsid w:val="00C03967"/>
    <w:rsid w:val="00C03C00"/>
    <w:rsid w:val="00C04388"/>
    <w:rsid w:val="00C04647"/>
    <w:rsid w:val="00C04668"/>
    <w:rsid w:val="00C04925"/>
    <w:rsid w:val="00C04D63"/>
    <w:rsid w:val="00C058FF"/>
    <w:rsid w:val="00C05962"/>
    <w:rsid w:val="00C05EDB"/>
    <w:rsid w:val="00C06B2A"/>
    <w:rsid w:val="00C06CDA"/>
    <w:rsid w:val="00C072B8"/>
    <w:rsid w:val="00C07AA9"/>
    <w:rsid w:val="00C10697"/>
    <w:rsid w:val="00C107F8"/>
    <w:rsid w:val="00C108D2"/>
    <w:rsid w:val="00C1355D"/>
    <w:rsid w:val="00C13C5A"/>
    <w:rsid w:val="00C1431C"/>
    <w:rsid w:val="00C14419"/>
    <w:rsid w:val="00C158F4"/>
    <w:rsid w:val="00C16160"/>
    <w:rsid w:val="00C16832"/>
    <w:rsid w:val="00C1784F"/>
    <w:rsid w:val="00C17EF0"/>
    <w:rsid w:val="00C20A4F"/>
    <w:rsid w:val="00C20DB6"/>
    <w:rsid w:val="00C21225"/>
    <w:rsid w:val="00C2132E"/>
    <w:rsid w:val="00C21CF4"/>
    <w:rsid w:val="00C21EAC"/>
    <w:rsid w:val="00C23090"/>
    <w:rsid w:val="00C23371"/>
    <w:rsid w:val="00C23932"/>
    <w:rsid w:val="00C25D74"/>
    <w:rsid w:val="00C26157"/>
    <w:rsid w:val="00C26B12"/>
    <w:rsid w:val="00C2732D"/>
    <w:rsid w:val="00C27761"/>
    <w:rsid w:val="00C27AB0"/>
    <w:rsid w:val="00C27B14"/>
    <w:rsid w:val="00C27B61"/>
    <w:rsid w:val="00C302A9"/>
    <w:rsid w:val="00C30B8A"/>
    <w:rsid w:val="00C30D22"/>
    <w:rsid w:val="00C311A1"/>
    <w:rsid w:val="00C313BD"/>
    <w:rsid w:val="00C313CC"/>
    <w:rsid w:val="00C3174D"/>
    <w:rsid w:val="00C32C65"/>
    <w:rsid w:val="00C34BE6"/>
    <w:rsid w:val="00C34EAA"/>
    <w:rsid w:val="00C35540"/>
    <w:rsid w:val="00C36BCE"/>
    <w:rsid w:val="00C37365"/>
    <w:rsid w:val="00C4139D"/>
    <w:rsid w:val="00C416FE"/>
    <w:rsid w:val="00C41F84"/>
    <w:rsid w:val="00C434F4"/>
    <w:rsid w:val="00C437B1"/>
    <w:rsid w:val="00C43A88"/>
    <w:rsid w:val="00C43E9E"/>
    <w:rsid w:val="00C44AFF"/>
    <w:rsid w:val="00C44D16"/>
    <w:rsid w:val="00C4532A"/>
    <w:rsid w:val="00C453F5"/>
    <w:rsid w:val="00C454C4"/>
    <w:rsid w:val="00C455FB"/>
    <w:rsid w:val="00C45A83"/>
    <w:rsid w:val="00C45B70"/>
    <w:rsid w:val="00C46455"/>
    <w:rsid w:val="00C46571"/>
    <w:rsid w:val="00C46A7F"/>
    <w:rsid w:val="00C50685"/>
    <w:rsid w:val="00C515A5"/>
    <w:rsid w:val="00C52742"/>
    <w:rsid w:val="00C529CE"/>
    <w:rsid w:val="00C5390A"/>
    <w:rsid w:val="00C53AD4"/>
    <w:rsid w:val="00C53D4E"/>
    <w:rsid w:val="00C53DE9"/>
    <w:rsid w:val="00C53E06"/>
    <w:rsid w:val="00C53F61"/>
    <w:rsid w:val="00C5413E"/>
    <w:rsid w:val="00C54ED2"/>
    <w:rsid w:val="00C5516D"/>
    <w:rsid w:val="00C55E47"/>
    <w:rsid w:val="00C55FB6"/>
    <w:rsid w:val="00C567B6"/>
    <w:rsid w:val="00C568C6"/>
    <w:rsid w:val="00C57783"/>
    <w:rsid w:val="00C57C8A"/>
    <w:rsid w:val="00C61831"/>
    <w:rsid w:val="00C61B78"/>
    <w:rsid w:val="00C62B03"/>
    <w:rsid w:val="00C62FD2"/>
    <w:rsid w:val="00C63F7D"/>
    <w:rsid w:val="00C64820"/>
    <w:rsid w:val="00C648CD"/>
    <w:rsid w:val="00C65598"/>
    <w:rsid w:val="00C662F3"/>
    <w:rsid w:val="00C66590"/>
    <w:rsid w:val="00C666C6"/>
    <w:rsid w:val="00C66C3E"/>
    <w:rsid w:val="00C71005"/>
    <w:rsid w:val="00C71E6A"/>
    <w:rsid w:val="00C7208A"/>
    <w:rsid w:val="00C729A6"/>
    <w:rsid w:val="00C73393"/>
    <w:rsid w:val="00C742FD"/>
    <w:rsid w:val="00C74347"/>
    <w:rsid w:val="00C75DFF"/>
    <w:rsid w:val="00C75F78"/>
    <w:rsid w:val="00C76555"/>
    <w:rsid w:val="00C76716"/>
    <w:rsid w:val="00C76EA2"/>
    <w:rsid w:val="00C77023"/>
    <w:rsid w:val="00C77186"/>
    <w:rsid w:val="00C77B59"/>
    <w:rsid w:val="00C8021B"/>
    <w:rsid w:val="00C80382"/>
    <w:rsid w:val="00C8079A"/>
    <w:rsid w:val="00C812CC"/>
    <w:rsid w:val="00C81329"/>
    <w:rsid w:val="00C833B2"/>
    <w:rsid w:val="00C836A2"/>
    <w:rsid w:val="00C84984"/>
    <w:rsid w:val="00C84C8B"/>
    <w:rsid w:val="00C84DD9"/>
    <w:rsid w:val="00C861A8"/>
    <w:rsid w:val="00C864B0"/>
    <w:rsid w:val="00C86572"/>
    <w:rsid w:val="00C8669F"/>
    <w:rsid w:val="00C8790F"/>
    <w:rsid w:val="00C9086A"/>
    <w:rsid w:val="00C91483"/>
    <w:rsid w:val="00C91DED"/>
    <w:rsid w:val="00C91FF1"/>
    <w:rsid w:val="00C9356E"/>
    <w:rsid w:val="00C93F36"/>
    <w:rsid w:val="00C943CC"/>
    <w:rsid w:val="00C9452D"/>
    <w:rsid w:val="00C946DF"/>
    <w:rsid w:val="00C94C9E"/>
    <w:rsid w:val="00C95470"/>
    <w:rsid w:val="00C96C62"/>
    <w:rsid w:val="00C96D03"/>
    <w:rsid w:val="00C97037"/>
    <w:rsid w:val="00CA022F"/>
    <w:rsid w:val="00CA119C"/>
    <w:rsid w:val="00CA22F1"/>
    <w:rsid w:val="00CA2498"/>
    <w:rsid w:val="00CA2C49"/>
    <w:rsid w:val="00CA3684"/>
    <w:rsid w:val="00CA5093"/>
    <w:rsid w:val="00CA52D8"/>
    <w:rsid w:val="00CA693D"/>
    <w:rsid w:val="00CA7C43"/>
    <w:rsid w:val="00CA7D28"/>
    <w:rsid w:val="00CB089E"/>
    <w:rsid w:val="00CB0D82"/>
    <w:rsid w:val="00CB0FFB"/>
    <w:rsid w:val="00CB326D"/>
    <w:rsid w:val="00CB3652"/>
    <w:rsid w:val="00CB369B"/>
    <w:rsid w:val="00CB385F"/>
    <w:rsid w:val="00CB3D6C"/>
    <w:rsid w:val="00CB4372"/>
    <w:rsid w:val="00CB4C50"/>
    <w:rsid w:val="00CB5378"/>
    <w:rsid w:val="00CB5A9B"/>
    <w:rsid w:val="00CB6402"/>
    <w:rsid w:val="00CB6EE9"/>
    <w:rsid w:val="00CB7016"/>
    <w:rsid w:val="00CB7754"/>
    <w:rsid w:val="00CB787F"/>
    <w:rsid w:val="00CB7FE3"/>
    <w:rsid w:val="00CC022A"/>
    <w:rsid w:val="00CC0583"/>
    <w:rsid w:val="00CC09D9"/>
    <w:rsid w:val="00CC1735"/>
    <w:rsid w:val="00CC2224"/>
    <w:rsid w:val="00CC33C1"/>
    <w:rsid w:val="00CC498F"/>
    <w:rsid w:val="00CC4A4E"/>
    <w:rsid w:val="00CC54BE"/>
    <w:rsid w:val="00CC5F54"/>
    <w:rsid w:val="00CC685A"/>
    <w:rsid w:val="00CC693C"/>
    <w:rsid w:val="00CC6C26"/>
    <w:rsid w:val="00CC72B4"/>
    <w:rsid w:val="00CC73D1"/>
    <w:rsid w:val="00CC783C"/>
    <w:rsid w:val="00CD1328"/>
    <w:rsid w:val="00CD1D3D"/>
    <w:rsid w:val="00CD2420"/>
    <w:rsid w:val="00CD2B0A"/>
    <w:rsid w:val="00CD2E81"/>
    <w:rsid w:val="00CD2ED4"/>
    <w:rsid w:val="00CD318F"/>
    <w:rsid w:val="00CD3247"/>
    <w:rsid w:val="00CD542A"/>
    <w:rsid w:val="00CD5AE0"/>
    <w:rsid w:val="00CD5B0B"/>
    <w:rsid w:val="00CD6764"/>
    <w:rsid w:val="00CD6BD2"/>
    <w:rsid w:val="00CD77CA"/>
    <w:rsid w:val="00CD7ED7"/>
    <w:rsid w:val="00CE0340"/>
    <w:rsid w:val="00CE0E01"/>
    <w:rsid w:val="00CE15B5"/>
    <w:rsid w:val="00CE1F8C"/>
    <w:rsid w:val="00CE2513"/>
    <w:rsid w:val="00CE3E90"/>
    <w:rsid w:val="00CE3F8A"/>
    <w:rsid w:val="00CE43BF"/>
    <w:rsid w:val="00CE4B9B"/>
    <w:rsid w:val="00CE4ECC"/>
    <w:rsid w:val="00CE51DB"/>
    <w:rsid w:val="00CE5743"/>
    <w:rsid w:val="00CE5B67"/>
    <w:rsid w:val="00CE6074"/>
    <w:rsid w:val="00CE66BF"/>
    <w:rsid w:val="00CE6773"/>
    <w:rsid w:val="00CE740A"/>
    <w:rsid w:val="00CE74C2"/>
    <w:rsid w:val="00CF0717"/>
    <w:rsid w:val="00CF0749"/>
    <w:rsid w:val="00CF0756"/>
    <w:rsid w:val="00CF288B"/>
    <w:rsid w:val="00CF2D59"/>
    <w:rsid w:val="00CF3901"/>
    <w:rsid w:val="00CF3D84"/>
    <w:rsid w:val="00CF3F26"/>
    <w:rsid w:val="00CF498C"/>
    <w:rsid w:val="00CF4A2D"/>
    <w:rsid w:val="00CF4CEA"/>
    <w:rsid w:val="00CF4D41"/>
    <w:rsid w:val="00CF57AE"/>
    <w:rsid w:val="00CF5984"/>
    <w:rsid w:val="00CF5F8C"/>
    <w:rsid w:val="00CF6355"/>
    <w:rsid w:val="00CF70D8"/>
    <w:rsid w:val="00CF731F"/>
    <w:rsid w:val="00CF76EB"/>
    <w:rsid w:val="00CF7AE9"/>
    <w:rsid w:val="00D008E5"/>
    <w:rsid w:val="00D00FA5"/>
    <w:rsid w:val="00D014F0"/>
    <w:rsid w:val="00D01AEC"/>
    <w:rsid w:val="00D01E9C"/>
    <w:rsid w:val="00D0227D"/>
    <w:rsid w:val="00D03020"/>
    <w:rsid w:val="00D037AF"/>
    <w:rsid w:val="00D03849"/>
    <w:rsid w:val="00D03CF1"/>
    <w:rsid w:val="00D0486A"/>
    <w:rsid w:val="00D04CA6"/>
    <w:rsid w:val="00D04DD2"/>
    <w:rsid w:val="00D06028"/>
    <w:rsid w:val="00D06691"/>
    <w:rsid w:val="00D07F93"/>
    <w:rsid w:val="00D103AB"/>
    <w:rsid w:val="00D105D0"/>
    <w:rsid w:val="00D106D0"/>
    <w:rsid w:val="00D10C1A"/>
    <w:rsid w:val="00D10DD8"/>
    <w:rsid w:val="00D142D6"/>
    <w:rsid w:val="00D14840"/>
    <w:rsid w:val="00D1511F"/>
    <w:rsid w:val="00D152DF"/>
    <w:rsid w:val="00D15C43"/>
    <w:rsid w:val="00D17C12"/>
    <w:rsid w:val="00D2148C"/>
    <w:rsid w:val="00D217B8"/>
    <w:rsid w:val="00D218A5"/>
    <w:rsid w:val="00D218AE"/>
    <w:rsid w:val="00D21FFD"/>
    <w:rsid w:val="00D22347"/>
    <w:rsid w:val="00D22A7F"/>
    <w:rsid w:val="00D22C9D"/>
    <w:rsid w:val="00D249E7"/>
    <w:rsid w:val="00D2555E"/>
    <w:rsid w:val="00D260B6"/>
    <w:rsid w:val="00D26618"/>
    <w:rsid w:val="00D2689D"/>
    <w:rsid w:val="00D268D0"/>
    <w:rsid w:val="00D26E63"/>
    <w:rsid w:val="00D274FF"/>
    <w:rsid w:val="00D276F7"/>
    <w:rsid w:val="00D30344"/>
    <w:rsid w:val="00D307F0"/>
    <w:rsid w:val="00D30B00"/>
    <w:rsid w:val="00D30BFF"/>
    <w:rsid w:val="00D30E59"/>
    <w:rsid w:val="00D31071"/>
    <w:rsid w:val="00D31657"/>
    <w:rsid w:val="00D31FF3"/>
    <w:rsid w:val="00D32CB3"/>
    <w:rsid w:val="00D32EBC"/>
    <w:rsid w:val="00D32F29"/>
    <w:rsid w:val="00D3344A"/>
    <w:rsid w:val="00D3385B"/>
    <w:rsid w:val="00D33D1D"/>
    <w:rsid w:val="00D34116"/>
    <w:rsid w:val="00D3480E"/>
    <w:rsid w:val="00D348EB"/>
    <w:rsid w:val="00D35151"/>
    <w:rsid w:val="00D35FD7"/>
    <w:rsid w:val="00D3601C"/>
    <w:rsid w:val="00D36468"/>
    <w:rsid w:val="00D36474"/>
    <w:rsid w:val="00D36C24"/>
    <w:rsid w:val="00D3704A"/>
    <w:rsid w:val="00D4007D"/>
    <w:rsid w:val="00D406C1"/>
    <w:rsid w:val="00D406F8"/>
    <w:rsid w:val="00D40ACE"/>
    <w:rsid w:val="00D41EA4"/>
    <w:rsid w:val="00D42245"/>
    <w:rsid w:val="00D428CE"/>
    <w:rsid w:val="00D429F9"/>
    <w:rsid w:val="00D430EA"/>
    <w:rsid w:val="00D43684"/>
    <w:rsid w:val="00D441A5"/>
    <w:rsid w:val="00D44A6B"/>
    <w:rsid w:val="00D44EA5"/>
    <w:rsid w:val="00D4583D"/>
    <w:rsid w:val="00D46850"/>
    <w:rsid w:val="00D47771"/>
    <w:rsid w:val="00D479B7"/>
    <w:rsid w:val="00D47BE5"/>
    <w:rsid w:val="00D47D60"/>
    <w:rsid w:val="00D50E15"/>
    <w:rsid w:val="00D50E37"/>
    <w:rsid w:val="00D51668"/>
    <w:rsid w:val="00D51689"/>
    <w:rsid w:val="00D51841"/>
    <w:rsid w:val="00D51CE2"/>
    <w:rsid w:val="00D520B1"/>
    <w:rsid w:val="00D52410"/>
    <w:rsid w:val="00D5275D"/>
    <w:rsid w:val="00D52941"/>
    <w:rsid w:val="00D55564"/>
    <w:rsid w:val="00D56036"/>
    <w:rsid w:val="00D56658"/>
    <w:rsid w:val="00D568A8"/>
    <w:rsid w:val="00D56A76"/>
    <w:rsid w:val="00D57B54"/>
    <w:rsid w:val="00D57EEC"/>
    <w:rsid w:val="00D600B0"/>
    <w:rsid w:val="00D60160"/>
    <w:rsid w:val="00D61DE6"/>
    <w:rsid w:val="00D62047"/>
    <w:rsid w:val="00D622E0"/>
    <w:rsid w:val="00D6284E"/>
    <w:rsid w:val="00D62ABC"/>
    <w:rsid w:val="00D62C4A"/>
    <w:rsid w:val="00D62C7D"/>
    <w:rsid w:val="00D62FE4"/>
    <w:rsid w:val="00D637B3"/>
    <w:rsid w:val="00D6393D"/>
    <w:rsid w:val="00D63B90"/>
    <w:rsid w:val="00D63E17"/>
    <w:rsid w:val="00D643A1"/>
    <w:rsid w:val="00D6482F"/>
    <w:rsid w:val="00D64B55"/>
    <w:rsid w:val="00D65356"/>
    <w:rsid w:val="00D657D7"/>
    <w:rsid w:val="00D66AA8"/>
    <w:rsid w:val="00D6736F"/>
    <w:rsid w:val="00D67903"/>
    <w:rsid w:val="00D67B48"/>
    <w:rsid w:val="00D70068"/>
    <w:rsid w:val="00D70772"/>
    <w:rsid w:val="00D7121A"/>
    <w:rsid w:val="00D72845"/>
    <w:rsid w:val="00D73A41"/>
    <w:rsid w:val="00D73D51"/>
    <w:rsid w:val="00D743DB"/>
    <w:rsid w:val="00D7452A"/>
    <w:rsid w:val="00D74968"/>
    <w:rsid w:val="00D74B3F"/>
    <w:rsid w:val="00D74F5D"/>
    <w:rsid w:val="00D75289"/>
    <w:rsid w:val="00D7584D"/>
    <w:rsid w:val="00D76438"/>
    <w:rsid w:val="00D76C37"/>
    <w:rsid w:val="00D76EEF"/>
    <w:rsid w:val="00D775EA"/>
    <w:rsid w:val="00D777A7"/>
    <w:rsid w:val="00D77863"/>
    <w:rsid w:val="00D77B0D"/>
    <w:rsid w:val="00D812F8"/>
    <w:rsid w:val="00D82FB0"/>
    <w:rsid w:val="00D83275"/>
    <w:rsid w:val="00D83430"/>
    <w:rsid w:val="00D8396D"/>
    <w:rsid w:val="00D83C17"/>
    <w:rsid w:val="00D83D8E"/>
    <w:rsid w:val="00D8426F"/>
    <w:rsid w:val="00D8456D"/>
    <w:rsid w:val="00D84A4D"/>
    <w:rsid w:val="00D84B57"/>
    <w:rsid w:val="00D84FA2"/>
    <w:rsid w:val="00D85C04"/>
    <w:rsid w:val="00D85F41"/>
    <w:rsid w:val="00D860FE"/>
    <w:rsid w:val="00D864E8"/>
    <w:rsid w:val="00D87341"/>
    <w:rsid w:val="00D8752C"/>
    <w:rsid w:val="00D87B6D"/>
    <w:rsid w:val="00D87D66"/>
    <w:rsid w:val="00D87E60"/>
    <w:rsid w:val="00D90CEC"/>
    <w:rsid w:val="00D91A3C"/>
    <w:rsid w:val="00D92487"/>
    <w:rsid w:val="00D92CCC"/>
    <w:rsid w:val="00D94234"/>
    <w:rsid w:val="00D94F0C"/>
    <w:rsid w:val="00D95D26"/>
    <w:rsid w:val="00D95D29"/>
    <w:rsid w:val="00D96925"/>
    <w:rsid w:val="00D97F30"/>
    <w:rsid w:val="00DA0C62"/>
    <w:rsid w:val="00DA1684"/>
    <w:rsid w:val="00DA1940"/>
    <w:rsid w:val="00DA2664"/>
    <w:rsid w:val="00DA2D97"/>
    <w:rsid w:val="00DA39AB"/>
    <w:rsid w:val="00DA4772"/>
    <w:rsid w:val="00DA4FC4"/>
    <w:rsid w:val="00DA5DF2"/>
    <w:rsid w:val="00DA652F"/>
    <w:rsid w:val="00DA6A87"/>
    <w:rsid w:val="00DA73BF"/>
    <w:rsid w:val="00DA774B"/>
    <w:rsid w:val="00DA7DA9"/>
    <w:rsid w:val="00DA7FE6"/>
    <w:rsid w:val="00DB0071"/>
    <w:rsid w:val="00DB017E"/>
    <w:rsid w:val="00DB062C"/>
    <w:rsid w:val="00DB09E6"/>
    <w:rsid w:val="00DB116F"/>
    <w:rsid w:val="00DB15AB"/>
    <w:rsid w:val="00DB18EB"/>
    <w:rsid w:val="00DB1C9C"/>
    <w:rsid w:val="00DB23A1"/>
    <w:rsid w:val="00DB2646"/>
    <w:rsid w:val="00DB2A4A"/>
    <w:rsid w:val="00DB2BF3"/>
    <w:rsid w:val="00DB3202"/>
    <w:rsid w:val="00DB3CDA"/>
    <w:rsid w:val="00DB40C8"/>
    <w:rsid w:val="00DB41A0"/>
    <w:rsid w:val="00DB4226"/>
    <w:rsid w:val="00DB42D0"/>
    <w:rsid w:val="00DB6AB2"/>
    <w:rsid w:val="00DB6EC2"/>
    <w:rsid w:val="00DB7080"/>
    <w:rsid w:val="00DB7341"/>
    <w:rsid w:val="00DC0C73"/>
    <w:rsid w:val="00DC1160"/>
    <w:rsid w:val="00DC319F"/>
    <w:rsid w:val="00DC3BC7"/>
    <w:rsid w:val="00DC4C9D"/>
    <w:rsid w:val="00DC53D8"/>
    <w:rsid w:val="00DC5756"/>
    <w:rsid w:val="00DC5B6C"/>
    <w:rsid w:val="00DC5D5D"/>
    <w:rsid w:val="00DD03FC"/>
    <w:rsid w:val="00DD0AE1"/>
    <w:rsid w:val="00DD0FE8"/>
    <w:rsid w:val="00DD2103"/>
    <w:rsid w:val="00DD2193"/>
    <w:rsid w:val="00DD2CBA"/>
    <w:rsid w:val="00DD355A"/>
    <w:rsid w:val="00DD3867"/>
    <w:rsid w:val="00DD414A"/>
    <w:rsid w:val="00DD417E"/>
    <w:rsid w:val="00DD47A2"/>
    <w:rsid w:val="00DD4F48"/>
    <w:rsid w:val="00DD596C"/>
    <w:rsid w:val="00DD7BAC"/>
    <w:rsid w:val="00DD7D26"/>
    <w:rsid w:val="00DD7FAD"/>
    <w:rsid w:val="00DE0128"/>
    <w:rsid w:val="00DE0541"/>
    <w:rsid w:val="00DE1E8B"/>
    <w:rsid w:val="00DE1F95"/>
    <w:rsid w:val="00DE221C"/>
    <w:rsid w:val="00DE2446"/>
    <w:rsid w:val="00DE2ECF"/>
    <w:rsid w:val="00DE34A3"/>
    <w:rsid w:val="00DE41DD"/>
    <w:rsid w:val="00DE42EB"/>
    <w:rsid w:val="00DE5589"/>
    <w:rsid w:val="00DE5D61"/>
    <w:rsid w:val="00DE6D2F"/>
    <w:rsid w:val="00DE741B"/>
    <w:rsid w:val="00DE76A5"/>
    <w:rsid w:val="00DE7CEA"/>
    <w:rsid w:val="00DF00A8"/>
    <w:rsid w:val="00DF0102"/>
    <w:rsid w:val="00DF157B"/>
    <w:rsid w:val="00DF15DD"/>
    <w:rsid w:val="00DF1FF5"/>
    <w:rsid w:val="00DF23D1"/>
    <w:rsid w:val="00DF3586"/>
    <w:rsid w:val="00DF35B3"/>
    <w:rsid w:val="00DF4410"/>
    <w:rsid w:val="00DF5111"/>
    <w:rsid w:val="00DF58E4"/>
    <w:rsid w:val="00DF5948"/>
    <w:rsid w:val="00DF7148"/>
    <w:rsid w:val="00DF7C73"/>
    <w:rsid w:val="00E008A7"/>
    <w:rsid w:val="00E02DAD"/>
    <w:rsid w:val="00E04002"/>
    <w:rsid w:val="00E0621F"/>
    <w:rsid w:val="00E06254"/>
    <w:rsid w:val="00E06525"/>
    <w:rsid w:val="00E07A47"/>
    <w:rsid w:val="00E07D34"/>
    <w:rsid w:val="00E07E19"/>
    <w:rsid w:val="00E10022"/>
    <w:rsid w:val="00E104BE"/>
    <w:rsid w:val="00E10CCA"/>
    <w:rsid w:val="00E11F7D"/>
    <w:rsid w:val="00E12290"/>
    <w:rsid w:val="00E12905"/>
    <w:rsid w:val="00E12D6D"/>
    <w:rsid w:val="00E140B3"/>
    <w:rsid w:val="00E14351"/>
    <w:rsid w:val="00E153EE"/>
    <w:rsid w:val="00E15C09"/>
    <w:rsid w:val="00E16009"/>
    <w:rsid w:val="00E16183"/>
    <w:rsid w:val="00E1732C"/>
    <w:rsid w:val="00E22134"/>
    <w:rsid w:val="00E22217"/>
    <w:rsid w:val="00E22F3E"/>
    <w:rsid w:val="00E237A4"/>
    <w:rsid w:val="00E23FBF"/>
    <w:rsid w:val="00E24370"/>
    <w:rsid w:val="00E24F5E"/>
    <w:rsid w:val="00E2535B"/>
    <w:rsid w:val="00E25550"/>
    <w:rsid w:val="00E25A61"/>
    <w:rsid w:val="00E25BBF"/>
    <w:rsid w:val="00E26CA7"/>
    <w:rsid w:val="00E30463"/>
    <w:rsid w:val="00E30A2F"/>
    <w:rsid w:val="00E3198D"/>
    <w:rsid w:val="00E32DA4"/>
    <w:rsid w:val="00E34164"/>
    <w:rsid w:val="00E341DF"/>
    <w:rsid w:val="00E345D8"/>
    <w:rsid w:val="00E357BE"/>
    <w:rsid w:val="00E35E27"/>
    <w:rsid w:val="00E36665"/>
    <w:rsid w:val="00E3767D"/>
    <w:rsid w:val="00E37BFC"/>
    <w:rsid w:val="00E40802"/>
    <w:rsid w:val="00E408F6"/>
    <w:rsid w:val="00E40CE7"/>
    <w:rsid w:val="00E41A92"/>
    <w:rsid w:val="00E420C8"/>
    <w:rsid w:val="00E42249"/>
    <w:rsid w:val="00E426D0"/>
    <w:rsid w:val="00E428D7"/>
    <w:rsid w:val="00E42F29"/>
    <w:rsid w:val="00E42F5E"/>
    <w:rsid w:val="00E42FEC"/>
    <w:rsid w:val="00E43358"/>
    <w:rsid w:val="00E443C5"/>
    <w:rsid w:val="00E446FC"/>
    <w:rsid w:val="00E44F5E"/>
    <w:rsid w:val="00E45089"/>
    <w:rsid w:val="00E45EF5"/>
    <w:rsid w:val="00E464E2"/>
    <w:rsid w:val="00E46FAE"/>
    <w:rsid w:val="00E4717D"/>
    <w:rsid w:val="00E47CFF"/>
    <w:rsid w:val="00E50146"/>
    <w:rsid w:val="00E50734"/>
    <w:rsid w:val="00E51042"/>
    <w:rsid w:val="00E51620"/>
    <w:rsid w:val="00E52DF7"/>
    <w:rsid w:val="00E5323B"/>
    <w:rsid w:val="00E53AAE"/>
    <w:rsid w:val="00E54029"/>
    <w:rsid w:val="00E5425F"/>
    <w:rsid w:val="00E54AE8"/>
    <w:rsid w:val="00E54F25"/>
    <w:rsid w:val="00E55821"/>
    <w:rsid w:val="00E55A45"/>
    <w:rsid w:val="00E55AF3"/>
    <w:rsid w:val="00E57311"/>
    <w:rsid w:val="00E6158C"/>
    <w:rsid w:val="00E6187F"/>
    <w:rsid w:val="00E618D7"/>
    <w:rsid w:val="00E61E6A"/>
    <w:rsid w:val="00E62228"/>
    <w:rsid w:val="00E6259C"/>
    <w:rsid w:val="00E62921"/>
    <w:rsid w:val="00E63243"/>
    <w:rsid w:val="00E63282"/>
    <w:rsid w:val="00E6391E"/>
    <w:rsid w:val="00E63B1D"/>
    <w:rsid w:val="00E63FD5"/>
    <w:rsid w:val="00E64500"/>
    <w:rsid w:val="00E64ED0"/>
    <w:rsid w:val="00E65973"/>
    <w:rsid w:val="00E665B3"/>
    <w:rsid w:val="00E66A2F"/>
    <w:rsid w:val="00E66AA0"/>
    <w:rsid w:val="00E67166"/>
    <w:rsid w:val="00E67C2C"/>
    <w:rsid w:val="00E700E4"/>
    <w:rsid w:val="00E703A1"/>
    <w:rsid w:val="00E703C5"/>
    <w:rsid w:val="00E70643"/>
    <w:rsid w:val="00E70889"/>
    <w:rsid w:val="00E70D30"/>
    <w:rsid w:val="00E70DBA"/>
    <w:rsid w:val="00E71469"/>
    <w:rsid w:val="00E7196A"/>
    <w:rsid w:val="00E72131"/>
    <w:rsid w:val="00E7218C"/>
    <w:rsid w:val="00E72A8D"/>
    <w:rsid w:val="00E73322"/>
    <w:rsid w:val="00E74077"/>
    <w:rsid w:val="00E744A7"/>
    <w:rsid w:val="00E74750"/>
    <w:rsid w:val="00E75058"/>
    <w:rsid w:val="00E75469"/>
    <w:rsid w:val="00E75E52"/>
    <w:rsid w:val="00E75E67"/>
    <w:rsid w:val="00E765BC"/>
    <w:rsid w:val="00E76998"/>
    <w:rsid w:val="00E76ACE"/>
    <w:rsid w:val="00E76DA2"/>
    <w:rsid w:val="00E77373"/>
    <w:rsid w:val="00E775B5"/>
    <w:rsid w:val="00E77743"/>
    <w:rsid w:val="00E77D04"/>
    <w:rsid w:val="00E80293"/>
    <w:rsid w:val="00E81896"/>
    <w:rsid w:val="00E81EFF"/>
    <w:rsid w:val="00E82359"/>
    <w:rsid w:val="00E830BF"/>
    <w:rsid w:val="00E838D0"/>
    <w:rsid w:val="00E83CEB"/>
    <w:rsid w:val="00E8414F"/>
    <w:rsid w:val="00E84455"/>
    <w:rsid w:val="00E8475E"/>
    <w:rsid w:val="00E852C5"/>
    <w:rsid w:val="00E85E71"/>
    <w:rsid w:val="00E86F65"/>
    <w:rsid w:val="00E877E1"/>
    <w:rsid w:val="00E90C2A"/>
    <w:rsid w:val="00E90E49"/>
    <w:rsid w:val="00E915AA"/>
    <w:rsid w:val="00E925B1"/>
    <w:rsid w:val="00E92BB5"/>
    <w:rsid w:val="00E92FDA"/>
    <w:rsid w:val="00E9316B"/>
    <w:rsid w:val="00E936C2"/>
    <w:rsid w:val="00E939E2"/>
    <w:rsid w:val="00E93D08"/>
    <w:rsid w:val="00E940DC"/>
    <w:rsid w:val="00E94B0B"/>
    <w:rsid w:val="00E952FF"/>
    <w:rsid w:val="00E95DD6"/>
    <w:rsid w:val="00E965E9"/>
    <w:rsid w:val="00E968CA"/>
    <w:rsid w:val="00E96B22"/>
    <w:rsid w:val="00E972AC"/>
    <w:rsid w:val="00EA0C33"/>
    <w:rsid w:val="00EA0D78"/>
    <w:rsid w:val="00EA1F87"/>
    <w:rsid w:val="00EA25BD"/>
    <w:rsid w:val="00EA26FD"/>
    <w:rsid w:val="00EA2E08"/>
    <w:rsid w:val="00EA2F1F"/>
    <w:rsid w:val="00EA2F28"/>
    <w:rsid w:val="00EA3B47"/>
    <w:rsid w:val="00EA40DB"/>
    <w:rsid w:val="00EA4941"/>
    <w:rsid w:val="00EA5ECA"/>
    <w:rsid w:val="00EA5F30"/>
    <w:rsid w:val="00EA7614"/>
    <w:rsid w:val="00EA79BE"/>
    <w:rsid w:val="00EB03F9"/>
    <w:rsid w:val="00EB108D"/>
    <w:rsid w:val="00EB1614"/>
    <w:rsid w:val="00EB1971"/>
    <w:rsid w:val="00EB1AC9"/>
    <w:rsid w:val="00EB1EE9"/>
    <w:rsid w:val="00EB24E9"/>
    <w:rsid w:val="00EB2B5D"/>
    <w:rsid w:val="00EB36DF"/>
    <w:rsid w:val="00EB3706"/>
    <w:rsid w:val="00EB3719"/>
    <w:rsid w:val="00EB5668"/>
    <w:rsid w:val="00EB666E"/>
    <w:rsid w:val="00EB6C40"/>
    <w:rsid w:val="00EB7239"/>
    <w:rsid w:val="00EB729B"/>
    <w:rsid w:val="00EB7953"/>
    <w:rsid w:val="00EC0FAD"/>
    <w:rsid w:val="00EC38AA"/>
    <w:rsid w:val="00EC43A7"/>
    <w:rsid w:val="00EC4E39"/>
    <w:rsid w:val="00EC5E4C"/>
    <w:rsid w:val="00EC6004"/>
    <w:rsid w:val="00EC63DC"/>
    <w:rsid w:val="00EC681A"/>
    <w:rsid w:val="00EC6FBC"/>
    <w:rsid w:val="00EC7993"/>
    <w:rsid w:val="00ED0A72"/>
    <w:rsid w:val="00ED1063"/>
    <w:rsid w:val="00ED1AFE"/>
    <w:rsid w:val="00ED25DF"/>
    <w:rsid w:val="00ED33DB"/>
    <w:rsid w:val="00ED3E96"/>
    <w:rsid w:val="00ED3F42"/>
    <w:rsid w:val="00ED4004"/>
    <w:rsid w:val="00ED467B"/>
    <w:rsid w:val="00ED5D81"/>
    <w:rsid w:val="00ED6D7E"/>
    <w:rsid w:val="00ED6F49"/>
    <w:rsid w:val="00ED7049"/>
    <w:rsid w:val="00ED7FC4"/>
    <w:rsid w:val="00EE026C"/>
    <w:rsid w:val="00EE06A1"/>
    <w:rsid w:val="00EE0DB2"/>
    <w:rsid w:val="00EE1546"/>
    <w:rsid w:val="00EE1A49"/>
    <w:rsid w:val="00EE2FED"/>
    <w:rsid w:val="00EE332C"/>
    <w:rsid w:val="00EE3729"/>
    <w:rsid w:val="00EE3895"/>
    <w:rsid w:val="00EE41A4"/>
    <w:rsid w:val="00EE423E"/>
    <w:rsid w:val="00EE438D"/>
    <w:rsid w:val="00EE50FB"/>
    <w:rsid w:val="00EE537D"/>
    <w:rsid w:val="00EE53F1"/>
    <w:rsid w:val="00EE5A29"/>
    <w:rsid w:val="00EE5CA3"/>
    <w:rsid w:val="00EE656B"/>
    <w:rsid w:val="00EF0756"/>
    <w:rsid w:val="00EF0C8F"/>
    <w:rsid w:val="00EF0EF1"/>
    <w:rsid w:val="00EF14AB"/>
    <w:rsid w:val="00EF21FB"/>
    <w:rsid w:val="00EF2609"/>
    <w:rsid w:val="00EF37A8"/>
    <w:rsid w:val="00EF38EF"/>
    <w:rsid w:val="00EF4391"/>
    <w:rsid w:val="00EF48FD"/>
    <w:rsid w:val="00EF4E47"/>
    <w:rsid w:val="00EF5899"/>
    <w:rsid w:val="00EF597D"/>
    <w:rsid w:val="00EF616B"/>
    <w:rsid w:val="00EF62AB"/>
    <w:rsid w:val="00EF6988"/>
    <w:rsid w:val="00EF6F85"/>
    <w:rsid w:val="00F00A80"/>
    <w:rsid w:val="00F012FF"/>
    <w:rsid w:val="00F027C1"/>
    <w:rsid w:val="00F04495"/>
    <w:rsid w:val="00F0472B"/>
    <w:rsid w:val="00F07221"/>
    <w:rsid w:val="00F072B0"/>
    <w:rsid w:val="00F07F1A"/>
    <w:rsid w:val="00F104BE"/>
    <w:rsid w:val="00F10BB5"/>
    <w:rsid w:val="00F1130E"/>
    <w:rsid w:val="00F11C0B"/>
    <w:rsid w:val="00F11E26"/>
    <w:rsid w:val="00F13C39"/>
    <w:rsid w:val="00F13E2C"/>
    <w:rsid w:val="00F15185"/>
    <w:rsid w:val="00F15C9A"/>
    <w:rsid w:val="00F1600C"/>
    <w:rsid w:val="00F1643D"/>
    <w:rsid w:val="00F164AD"/>
    <w:rsid w:val="00F1712A"/>
    <w:rsid w:val="00F177FA"/>
    <w:rsid w:val="00F2081F"/>
    <w:rsid w:val="00F21221"/>
    <w:rsid w:val="00F213AD"/>
    <w:rsid w:val="00F2177A"/>
    <w:rsid w:val="00F21C6D"/>
    <w:rsid w:val="00F21D6F"/>
    <w:rsid w:val="00F22D20"/>
    <w:rsid w:val="00F23183"/>
    <w:rsid w:val="00F2379F"/>
    <w:rsid w:val="00F2390F"/>
    <w:rsid w:val="00F2397B"/>
    <w:rsid w:val="00F23A30"/>
    <w:rsid w:val="00F244A4"/>
    <w:rsid w:val="00F2467C"/>
    <w:rsid w:val="00F24B8A"/>
    <w:rsid w:val="00F25B08"/>
    <w:rsid w:val="00F312EF"/>
    <w:rsid w:val="00F318AD"/>
    <w:rsid w:val="00F324EC"/>
    <w:rsid w:val="00F3308A"/>
    <w:rsid w:val="00F33215"/>
    <w:rsid w:val="00F3426F"/>
    <w:rsid w:val="00F348DF"/>
    <w:rsid w:val="00F34CC7"/>
    <w:rsid w:val="00F34D06"/>
    <w:rsid w:val="00F359C3"/>
    <w:rsid w:val="00F35BC9"/>
    <w:rsid w:val="00F35D91"/>
    <w:rsid w:val="00F35E60"/>
    <w:rsid w:val="00F35F0A"/>
    <w:rsid w:val="00F37293"/>
    <w:rsid w:val="00F37420"/>
    <w:rsid w:val="00F374E0"/>
    <w:rsid w:val="00F37752"/>
    <w:rsid w:val="00F37868"/>
    <w:rsid w:val="00F37E75"/>
    <w:rsid w:val="00F40070"/>
    <w:rsid w:val="00F41BDB"/>
    <w:rsid w:val="00F41F2C"/>
    <w:rsid w:val="00F43B7F"/>
    <w:rsid w:val="00F445FA"/>
    <w:rsid w:val="00F454E7"/>
    <w:rsid w:val="00F45E82"/>
    <w:rsid w:val="00F46ACE"/>
    <w:rsid w:val="00F46BB1"/>
    <w:rsid w:val="00F4761C"/>
    <w:rsid w:val="00F5049E"/>
    <w:rsid w:val="00F51023"/>
    <w:rsid w:val="00F513A4"/>
    <w:rsid w:val="00F51553"/>
    <w:rsid w:val="00F51AD0"/>
    <w:rsid w:val="00F53418"/>
    <w:rsid w:val="00F53A69"/>
    <w:rsid w:val="00F54C32"/>
    <w:rsid w:val="00F551C5"/>
    <w:rsid w:val="00F5648B"/>
    <w:rsid w:val="00F56EE8"/>
    <w:rsid w:val="00F57E41"/>
    <w:rsid w:val="00F60F77"/>
    <w:rsid w:val="00F60F93"/>
    <w:rsid w:val="00F61942"/>
    <w:rsid w:val="00F61B18"/>
    <w:rsid w:val="00F64488"/>
    <w:rsid w:val="00F64CF4"/>
    <w:rsid w:val="00F6586A"/>
    <w:rsid w:val="00F659A8"/>
    <w:rsid w:val="00F65BCC"/>
    <w:rsid w:val="00F66677"/>
    <w:rsid w:val="00F669E7"/>
    <w:rsid w:val="00F67214"/>
    <w:rsid w:val="00F67EAD"/>
    <w:rsid w:val="00F702EF"/>
    <w:rsid w:val="00F70415"/>
    <w:rsid w:val="00F713A6"/>
    <w:rsid w:val="00F714A4"/>
    <w:rsid w:val="00F71933"/>
    <w:rsid w:val="00F71F27"/>
    <w:rsid w:val="00F723D4"/>
    <w:rsid w:val="00F72C6C"/>
    <w:rsid w:val="00F73D89"/>
    <w:rsid w:val="00F743B8"/>
    <w:rsid w:val="00F74A6E"/>
    <w:rsid w:val="00F74C28"/>
    <w:rsid w:val="00F74FB1"/>
    <w:rsid w:val="00F758BD"/>
    <w:rsid w:val="00F765DF"/>
    <w:rsid w:val="00F76809"/>
    <w:rsid w:val="00F7742B"/>
    <w:rsid w:val="00F80275"/>
    <w:rsid w:val="00F80C4C"/>
    <w:rsid w:val="00F8112C"/>
    <w:rsid w:val="00F811CB"/>
    <w:rsid w:val="00F82471"/>
    <w:rsid w:val="00F82EF2"/>
    <w:rsid w:val="00F8308B"/>
    <w:rsid w:val="00F83F75"/>
    <w:rsid w:val="00F84E16"/>
    <w:rsid w:val="00F84F74"/>
    <w:rsid w:val="00F8528E"/>
    <w:rsid w:val="00F86C2E"/>
    <w:rsid w:val="00F86C6E"/>
    <w:rsid w:val="00F86CB3"/>
    <w:rsid w:val="00F87695"/>
    <w:rsid w:val="00F903D9"/>
    <w:rsid w:val="00F90FA2"/>
    <w:rsid w:val="00F92484"/>
    <w:rsid w:val="00F926B8"/>
    <w:rsid w:val="00F935D5"/>
    <w:rsid w:val="00F945E9"/>
    <w:rsid w:val="00F947E6"/>
    <w:rsid w:val="00F94A44"/>
    <w:rsid w:val="00F956AA"/>
    <w:rsid w:val="00F956E9"/>
    <w:rsid w:val="00F95907"/>
    <w:rsid w:val="00F96950"/>
    <w:rsid w:val="00F97412"/>
    <w:rsid w:val="00F979E4"/>
    <w:rsid w:val="00F97F79"/>
    <w:rsid w:val="00FA078E"/>
    <w:rsid w:val="00FA0946"/>
    <w:rsid w:val="00FA1355"/>
    <w:rsid w:val="00FA1445"/>
    <w:rsid w:val="00FA1B4F"/>
    <w:rsid w:val="00FA293C"/>
    <w:rsid w:val="00FA2E07"/>
    <w:rsid w:val="00FA3D21"/>
    <w:rsid w:val="00FA4B88"/>
    <w:rsid w:val="00FA544C"/>
    <w:rsid w:val="00FA5DEC"/>
    <w:rsid w:val="00FA6371"/>
    <w:rsid w:val="00FA6D7D"/>
    <w:rsid w:val="00FA71E6"/>
    <w:rsid w:val="00FB01F4"/>
    <w:rsid w:val="00FB02B1"/>
    <w:rsid w:val="00FB03E0"/>
    <w:rsid w:val="00FB1DC9"/>
    <w:rsid w:val="00FB1E52"/>
    <w:rsid w:val="00FB1F2F"/>
    <w:rsid w:val="00FB1F78"/>
    <w:rsid w:val="00FB2761"/>
    <w:rsid w:val="00FB2B65"/>
    <w:rsid w:val="00FB5E16"/>
    <w:rsid w:val="00FB6063"/>
    <w:rsid w:val="00FB6D98"/>
    <w:rsid w:val="00FB7148"/>
    <w:rsid w:val="00FB7673"/>
    <w:rsid w:val="00FC051F"/>
    <w:rsid w:val="00FC2CB9"/>
    <w:rsid w:val="00FC3537"/>
    <w:rsid w:val="00FC4A10"/>
    <w:rsid w:val="00FC6396"/>
    <w:rsid w:val="00FC685F"/>
    <w:rsid w:val="00FC6BCD"/>
    <w:rsid w:val="00FC6FA8"/>
    <w:rsid w:val="00FC7C2D"/>
    <w:rsid w:val="00FD07C4"/>
    <w:rsid w:val="00FD0927"/>
    <w:rsid w:val="00FD26E2"/>
    <w:rsid w:val="00FD2F7C"/>
    <w:rsid w:val="00FD3FAD"/>
    <w:rsid w:val="00FD43A6"/>
    <w:rsid w:val="00FD46F5"/>
    <w:rsid w:val="00FD5233"/>
    <w:rsid w:val="00FD61BD"/>
    <w:rsid w:val="00FD75B9"/>
    <w:rsid w:val="00FE01EB"/>
    <w:rsid w:val="00FE039C"/>
    <w:rsid w:val="00FE0E6B"/>
    <w:rsid w:val="00FE0FE9"/>
    <w:rsid w:val="00FE1706"/>
    <w:rsid w:val="00FE1788"/>
    <w:rsid w:val="00FE1D29"/>
    <w:rsid w:val="00FE23ED"/>
    <w:rsid w:val="00FE3705"/>
    <w:rsid w:val="00FE4995"/>
    <w:rsid w:val="00FE663F"/>
    <w:rsid w:val="00FE66D7"/>
    <w:rsid w:val="00FE739B"/>
    <w:rsid w:val="00FE77CE"/>
    <w:rsid w:val="00FF0FF5"/>
    <w:rsid w:val="00FF16CA"/>
    <w:rsid w:val="00FF22F3"/>
    <w:rsid w:val="00FF3508"/>
    <w:rsid w:val="00FF3E11"/>
    <w:rsid w:val="00FF4E50"/>
    <w:rsid w:val="00FF5C96"/>
    <w:rsid w:val="00FF6973"/>
    <w:rsid w:val="00FF6A47"/>
    <w:rsid w:val="00FF6BE4"/>
    <w:rsid w:val="00FF6E96"/>
    <w:rsid w:val="00FF7677"/>
    <w:rsid w:val="2C59D827"/>
    <w:rsid w:val="4BAA721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836C49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9"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FF5"/>
    <w:pPr>
      <w:spacing w:before="120" w:after="120"/>
    </w:pPr>
    <w:rPr>
      <w:rFonts w:ascii="Segoe UI" w:hAnsi="Segoe UI"/>
      <w:sz w:val="20"/>
    </w:rPr>
  </w:style>
  <w:style w:type="paragraph" w:styleId="Heading1">
    <w:name w:val="heading 1"/>
    <w:basedOn w:val="Heading2"/>
    <w:next w:val="Normal"/>
    <w:link w:val="Heading1Char"/>
    <w:uiPriority w:val="9"/>
    <w:qFormat/>
    <w:rsid w:val="00A80773"/>
    <w:pPr>
      <w:numPr>
        <w:ilvl w:val="0"/>
      </w:numPr>
      <w:ind w:left="576" w:hanging="576"/>
      <w:outlineLvl w:val="0"/>
    </w:pPr>
    <w:rPr>
      <w:sz w:val="32"/>
    </w:rPr>
  </w:style>
  <w:style w:type="paragraph" w:styleId="Heading2">
    <w:name w:val="heading 2"/>
    <w:basedOn w:val="Normal"/>
    <w:next w:val="Normal"/>
    <w:link w:val="Heading2Char"/>
    <w:uiPriority w:val="9"/>
    <w:unhideWhenUsed/>
    <w:qFormat/>
    <w:rsid w:val="00A80773"/>
    <w:pPr>
      <w:keepNext/>
      <w:keepLines/>
      <w:numPr>
        <w:ilvl w:val="1"/>
        <w:numId w:val="3"/>
      </w:numPr>
      <w:spacing w:before="240" w:after="0"/>
      <w:ind w:left="576" w:hanging="576"/>
      <w:outlineLvl w:val="1"/>
    </w:pPr>
    <w:rPr>
      <w:rFonts w:ascii="Segoe UI Semibold" w:eastAsiaTheme="majorEastAsia" w:hAnsi="Segoe UI Semibold" w:cstheme="majorBidi"/>
      <w:color w:val="008272"/>
      <w:sz w:val="28"/>
      <w:szCs w:val="32"/>
    </w:rPr>
  </w:style>
  <w:style w:type="paragraph" w:styleId="Heading3">
    <w:name w:val="heading 3"/>
    <w:basedOn w:val="Heading2"/>
    <w:next w:val="Normal"/>
    <w:link w:val="Heading3Char"/>
    <w:uiPriority w:val="9"/>
    <w:unhideWhenUsed/>
    <w:qFormat/>
    <w:rsid w:val="008E6137"/>
    <w:pPr>
      <w:numPr>
        <w:ilvl w:val="2"/>
      </w:numPr>
      <w:outlineLvl w:val="2"/>
    </w:pPr>
    <w:rPr>
      <w:sz w:val="26"/>
    </w:rPr>
  </w:style>
  <w:style w:type="paragraph" w:styleId="Heading4">
    <w:name w:val="heading 4"/>
    <w:basedOn w:val="Normal"/>
    <w:next w:val="Normal"/>
    <w:link w:val="Heading4Char"/>
    <w:uiPriority w:val="9"/>
    <w:unhideWhenUsed/>
    <w:qFormat/>
    <w:rsid w:val="009D6662"/>
    <w:pPr>
      <w:keepNext/>
      <w:keepLines/>
      <w:outlineLvl w:val="3"/>
    </w:pPr>
    <w:rPr>
      <w:rFonts w:eastAsiaTheme="majorEastAsia" w:cstheme="majorBidi"/>
      <w:b/>
      <w:iCs/>
      <w:sz w:val="24"/>
    </w:rPr>
  </w:style>
  <w:style w:type="paragraph" w:styleId="Heading5">
    <w:name w:val="heading 5"/>
    <w:basedOn w:val="Normal"/>
    <w:next w:val="Normal"/>
    <w:link w:val="Heading5Char"/>
    <w:uiPriority w:val="9"/>
    <w:unhideWhenUsed/>
    <w:rsid w:val="00C7208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rsid w:val="00C7208A"/>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rsid w:val="007339A0"/>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qFormat/>
    <w:rsid w:val="002641DA"/>
    <w:pPr>
      <w:keepNext/>
      <w:keepLines/>
      <w:spacing w:before="40" w:after="0" w:line="276" w:lineRule="auto"/>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2641DA"/>
    <w:pPr>
      <w:keepNext/>
      <w:keepLines/>
      <w:spacing w:before="40" w:after="0" w:line="276" w:lineRule="auto"/>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C7208A"/>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rsid w:val="00C7208A"/>
    <w:rPr>
      <w:rFonts w:asciiTheme="majorHAnsi" w:eastAsiaTheme="majorEastAsia" w:hAnsiTheme="majorHAnsi" w:cstheme="majorBidi"/>
      <w:color w:val="1F4D78" w:themeColor="accent1" w:themeShade="7F"/>
      <w:sz w:val="20"/>
    </w:rPr>
  </w:style>
  <w:style w:type="character" w:customStyle="1" w:styleId="Heading2Char">
    <w:name w:val="Heading 2 Char"/>
    <w:basedOn w:val="DefaultParagraphFont"/>
    <w:link w:val="Heading2"/>
    <w:uiPriority w:val="9"/>
    <w:rsid w:val="00A80773"/>
    <w:rPr>
      <w:rFonts w:ascii="Segoe UI Semibold" w:eastAsiaTheme="majorEastAsia" w:hAnsi="Segoe UI Semibold" w:cstheme="majorBidi"/>
      <w:color w:val="008272"/>
      <w:sz w:val="28"/>
      <w:szCs w:val="32"/>
    </w:rPr>
  </w:style>
  <w:style w:type="character" w:customStyle="1" w:styleId="Heading3Char">
    <w:name w:val="Heading 3 Char"/>
    <w:basedOn w:val="DefaultParagraphFont"/>
    <w:link w:val="Heading3"/>
    <w:uiPriority w:val="9"/>
    <w:rsid w:val="008E6137"/>
    <w:rPr>
      <w:rFonts w:ascii="Segoe UI Semibold" w:eastAsiaTheme="majorEastAsia" w:hAnsi="Segoe UI Semibold" w:cstheme="majorBidi"/>
      <w:color w:val="008272"/>
      <w:sz w:val="26"/>
      <w:szCs w:val="32"/>
    </w:rPr>
  </w:style>
  <w:style w:type="character" w:styleId="Hyperlink">
    <w:name w:val="Hyperlink"/>
    <w:basedOn w:val="DefaultParagraphFont"/>
    <w:uiPriority w:val="99"/>
    <w:unhideWhenUsed/>
    <w:rsid w:val="00C76EA2"/>
    <w:rPr>
      <w:color w:val="0563C1" w:themeColor="hyperlink"/>
      <w:u w:val="single"/>
    </w:rPr>
  </w:style>
  <w:style w:type="paragraph" w:styleId="FootnoteText">
    <w:name w:val="footnote text"/>
    <w:basedOn w:val="Normal"/>
    <w:link w:val="FootnoteTextChar"/>
    <w:uiPriority w:val="99"/>
    <w:semiHidden/>
    <w:unhideWhenUsed/>
    <w:rsid w:val="000D404A"/>
    <w:pPr>
      <w:spacing w:after="0" w:line="240" w:lineRule="auto"/>
    </w:pPr>
    <w:rPr>
      <w:szCs w:val="20"/>
    </w:rPr>
  </w:style>
  <w:style w:type="character" w:customStyle="1" w:styleId="FootnoteTextChar">
    <w:name w:val="Footnote Text Char"/>
    <w:basedOn w:val="DefaultParagraphFont"/>
    <w:link w:val="FootnoteText"/>
    <w:uiPriority w:val="99"/>
    <w:semiHidden/>
    <w:rsid w:val="000D404A"/>
    <w:rPr>
      <w:sz w:val="20"/>
      <w:szCs w:val="20"/>
    </w:rPr>
  </w:style>
  <w:style w:type="character" w:styleId="FootnoteReference">
    <w:name w:val="footnote reference"/>
    <w:basedOn w:val="DefaultParagraphFont"/>
    <w:uiPriority w:val="99"/>
    <w:semiHidden/>
    <w:unhideWhenUsed/>
    <w:rsid w:val="000D404A"/>
    <w:rPr>
      <w:vertAlign w:val="superscript"/>
    </w:rPr>
  </w:style>
  <w:style w:type="paragraph" w:styleId="Header">
    <w:name w:val="header"/>
    <w:basedOn w:val="Normal"/>
    <w:link w:val="HeaderChar"/>
    <w:uiPriority w:val="99"/>
    <w:unhideWhenUsed/>
    <w:rsid w:val="000D4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04A"/>
  </w:style>
  <w:style w:type="paragraph" w:styleId="Footer">
    <w:name w:val="footer"/>
    <w:basedOn w:val="Normal"/>
    <w:link w:val="FooterChar"/>
    <w:uiPriority w:val="99"/>
    <w:unhideWhenUsed/>
    <w:rsid w:val="000D4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04A"/>
  </w:style>
  <w:style w:type="paragraph" w:styleId="BalloonText">
    <w:name w:val="Balloon Text"/>
    <w:basedOn w:val="Normal"/>
    <w:link w:val="BalloonTextChar"/>
    <w:uiPriority w:val="99"/>
    <w:semiHidden/>
    <w:unhideWhenUsed/>
    <w:rsid w:val="00BD2CE8"/>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BD2CE8"/>
    <w:rPr>
      <w:rFonts w:ascii="Segoe UI" w:hAnsi="Segoe UI" w:cs="Segoe UI"/>
      <w:sz w:val="18"/>
      <w:szCs w:val="18"/>
    </w:rPr>
  </w:style>
  <w:style w:type="table" w:styleId="TableGrid">
    <w:name w:val="Table Grid"/>
    <w:basedOn w:val="TableNormal"/>
    <w:uiPriority w:val="39"/>
    <w:rsid w:val="004059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8F7DA4"/>
    <w:rPr>
      <w:sz w:val="16"/>
      <w:szCs w:val="16"/>
    </w:rPr>
  </w:style>
  <w:style w:type="paragraph" w:styleId="CommentText">
    <w:name w:val="annotation text"/>
    <w:basedOn w:val="Normal"/>
    <w:link w:val="CommentTextChar"/>
    <w:uiPriority w:val="99"/>
    <w:unhideWhenUsed/>
    <w:rsid w:val="008F7DA4"/>
    <w:pPr>
      <w:spacing w:line="240" w:lineRule="auto"/>
    </w:pPr>
    <w:rPr>
      <w:szCs w:val="20"/>
    </w:rPr>
  </w:style>
  <w:style w:type="character" w:customStyle="1" w:styleId="CommentTextChar">
    <w:name w:val="Comment Text Char"/>
    <w:basedOn w:val="DefaultParagraphFont"/>
    <w:link w:val="CommentText"/>
    <w:uiPriority w:val="99"/>
    <w:rsid w:val="008F7DA4"/>
    <w:rPr>
      <w:sz w:val="20"/>
      <w:szCs w:val="20"/>
    </w:rPr>
  </w:style>
  <w:style w:type="paragraph" w:styleId="CommentSubject">
    <w:name w:val="annotation subject"/>
    <w:basedOn w:val="CommentText"/>
    <w:next w:val="CommentText"/>
    <w:link w:val="CommentSubjectChar"/>
    <w:uiPriority w:val="99"/>
    <w:semiHidden/>
    <w:unhideWhenUsed/>
    <w:rsid w:val="008F7DA4"/>
    <w:rPr>
      <w:b/>
      <w:bCs/>
    </w:rPr>
  </w:style>
  <w:style w:type="character" w:customStyle="1" w:styleId="CommentSubjectChar">
    <w:name w:val="Comment Subject Char"/>
    <w:basedOn w:val="CommentTextChar"/>
    <w:link w:val="CommentSubject"/>
    <w:uiPriority w:val="99"/>
    <w:semiHidden/>
    <w:rsid w:val="008F7DA4"/>
    <w:rPr>
      <w:b/>
      <w:bCs/>
      <w:sz w:val="20"/>
      <w:szCs w:val="20"/>
    </w:rPr>
  </w:style>
  <w:style w:type="character" w:customStyle="1" w:styleId="Heading1Char">
    <w:name w:val="Heading 1 Char"/>
    <w:basedOn w:val="DefaultParagraphFont"/>
    <w:link w:val="Heading1"/>
    <w:uiPriority w:val="9"/>
    <w:rsid w:val="00A80773"/>
    <w:rPr>
      <w:rFonts w:ascii="Segoe UI Semibold" w:eastAsiaTheme="majorEastAsia" w:hAnsi="Segoe UI Semibold" w:cstheme="majorBidi"/>
      <w:color w:val="008272"/>
      <w:sz w:val="32"/>
      <w:szCs w:val="32"/>
    </w:rPr>
  </w:style>
  <w:style w:type="paragraph" w:styleId="TOCHeading">
    <w:name w:val="TOC Heading"/>
    <w:basedOn w:val="Heading1"/>
    <w:next w:val="Normal"/>
    <w:uiPriority w:val="39"/>
    <w:unhideWhenUsed/>
    <w:qFormat/>
    <w:rsid w:val="00DA0C62"/>
    <w:pPr>
      <w:outlineLvl w:val="9"/>
    </w:pPr>
    <w:rPr>
      <w:rFonts w:asciiTheme="majorHAnsi" w:hAnsiTheme="majorHAnsi"/>
    </w:rPr>
  </w:style>
  <w:style w:type="character" w:customStyle="1" w:styleId="Heading4Char">
    <w:name w:val="Heading 4 Char"/>
    <w:basedOn w:val="DefaultParagraphFont"/>
    <w:link w:val="Heading4"/>
    <w:uiPriority w:val="9"/>
    <w:rsid w:val="009D6662"/>
    <w:rPr>
      <w:rFonts w:ascii="Segoe UI" w:eastAsiaTheme="majorEastAsia" w:hAnsi="Segoe UI" w:cstheme="majorBidi"/>
      <w:b/>
      <w:iCs/>
      <w:sz w:val="24"/>
    </w:rPr>
  </w:style>
  <w:style w:type="numbering" w:customStyle="1" w:styleId="NumberBulletStylesMS">
    <w:name w:val="Number Bullet Styles MS"/>
    <w:uiPriority w:val="99"/>
    <w:rsid w:val="005152A6"/>
    <w:pPr>
      <w:numPr>
        <w:numId w:val="1"/>
      </w:numPr>
    </w:pPr>
  </w:style>
  <w:style w:type="character" w:styleId="FollowedHyperlink">
    <w:name w:val="FollowedHyperlink"/>
    <w:basedOn w:val="DefaultParagraphFont"/>
    <w:uiPriority w:val="99"/>
    <w:semiHidden/>
    <w:unhideWhenUsed/>
    <w:rsid w:val="008444E6"/>
    <w:rPr>
      <w:color w:val="954F72" w:themeColor="followedHyperlink"/>
      <w:u w:val="single"/>
    </w:rPr>
  </w:style>
  <w:style w:type="paragraph" w:styleId="Revision">
    <w:name w:val="Revision"/>
    <w:hidden/>
    <w:uiPriority w:val="99"/>
    <w:semiHidden/>
    <w:rsid w:val="00B02EB8"/>
    <w:pPr>
      <w:spacing w:after="0" w:line="240" w:lineRule="auto"/>
    </w:pPr>
    <w:rPr>
      <w:rFonts w:ascii="Segoe Pro" w:hAnsi="Segoe Pro"/>
      <w:sz w:val="20"/>
    </w:rPr>
  </w:style>
  <w:style w:type="paragraph" w:styleId="Title">
    <w:name w:val="Title"/>
    <w:basedOn w:val="Normal"/>
    <w:next w:val="Normal"/>
    <w:link w:val="TitleChar"/>
    <w:autoRedefine/>
    <w:uiPriority w:val="10"/>
    <w:rsid w:val="00A96647"/>
    <w:pPr>
      <w:keepNext/>
      <w:keepLines/>
      <w:pageBreakBefore/>
      <w:spacing w:before="100" w:after="300" w:line="240" w:lineRule="auto"/>
      <w:ind w:left="720"/>
      <w:contextualSpacing/>
      <w:outlineLvl w:val="0"/>
    </w:pPr>
    <w:rPr>
      <w:rFonts w:ascii="Segoe Pro" w:eastAsiaTheme="majorEastAsia" w:hAnsi="Segoe Pro" w:cstheme="minorHAnsi"/>
      <w:b/>
      <w:bCs/>
      <w:iCs/>
      <w:noProof/>
      <w:color w:val="FFFFFF" w:themeColor="background1"/>
      <w:spacing w:val="5"/>
      <w:kern w:val="28"/>
      <w:sz w:val="96"/>
      <w:szCs w:val="96"/>
    </w:rPr>
  </w:style>
  <w:style w:type="character" w:customStyle="1" w:styleId="TitleChar">
    <w:name w:val="Title Char"/>
    <w:basedOn w:val="DefaultParagraphFont"/>
    <w:link w:val="Title"/>
    <w:uiPriority w:val="10"/>
    <w:rsid w:val="00A96647"/>
    <w:rPr>
      <w:rFonts w:ascii="Segoe Pro" w:eastAsiaTheme="majorEastAsia" w:hAnsi="Segoe Pro" w:cstheme="minorHAnsi"/>
      <w:b/>
      <w:bCs/>
      <w:iCs/>
      <w:noProof/>
      <w:color w:val="FFFFFF" w:themeColor="background1"/>
      <w:spacing w:val="5"/>
      <w:kern w:val="28"/>
      <w:sz w:val="96"/>
      <w:szCs w:val="96"/>
    </w:rPr>
  </w:style>
  <w:style w:type="paragraph" w:styleId="Subtitle">
    <w:name w:val="Subtitle"/>
    <w:basedOn w:val="Normal"/>
    <w:next w:val="Normal"/>
    <w:link w:val="SubtitleChar"/>
    <w:uiPriority w:val="11"/>
    <w:rsid w:val="00A96647"/>
    <w:pPr>
      <w:numPr>
        <w:ilvl w:val="1"/>
      </w:numPr>
    </w:pPr>
    <w:rPr>
      <w:rFonts w:ascii="Segoe Pro" w:eastAsiaTheme="minorEastAsia" w:hAnsi="Segoe Pro"/>
      <w:color w:val="5A5A5A" w:themeColor="text1" w:themeTint="A5"/>
      <w:spacing w:val="15"/>
      <w:sz w:val="22"/>
    </w:rPr>
  </w:style>
  <w:style w:type="character" w:customStyle="1" w:styleId="SubtitleChar">
    <w:name w:val="Subtitle Char"/>
    <w:basedOn w:val="DefaultParagraphFont"/>
    <w:link w:val="Subtitle"/>
    <w:uiPriority w:val="11"/>
    <w:rsid w:val="00A96647"/>
    <w:rPr>
      <w:rFonts w:ascii="Segoe Pro" w:eastAsiaTheme="minorEastAsia" w:hAnsi="Segoe Pro"/>
      <w:color w:val="5A5A5A" w:themeColor="text1" w:themeTint="A5"/>
      <w:spacing w:val="15"/>
    </w:rPr>
  </w:style>
  <w:style w:type="paragraph" w:customStyle="1" w:styleId="SOWTitle">
    <w:name w:val="SOW_Title"/>
    <w:basedOn w:val="Title"/>
    <w:link w:val="SOWTitleChar"/>
    <w:qFormat/>
    <w:rsid w:val="00A96647"/>
  </w:style>
  <w:style w:type="paragraph" w:styleId="ListParagraph">
    <w:name w:val="List Paragraph"/>
    <w:aliases w:val="Num Bullet 1,Bullet Number,List Paragraph1,lp1,lp11,List Paragraph11,Use Case List Paragraph,Bullet List,FooterText,numbered,Paragraphe de liste1,Bulletr List Paragraph,列出段落,列出段落1,List Paragraph2,List Paragraph21,Listeafsnit1,Bullet 1"/>
    <w:basedOn w:val="Normal"/>
    <w:link w:val="ListParagraphChar"/>
    <w:uiPriority w:val="34"/>
    <w:qFormat/>
    <w:rsid w:val="00D8456D"/>
    <w:pPr>
      <w:ind w:left="720"/>
      <w:contextualSpacing/>
    </w:pPr>
  </w:style>
  <w:style w:type="character" w:customStyle="1" w:styleId="SOWTitleChar">
    <w:name w:val="SOW_Title Char"/>
    <w:basedOn w:val="Heading1Char"/>
    <w:link w:val="SOWTitle"/>
    <w:rsid w:val="00A96647"/>
    <w:rPr>
      <w:rFonts w:ascii="Segoe Pro" w:eastAsiaTheme="majorEastAsia" w:hAnsi="Segoe Pro" w:cstheme="minorHAnsi"/>
      <w:b/>
      <w:bCs/>
      <w:iCs/>
      <w:noProof/>
      <w:color w:val="FFFFFF" w:themeColor="background1"/>
      <w:spacing w:val="5"/>
      <w:kern w:val="28"/>
      <w:sz w:val="96"/>
      <w:szCs w:val="96"/>
    </w:rPr>
  </w:style>
  <w:style w:type="numbering" w:customStyle="1" w:styleId="Style1">
    <w:name w:val="Style1"/>
    <w:uiPriority w:val="99"/>
    <w:rsid w:val="005C14DF"/>
    <w:pPr>
      <w:numPr>
        <w:numId w:val="2"/>
      </w:numPr>
    </w:pPr>
  </w:style>
  <w:style w:type="table" w:customStyle="1" w:styleId="TableGrid1">
    <w:name w:val="Table Grid1"/>
    <w:basedOn w:val="TableNormal"/>
    <w:next w:val="TableGrid"/>
    <w:uiPriority w:val="39"/>
    <w:rsid w:val="00230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al">
    <w:name w:val="Instructional"/>
    <w:basedOn w:val="Normal"/>
    <w:next w:val="Normal"/>
    <w:link w:val="InstructionalChar"/>
    <w:qFormat/>
    <w:rsid w:val="009177EC"/>
    <w:rPr>
      <w:color w:val="FF00FF"/>
    </w:rPr>
  </w:style>
  <w:style w:type="paragraph" w:customStyle="1" w:styleId="Optional">
    <w:name w:val="Optional"/>
    <w:basedOn w:val="Normal"/>
    <w:next w:val="Normal"/>
    <w:link w:val="OptionalChar"/>
    <w:qFormat/>
    <w:rsid w:val="009177EC"/>
    <w:rPr>
      <w:color w:val="00B0F0"/>
    </w:rPr>
  </w:style>
  <w:style w:type="character" w:customStyle="1" w:styleId="InstructionalChar">
    <w:name w:val="Instructional Char"/>
    <w:basedOn w:val="DefaultParagraphFont"/>
    <w:link w:val="Instructional"/>
    <w:rsid w:val="009177EC"/>
    <w:rPr>
      <w:rFonts w:ascii="Segoe UI" w:hAnsi="Segoe UI"/>
      <w:color w:val="FF00FF"/>
      <w:sz w:val="20"/>
    </w:rPr>
  </w:style>
  <w:style w:type="character" w:customStyle="1" w:styleId="OptionalChar">
    <w:name w:val="Optional Char"/>
    <w:basedOn w:val="DefaultParagraphFont"/>
    <w:link w:val="Optional"/>
    <w:rsid w:val="009177EC"/>
    <w:rPr>
      <w:rFonts w:ascii="Segoe UI" w:hAnsi="Segoe UI"/>
      <w:color w:val="00B0F0"/>
      <w:sz w:val="20"/>
    </w:rPr>
  </w:style>
  <w:style w:type="paragraph" w:customStyle="1" w:styleId="TableText">
    <w:name w:val="Table Text"/>
    <w:basedOn w:val="Normal"/>
    <w:qFormat/>
    <w:rsid w:val="00117AE2"/>
    <w:pPr>
      <w:spacing w:line="240" w:lineRule="auto"/>
    </w:pPr>
  </w:style>
  <w:style w:type="paragraph" w:styleId="ListBullet">
    <w:name w:val="List Bullet"/>
    <w:basedOn w:val="Normal"/>
    <w:uiPriority w:val="4"/>
    <w:rsid w:val="000D4E93"/>
    <w:pPr>
      <w:numPr>
        <w:numId w:val="4"/>
      </w:numPr>
      <w:spacing w:line="276" w:lineRule="auto"/>
      <w:ind w:left="720"/>
      <w:contextualSpacing/>
    </w:pPr>
    <w:rPr>
      <w:rFonts w:eastAsiaTheme="minorEastAsia"/>
      <w:sz w:val="22"/>
    </w:rPr>
  </w:style>
  <w:style w:type="paragraph" w:customStyle="1" w:styleId="Bulletlist">
    <w:name w:val="Bullet list"/>
    <w:basedOn w:val="ListParagraph"/>
    <w:link w:val="BulletlistChar"/>
    <w:qFormat/>
    <w:rsid w:val="00D307F0"/>
    <w:pPr>
      <w:numPr>
        <w:numId w:val="12"/>
      </w:numPr>
    </w:pPr>
  </w:style>
  <w:style w:type="character" w:customStyle="1" w:styleId="ListParagraphChar">
    <w:name w:val="List Paragraph Char"/>
    <w:aliases w:val="Num Bullet 1 Char,Bullet Number Char,List Paragraph1 Char,lp1 Char,lp11 Char,List Paragraph11 Char,Use Case List Paragraph Char,Bullet List Char,FooterText Char,numbered Char,Paragraphe de liste1 Char,Bulletr List Paragraph Char"/>
    <w:basedOn w:val="DefaultParagraphFont"/>
    <w:link w:val="ListParagraph"/>
    <w:uiPriority w:val="34"/>
    <w:rsid w:val="00D307F0"/>
    <w:rPr>
      <w:rFonts w:ascii="Segoe UI" w:hAnsi="Segoe UI"/>
      <w:sz w:val="20"/>
    </w:rPr>
  </w:style>
  <w:style w:type="character" w:customStyle="1" w:styleId="BulletlistChar">
    <w:name w:val="Bullet list Char"/>
    <w:basedOn w:val="ListParagraphChar"/>
    <w:link w:val="Bulletlist"/>
    <w:rsid w:val="00D307F0"/>
    <w:rPr>
      <w:rFonts w:ascii="Segoe UI" w:hAnsi="Segoe UI"/>
      <w:sz w:val="20"/>
    </w:rPr>
  </w:style>
  <w:style w:type="numbering" w:customStyle="1" w:styleId="TableBullets">
    <w:name w:val="Table Bullets"/>
    <w:uiPriority w:val="99"/>
    <w:rsid w:val="00BB4A4F"/>
    <w:pPr>
      <w:numPr>
        <w:numId w:val="6"/>
      </w:numPr>
    </w:pPr>
  </w:style>
  <w:style w:type="paragraph" w:customStyle="1" w:styleId="TableBullet1MS">
    <w:name w:val="Table Bullet 1 MS"/>
    <w:basedOn w:val="TableText"/>
    <w:rsid w:val="00BB4A4F"/>
    <w:pPr>
      <w:numPr>
        <w:numId w:val="6"/>
      </w:numPr>
      <w:spacing w:before="0" w:after="0"/>
    </w:pPr>
  </w:style>
  <w:style w:type="paragraph" w:customStyle="1" w:styleId="TableBullet2MS">
    <w:name w:val="Table Bullet 2 MS"/>
    <w:basedOn w:val="TableText"/>
    <w:rsid w:val="00BB4A4F"/>
    <w:pPr>
      <w:numPr>
        <w:ilvl w:val="1"/>
        <w:numId w:val="6"/>
      </w:numPr>
      <w:spacing w:before="0" w:after="0"/>
    </w:pPr>
  </w:style>
  <w:style w:type="paragraph" w:customStyle="1" w:styleId="TableBullet1">
    <w:name w:val="Table Bullet 1"/>
    <w:basedOn w:val="Bulletlist"/>
    <w:qFormat/>
    <w:rsid w:val="00117AE2"/>
    <w:pPr>
      <w:spacing w:line="240" w:lineRule="auto"/>
    </w:pPr>
  </w:style>
  <w:style w:type="numbering" w:customStyle="1" w:styleId="BulletsTable">
    <w:name w:val="Bullets Table"/>
    <w:basedOn w:val="NoList"/>
    <w:rsid w:val="00CA693D"/>
  </w:style>
  <w:style w:type="paragraph" w:customStyle="1" w:styleId="NumBullet3">
    <w:name w:val="Num Bullet 3"/>
    <w:basedOn w:val="Normal"/>
    <w:uiPriority w:val="3"/>
    <w:rsid w:val="00CA693D"/>
    <w:pPr>
      <w:numPr>
        <w:numId w:val="7"/>
      </w:numPr>
      <w:spacing w:line="276" w:lineRule="auto"/>
      <w:ind w:left="1080"/>
      <w:contextualSpacing/>
    </w:pPr>
    <w:rPr>
      <w:rFonts w:eastAsiaTheme="minorEastAsia"/>
      <w:sz w:val="22"/>
    </w:rPr>
  </w:style>
  <w:style w:type="paragraph" w:styleId="TOC1">
    <w:name w:val="toc 1"/>
    <w:basedOn w:val="Normal"/>
    <w:next w:val="Normal"/>
    <w:autoRedefine/>
    <w:uiPriority w:val="39"/>
    <w:unhideWhenUsed/>
    <w:rsid w:val="0052546A"/>
    <w:pPr>
      <w:spacing w:after="100"/>
    </w:pPr>
  </w:style>
  <w:style w:type="paragraph" w:styleId="TOC2">
    <w:name w:val="toc 2"/>
    <w:basedOn w:val="Normal"/>
    <w:next w:val="Normal"/>
    <w:autoRedefine/>
    <w:uiPriority w:val="39"/>
    <w:unhideWhenUsed/>
    <w:rsid w:val="0052546A"/>
    <w:pPr>
      <w:spacing w:after="100"/>
      <w:ind w:left="200"/>
    </w:pPr>
  </w:style>
  <w:style w:type="paragraph" w:styleId="TOC3">
    <w:name w:val="toc 3"/>
    <w:basedOn w:val="Normal"/>
    <w:next w:val="Normal"/>
    <w:autoRedefine/>
    <w:uiPriority w:val="39"/>
    <w:unhideWhenUsed/>
    <w:rsid w:val="0052546A"/>
    <w:pPr>
      <w:spacing w:after="100"/>
      <w:ind w:left="400"/>
    </w:pPr>
  </w:style>
  <w:style w:type="paragraph" w:customStyle="1" w:styleId="BodyMS">
    <w:name w:val="Body MS"/>
    <w:rsid w:val="00971FF6"/>
    <w:pPr>
      <w:spacing w:before="200" w:after="200" w:line="264" w:lineRule="auto"/>
    </w:pPr>
    <w:rPr>
      <w:rFonts w:ascii="Segoe Light" w:hAnsi="Segoe Light"/>
      <w:sz w:val="20"/>
      <w:szCs w:val="20"/>
    </w:rPr>
  </w:style>
  <w:style w:type="paragraph" w:customStyle="1" w:styleId="Numberedlist">
    <w:name w:val="Numbered list"/>
    <w:basedOn w:val="Bulletlist"/>
    <w:link w:val="NumberedlistChar"/>
    <w:rsid w:val="006679AB"/>
    <w:pPr>
      <w:numPr>
        <w:numId w:val="8"/>
      </w:numPr>
    </w:pPr>
  </w:style>
  <w:style w:type="character" w:customStyle="1" w:styleId="NumberedlistChar">
    <w:name w:val="Numbered list Char"/>
    <w:basedOn w:val="BulletlistChar"/>
    <w:link w:val="Numberedlist"/>
    <w:rsid w:val="006679AB"/>
    <w:rPr>
      <w:rFonts w:ascii="Segoe UI" w:hAnsi="Segoe UI"/>
      <w:sz w:val="20"/>
    </w:rPr>
  </w:style>
  <w:style w:type="paragraph" w:styleId="TOC5">
    <w:name w:val="toc 5"/>
    <w:basedOn w:val="Normal"/>
    <w:next w:val="Normal"/>
    <w:autoRedefine/>
    <w:uiPriority w:val="39"/>
    <w:semiHidden/>
    <w:unhideWhenUsed/>
    <w:rsid w:val="00EF21FB"/>
    <w:pPr>
      <w:spacing w:after="100"/>
      <w:ind w:left="800"/>
    </w:pPr>
  </w:style>
  <w:style w:type="paragraph" w:customStyle="1" w:styleId="Table-Header">
    <w:name w:val="Table - Header"/>
    <w:basedOn w:val="Normal"/>
    <w:link w:val="Table-HeaderChar"/>
    <w:qFormat/>
    <w:rsid w:val="0001741F"/>
    <w:pPr>
      <w:spacing w:line="240" w:lineRule="auto"/>
    </w:pPr>
    <w:rPr>
      <w:b/>
      <w:color w:val="FFFFFF" w:themeColor="background1"/>
    </w:rPr>
  </w:style>
  <w:style w:type="character" w:customStyle="1" w:styleId="Table-HeaderChar">
    <w:name w:val="Table - Header Char"/>
    <w:basedOn w:val="DefaultParagraphFont"/>
    <w:link w:val="Table-Header"/>
    <w:rsid w:val="0001741F"/>
    <w:rPr>
      <w:rFonts w:ascii="Segoe UI" w:hAnsi="Segoe UI"/>
      <w:b/>
      <w:color w:val="FFFFFF" w:themeColor="background1"/>
      <w:sz w:val="20"/>
    </w:rPr>
  </w:style>
  <w:style w:type="character" w:customStyle="1" w:styleId="highlightwordmagenta">
    <w:name w:val="highlightword_magenta"/>
    <w:basedOn w:val="DefaultParagraphFont"/>
    <w:rsid w:val="002967F9"/>
  </w:style>
  <w:style w:type="character" w:customStyle="1" w:styleId="highlightwordyellow">
    <w:name w:val="highlightword_yellow"/>
    <w:basedOn w:val="DefaultParagraphFont"/>
    <w:rsid w:val="002967F9"/>
  </w:style>
  <w:style w:type="character" w:styleId="Emphasis">
    <w:name w:val="Emphasis"/>
    <w:basedOn w:val="DefaultParagraphFont"/>
    <w:uiPriority w:val="20"/>
    <w:rsid w:val="002967F9"/>
    <w:rPr>
      <w:i/>
      <w:iCs/>
    </w:rPr>
  </w:style>
  <w:style w:type="character" w:customStyle="1" w:styleId="Heading7Char">
    <w:name w:val="Heading 7 Char"/>
    <w:basedOn w:val="DefaultParagraphFont"/>
    <w:link w:val="Heading7"/>
    <w:uiPriority w:val="9"/>
    <w:semiHidden/>
    <w:rsid w:val="007339A0"/>
    <w:rPr>
      <w:rFonts w:asciiTheme="majorHAnsi" w:eastAsiaTheme="majorEastAsia" w:hAnsiTheme="majorHAnsi" w:cstheme="majorBidi"/>
      <w:i/>
      <w:iCs/>
      <w:color w:val="1F4D78" w:themeColor="accent1" w:themeShade="7F"/>
      <w:sz w:val="20"/>
    </w:rPr>
  </w:style>
  <w:style w:type="character" w:customStyle="1" w:styleId="highlightword">
    <w:name w:val="highlightword"/>
    <w:basedOn w:val="DefaultParagraphFont"/>
    <w:rsid w:val="00306465"/>
  </w:style>
  <w:style w:type="paragraph" w:styleId="NormalWeb">
    <w:name w:val="Normal (Web)"/>
    <w:basedOn w:val="Normal"/>
    <w:uiPriority w:val="99"/>
    <w:semiHidden/>
    <w:unhideWhenUsed/>
    <w:rsid w:val="003064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1nonumbers">
    <w:name w:val="Heading 1 (no numbers)"/>
    <w:basedOn w:val="Heading1"/>
    <w:link w:val="Heading1nonumbersChar"/>
    <w:qFormat/>
    <w:rsid w:val="00F947E6"/>
    <w:pPr>
      <w:numPr>
        <w:numId w:val="0"/>
      </w:numPr>
    </w:pPr>
  </w:style>
  <w:style w:type="paragraph" w:customStyle="1" w:styleId="Subject">
    <w:name w:val="Subject"/>
    <w:basedOn w:val="Heading1nonumbers"/>
    <w:link w:val="SubjectChar"/>
    <w:rsid w:val="00CF7AE9"/>
  </w:style>
  <w:style w:type="character" w:customStyle="1" w:styleId="Heading1nonumbersChar">
    <w:name w:val="Heading 1 (no numbers) Char"/>
    <w:basedOn w:val="Heading1Char"/>
    <w:link w:val="Heading1nonumbers"/>
    <w:rsid w:val="00F947E6"/>
    <w:rPr>
      <w:rFonts w:ascii="Segoe UI Semibold" w:eastAsiaTheme="majorEastAsia" w:hAnsi="Segoe UI Semibold" w:cstheme="majorBidi"/>
      <w:color w:val="008272"/>
      <w:sz w:val="32"/>
      <w:szCs w:val="32"/>
    </w:rPr>
  </w:style>
  <w:style w:type="character" w:customStyle="1" w:styleId="SubjectChar">
    <w:name w:val="Subject Char"/>
    <w:basedOn w:val="Heading1nonumbersChar"/>
    <w:link w:val="Subject"/>
    <w:rsid w:val="00CF7AE9"/>
    <w:rPr>
      <w:rFonts w:ascii="Segoe UI Semibold" w:eastAsiaTheme="majorEastAsia" w:hAnsi="Segoe UI Semibold" w:cstheme="majorBidi"/>
      <w:color w:val="008272"/>
      <w:sz w:val="32"/>
      <w:szCs w:val="32"/>
    </w:rPr>
  </w:style>
  <w:style w:type="character" w:styleId="Mention">
    <w:name w:val="Mention"/>
    <w:basedOn w:val="DefaultParagraphFont"/>
    <w:uiPriority w:val="99"/>
    <w:semiHidden/>
    <w:unhideWhenUsed/>
    <w:rsid w:val="00E54029"/>
    <w:rPr>
      <w:color w:val="2B579A"/>
      <w:shd w:val="clear" w:color="auto" w:fill="E6E6E6"/>
    </w:rPr>
  </w:style>
  <w:style w:type="paragraph" w:customStyle="1" w:styleId="Bullets">
    <w:name w:val="Bullets"/>
    <w:basedOn w:val="ListParagraph"/>
    <w:link w:val="BulletsChar"/>
    <w:rsid w:val="003D1C77"/>
    <w:pPr>
      <w:numPr>
        <w:numId w:val="13"/>
      </w:numPr>
      <w:spacing w:line="240" w:lineRule="auto"/>
    </w:pPr>
  </w:style>
  <w:style w:type="character" w:customStyle="1" w:styleId="BulletsChar">
    <w:name w:val="Bullets Char"/>
    <w:basedOn w:val="BulletlistChar"/>
    <w:link w:val="Bullets"/>
    <w:rsid w:val="003D1C77"/>
    <w:rPr>
      <w:rFonts w:ascii="Segoe UI" w:hAnsi="Segoe UI"/>
      <w:sz w:val="20"/>
    </w:rPr>
  </w:style>
  <w:style w:type="character" w:customStyle="1" w:styleId="Heading8Char">
    <w:name w:val="Heading 8 Char"/>
    <w:basedOn w:val="DefaultParagraphFont"/>
    <w:link w:val="Heading8"/>
    <w:uiPriority w:val="9"/>
    <w:semiHidden/>
    <w:rsid w:val="002641D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641DA"/>
    <w:rPr>
      <w:rFonts w:asciiTheme="majorHAnsi" w:eastAsiaTheme="majorEastAsia" w:hAnsiTheme="majorHAnsi" w:cstheme="majorBidi"/>
      <w:i/>
      <w:iCs/>
      <w:color w:val="272727" w:themeColor="text1" w:themeTint="D8"/>
      <w:sz w:val="21"/>
      <w:szCs w:val="21"/>
    </w:rPr>
  </w:style>
  <w:style w:type="paragraph" w:customStyle="1" w:styleId="TableListBullet">
    <w:name w:val="Table List Bullet"/>
    <w:basedOn w:val="Normal"/>
    <w:uiPriority w:val="99"/>
    <w:rsid w:val="002641DA"/>
    <w:pPr>
      <w:spacing w:before="60" w:line="240" w:lineRule="auto"/>
      <w:ind w:left="360" w:hanging="360"/>
      <w:contextualSpacing/>
    </w:pPr>
    <w:rPr>
      <w:rFonts w:eastAsiaTheme="minorEastAsia"/>
      <w:sz w:val="16"/>
      <w:szCs w:val="16"/>
    </w:rPr>
  </w:style>
  <w:style w:type="paragraph" w:customStyle="1" w:styleId="Heading1Numbered">
    <w:name w:val="Heading 1 (Numbered)"/>
    <w:basedOn w:val="Normal"/>
    <w:next w:val="Normal"/>
    <w:uiPriority w:val="2"/>
    <w:rsid w:val="002641DA"/>
    <w:pPr>
      <w:keepNext/>
      <w:keepLines/>
      <w:pageBreakBefore/>
      <w:numPr>
        <w:numId w:val="15"/>
      </w:numPr>
      <w:tabs>
        <w:tab w:val="left" w:pos="1440"/>
      </w:tabs>
      <w:spacing w:before="360" w:after="360" w:line="600" w:lineRule="exact"/>
      <w:outlineLvl w:val="0"/>
    </w:pPr>
    <w:rPr>
      <w:color w:val="008AC8"/>
      <w:spacing w:val="10"/>
      <w:sz w:val="36"/>
      <w:szCs w:val="48"/>
    </w:rPr>
  </w:style>
  <w:style w:type="paragraph" w:customStyle="1" w:styleId="Heading2Numbered">
    <w:name w:val="Heading 2 (Numbered)"/>
    <w:basedOn w:val="Heading1Numbered"/>
    <w:next w:val="Normal"/>
    <w:uiPriority w:val="2"/>
    <w:rsid w:val="002641DA"/>
    <w:pPr>
      <w:numPr>
        <w:ilvl w:val="1"/>
      </w:numPr>
    </w:pPr>
  </w:style>
  <w:style w:type="paragraph" w:customStyle="1" w:styleId="Heading3Numbered">
    <w:name w:val="Heading 3 (Numbered)"/>
    <w:basedOn w:val="Heading2Numbered"/>
    <w:next w:val="Normal"/>
    <w:uiPriority w:val="2"/>
    <w:rsid w:val="002641DA"/>
    <w:pPr>
      <w:pageBreakBefore w:val="0"/>
      <w:numPr>
        <w:ilvl w:val="2"/>
      </w:numPr>
      <w:spacing w:before="240" w:after="240" w:line="240" w:lineRule="auto"/>
      <w:outlineLvl w:val="2"/>
    </w:pPr>
    <w:rPr>
      <w:sz w:val="28"/>
      <w:szCs w:val="28"/>
    </w:rPr>
  </w:style>
  <w:style w:type="paragraph" w:customStyle="1" w:styleId="Heading4Numbered">
    <w:name w:val="Heading 4 (Numbered)"/>
    <w:basedOn w:val="Heading3Numbered"/>
    <w:next w:val="Normal"/>
    <w:uiPriority w:val="2"/>
    <w:rsid w:val="002641DA"/>
    <w:pPr>
      <w:numPr>
        <w:ilvl w:val="3"/>
      </w:numPr>
      <w:outlineLvl w:val="3"/>
    </w:pPr>
    <w:rPr>
      <w:sz w:val="24"/>
    </w:rPr>
  </w:style>
  <w:style w:type="paragraph" w:customStyle="1" w:styleId="NumHeading3">
    <w:name w:val="Num Heading 3"/>
    <w:basedOn w:val="Heading3"/>
    <w:next w:val="Normal"/>
    <w:rsid w:val="002641DA"/>
    <w:pPr>
      <w:keepNext w:val="0"/>
      <w:keepLines w:val="0"/>
      <w:widowControl w:val="0"/>
      <w:numPr>
        <w:ilvl w:val="5"/>
        <w:numId w:val="15"/>
      </w:numPr>
      <w:tabs>
        <w:tab w:val="left" w:pos="1440"/>
      </w:tabs>
      <w:spacing w:before="120" w:after="60" w:line="240" w:lineRule="auto"/>
      <w:outlineLvl w:val="9"/>
    </w:pPr>
    <w:rPr>
      <w:rFonts w:ascii="Segoe UI" w:eastAsia="Segoe Semibold" w:hAnsi="Segoe UI" w:cs="Segoe Semibold"/>
      <w:bCs/>
      <w:color w:val="333333"/>
      <w:sz w:val="16"/>
      <w:szCs w:val="26"/>
      <w:lang w:eastAsia="en-AU"/>
    </w:rPr>
  </w:style>
  <w:style w:type="paragraph" w:customStyle="1" w:styleId="NumHeading4">
    <w:name w:val="Num Heading 4"/>
    <w:basedOn w:val="Heading4"/>
    <w:next w:val="Normal"/>
    <w:rsid w:val="002641DA"/>
    <w:pPr>
      <w:keepNext w:val="0"/>
      <w:keepLines w:val="0"/>
      <w:widowControl w:val="0"/>
      <w:numPr>
        <w:ilvl w:val="6"/>
        <w:numId w:val="15"/>
      </w:numPr>
      <w:tabs>
        <w:tab w:val="left" w:pos="1440"/>
      </w:tabs>
      <w:spacing w:after="60" w:line="240" w:lineRule="auto"/>
      <w:outlineLvl w:val="9"/>
    </w:pPr>
    <w:rPr>
      <w:rFonts w:eastAsia="Segoe Semibold" w:cs="Segoe Semibold"/>
      <w:b w:val="0"/>
      <w:bCs/>
      <w:i/>
      <w:color w:val="333333"/>
      <w:sz w:val="16"/>
      <w:szCs w:val="24"/>
      <w:lang w:eastAsia="en-AU"/>
    </w:rPr>
  </w:style>
  <w:style w:type="paragraph" w:customStyle="1" w:styleId="NumHeading1">
    <w:name w:val="Num Heading 1"/>
    <w:basedOn w:val="Heading1"/>
    <w:next w:val="Normal"/>
    <w:semiHidden/>
    <w:rsid w:val="002641DA"/>
    <w:pPr>
      <w:keepLines w:val="0"/>
      <w:pageBreakBefore/>
      <w:numPr>
        <w:numId w:val="0"/>
      </w:numPr>
      <w:tabs>
        <w:tab w:val="left" w:pos="1440"/>
      </w:tabs>
      <w:spacing w:before="120" w:after="120" w:line="240" w:lineRule="auto"/>
    </w:pPr>
    <w:rPr>
      <w:rFonts w:ascii="Segoe Black" w:eastAsia="Segoe Black" w:hAnsi="Segoe Black" w:cs="Segoe Black"/>
      <w:b/>
      <w:bCs/>
      <w:smallCaps/>
      <w:color w:val="333333"/>
      <w:kern w:val="32"/>
      <w:lang w:eastAsia="en-AU"/>
    </w:rPr>
  </w:style>
  <w:style w:type="table" w:styleId="TableGridLight">
    <w:name w:val="Grid Table Light"/>
    <w:basedOn w:val="TableNormal"/>
    <w:uiPriority w:val="40"/>
    <w:rsid w:val="002641D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Bullet3">
    <w:name w:val="Table Bullet 3"/>
    <w:basedOn w:val="Normal"/>
    <w:uiPriority w:val="4"/>
    <w:rsid w:val="002641DA"/>
    <w:pPr>
      <w:numPr>
        <w:numId w:val="16"/>
      </w:numPr>
      <w:spacing w:before="0" w:after="0" w:line="240" w:lineRule="auto"/>
      <w:contextualSpacing/>
    </w:pPr>
    <w:rPr>
      <w:rFonts w:eastAsiaTheme="minorEastAsia"/>
      <w:noProof/>
    </w:rPr>
  </w:style>
  <w:style w:type="character" w:styleId="UnresolvedMention">
    <w:name w:val="Unresolved Mention"/>
    <w:basedOn w:val="DefaultParagraphFont"/>
    <w:uiPriority w:val="99"/>
    <w:semiHidden/>
    <w:unhideWhenUsed/>
    <w:rsid w:val="002641DA"/>
    <w:rPr>
      <w:color w:val="808080"/>
      <w:shd w:val="clear" w:color="auto" w:fill="E6E6E6"/>
    </w:rPr>
  </w:style>
  <w:style w:type="paragraph" w:customStyle="1" w:styleId="Heading5Numbered">
    <w:name w:val="Heading 5 (Numbered)"/>
    <w:basedOn w:val="Normal"/>
    <w:next w:val="Normal"/>
    <w:uiPriority w:val="2"/>
    <w:unhideWhenUsed/>
    <w:rsid w:val="002641DA"/>
    <w:pPr>
      <w:keepNext/>
      <w:keepLines/>
      <w:tabs>
        <w:tab w:val="left" w:pos="1152"/>
      </w:tabs>
      <w:spacing w:before="240" w:line="240" w:lineRule="auto"/>
      <w:outlineLvl w:val="4"/>
    </w:pPr>
    <w:rPr>
      <w:color w:val="008AC8"/>
      <w:sz w:val="24"/>
      <w:szCs w:val="20"/>
    </w:rPr>
  </w:style>
  <w:style w:type="paragraph" w:customStyle="1" w:styleId="Bullet3">
    <w:name w:val="Bullet 3"/>
    <w:basedOn w:val="Normal"/>
    <w:uiPriority w:val="4"/>
    <w:rsid w:val="002641DA"/>
    <w:pPr>
      <w:numPr>
        <w:numId w:val="17"/>
      </w:numPr>
      <w:spacing w:line="276" w:lineRule="auto"/>
      <w:contextualSpacing/>
    </w:pPr>
    <w:rPr>
      <w:rFonts w:eastAsiaTheme="minorEastAsia"/>
      <w:sz w:val="22"/>
    </w:rPr>
  </w:style>
  <w:style w:type="character" w:customStyle="1" w:styleId="ng-binding">
    <w:name w:val="ng-binding"/>
    <w:basedOn w:val="DefaultParagraphFont"/>
    <w:rsid w:val="002641DA"/>
  </w:style>
  <w:style w:type="paragraph" w:styleId="ListBullet2">
    <w:name w:val="List Bullet 2"/>
    <w:basedOn w:val="ListBullet"/>
    <w:uiPriority w:val="99"/>
    <w:qFormat/>
    <w:rsid w:val="008E6D34"/>
    <w:pPr>
      <w:numPr>
        <w:numId w:val="18"/>
      </w:numPr>
      <w:spacing w:after="200"/>
      <w:ind w:left="1080"/>
    </w:pPr>
  </w:style>
  <w:style w:type="paragraph" w:styleId="ListBullet3">
    <w:name w:val="List Bullet 3"/>
    <w:basedOn w:val="ListBullet2"/>
    <w:uiPriority w:val="99"/>
    <w:qFormat/>
    <w:rsid w:val="005744AE"/>
    <w:pPr>
      <w:numPr>
        <w:numId w:val="19"/>
      </w:numPr>
    </w:pPr>
  </w:style>
  <w:style w:type="paragraph" w:styleId="ListBullet4">
    <w:name w:val="List Bullet 4"/>
    <w:basedOn w:val="ListBullet3"/>
    <w:uiPriority w:val="99"/>
    <w:qFormat/>
    <w:rsid w:val="001A6AAB"/>
    <w:pPr>
      <w:numPr>
        <w:numId w:val="20"/>
      </w:numPr>
    </w:pPr>
  </w:style>
  <w:style w:type="character" w:styleId="Strong">
    <w:name w:val="Strong"/>
    <w:basedOn w:val="DefaultParagraphFont"/>
    <w:uiPriority w:val="19"/>
    <w:qFormat/>
    <w:rsid w:val="003417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92463">
      <w:bodyDiv w:val="1"/>
      <w:marLeft w:val="0"/>
      <w:marRight w:val="0"/>
      <w:marTop w:val="0"/>
      <w:marBottom w:val="0"/>
      <w:divBdr>
        <w:top w:val="none" w:sz="0" w:space="0" w:color="auto"/>
        <w:left w:val="none" w:sz="0" w:space="0" w:color="auto"/>
        <w:bottom w:val="none" w:sz="0" w:space="0" w:color="auto"/>
        <w:right w:val="none" w:sz="0" w:space="0" w:color="auto"/>
      </w:divBdr>
    </w:div>
    <w:div w:id="64572210">
      <w:bodyDiv w:val="1"/>
      <w:marLeft w:val="0"/>
      <w:marRight w:val="0"/>
      <w:marTop w:val="0"/>
      <w:marBottom w:val="0"/>
      <w:divBdr>
        <w:top w:val="none" w:sz="0" w:space="0" w:color="auto"/>
        <w:left w:val="none" w:sz="0" w:space="0" w:color="auto"/>
        <w:bottom w:val="none" w:sz="0" w:space="0" w:color="auto"/>
        <w:right w:val="none" w:sz="0" w:space="0" w:color="auto"/>
      </w:divBdr>
    </w:div>
    <w:div w:id="131872896">
      <w:bodyDiv w:val="1"/>
      <w:marLeft w:val="0"/>
      <w:marRight w:val="0"/>
      <w:marTop w:val="0"/>
      <w:marBottom w:val="0"/>
      <w:divBdr>
        <w:top w:val="none" w:sz="0" w:space="0" w:color="auto"/>
        <w:left w:val="none" w:sz="0" w:space="0" w:color="auto"/>
        <w:bottom w:val="none" w:sz="0" w:space="0" w:color="auto"/>
        <w:right w:val="none" w:sz="0" w:space="0" w:color="auto"/>
      </w:divBdr>
      <w:divsChild>
        <w:div w:id="376856750">
          <w:marLeft w:val="0"/>
          <w:marRight w:val="0"/>
          <w:marTop w:val="0"/>
          <w:marBottom w:val="0"/>
          <w:divBdr>
            <w:top w:val="none" w:sz="0" w:space="0" w:color="auto"/>
            <w:left w:val="none" w:sz="0" w:space="0" w:color="auto"/>
            <w:bottom w:val="none" w:sz="0" w:space="0" w:color="auto"/>
            <w:right w:val="none" w:sz="0" w:space="0" w:color="auto"/>
          </w:divBdr>
          <w:divsChild>
            <w:div w:id="1449665319">
              <w:marLeft w:val="0"/>
              <w:marRight w:val="0"/>
              <w:marTop w:val="0"/>
              <w:marBottom w:val="0"/>
              <w:divBdr>
                <w:top w:val="none" w:sz="0" w:space="0" w:color="auto"/>
                <w:left w:val="none" w:sz="0" w:space="0" w:color="auto"/>
                <w:bottom w:val="none" w:sz="0" w:space="0" w:color="auto"/>
                <w:right w:val="none" w:sz="0" w:space="0" w:color="auto"/>
              </w:divBdr>
              <w:divsChild>
                <w:div w:id="272783071">
                  <w:marLeft w:val="0"/>
                  <w:marRight w:val="0"/>
                  <w:marTop w:val="0"/>
                  <w:marBottom w:val="0"/>
                  <w:divBdr>
                    <w:top w:val="none" w:sz="0" w:space="0" w:color="auto"/>
                    <w:left w:val="none" w:sz="0" w:space="0" w:color="auto"/>
                    <w:bottom w:val="none" w:sz="0" w:space="0" w:color="auto"/>
                    <w:right w:val="none" w:sz="0" w:space="0" w:color="auto"/>
                  </w:divBdr>
                  <w:divsChild>
                    <w:div w:id="18505952">
                      <w:marLeft w:val="0"/>
                      <w:marRight w:val="0"/>
                      <w:marTop w:val="0"/>
                      <w:marBottom w:val="0"/>
                      <w:divBdr>
                        <w:top w:val="none" w:sz="0" w:space="0" w:color="auto"/>
                        <w:left w:val="none" w:sz="0" w:space="0" w:color="auto"/>
                        <w:bottom w:val="none" w:sz="0" w:space="0" w:color="auto"/>
                        <w:right w:val="none" w:sz="0" w:space="0" w:color="auto"/>
                      </w:divBdr>
                      <w:divsChild>
                        <w:div w:id="577178625">
                          <w:marLeft w:val="0"/>
                          <w:marRight w:val="0"/>
                          <w:marTop w:val="0"/>
                          <w:marBottom w:val="0"/>
                          <w:divBdr>
                            <w:top w:val="none" w:sz="0" w:space="0" w:color="auto"/>
                            <w:left w:val="none" w:sz="0" w:space="0" w:color="auto"/>
                            <w:bottom w:val="none" w:sz="0" w:space="0" w:color="auto"/>
                            <w:right w:val="none" w:sz="0" w:space="0" w:color="auto"/>
                          </w:divBdr>
                          <w:divsChild>
                            <w:div w:id="1792047210">
                              <w:marLeft w:val="0"/>
                              <w:marRight w:val="0"/>
                              <w:marTop w:val="0"/>
                              <w:marBottom w:val="0"/>
                              <w:divBdr>
                                <w:top w:val="none" w:sz="0" w:space="0" w:color="auto"/>
                                <w:left w:val="none" w:sz="0" w:space="0" w:color="auto"/>
                                <w:bottom w:val="none" w:sz="0" w:space="0" w:color="auto"/>
                                <w:right w:val="none" w:sz="0" w:space="0" w:color="auto"/>
                              </w:divBdr>
                              <w:divsChild>
                                <w:div w:id="68357567">
                                  <w:marLeft w:val="0"/>
                                  <w:marRight w:val="0"/>
                                  <w:marTop w:val="0"/>
                                  <w:marBottom w:val="0"/>
                                  <w:divBdr>
                                    <w:top w:val="none" w:sz="0" w:space="0" w:color="auto"/>
                                    <w:left w:val="none" w:sz="0" w:space="0" w:color="auto"/>
                                    <w:bottom w:val="none" w:sz="0" w:space="0" w:color="auto"/>
                                    <w:right w:val="none" w:sz="0" w:space="0" w:color="auto"/>
                                  </w:divBdr>
                                  <w:divsChild>
                                    <w:div w:id="503134662">
                                      <w:marLeft w:val="0"/>
                                      <w:marRight w:val="0"/>
                                      <w:marTop w:val="0"/>
                                      <w:marBottom w:val="0"/>
                                      <w:divBdr>
                                        <w:top w:val="none" w:sz="0" w:space="0" w:color="auto"/>
                                        <w:left w:val="none" w:sz="0" w:space="0" w:color="auto"/>
                                        <w:bottom w:val="none" w:sz="0" w:space="0" w:color="auto"/>
                                        <w:right w:val="none" w:sz="0" w:space="0" w:color="auto"/>
                                      </w:divBdr>
                                      <w:divsChild>
                                        <w:div w:id="398752524">
                                          <w:marLeft w:val="0"/>
                                          <w:marRight w:val="0"/>
                                          <w:marTop w:val="0"/>
                                          <w:marBottom w:val="0"/>
                                          <w:divBdr>
                                            <w:top w:val="none" w:sz="0" w:space="0" w:color="auto"/>
                                            <w:left w:val="none" w:sz="0" w:space="0" w:color="auto"/>
                                            <w:bottom w:val="none" w:sz="0" w:space="0" w:color="auto"/>
                                            <w:right w:val="none" w:sz="0" w:space="0" w:color="auto"/>
                                          </w:divBdr>
                                          <w:divsChild>
                                            <w:div w:id="1856115861">
                                              <w:marLeft w:val="0"/>
                                              <w:marRight w:val="0"/>
                                              <w:marTop w:val="0"/>
                                              <w:marBottom w:val="0"/>
                                              <w:divBdr>
                                                <w:top w:val="none" w:sz="0" w:space="0" w:color="auto"/>
                                                <w:left w:val="none" w:sz="0" w:space="0" w:color="auto"/>
                                                <w:bottom w:val="none" w:sz="0" w:space="0" w:color="auto"/>
                                                <w:right w:val="none" w:sz="0" w:space="0" w:color="auto"/>
                                              </w:divBdr>
                                              <w:divsChild>
                                                <w:div w:id="276177875">
                                                  <w:marLeft w:val="0"/>
                                                  <w:marRight w:val="0"/>
                                                  <w:marTop w:val="0"/>
                                                  <w:marBottom w:val="0"/>
                                                  <w:divBdr>
                                                    <w:top w:val="none" w:sz="0" w:space="0" w:color="auto"/>
                                                    <w:left w:val="none" w:sz="0" w:space="0" w:color="auto"/>
                                                    <w:bottom w:val="none" w:sz="0" w:space="0" w:color="auto"/>
                                                    <w:right w:val="none" w:sz="0" w:space="0" w:color="auto"/>
                                                  </w:divBdr>
                                                  <w:divsChild>
                                                    <w:div w:id="1523741434">
                                                      <w:marLeft w:val="0"/>
                                                      <w:marRight w:val="0"/>
                                                      <w:marTop w:val="0"/>
                                                      <w:marBottom w:val="0"/>
                                                      <w:divBdr>
                                                        <w:top w:val="none" w:sz="0" w:space="0" w:color="auto"/>
                                                        <w:left w:val="none" w:sz="0" w:space="0" w:color="auto"/>
                                                        <w:bottom w:val="none" w:sz="0" w:space="0" w:color="auto"/>
                                                        <w:right w:val="none" w:sz="0" w:space="0" w:color="auto"/>
                                                      </w:divBdr>
                                                      <w:divsChild>
                                                        <w:div w:id="1818956760">
                                                          <w:marLeft w:val="0"/>
                                                          <w:marRight w:val="0"/>
                                                          <w:marTop w:val="0"/>
                                                          <w:marBottom w:val="0"/>
                                                          <w:divBdr>
                                                            <w:top w:val="none" w:sz="0" w:space="0" w:color="auto"/>
                                                            <w:left w:val="none" w:sz="0" w:space="0" w:color="auto"/>
                                                            <w:bottom w:val="none" w:sz="0" w:space="0" w:color="auto"/>
                                                            <w:right w:val="none" w:sz="0" w:space="0" w:color="auto"/>
                                                          </w:divBdr>
                                                        </w:div>
                                                      </w:divsChild>
                                                    </w:div>
                                                    <w:div w:id="17706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1312819">
      <w:bodyDiv w:val="1"/>
      <w:marLeft w:val="0"/>
      <w:marRight w:val="0"/>
      <w:marTop w:val="0"/>
      <w:marBottom w:val="0"/>
      <w:divBdr>
        <w:top w:val="none" w:sz="0" w:space="0" w:color="auto"/>
        <w:left w:val="none" w:sz="0" w:space="0" w:color="auto"/>
        <w:bottom w:val="none" w:sz="0" w:space="0" w:color="auto"/>
        <w:right w:val="none" w:sz="0" w:space="0" w:color="auto"/>
      </w:divBdr>
    </w:div>
    <w:div w:id="229735043">
      <w:bodyDiv w:val="1"/>
      <w:marLeft w:val="0"/>
      <w:marRight w:val="0"/>
      <w:marTop w:val="0"/>
      <w:marBottom w:val="0"/>
      <w:divBdr>
        <w:top w:val="none" w:sz="0" w:space="0" w:color="auto"/>
        <w:left w:val="none" w:sz="0" w:space="0" w:color="auto"/>
        <w:bottom w:val="none" w:sz="0" w:space="0" w:color="auto"/>
        <w:right w:val="none" w:sz="0" w:space="0" w:color="auto"/>
      </w:divBdr>
    </w:div>
    <w:div w:id="240066282">
      <w:bodyDiv w:val="1"/>
      <w:marLeft w:val="0"/>
      <w:marRight w:val="0"/>
      <w:marTop w:val="0"/>
      <w:marBottom w:val="0"/>
      <w:divBdr>
        <w:top w:val="none" w:sz="0" w:space="0" w:color="auto"/>
        <w:left w:val="none" w:sz="0" w:space="0" w:color="auto"/>
        <w:bottom w:val="none" w:sz="0" w:space="0" w:color="auto"/>
        <w:right w:val="none" w:sz="0" w:space="0" w:color="auto"/>
      </w:divBdr>
      <w:divsChild>
        <w:div w:id="459882443">
          <w:marLeft w:val="547"/>
          <w:marRight w:val="0"/>
          <w:marTop w:val="0"/>
          <w:marBottom w:val="0"/>
          <w:divBdr>
            <w:top w:val="none" w:sz="0" w:space="0" w:color="auto"/>
            <w:left w:val="none" w:sz="0" w:space="0" w:color="auto"/>
            <w:bottom w:val="none" w:sz="0" w:space="0" w:color="auto"/>
            <w:right w:val="none" w:sz="0" w:space="0" w:color="auto"/>
          </w:divBdr>
        </w:div>
        <w:div w:id="77216638">
          <w:marLeft w:val="547"/>
          <w:marRight w:val="0"/>
          <w:marTop w:val="0"/>
          <w:marBottom w:val="0"/>
          <w:divBdr>
            <w:top w:val="none" w:sz="0" w:space="0" w:color="auto"/>
            <w:left w:val="none" w:sz="0" w:space="0" w:color="auto"/>
            <w:bottom w:val="none" w:sz="0" w:space="0" w:color="auto"/>
            <w:right w:val="none" w:sz="0" w:space="0" w:color="auto"/>
          </w:divBdr>
        </w:div>
        <w:div w:id="1234699337">
          <w:marLeft w:val="547"/>
          <w:marRight w:val="0"/>
          <w:marTop w:val="0"/>
          <w:marBottom w:val="0"/>
          <w:divBdr>
            <w:top w:val="none" w:sz="0" w:space="0" w:color="auto"/>
            <w:left w:val="none" w:sz="0" w:space="0" w:color="auto"/>
            <w:bottom w:val="none" w:sz="0" w:space="0" w:color="auto"/>
            <w:right w:val="none" w:sz="0" w:space="0" w:color="auto"/>
          </w:divBdr>
        </w:div>
        <w:div w:id="875041206">
          <w:marLeft w:val="547"/>
          <w:marRight w:val="0"/>
          <w:marTop w:val="0"/>
          <w:marBottom w:val="0"/>
          <w:divBdr>
            <w:top w:val="none" w:sz="0" w:space="0" w:color="auto"/>
            <w:left w:val="none" w:sz="0" w:space="0" w:color="auto"/>
            <w:bottom w:val="none" w:sz="0" w:space="0" w:color="auto"/>
            <w:right w:val="none" w:sz="0" w:space="0" w:color="auto"/>
          </w:divBdr>
        </w:div>
        <w:div w:id="1512836155">
          <w:marLeft w:val="547"/>
          <w:marRight w:val="0"/>
          <w:marTop w:val="0"/>
          <w:marBottom w:val="0"/>
          <w:divBdr>
            <w:top w:val="none" w:sz="0" w:space="0" w:color="auto"/>
            <w:left w:val="none" w:sz="0" w:space="0" w:color="auto"/>
            <w:bottom w:val="none" w:sz="0" w:space="0" w:color="auto"/>
            <w:right w:val="none" w:sz="0" w:space="0" w:color="auto"/>
          </w:divBdr>
        </w:div>
        <w:div w:id="1911843728">
          <w:marLeft w:val="547"/>
          <w:marRight w:val="0"/>
          <w:marTop w:val="0"/>
          <w:marBottom w:val="0"/>
          <w:divBdr>
            <w:top w:val="none" w:sz="0" w:space="0" w:color="auto"/>
            <w:left w:val="none" w:sz="0" w:space="0" w:color="auto"/>
            <w:bottom w:val="none" w:sz="0" w:space="0" w:color="auto"/>
            <w:right w:val="none" w:sz="0" w:space="0" w:color="auto"/>
          </w:divBdr>
        </w:div>
      </w:divsChild>
    </w:div>
    <w:div w:id="270672358">
      <w:bodyDiv w:val="1"/>
      <w:marLeft w:val="0"/>
      <w:marRight w:val="0"/>
      <w:marTop w:val="0"/>
      <w:marBottom w:val="0"/>
      <w:divBdr>
        <w:top w:val="none" w:sz="0" w:space="0" w:color="auto"/>
        <w:left w:val="none" w:sz="0" w:space="0" w:color="auto"/>
        <w:bottom w:val="none" w:sz="0" w:space="0" w:color="auto"/>
        <w:right w:val="none" w:sz="0" w:space="0" w:color="auto"/>
      </w:divBdr>
    </w:div>
    <w:div w:id="358822440">
      <w:bodyDiv w:val="1"/>
      <w:marLeft w:val="0"/>
      <w:marRight w:val="0"/>
      <w:marTop w:val="0"/>
      <w:marBottom w:val="0"/>
      <w:divBdr>
        <w:top w:val="none" w:sz="0" w:space="0" w:color="auto"/>
        <w:left w:val="none" w:sz="0" w:space="0" w:color="auto"/>
        <w:bottom w:val="none" w:sz="0" w:space="0" w:color="auto"/>
        <w:right w:val="none" w:sz="0" w:space="0" w:color="auto"/>
      </w:divBdr>
    </w:div>
    <w:div w:id="451099681">
      <w:bodyDiv w:val="1"/>
      <w:marLeft w:val="0"/>
      <w:marRight w:val="0"/>
      <w:marTop w:val="0"/>
      <w:marBottom w:val="0"/>
      <w:divBdr>
        <w:top w:val="none" w:sz="0" w:space="0" w:color="auto"/>
        <w:left w:val="none" w:sz="0" w:space="0" w:color="auto"/>
        <w:bottom w:val="none" w:sz="0" w:space="0" w:color="auto"/>
        <w:right w:val="none" w:sz="0" w:space="0" w:color="auto"/>
      </w:divBdr>
    </w:div>
    <w:div w:id="483668221">
      <w:bodyDiv w:val="1"/>
      <w:marLeft w:val="0"/>
      <w:marRight w:val="0"/>
      <w:marTop w:val="0"/>
      <w:marBottom w:val="0"/>
      <w:divBdr>
        <w:top w:val="none" w:sz="0" w:space="0" w:color="auto"/>
        <w:left w:val="none" w:sz="0" w:space="0" w:color="auto"/>
        <w:bottom w:val="none" w:sz="0" w:space="0" w:color="auto"/>
        <w:right w:val="none" w:sz="0" w:space="0" w:color="auto"/>
      </w:divBdr>
    </w:div>
    <w:div w:id="605961822">
      <w:bodyDiv w:val="1"/>
      <w:marLeft w:val="0"/>
      <w:marRight w:val="0"/>
      <w:marTop w:val="0"/>
      <w:marBottom w:val="0"/>
      <w:divBdr>
        <w:top w:val="none" w:sz="0" w:space="0" w:color="auto"/>
        <w:left w:val="none" w:sz="0" w:space="0" w:color="auto"/>
        <w:bottom w:val="none" w:sz="0" w:space="0" w:color="auto"/>
        <w:right w:val="none" w:sz="0" w:space="0" w:color="auto"/>
      </w:divBdr>
    </w:div>
    <w:div w:id="607351984">
      <w:bodyDiv w:val="1"/>
      <w:marLeft w:val="0"/>
      <w:marRight w:val="0"/>
      <w:marTop w:val="0"/>
      <w:marBottom w:val="0"/>
      <w:divBdr>
        <w:top w:val="none" w:sz="0" w:space="0" w:color="auto"/>
        <w:left w:val="none" w:sz="0" w:space="0" w:color="auto"/>
        <w:bottom w:val="none" w:sz="0" w:space="0" w:color="auto"/>
        <w:right w:val="none" w:sz="0" w:space="0" w:color="auto"/>
      </w:divBdr>
    </w:div>
    <w:div w:id="670377857">
      <w:bodyDiv w:val="1"/>
      <w:marLeft w:val="0"/>
      <w:marRight w:val="0"/>
      <w:marTop w:val="0"/>
      <w:marBottom w:val="0"/>
      <w:divBdr>
        <w:top w:val="none" w:sz="0" w:space="0" w:color="auto"/>
        <w:left w:val="none" w:sz="0" w:space="0" w:color="auto"/>
        <w:bottom w:val="none" w:sz="0" w:space="0" w:color="auto"/>
        <w:right w:val="none" w:sz="0" w:space="0" w:color="auto"/>
      </w:divBdr>
      <w:divsChild>
        <w:div w:id="625703070">
          <w:marLeft w:val="547"/>
          <w:marRight w:val="0"/>
          <w:marTop w:val="0"/>
          <w:marBottom w:val="0"/>
          <w:divBdr>
            <w:top w:val="none" w:sz="0" w:space="0" w:color="auto"/>
            <w:left w:val="none" w:sz="0" w:space="0" w:color="auto"/>
            <w:bottom w:val="none" w:sz="0" w:space="0" w:color="auto"/>
            <w:right w:val="none" w:sz="0" w:space="0" w:color="auto"/>
          </w:divBdr>
        </w:div>
        <w:div w:id="1126000379">
          <w:marLeft w:val="547"/>
          <w:marRight w:val="0"/>
          <w:marTop w:val="0"/>
          <w:marBottom w:val="0"/>
          <w:divBdr>
            <w:top w:val="none" w:sz="0" w:space="0" w:color="auto"/>
            <w:left w:val="none" w:sz="0" w:space="0" w:color="auto"/>
            <w:bottom w:val="none" w:sz="0" w:space="0" w:color="auto"/>
            <w:right w:val="none" w:sz="0" w:space="0" w:color="auto"/>
          </w:divBdr>
        </w:div>
        <w:div w:id="81144366">
          <w:marLeft w:val="547"/>
          <w:marRight w:val="0"/>
          <w:marTop w:val="0"/>
          <w:marBottom w:val="0"/>
          <w:divBdr>
            <w:top w:val="none" w:sz="0" w:space="0" w:color="auto"/>
            <w:left w:val="none" w:sz="0" w:space="0" w:color="auto"/>
            <w:bottom w:val="none" w:sz="0" w:space="0" w:color="auto"/>
            <w:right w:val="none" w:sz="0" w:space="0" w:color="auto"/>
          </w:divBdr>
        </w:div>
        <w:div w:id="2110542136">
          <w:marLeft w:val="547"/>
          <w:marRight w:val="0"/>
          <w:marTop w:val="0"/>
          <w:marBottom w:val="0"/>
          <w:divBdr>
            <w:top w:val="none" w:sz="0" w:space="0" w:color="auto"/>
            <w:left w:val="none" w:sz="0" w:space="0" w:color="auto"/>
            <w:bottom w:val="none" w:sz="0" w:space="0" w:color="auto"/>
            <w:right w:val="none" w:sz="0" w:space="0" w:color="auto"/>
          </w:divBdr>
        </w:div>
        <w:div w:id="2056276552">
          <w:marLeft w:val="547"/>
          <w:marRight w:val="0"/>
          <w:marTop w:val="0"/>
          <w:marBottom w:val="0"/>
          <w:divBdr>
            <w:top w:val="none" w:sz="0" w:space="0" w:color="auto"/>
            <w:left w:val="none" w:sz="0" w:space="0" w:color="auto"/>
            <w:bottom w:val="none" w:sz="0" w:space="0" w:color="auto"/>
            <w:right w:val="none" w:sz="0" w:space="0" w:color="auto"/>
          </w:divBdr>
        </w:div>
        <w:div w:id="43332669">
          <w:marLeft w:val="547"/>
          <w:marRight w:val="0"/>
          <w:marTop w:val="0"/>
          <w:marBottom w:val="0"/>
          <w:divBdr>
            <w:top w:val="none" w:sz="0" w:space="0" w:color="auto"/>
            <w:left w:val="none" w:sz="0" w:space="0" w:color="auto"/>
            <w:bottom w:val="none" w:sz="0" w:space="0" w:color="auto"/>
            <w:right w:val="none" w:sz="0" w:space="0" w:color="auto"/>
          </w:divBdr>
        </w:div>
      </w:divsChild>
    </w:div>
    <w:div w:id="865096471">
      <w:bodyDiv w:val="1"/>
      <w:marLeft w:val="0"/>
      <w:marRight w:val="0"/>
      <w:marTop w:val="0"/>
      <w:marBottom w:val="0"/>
      <w:divBdr>
        <w:top w:val="none" w:sz="0" w:space="0" w:color="auto"/>
        <w:left w:val="none" w:sz="0" w:space="0" w:color="auto"/>
        <w:bottom w:val="none" w:sz="0" w:space="0" w:color="auto"/>
        <w:right w:val="none" w:sz="0" w:space="0" w:color="auto"/>
      </w:divBdr>
    </w:div>
    <w:div w:id="900023557">
      <w:bodyDiv w:val="1"/>
      <w:marLeft w:val="0"/>
      <w:marRight w:val="0"/>
      <w:marTop w:val="0"/>
      <w:marBottom w:val="0"/>
      <w:divBdr>
        <w:top w:val="none" w:sz="0" w:space="0" w:color="auto"/>
        <w:left w:val="none" w:sz="0" w:space="0" w:color="auto"/>
        <w:bottom w:val="none" w:sz="0" w:space="0" w:color="auto"/>
        <w:right w:val="none" w:sz="0" w:space="0" w:color="auto"/>
      </w:divBdr>
      <w:divsChild>
        <w:div w:id="844633184">
          <w:marLeft w:val="0"/>
          <w:marRight w:val="0"/>
          <w:marTop w:val="0"/>
          <w:marBottom w:val="0"/>
          <w:divBdr>
            <w:top w:val="none" w:sz="0" w:space="0" w:color="auto"/>
            <w:left w:val="none" w:sz="0" w:space="0" w:color="auto"/>
            <w:bottom w:val="none" w:sz="0" w:space="0" w:color="auto"/>
            <w:right w:val="none" w:sz="0" w:space="0" w:color="auto"/>
          </w:divBdr>
        </w:div>
      </w:divsChild>
    </w:div>
    <w:div w:id="1021199662">
      <w:bodyDiv w:val="1"/>
      <w:marLeft w:val="0"/>
      <w:marRight w:val="0"/>
      <w:marTop w:val="0"/>
      <w:marBottom w:val="0"/>
      <w:divBdr>
        <w:top w:val="none" w:sz="0" w:space="0" w:color="auto"/>
        <w:left w:val="none" w:sz="0" w:space="0" w:color="auto"/>
        <w:bottom w:val="none" w:sz="0" w:space="0" w:color="auto"/>
        <w:right w:val="none" w:sz="0" w:space="0" w:color="auto"/>
      </w:divBdr>
    </w:div>
    <w:div w:id="1038891422">
      <w:bodyDiv w:val="1"/>
      <w:marLeft w:val="0"/>
      <w:marRight w:val="0"/>
      <w:marTop w:val="0"/>
      <w:marBottom w:val="0"/>
      <w:divBdr>
        <w:top w:val="none" w:sz="0" w:space="0" w:color="auto"/>
        <w:left w:val="none" w:sz="0" w:space="0" w:color="auto"/>
        <w:bottom w:val="none" w:sz="0" w:space="0" w:color="auto"/>
        <w:right w:val="none" w:sz="0" w:space="0" w:color="auto"/>
      </w:divBdr>
    </w:div>
    <w:div w:id="1099524250">
      <w:bodyDiv w:val="1"/>
      <w:marLeft w:val="0"/>
      <w:marRight w:val="0"/>
      <w:marTop w:val="0"/>
      <w:marBottom w:val="0"/>
      <w:divBdr>
        <w:top w:val="none" w:sz="0" w:space="0" w:color="auto"/>
        <w:left w:val="none" w:sz="0" w:space="0" w:color="auto"/>
        <w:bottom w:val="none" w:sz="0" w:space="0" w:color="auto"/>
        <w:right w:val="none" w:sz="0" w:space="0" w:color="auto"/>
      </w:divBdr>
    </w:div>
    <w:div w:id="1115490282">
      <w:bodyDiv w:val="1"/>
      <w:marLeft w:val="0"/>
      <w:marRight w:val="0"/>
      <w:marTop w:val="0"/>
      <w:marBottom w:val="0"/>
      <w:divBdr>
        <w:top w:val="none" w:sz="0" w:space="0" w:color="auto"/>
        <w:left w:val="none" w:sz="0" w:space="0" w:color="auto"/>
        <w:bottom w:val="none" w:sz="0" w:space="0" w:color="auto"/>
        <w:right w:val="none" w:sz="0" w:space="0" w:color="auto"/>
      </w:divBdr>
    </w:div>
    <w:div w:id="1144853737">
      <w:bodyDiv w:val="1"/>
      <w:marLeft w:val="0"/>
      <w:marRight w:val="0"/>
      <w:marTop w:val="0"/>
      <w:marBottom w:val="0"/>
      <w:divBdr>
        <w:top w:val="none" w:sz="0" w:space="0" w:color="auto"/>
        <w:left w:val="none" w:sz="0" w:space="0" w:color="auto"/>
        <w:bottom w:val="none" w:sz="0" w:space="0" w:color="auto"/>
        <w:right w:val="none" w:sz="0" w:space="0" w:color="auto"/>
      </w:divBdr>
      <w:divsChild>
        <w:div w:id="1333606052">
          <w:marLeft w:val="0"/>
          <w:marRight w:val="0"/>
          <w:marTop w:val="0"/>
          <w:marBottom w:val="0"/>
          <w:divBdr>
            <w:top w:val="none" w:sz="0" w:space="0" w:color="auto"/>
            <w:left w:val="none" w:sz="0" w:space="0" w:color="auto"/>
            <w:bottom w:val="none" w:sz="0" w:space="0" w:color="auto"/>
            <w:right w:val="none" w:sz="0" w:space="0" w:color="auto"/>
          </w:divBdr>
          <w:divsChild>
            <w:div w:id="1780565983">
              <w:marLeft w:val="0"/>
              <w:marRight w:val="0"/>
              <w:marTop w:val="0"/>
              <w:marBottom w:val="0"/>
              <w:divBdr>
                <w:top w:val="none" w:sz="0" w:space="0" w:color="auto"/>
                <w:left w:val="none" w:sz="0" w:space="0" w:color="auto"/>
                <w:bottom w:val="none" w:sz="0" w:space="0" w:color="auto"/>
                <w:right w:val="none" w:sz="0" w:space="0" w:color="auto"/>
              </w:divBdr>
              <w:divsChild>
                <w:div w:id="1022587341">
                  <w:marLeft w:val="0"/>
                  <w:marRight w:val="0"/>
                  <w:marTop w:val="0"/>
                  <w:marBottom w:val="0"/>
                  <w:divBdr>
                    <w:top w:val="none" w:sz="0" w:space="0" w:color="auto"/>
                    <w:left w:val="none" w:sz="0" w:space="0" w:color="auto"/>
                    <w:bottom w:val="none" w:sz="0" w:space="0" w:color="auto"/>
                    <w:right w:val="none" w:sz="0" w:space="0" w:color="auto"/>
                  </w:divBdr>
                  <w:divsChild>
                    <w:div w:id="1106388976">
                      <w:marLeft w:val="750"/>
                      <w:marRight w:val="450"/>
                      <w:marTop w:val="0"/>
                      <w:marBottom w:val="0"/>
                      <w:divBdr>
                        <w:top w:val="none" w:sz="0" w:space="0" w:color="auto"/>
                        <w:left w:val="none" w:sz="0" w:space="0" w:color="auto"/>
                        <w:bottom w:val="none" w:sz="0" w:space="0" w:color="auto"/>
                        <w:right w:val="none" w:sz="0" w:space="0" w:color="auto"/>
                      </w:divBdr>
                      <w:divsChild>
                        <w:div w:id="1120421411">
                          <w:marLeft w:val="0"/>
                          <w:marRight w:val="0"/>
                          <w:marTop w:val="0"/>
                          <w:marBottom w:val="0"/>
                          <w:divBdr>
                            <w:top w:val="none" w:sz="0" w:space="0" w:color="auto"/>
                            <w:left w:val="none" w:sz="0" w:space="0" w:color="auto"/>
                            <w:bottom w:val="none" w:sz="0" w:space="0" w:color="auto"/>
                            <w:right w:val="none" w:sz="0" w:space="0" w:color="auto"/>
                          </w:divBdr>
                          <w:divsChild>
                            <w:div w:id="601646769">
                              <w:marLeft w:val="0"/>
                              <w:marRight w:val="0"/>
                              <w:marTop w:val="0"/>
                              <w:marBottom w:val="0"/>
                              <w:divBdr>
                                <w:top w:val="none" w:sz="0" w:space="0" w:color="auto"/>
                                <w:left w:val="none" w:sz="0" w:space="0" w:color="auto"/>
                                <w:bottom w:val="none" w:sz="0" w:space="0" w:color="auto"/>
                                <w:right w:val="none" w:sz="0" w:space="0" w:color="auto"/>
                              </w:divBdr>
                              <w:divsChild>
                                <w:div w:id="552619778">
                                  <w:marLeft w:val="0"/>
                                  <w:marRight w:val="0"/>
                                  <w:marTop w:val="0"/>
                                  <w:marBottom w:val="0"/>
                                  <w:divBdr>
                                    <w:top w:val="none" w:sz="0" w:space="0" w:color="auto"/>
                                    <w:left w:val="none" w:sz="0" w:space="0" w:color="auto"/>
                                    <w:bottom w:val="none" w:sz="0" w:space="0" w:color="auto"/>
                                    <w:right w:val="none" w:sz="0" w:space="0" w:color="auto"/>
                                  </w:divBdr>
                                  <w:divsChild>
                                    <w:div w:id="1362628323">
                                      <w:marLeft w:val="0"/>
                                      <w:marRight w:val="0"/>
                                      <w:marTop w:val="0"/>
                                      <w:marBottom w:val="0"/>
                                      <w:divBdr>
                                        <w:top w:val="none" w:sz="0" w:space="0" w:color="auto"/>
                                        <w:left w:val="none" w:sz="0" w:space="0" w:color="auto"/>
                                        <w:bottom w:val="none" w:sz="0" w:space="0" w:color="auto"/>
                                        <w:right w:val="none" w:sz="0" w:space="0" w:color="auto"/>
                                      </w:divBdr>
                                      <w:divsChild>
                                        <w:div w:id="77752089">
                                          <w:marLeft w:val="0"/>
                                          <w:marRight w:val="0"/>
                                          <w:marTop w:val="0"/>
                                          <w:marBottom w:val="0"/>
                                          <w:divBdr>
                                            <w:top w:val="none" w:sz="0" w:space="0" w:color="auto"/>
                                            <w:left w:val="none" w:sz="0" w:space="0" w:color="auto"/>
                                            <w:bottom w:val="none" w:sz="0" w:space="0" w:color="auto"/>
                                            <w:right w:val="none" w:sz="0" w:space="0" w:color="auto"/>
                                          </w:divBdr>
                                          <w:divsChild>
                                            <w:div w:id="629356888">
                                              <w:marLeft w:val="0"/>
                                              <w:marRight w:val="0"/>
                                              <w:marTop w:val="0"/>
                                              <w:marBottom w:val="0"/>
                                              <w:divBdr>
                                                <w:top w:val="none" w:sz="0" w:space="0" w:color="auto"/>
                                                <w:left w:val="none" w:sz="0" w:space="0" w:color="auto"/>
                                                <w:bottom w:val="none" w:sz="0" w:space="0" w:color="auto"/>
                                                <w:right w:val="none" w:sz="0" w:space="0" w:color="auto"/>
                                              </w:divBdr>
                                              <w:divsChild>
                                                <w:div w:id="995033370">
                                                  <w:marLeft w:val="0"/>
                                                  <w:marRight w:val="0"/>
                                                  <w:marTop w:val="0"/>
                                                  <w:marBottom w:val="0"/>
                                                  <w:divBdr>
                                                    <w:top w:val="none" w:sz="0" w:space="0" w:color="auto"/>
                                                    <w:left w:val="none" w:sz="0" w:space="0" w:color="auto"/>
                                                    <w:bottom w:val="none" w:sz="0" w:space="0" w:color="auto"/>
                                                    <w:right w:val="none" w:sz="0" w:space="0" w:color="auto"/>
                                                  </w:divBdr>
                                                </w:div>
                                                <w:div w:id="139605408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35644630">
      <w:bodyDiv w:val="1"/>
      <w:marLeft w:val="0"/>
      <w:marRight w:val="0"/>
      <w:marTop w:val="0"/>
      <w:marBottom w:val="0"/>
      <w:divBdr>
        <w:top w:val="none" w:sz="0" w:space="0" w:color="auto"/>
        <w:left w:val="none" w:sz="0" w:space="0" w:color="auto"/>
        <w:bottom w:val="none" w:sz="0" w:space="0" w:color="auto"/>
        <w:right w:val="none" w:sz="0" w:space="0" w:color="auto"/>
      </w:divBdr>
      <w:divsChild>
        <w:div w:id="33503745">
          <w:marLeft w:val="0"/>
          <w:marRight w:val="0"/>
          <w:marTop w:val="0"/>
          <w:marBottom w:val="0"/>
          <w:divBdr>
            <w:top w:val="none" w:sz="0" w:space="0" w:color="auto"/>
            <w:left w:val="none" w:sz="0" w:space="0" w:color="auto"/>
            <w:bottom w:val="none" w:sz="0" w:space="0" w:color="auto"/>
            <w:right w:val="none" w:sz="0" w:space="0" w:color="auto"/>
          </w:divBdr>
          <w:divsChild>
            <w:div w:id="1396048346">
              <w:marLeft w:val="0"/>
              <w:marRight w:val="0"/>
              <w:marTop w:val="0"/>
              <w:marBottom w:val="0"/>
              <w:divBdr>
                <w:top w:val="none" w:sz="0" w:space="0" w:color="auto"/>
                <w:left w:val="none" w:sz="0" w:space="0" w:color="auto"/>
                <w:bottom w:val="none" w:sz="0" w:space="0" w:color="auto"/>
                <w:right w:val="none" w:sz="0" w:space="0" w:color="auto"/>
              </w:divBdr>
              <w:divsChild>
                <w:div w:id="187721534">
                  <w:marLeft w:val="0"/>
                  <w:marRight w:val="0"/>
                  <w:marTop w:val="0"/>
                  <w:marBottom w:val="0"/>
                  <w:divBdr>
                    <w:top w:val="none" w:sz="0" w:space="0" w:color="auto"/>
                    <w:left w:val="none" w:sz="0" w:space="0" w:color="auto"/>
                    <w:bottom w:val="none" w:sz="0" w:space="0" w:color="auto"/>
                    <w:right w:val="none" w:sz="0" w:space="0" w:color="auto"/>
                  </w:divBdr>
                  <w:divsChild>
                    <w:div w:id="1414935289">
                      <w:marLeft w:val="0"/>
                      <w:marRight w:val="0"/>
                      <w:marTop w:val="0"/>
                      <w:marBottom w:val="0"/>
                      <w:divBdr>
                        <w:top w:val="none" w:sz="0" w:space="0" w:color="auto"/>
                        <w:left w:val="none" w:sz="0" w:space="0" w:color="auto"/>
                        <w:bottom w:val="none" w:sz="0" w:space="0" w:color="auto"/>
                        <w:right w:val="none" w:sz="0" w:space="0" w:color="auto"/>
                      </w:divBdr>
                      <w:divsChild>
                        <w:div w:id="163401435">
                          <w:marLeft w:val="0"/>
                          <w:marRight w:val="0"/>
                          <w:marTop w:val="0"/>
                          <w:marBottom w:val="0"/>
                          <w:divBdr>
                            <w:top w:val="none" w:sz="0" w:space="0" w:color="auto"/>
                            <w:left w:val="none" w:sz="0" w:space="0" w:color="auto"/>
                            <w:bottom w:val="none" w:sz="0" w:space="0" w:color="auto"/>
                            <w:right w:val="none" w:sz="0" w:space="0" w:color="auto"/>
                          </w:divBdr>
                          <w:divsChild>
                            <w:div w:id="1265770535">
                              <w:marLeft w:val="0"/>
                              <w:marRight w:val="0"/>
                              <w:marTop w:val="0"/>
                              <w:marBottom w:val="0"/>
                              <w:divBdr>
                                <w:top w:val="none" w:sz="0" w:space="0" w:color="auto"/>
                                <w:left w:val="none" w:sz="0" w:space="0" w:color="auto"/>
                                <w:bottom w:val="none" w:sz="0" w:space="0" w:color="auto"/>
                                <w:right w:val="none" w:sz="0" w:space="0" w:color="auto"/>
                              </w:divBdr>
                              <w:divsChild>
                                <w:div w:id="1146509417">
                                  <w:marLeft w:val="0"/>
                                  <w:marRight w:val="0"/>
                                  <w:marTop w:val="0"/>
                                  <w:marBottom w:val="0"/>
                                  <w:divBdr>
                                    <w:top w:val="none" w:sz="0" w:space="0" w:color="auto"/>
                                    <w:left w:val="none" w:sz="0" w:space="0" w:color="auto"/>
                                    <w:bottom w:val="none" w:sz="0" w:space="0" w:color="auto"/>
                                    <w:right w:val="none" w:sz="0" w:space="0" w:color="auto"/>
                                  </w:divBdr>
                                  <w:divsChild>
                                    <w:div w:id="1265112914">
                                      <w:marLeft w:val="0"/>
                                      <w:marRight w:val="0"/>
                                      <w:marTop w:val="0"/>
                                      <w:marBottom w:val="0"/>
                                      <w:divBdr>
                                        <w:top w:val="none" w:sz="0" w:space="0" w:color="auto"/>
                                        <w:left w:val="none" w:sz="0" w:space="0" w:color="auto"/>
                                        <w:bottom w:val="none" w:sz="0" w:space="0" w:color="auto"/>
                                        <w:right w:val="none" w:sz="0" w:space="0" w:color="auto"/>
                                      </w:divBdr>
                                      <w:divsChild>
                                        <w:div w:id="1687093577">
                                          <w:marLeft w:val="0"/>
                                          <w:marRight w:val="0"/>
                                          <w:marTop w:val="0"/>
                                          <w:marBottom w:val="0"/>
                                          <w:divBdr>
                                            <w:top w:val="none" w:sz="0" w:space="0" w:color="auto"/>
                                            <w:left w:val="none" w:sz="0" w:space="0" w:color="auto"/>
                                            <w:bottom w:val="none" w:sz="0" w:space="0" w:color="auto"/>
                                            <w:right w:val="none" w:sz="0" w:space="0" w:color="auto"/>
                                          </w:divBdr>
                                          <w:divsChild>
                                            <w:div w:id="853416461">
                                              <w:marLeft w:val="0"/>
                                              <w:marRight w:val="0"/>
                                              <w:marTop w:val="0"/>
                                              <w:marBottom w:val="0"/>
                                              <w:divBdr>
                                                <w:top w:val="none" w:sz="0" w:space="0" w:color="auto"/>
                                                <w:left w:val="none" w:sz="0" w:space="0" w:color="auto"/>
                                                <w:bottom w:val="none" w:sz="0" w:space="0" w:color="auto"/>
                                                <w:right w:val="none" w:sz="0" w:space="0" w:color="auto"/>
                                              </w:divBdr>
                                              <w:divsChild>
                                                <w:div w:id="18508305">
                                                  <w:marLeft w:val="0"/>
                                                  <w:marRight w:val="0"/>
                                                  <w:marTop w:val="0"/>
                                                  <w:marBottom w:val="0"/>
                                                  <w:divBdr>
                                                    <w:top w:val="none" w:sz="0" w:space="0" w:color="auto"/>
                                                    <w:left w:val="none" w:sz="0" w:space="0" w:color="auto"/>
                                                    <w:bottom w:val="none" w:sz="0" w:space="0" w:color="auto"/>
                                                    <w:right w:val="none" w:sz="0" w:space="0" w:color="auto"/>
                                                  </w:divBdr>
                                                  <w:divsChild>
                                                    <w:div w:id="695544772">
                                                      <w:marLeft w:val="0"/>
                                                      <w:marRight w:val="0"/>
                                                      <w:marTop w:val="0"/>
                                                      <w:marBottom w:val="0"/>
                                                      <w:divBdr>
                                                        <w:top w:val="none" w:sz="0" w:space="0" w:color="auto"/>
                                                        <w:left w:val="none" w:sz="0" w:space="0" w:color="auto"/>
                                                        <w:bottom w:val="none" w:sz="0" w:space="0" w:color="auto"/>
                                                        <w:right w:val="none" w:sz="0" w:space="0" w:color="auto"/>
                                                      </w:divBdr>
                                                      <w:divsChild>
                                                        <w:div w:id="1367828698">
                                                          <w:marLeft w:val="0"/>
                                                          <w:marRight w:val="0"/>
                                                          <w:marTop w:val="0"/>
                                                          <w:marBottom w:val="0"/>
                                                          <w:divBdr>
                                                            <w:top w:val="none" w:sz="0" w:space="0" w:color="auto"/>
                                                            <w:left w:val="none" w:sz="0" w:space="0" w:color="auto"/>
                                                            <w:bottom w:val="none" w:sz="0" w:space="0" w:color="auto"/>
                                                            <w:right w:val="none" w:sz="0" w:space="0" w:color="auto"/>
                                                          </w:divBdr>
                                                        </w:div>
                                                      </w:divsChild>
                                                    </w:div>
                                                    <w:div w:id="102571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4031515">
      <w:bodyDiv w:val="1"/>
      <w:marLeft w:val="0"/>
      <w:marRight w:val="0"/>
      <w:marTop w:val="0"/>
      <w:marBottom w:val="0"/>
      <w:divBdr>
        <w:top w:val="none" w:sz="0" w:space="0" w:color="auto"/>
        <w:left w:val="none" w:sz="0" w:space="0" w:color="auto"/>
        <w:bottom w:val="none" w:sz="0" w:space="0" w:color="auto"/>
        <w:right w:val="none" w:sz="0" w:space="0" w:color="auto"/>
      </w:divBdr>
    </w:div>
    <w:div w:id="1455951015">
      <w:bodyDiv w:val="1"/>
      <w:marLeft w:val="0"/>
      <w:marRight w:val="0"/>
      <w:marTop w:val="0"/>
      <w:marBottom w:val="0"/>
      <w:divBdr>
        <w:top w:val="none" w:sz="0" w:space="0" w:color="auto"/>
        <w:left w:val="none" w:sz="0" w:space="0" w:color="auto"/>
        <w:bottom w:val="none" w:sz="0" w:space="0" w:color="auto"/>
        <w:right w:val="none" w:sz="0" w:space="0" w:color="auto"/>
      </w:divBdr>
    </w:div>
    <w:div w:id="1527522313">
      <w:bodyDiv w:val="1"/>
      <w:marLeft w:val="0"/>
      <w:marRight w:val="0"/>
      <w:marTop w:val="0"/>
      <w:marBottom w:val="0"/>
      <w:divBdr>
        <w:top w:val="none" w:sz="0" w:space="0" w:color="auto"/>
        <w:left w:val="none" w:sz="0" w:space="0" w:color="auto"/>
        <w:bottom w:val="none" w:sz="0" w:space="0" w:color="auto"/>
        <w:right w:val="none" w:sz="0" w:space="0" w:color="auto"/>
      </w:divBdr>
    </w:div>
    <w:div w:id="1546604898">
      <w:bodyDiv w:val="1"/>
      <w:marLeft w:val="0"/>
      <w:marRight w:val="0"/>
      <w:marTop w:val="0"/>
      <w:marBottom w:val="0"/>
      <w:divBdr>
        <w:top w:val="none" w:sz="0" w:space="0" w:color="auto"/>
        <w:left w:val="none" w:sz="0" w:space="0" w:color="auto"/>
        <w:bottom w:val="none" w:sz="0" w:space="0" w:color="auto"/>
        <w:right w:val="none" w:sz="0" w:space="0" w:color="auto"/>
      </w:divBdr>
    </w:div>
    <w:div w:id="1665931339">
      <w:bodyDiv w:val="1"/>
      <w:marLeft w:val="0"/>
      <w:marRight w:val="0"/>
      <w:marTop w:val="0"/>
      <w:marBottom w:val="0"/>
      <w:divBdr>
        <w:top w:val="none" w:sz="0" w:space="0" w:color="auto"/>
        <w:left w:val="none" w:sz="0" w:space="0" w:color="auto"/>
        <w:bottom w:val="none" w:sz="0" w:space="0" w:color="auto"/>
        <w:right w:val="none" w:sz="0" w:space="0" w:color="auto"/>
      </w:divBdr>
      <w:divsChild>
        <w:div w:id="1525827028">
          <w:marLeft w:val="547"/>
          <w:marRight w:val="0"/>
          <w:marTop w:val="0"/>
          <w:marBottom w:val="0"/>
          <w:divBdr>
            <w:top w:val="none" w:sz="0" w:space="0" w:color="auto"/>
            <w:left w:val="none" w:sz="0" w:space="0" w:color="auto"/>
            <w:bottom w:val="none" w:sz="0" w:space="0" w:color="auto"/>
            <w:right w:val="none" w:sz="0" w:space="0" w:color="auto"/>
          </w:divBdr>
        </w:div>
        <w:div w:id="340812841">
          <w:marLeft w:val="547"/>
          <w:marRight w:val="0"/>
          <w:marTop w:val="0"/>
          <w:marBottom w:val="0"/>
          <w:divBdr>
            <w:top w:val="none" w:sz="0" w:space="0" w:color="auto"/>
            <w:left w:val="none" w:sz="0" w:space="0" w:color="auto"/>
            <w:bottom w:val="none" w:sz="0" w:space="0" w:color="auto"/>
            <w:right w:val="none" w:sz="0" w:space="0" w:color="auto"/>
          </w:divBdr>
        </w:div>
        <w:div w:id="1457486673">
          <w:marLeft w:val="547"/>
          <w:marRight w:val="0"/>
          <w:marTop w:val="0"/>
          <w:marBottom w:val="0"/>
          <w:divBdr>
            <w:top w:val="none" w:sz="0" w:space="0" w:color="auto"/>
            <w:left w:val="none" w:sz="0" w:space="0" w:color="auto"/>
            <w:bottom w:val="none" w:sz="0" w:space="0" w:color="auto"/>
            <w:right w:val="none" w:sz="0" w:space="0" w:color="auto"/>
          </w:divBdr>
        </w:div>
        <w:div w:id="396057734">
          <w:marLeft w:val="547"/>
          <w:marRight w:val="0"/>
          <w:marTop w:val="0"/>
          <w:marBottom w:val="0"/>
          <w:divBdr>
            <w:top w:val="none" w:sz="0" w:space="0" w:color="auto"/>
            <w:left w:val="none" w:sz="0" w:space="0" w:color="auto"/>
            <w:bottom w:val="none" w:sz="0" w:space="0" w:color="auto"/>
            <w:right w:val="none" w:sz="0" w:space="0" w:color="auto"/>
          </w:divBdr>
        </w:div>
        <w:div w:id="695737158">
          <w:marLeft w:val="547"/>
          <w:marRight w:val="0"/>
          <w:marTop w:val="0"/>
          <w:marBottom w:val="0"/>
          <w:divBdr>
            <w:top w:val="none" w:sz="0" w:space="0" w:color="auto"/>
            <w:left w:val="none" w:sz="0" w:space="0" w:color="auto"/>
            <w:bottom w:val="none" w:sz="0" w:space="0" w:color="auto"/>
            <w:right w:val="none" w:sz="0" w:space="0" w:color="auto"/>
          </w:divBdr>
        </w:div>
        <w:div w:id="1849175833">
          <w:marLeft w:val="547"/>
          <w:marRight w:val="0"/>
          <w:marTop w:val="0"/>
          <w:marBottom w:val="0"/>
          <w:divBdr>
            <w:top w:val="none" w:sz="0" w:space="0" w:color="auto"/>
            <w:left w:val="none" w:sz="0" w:space="0" w:color="auto"/>
            <w:bottom w:val="none" w:sz="0" w:space="0" w:color="auto"/>
            <w:right w:val="none" w:sz="0" w:space="0" w:color="auto"/>
          </w:divBdr>
        </w:div>
      </w:divsChild>
    </w:div>
    <w:div w:id="1720783689">
      <w:bodyDiv w:val="1"/>
      <w:marLeft w:val="0"/>
      <w:marRight w:val="0"/>
      <w:marTop w:val="0"/>
      <w:marBottom w:val="0"/>
      <w:divBdr>
        <w:top w:val="none" w:sz="0" w:space="0" w:color="auto"/>
        <w:left w:val="none" w:sz="0" w:space="0" w:color="auto"/>
        <w:bottom w:val="none" w:sz="0" w:space="0" w:color="auto"/>
        <w:right w:val="none" w:sz="0" w:space="0" w:color="auto"/>
      </w:divBdr>
      <w:divsChild>
        <w:div w:id="431433423">
          <w:marLeft w:val="547"/>
          <w:marRight w:val="0"/>
          <w:marTop w:val="0"/>
          <w:marBottom w:val="0"/>
          <w:divBdr>
            <w:top w:val="none" w:sz="0" w:space="0" w:color="auto"/>
            <w:left w:val="none" w:sz="0" w:space="0" w:color="auto"/>
            <w:bottom w:val="none" w:sz="0" w:space="0" w:color="auto"/>
            <w:right w:val="none" w:sz="0" w:space="0" w:color="auto"/>
          </w:divBdr>
        </w:div>
      </w:divsChild>
    </w:div>
    <w:div w:id="1731071572">
      <w:bodyDiv w:val="1"/>
      <w:marLeft w:val="0"/>
      <w:marRight w:val="0"/>
      <w:marTop w:val="0"/>
      <w:marBottom w:val="0"/>
      <w:divBdr>
        <w:top w:val="none" w:sz="0" w:space="0" w:color="auto"/>
        <w:left w:val="none" w:sz="0" w:space="0" w:color="auto"/>
        <w:bottom w:val="none" w:sz="0" w:space="0" w:color="auto"/>
        <w:right w:val="none" w:sz="0" w:space="0" w:color="auto"/>
      </w:divBdr>
    </w:div>
    <w:div w:id="1829206325">
      <w:bodyDiv w:val="1"/>
      <w:marLeft w:val="0"/>
      <w:marRight w:val="0"/>
      <w:marTop w:val="0"/>
      <w:marBottom w:val="0"/>
      <w:divBdr>
        <w:top w:val="none" w:sz="0" w:space="0" w:color="auto"/>
        <w:left w:val="none" w:sz="0" w:space="0" w:color="auto"/>
        <w:bottom w:val="none" w:sz="0" w:space="0" w:color="auto"/>
        <w:right w:val="none" w:sz="0" w:space="0" w:color="auto"/>
      </w:divBdr>
    </w:div>
    <w:div w:id="1857114193">
      <w:bodyDiv w:val="1"/>
      <w:marLeft w:val="0"/>
      <w:marRight w:val="0"/>
      <w:marTop w:val="0"/>
      <w:marBottom w:val="0"/>
      <w:divBdr>
        <w:top w:val="none" w:sz="0" w:space="0" w:color="auto"/>
        <w:left w:val="none" w:sz="0" w:space="0" w:color="auto"/>
        <w:bottom w:val="none" w:sz="0" w:space="0" w:color="auto"/>
        <w:right w:val="none" w:sz="0" w:space="0" w:color="auto"/>
      </w:divBdr>
      <w:divsChild>
        <w:div w:id="1005521830">
          <w:marLeft w:val="0"/>
          <w:marRight w:val="0"/>
          <w:marTop w:val="0"/>
          <w:marBottom w:val="0"/>
          <w:divBdr>
            <w:top w:val="none" w:sz="0" w:space="0" w:color="auto"/>
            <w:left w:val="none" w:sz="0" w:space="0" w:color="auto"/>
            <w:bottom w:val="none" w:sz="0" w:space="0" w:color="auto"/>
            <w:right w:val="none" w:sz="0" w:space="0" w:color="auto"/>
          </w:divBdr>
          <w:divsChild>
            <w:div w:id="368071867">
              <w:marLeft w:val="0"/>
              <w:marRight w:val="0"/>
              <w:marTop w:val="0"/>
              <w:marBottom w:val="0"/>
              <w:divBdr>
                <w:top w:val="none" w:sz="0" w:space="0" w:color="auto"/>
                <w:left w:val="none" w:sz="0" w:space="0" w:color="auto"/>
                <w:bottom w:val="none" w:sz="0" w:space="0" w:color="auto"/>
                <w:right w:val="none" w:sz="0" w:space="0" w:color="auto"/>
              </w:divBdr>
              <w:divsChild>
                <w:div w:id="1245263780">
                  <w:marLeft w:val="0"/>
                  <w:marRight w:val="0"/>
                  <w:marTop w:val="0"/>
                  <w:marBottom w:val="0"/>
                  <w:divBdr>
                    <w:top w:val="none" w:sz="0" w:space="0" w:color="auto"/>
                    <w:left w:val="none" w:sz="0" w:space="0" w:color="auto"/>
                    <w:bottom w:val="none" w:sz="0" w:space="0" w:color="auto"/>
                    <w:right w:val="none" w:sz="0" w:space="0" w:color="auto"/>
                  </w:divBdr>
                  <w:divsChild>
                    <w:div w:id="1196116806">
                      <w:marLeft w:val="0"/>
                      <w:marRight w:val="0"/>
                      <w:marTop w:val="0"/>
                      <w:marBottom w:val="0"/>
                      <w:divBdr>
                        <w:top w:val="none" w:sz="0" w:space="0" w:color="auto"/>
                        <w:left w:val="none" w:sz="0" w:space="0" w:color="auto"/>
                        <w:bottom w:val="none" w:sz="0" w:space="0" w:color="auto"/>
                        <w:right w:val="none" w:sz="0" w:space="0" w:color="auto"/>
                      </w:divBdr>
                      <w:divsChild>
                        <w:div w:id="533616721">
                          <w:marLeft w:val="0"/>
                          <w:marRight w:val="0"/>
                          <w:marTop w:val="0"/>
                          <w:marBottom w:val="0"/>
                          <w:divBdr>
                            <w:top w:val="none" w:sz="0" w:space="0" w:color="auto"/>
                            <w:left w:val="none" w:sz="0" w:space="0" w:color="auto"/>
                            <w:bottom w:val="none" w:sz="0" w:space="0" w:color="auto"/>
                            <w:right w:val="none" w:sz="0" w:space="0" w:color="auto"/>
                          </w:divBdr>
                          <w:divsChild>
                            <w:div w:id="1495295688">
                              <w:marLeft w:val="0"/>
                              <w:marRight w:val="0"/>
                              <w:marTop w:val="0"/>
                              <w:marBottom w:val="0"/>
                              <w:divBdr>
                                <w:top w:val="none" w:sz="0" w:space="0" w:color="auto"/>
                                <w:left w:val="none" w:sz="0" w:space="0" w:color="auto"/>
                                <w:bottom w:val="none" w:sz="0" w:space="0" w:color="auto"/>
                                <w:right w:val="none" w:sz="0" w:space="0" w:color="auto"/>
                              </w:divBdr>
                              <w:divsChild>
                                <w:div w:id="1106271231">
                                  <w:marLeft w:val="0"/>
                                  <w:marRight w:val="0"/>
                                  <w:marTop w:val="0"/>
                                  <w:marBottom w:val="0"/>
                                  <w:divBdr>
                                    <w:top w:val="none" w:sz="0" w:space="0" w:color="auto"/>
                                    <w:left w:val="none" w:sz="0" w:space="0" w:color="auto"/>
                                    <w:bottom w:val="none" w:sz="0" w:space="0" w:color="auto"/>
                                    <w:right w:val="none" w:sz="0" w:space="0" w:color="auto"/>
                                  </w:divBdr>
                                  <w:divsChild>
                                    <w:div w:id="1984190712">
                                      <w:marLeft w:val="0"/>
                                      <w:marRight w:val="0"/>
                                      <w:marTop w:val="0"/>
                                      <w:marBottom w:val="0"/>
                                      <w:divBdr>
                                        <w:top w:val="none" w:sz="0" w:space="0" w:color="auto"/>
                                        <w:left w:val="none" w:sz="0" w:space="0" w:color="auto"/>
                                        <w:bottom w:val="none" w:sz="0" w:space="0" w:color="auto"/>
                                        <w:right w:val="none" w:sz="0" w:space="0" w:color="auto"/>
                                      </w:divBdr>
                                      <w:divsChild>
                                        <w:div w:id="526135993">
                                          <w:marLeft w:val="0"/>
                                          <w:marRight w:val="0"/>
                                          <w:marTop w:val="0"/>
                                          <w:marBottom w:val="0"/>
                                          <w:divBdr>
                                            <w:top w:val="none" w:sz="0" w:space="0" w:color="auto"/>
                                            <w:left w:val="none" w:sz="0" w:space="0" w:color="auto"/>
                                            <w:bottom w:val="none" w:sz="0" w:space="0" w:color="auto"/>
                                            <w:right w:val="none" w:sz="0" w:space="0" w:color="auto"/>
                                          </w:divBdr>
                                          <w:divsChild>
                                            <w:div w:id="2086147845">
                                              <w:marLeft w:val="0"/>
                                              <w:marRight w:val="0"/>
                                              <w:marTop w:val="0"/>
                                              <w:marBottom w:val="0"/>
                                              <w:divBdr>
                                                <w:top w:val="none" w:sz="0" w:space="0" w:color="auto"/>
                                                <w:left w:val="none" w:sz="0" w:space="0" w:color="auto"/>
                                                <w:bottom w:val="none" w:sz="0" w:space="0" w:color="auto"/>
                                                <w:right w:val="none" w:sz="0" w:space="0" w:color="auto"/>
                                              </w:divBdr>
                                              <w:divsChild>
                                                <w:div w:id="1138113920">
                                                  <w:marLeft w:val="0"/>
                                                  <w:marRight w:val="0"/>
                                                  <w:marTop w:val="0"/>
                                                  <w:marBottom w:val="0"/>
                                                  <w:divBdr>
                                                    <w:top w:val="none" w:sz="0" w:space="0" w:color="auto"/>
                                                    <w:left w:val="none" w:sz="0" w:space="0" w:color="auto"/>
                                                    <w:bottom w:val="none" w:sz="0" w:space="0" w:color="auto"/>
                                                    <w:right w:val="none" w:sz="0" w:space="0" w:color="auto"/>
                                                  </w:divBdr>
                                                  <w:divsChild>
                                                    <w:div w:id="1143423751">
                                                      <w:marLeft w:val="0"/>
                                                      <w:marRight w:val="0"/>
                                                      <w:marTop w:val="0"/>
                                                      <w:marBottom w:val="0"/>
                                                      <w:divBdr>
                                                        <w:top w:val="none" w:sz="0" w:space="0" w:color="auto"/>
                                                        <w:left w:val="none" w:sz="0" w:space="0" w:color="auto"/>
                                                        <w:bottom w:val="none" w:sz="0" w:space="0" w:color="auto"/>
                                                        <w:right w:val="none" w:sz="0" w:space="0" w:color="auto"/>
                                                      </w:divBdr>
                                                    </w:div>
                                                    <w:div w:id="1358893659">
                                                      <w:marLeft w:val="0"/>
                                                      <w:marRight w:val="0"/>
                                                      <w:marTop w:val="0"/>
                                                      <w:marBottom w:val="0"/>
                                                      <w:divBdr>
                                                        <w:top w:val="none" w:sz="0" w:space="0" w:color="auto"/>
                                                        <w:left w:val="none" w:sz="0" w:space="0" w:color="auto"/>
                                                        <w:bottom w:val="none" w:sz="0" w:space="0" w:color="auto"/>
                                                        <w:right w:val="none" w:sz="0" w:space="0" w:color="auto"/>
                                                      </w:divBdr>
                                                      <w:divsChild>
                                                        <w:div w:id="19807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Colors" Target="diagrams/colors1.xm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diagramData" Target="diagrams/data1.xm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image" Target="media/image1.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1E46EC6-57B4-4B7F-BC5C-4C518199A8E5}" type="doc">
      <dgm:prSet loTypeId="urn:microsoft.com/office/officeart/2005/8/layout/hChevron3" loCatId="process" qsTypeId="urn:microsoft.com/office/officeart/2005/8/quickstyle/simple1" qsCatId="simple" csTypeId="urn:microsoft.com/office/officeart/2005/8/colors/accent1_2" csCatId="accent1" phldr="1"/>
      <dgm:spPr/>
    </dgm:pt>
    <dgm:pt modelId="{1CF11602-05C2-4784-A89A-3EB38E4BDAB1}">
      <dgm:prSet phldrT="[Text]" custT="1"/>
      <dgm:spPr>
        <a:solidFill>
          <a:srgbClr val="008272"/>
        </a:solidFill>
      </dgm:spPr>
      <dgm:t>
        <a:bodyPr tIns="91440" bIns="91440"/>
        <a:lstStyle/>
        <a:p>
          <a:pPr algn="l"/>
          <a:r>
            <a:rPr lang="en-US" sz="900" dirty="0">
              <a:latin typeface="Segoe UI" panose="020B0502040204020203" pitchFamily="34" charset="0"/>
              <a:cs typeface="Segoe UI" panose="020B0502040204020203" pitchFamily="34" charset="0"/>
            </a:rPr>
            <a:t>Kickoff</a:t>
          </a:r>
          <a:br>
            <a:rPr lang="en-US" sz="900" dirty="0">
              <a:latin typeface="Segoe UI" panose="020B0502040204020203" pitchFamily="34" charset="0"/>
              <a:cs typeface="Segoe UI" panose="020B0502040204020203" pitchFamily="34" charset="0"/>
            </a:rPr>
          </a:br>
          <a:endParaRPr lang="en-US" sz="900" dirty="0">
            <a:latin typeface="Segoe UI" panose="020B0502040204020203" pitchFamily="34" charset="0"/>
            <a:cs typeface="Segoe UI" panose="020B0502040204020203" pitchFamily="34" charset="0"/>
          </a:endParaRPr>
        </a:p>
        <a:p>
          <a:pPr algn="l"/>
          <a:r>
            <a:rPr lang="en-US" sz="900" dirty="0">
              <a:latin typeface="Segoe UI" panose="020B0502040204020203" pitchFamily="34" charset="0"/>
              <a:cs typeface="Segoe UI" panose="020B0502040204020203" pitchFamily="34" charset="0"/>
            </a:rPr>
            <a:t>1/2 day</a:t>
          </a:r>
        </a:p>
      </dgm:t>
    </dgm:pt>
    <dgm:pt modelId="{0C7898AE-956E-4299-B557-B8567BB9D6D7}" type="parTrans" cxnId="{7017B9DC-8069-4A67-8A9D-35BB5483DB47}">
      <dgm:prSet/>
      <dgm:spPr/>
      <dgm:t>
        <a:bodyPr/>
        <a:lstStyle/>
        <a:p>
          <a:pPr algn="l"/>
          <a:endParaRPr lang="en-US" sz="900"/>
        </a:p>
      </dgm:t>
    </dgm:pt>
    <dgm:pt modelId="{C8D1416F-FDD7-4F2A-A128-D05D37B9C397}" type="sibTrans" cxnId="{7017B9DC-8069-4A67-8A9D-35BB5483DB47}">
      <dgm:prSet/>
      <dgm:spPr/>
      <dgm:t>
        <a:bodyPr/>
        <a:lstStyle/>
        <a:p>
          <a:pPr algn="l"/>
          <a:endParaRPr lang="en-US" sz="900"/>
        </a:p>
      </dgm:t>
    </dgm:pt>
    <dgm:pt modelId="{53D7F959-0E41-47BC-B677-075E77C9C479}">
      <dgm:prSet phldrT="[Text]" custT="1"/>
      <dgm:spPr>
        <a:solidFill>
          <a:srgbClr val="008272"/>
        </a:solidFill>
      </dgm:spPr>
      <dgm:t>
        <a:bodyPr lIns="73152"/>
        <a:lstStyle/>
        <a:p>
          <a:pPr algn="l"/>
          <a:r>
            <a:rPr lang="en-US" sz="900" dirty="0">
              <a:latin typeface="Segoe UI" panose="020B0502040204020203" pitchFamily="34" charset="0"/>
              <a:cs typeface="Segoe UI" panose="020B0502040204020203" pitchFamily="34" charset="0"/>
            </a:rPr>
            <a:t>Information Architecture</a:t>
          </a:r>
        </a:p>
        <a:p>
          <a:pPr algn="l"/>
          <a:r>
            <a:rPr lang="en-US" sz="900" dirty="0">
              <a:latin typeface="Segoe UI" panose="020B0502040204020203" pitchFamily="34" charset="0"/>
              <a:cs typeface="Segoe UI" panose="020B0502040204020203" pitchFamily="34" charset="0"/>
            </a:rPr>
            <a:t>10 days</a:t>
          </a:r>
        </a:p>
      </dgm:t>
    </dgm:pt>
    <dgm:pt modelId="{66C95D98-3098-47EF-A71F-534710AD704D}" type="parTrans" cxnId="{D319FE0A-8DE4-492D-92BE-3BC03224EAF6}">
      <dgm:prSet/>
      <dgm:spPr/>
      <dgm:t>
        <a:bodyPr/>
        <a:lstStyle/>
        <a:p>
          <a:pPr algn="l"/>
          <a:endParaRPr lang="en-US" sz="900"/>
        </a:p>
      </dgm:t>
    </dgm:pt>
    <dgm:pt modelId="{C54C2300-C6C5-443B-BF72-E5EFA2993239}" type="sibTrans" cxnId="{D319FE0A-8DE4-492D-92BE-3BC03224EAF6}">
      <dgm:prSet/>
      <dgm:spPr/>
      <dgm:t>
        <a:bodyPr/>
        <a:lstStyle/>
        <a:p>
          <a:pPr algn="l"/>
          <a:endParaRPr lang="en-US" sz="900"/>
        </a:p>
      </dgm:t>
    </dgm:pt>
    <dgm:pt modelId="{44518100-2369-4B4F-96CB-CFABD8A1E03D}">
      <dgm:prSet phldrT="[Text]" custT="1"/>
      <dgm:spPr>
        <a:solidFill>
          <a:srgbClr val="008272"/>
        </a:solidFill>
      </dgm:spPr>
      <dgm:t>
        <a:bodyPr lIns="73152"/>
        <a:lstStyle/>
        <a:p>
          <a:pPr algn="l"/>
          <a:r>
            <a:rPr lang="en-US" sz="900" dirty="0">
              <a:latin typeface="Segoe UI" panose="020B0502040204020203" pitchFamily="34" charset="0"/>
              <a:cs typeface="Segoe UI" panose="020B0502040204020203" pitchFamily="34" charset="0"/>
            </a:rPr>
            <a:t>Security and Compliance</a:t>
          </a:r>
        </a:p>
        <a:p>
          <a:pPr algn="l"/>
          <a:r>
            <a:rPr lang="en-US" sz="900" dirty="0">
              <a:latin typeface="Segoe UI" panose="020B0502040204020203" pitchFamily="34" charset="0"/>
              <a:cs typeface="Segoe UI" panose="020B0502040204020203" pitchFamily="34" charset="0"/>
            </a:rPr>
            <a:t>10 days</a:t>
          </a:r>
        </a:p>
      </dgm:t>
    </dgm:pt>
    <dgm:pt modelId="{8EF10DF0-2087-49EE-8C4A-494871BE15C0}" type="parTrans" cxnId="{78DAB8CF-B256-44C8-AC60-F39E0CC9BF41}">
      <dgm:prSet/>
      <dgm:spPr/>
      <dgm:t>
        <a:bodyPr/>
        <a:lstStyle/>
        <a:p>
          <a:pPr algn="l"/>
          <a:endParaRPr lang="en-US" sz="900"/>
        </a:p>
      </dgm:t>
    </dgm:pt>
    <dgm:pt modelId="{1DCE4FD4-96B0-41F5-967E-8F1B023BD0C7}" type="sibTrans" cxnId="{78DAB8CF-B256-44C8-AC60-F39E0CC9BF41}">
      <dgm:prSet/>
      <dgm:spPr/>
      <dgm:t>
        <a:bodyPr/>
        <a:lstStyle/>
        <a:p>
          <a:pPr algn="l"/>
          <a:endParaRPr lang="en-US" sz="900"/>
        </a:p>
      </dgm:t>
    </dgm:pt>
    <dgm:pt modelId="{0D9566BF-DD1B-4DF4-A1E9-CDC832C00FFA}">
      <dgm:prSet custT="1"/>
      <dgm:spPr>
        <a:solidFill>
          <a:srgbClr val="008272"/>
        </a:solidFill>
        <a:ln w="12700" cap="flat" cmpd="sng" algn="ctr">
          <a:solidFill>
            <a:prstClr val="white">
              <a:hueOff val="0"/>
              <a:satOff val="0"/>
              <a:lumOff val="0"/>
              <a:alphaOff val="0"/>
            </a:prstClr>
          </a:solidFill>
          <a:prstDash val="solid"/>
          <a:miter lim="800000"/>
        </a:ln>
        <a:effectLst/>
      </dgm:spPr>
      <dgm:t>
        <a:bodyPr spcFirstLastPara="0" vert="horz" wrap="square" lIns="96012" tIns="64008" rIns="32004" bIns="64008" numCol="1" spcCol="1270" anchor="ctr" anchorCtr="0"/>
        <a:lstStyle/>
        <a:p>
          <a:pPr marL="0" lvl="0" indent="0" algn="l" defTabSz="1066800">
            <a:lnSpc>
              <a:spcPct val="90000"/>
            </a:lnSpc>
            <a:spcBef>
              <a:spcPct val="0"/>
            </a:spcBef>
            <a:spcAft>
              <a:spcPct val="35000"/>
            </a:spcAft>
            <a:buNone/>
          </a:pPr>
          <a:r>
            <a:rPr lang="en-US" sz="900" kern="1200" dirty="0">
              <a:solidFill>
                <a:prstClr val="white"/>
              </a:solidFill>
              <a:latin typeface="Segoe UI" panose="020B0502040204020203" pitchFamily="34" charset="0"/>
              <a:ea typeface="+mn-ea"/>
              <a:cs typeface="Segoe UI" panose="020B0502040204020203" pitchFamily="34" charset="0"/>
            </a:rPr>
            <a:t>Applications</a:t>
          </a:r>
          <a:br>
            <a:rPr lang="en-US" sz="900" kern="1200" dirty="0">
              <a:solidFill>
                <a:prstClr val="white"/>
              </a:solidFill>
              <a:latin typeface="Segoe UI" panose="020B0502040204020203" pitchFamily="34" charset="0"/>
              <a:ea typeface="+mn-ea"/>
              <a:cs typeface="Segoe UI" panose="020B0502040204020203" pitchFamily="34" charset="0"/>
            </a:rPr>
          </a:br>
          <a:endParaRPr lang="en-US" sz="900" kern="1200" dirty="0">
            <a:solidFill>
              <a:prstClr val="white"/>
            </a:solidFill>
            <a:latin typeface="Segoe UI" panose="020B0502040204020203" pitchFamily="34" charset="0"/>
            <a:ea typeface="+mn-ea"/>
            <a:cs typeface="Segoe UI" panose="020B0502040204020203" pitchFamily="34" charset="0"/>
          </a:endParaRPr>
        </a:p>
        <a:p>
          <a:pPr marL="0" lvl="0" indent="0" algn="l" defTabSz="1066800">
            <a:lnSpc>
              <a:spcPct val="90000"/>
            </a:lnSpc>
            <a:spcBef>
              <a:spcPct val="0"/>
            </a:spcBef>
            <a:spcAft>
              <a:spcPct val="35000"/>
            </a:spcAft>
            <a:buNone/>
          </a:pPr>
          <a:r>
            <a:rPr lang="en-US" sz="900" kern="1200" dirty="0">
              <a:solidFill>
                <a:prstClr val="white"/>
              </a:solidFill>
              <a:latin typeface="Segoe UI" panose="020B0502040204020203" pitchFamily="34" charset="0"/>
              <a:ea typeface="+mn-ea"/>
              <a:cs typeface="Segoe UI" panose="020B0502040204020203" pitchFamily="34" charset="0"/>
            </a:rPr>
            <a:t>15 days</a:t>
          </a:r>
        </a:p>
      </dgm:t>
    </dgm:pt>
    <dgm:pt modelId="{4964F2B5-5A8B-4D65-B424-154FCAF42BF9}" type="parTrans" cxnId="{FE6AB2C1-FEA6-432A-A05F-E44A654FF2C8}">
      <dgm:prSet/>
      <dgm:spPr/>
      <dgm:t>
        <a:bodyPr/>
        <a:lstStyle/>
        <a:p>
          <a:endParaRPr lang="en-US" sz="900"/>
        </a:p>
      </dgm:t>
    </dgm:pt>
    <dgm:pt modelId="{405110DB-298A-4637-81D3-136D6DE6CE7C}" type="sibTrans" cxnId="{FE6AB2C1-FEA6-432A-A05F-E44A654FF2C8}">
      <dgm:prSet/>
      <dgm:spPr/>
      <dgm:t>
        <a:bodyPr/>
        <a:lstStyle/>
        <a:p>
          <a:endParaRPr lang="en-US" sz="900"/>
        </a:p>
      </dgm:t>
    </dgm:pt>
    <dgm:pt modelId="{CFA60E84-127B-466F-BEC7-48E962BB0C2F}">
      <dgm:prSet custT="1"/>
      <dgm:spPr>
        <a:solidFill>
          <a:srgbClr val="008272"/>
        </a:solidFill>
        <a:ln w="12700" cap="flat" cmpd="sng" algn="ctr">
          <a:solidFill>
            <a:prstClr val="white">
              <a:hueOff val="0"/>
              <a:satOff val="0"/>
              <a:lumOff val="0"/>
              <a:alphaOff val="0"/>
            </a:prstClr>
          </a:solidFill>
          <a:prstDash val="solid"/>
          <a:miter lim="800000"/>
        </a:ln>
        <a:effectLst/>
      </dgm:spPr>
      <dgm:t>
        <a:bodyPr spcFirstLastPara="0" vert="horz" wrap="square" lIns="96012" tIns="64008" rIns="32004" bIns="64008" numCol="1" spcCol="1270" anchor="ctr" anchorCtr="0"/>
        <a:lstStyle/>
        <a:p>
          <a:pPr marL="0" lvl="0" indent="0" algn="l" defTabSz="1066800">
            <a:lnSpc>
              <a:spcPct val="90000"/>
            </a:lnSpc>
            <a:spcBef>
              <a:spcPct val="0"/>
            </a:spcBef>
            <a:spcAft>
              <a:spcPct val="35000"/>
            </a:spcAft>
            <a:buNone/>
          </a:pPr>
          <a:r>
            <a:rPr lang="en-US" sz="900" kern="1200" dirty="0">
              <a:solidFill>
                <a:prstClr val="white"/>
              </a:solidFill>
              <a:latin typeface="Segoe UI" panose="020B0502040204020203" pitchFamily="34" charset="0"/>
              <a:ea typeface="+mn-ea"/>
              <a:cs typeface="Segoe UI" panose="020B0502040204020203" pitchFamily="34" charset="0"/>
            </a:rPr>
            <a:t>Operations</a:t>
          </a:r>
          <a:br>
            <a:rPr lang="en-US" sz="900" kern="1200" dirty="0">
              <a:solidFill>
                <a:prstClr val="white"/>
              </a:solidFill>
              <a:latin typeface="Segoe UI" panose="020B0502040204020203" pitchFamily="34" charset="0"/>
              <a:ea typeface="+mn-ea"/>
              <a:cs typeface="Segoe UI" panose="020B0502040204020203" pitchFamily="34" charset="0"/>
            </a:rPr>
          </a:br>
          <a:endParaRPr lang="en-US" sz="900" kern="1200" dirty="0">
            <a:solidFill>
              <a:prstClr val="white"/>
            </a:solidFill>
            <a:latin typeface="Segoe UI" panose="020B0502040204020203" pitchFamily="34" charset="0"/>
            <a:ea typeface="+mn-ea"/>
            <a:cs typeface="Segoe UI" panose="020B0502040204020203" pitchFamily="34" charset="0"/>
          </a:endParaRPr>
        </a:p>
        <a:p>
          <a:pPr marL="0" lvl="0" indent="0" algn="l" defTabSz="1066800">
            <a:lnSpc>
              <a:spcPct val="90000"/>
            </a:lnSpc>
            <a:spcBef>
              <a:spcPct val="0"/>
            </a:spcBef>
            <a:spcAft>
              <a:spcPct val="35000"/>
            </a:spcAft>
            <a:buNone/>
          </a:pPr>
          <a:r>
            <a:rPr lang="en-US" sz="900" kern="1200" dirty="0">
              <a:solidFill>
                <a:prstClr val="white"/>
              </a:solidFill>
              <a:latin typeface="Segoe UI" panose="020B0502040204020203" pitchFamily="34" charset="0"/>
              <a:ea typeface="+mn-ea"/>
              <a:cs typeface="Segoe UI" panose="020B0502040204020203" pitchFamily="34" charset="0"/>
            </a:rPr>
            <a:t>6 days</a:t>
          </a:r>
        </a:p>
      </dgm:t>
    </dgm:pt>
    <dgm:pt modelId="{CE537291-1135-41B0-87CC-EB29A1570147}" type="parTrans" cxnId="{F08F2966-BF28-4D7D-8F2E-575744149B6C}">
      <dgm:prSet/>
      <dgm:spPr/>
      <dgm:t>
        <a:bodyPr/>
        <a:lstStyle/>
        <a:p>
          <a:endParaRPr lang="en-US" sz="900"/>
        </a:p>
      </dgm:t>
    </dgm:pt>
    <dgm:pt modelId="{51A29289-F7B3-4F2E-926D-EDFC4D6F3E5B}" type="sibTrans" cxnId="{F08F2966-BF28-4D7D-8F2E-575744149B6C}">
      <dgm:prSet/>
      <dgm:spPr/>
      <dgm:t>
        <a:bodyPr/>
        <a:lstStyle/>
        <a:p>
          <a:endParaRPr lang="en-US" sz="900"/>
        </a:p>
      </dgm:t>
    </dgm:pt>
    <dgm:pt modelId="{0D529F0B-1CE1-4773-AAF2-1A934D17774E}">
      <dgm:prSet custT="1"/>
      <dgm:spPr>
        <a:solidFill>
          <a:srgbClr val="008272"/>
        </a:solidFill>
        <a:ln w="12700" cap="flat" cmpd="sng" algn="ctr">
          <a:solidFill>
            <a:prstClr val="white">
              <a:hueOff val="0"/>
              <a:satOff val="0"/>
              <a:lumOff val="0"/>
              <a:alphaOff val="0"/>
            </a:prstClr>
          </a:solidFill>
          <a:prstDash val="solid"/>
          <a:miter lim="800000"/>
        </a:ln>
        <a:effectLst/>
      </dgm:spPr>
      <dgm:t>
        <a:bodyPr spcFirstLastPara="0" vert="horz" wrap="square" lIns="96012" tIns="64008" rIns="32004" bIns="64008" numCol="1" spcCol="1270" anchor="ctr" anchorCtr="0"/>
        <a:lstStyle/>
        <a:p>
          <a:pPr marL="0" lvl="0" indent="0" algn="l" defTabSz="1066800">
            <a:lnSpc>
              <a:spcPct val="90000"/>
            </a:lnSpc>
            <a:spcBef>
              <a:spcPct val="0"/>
            </a:spcBef>
            <a:spcAft>
              <a:spcPct val="35000"/>
            </a:spcAft>
            <a:buNone/>
          </a:pPr>
          <a:r>
            <a:rPr lang="en-US" sz="900" kern="1200" dirty="0">
              <a:solidFill>
                <a:prstClr val="white"/>
              </a:solidFill>
              <a:latin typeface="Segoe UI" panose="020B0502040204020203" pitchFamily="34" charset="0"/>
              <a:ea typeface="+mn-ea"/>
              <a:cs typeface="Segoe UI" panose="020B0502040204020203" pitchFamily="34" charset="0"/>
            </a:rPr>
            <a:t>Report Out</a:t>
          </a:r>
          <a:br>
            <a:rPr lang="en-US" sz="900" kern="1200" dirty="0">
              <a:solidFill>
                <a:prstClr val="white"/>
              </a:solidFill>
              <a:latin typeface="Segoe UI" panose="020B0502040204020203" pitchFamily="34" charset="0"/>
              <a:ea typeface="+mn-ea"/>
              <a:cs typeface="Segoe UI" panose="020B0502040204020203" pitchFamily="34" charset="0"/>
            </a:rPr>
          </a:br>
          <a:br>
            <a:rPr lang="en-US" sz="900" kern="1200" dirty="0">
              <a:solidFill>
                <a:prstClr val="white"/>
              </a:solidFill>
              <a:latin typeface="Segoe UI" panose="020B0502040204020203" pitchFamily="34" charset="0"/>
              <a:ea typeface="+mn-ea"/>
              <a:cs typeface="Segoe UI" panose="020B0502040204020203" pitchFamily="34" charset="0"/>
            </a:rPr>
          </a:br>
          <a:r>
            <a:rPr lang="en-US" sz="900" kern="1200" dirty="0">
              <a:solidFill>
                <a:prstClr val="white"/>
              </a:solidFill>
              <a:latin typeface="Segoe UI" panose="020B0502040204020203" pitchFamily="34" charset="0"/>
              <a:ea typeface="+mn-ea"/>
              <a:cs typeface="Segoe UI" panose="020B0502040204020203" pitchFamily="34" charset="0"/>
            </a:rPr>
            <a:t>2 days</a:t>
          </a:r>
        </a:p>
      </dgm:t>
    </dgm:pt>
    <dgm:pt modelId="{8672406E-DEF1-4AD7-A99A-932F7A8819A4}" type="parTrans" cxnId="{C3EE4614-EE13-4105-B31B-B51F565C1A5C}">
      <dgm:prSet/>
      <dgm:spPr/>
      <dgm:t>
        <a:bodyPr/>
        <a:lstStyle/>
        <a:p>
          <a:endParaRPr lang="en-US" sz="900"/>
        </a:p>
      </dgm:t>
    </dgm:pt>
    <dgm:pt modelId="{6DF41187-EAB6-431C-A595-049F5C5C6C15}" type="sibTrans" cxnId="{C3EE4614-EE13-4105-B31B-B51F565C1A5C}">
      <dgm:prSet/>
      <dgm:spPr/>
      <dgm:t>
        <a:bodyPr/>
        <a:lstStyle/>
        <a:p>
          <a:endParaRPr lang="en-US" sz="900"/>
        </a:p>
      </dgm:t>
    </dgm:pt>
    <dgm:pt modelId="{3F7B5799-7635-47FC-9C94-5E0EBC20D49C}" type="pres">
      <dgm:prSet presAssocID="{61E46EC6-57B4-4B7F-BC5C-4C518199A8E5}" presName="Name0" presStyleCnt="0">
        <dgm:presLayoutVars>
          <dgm:dir/>
          <dgm:resizeHandles val="exact"/>
        </dgm:presLayoutVars>
      </dgm:prSet>
      <dgm:spPr/>
    </dgm:pt>
    <dgm:pt modelId="{F9ACCFCF-6137-4304-A781-5056DC56EEDC}" type="pres">
      <dgm:prSet presAssocID="{1CF11602-05C2-4784-A89A-3EB38E4BDAB1}" presName="parTxOnly" presStyleLbl="node1" presStyleIdx="0" presStyleCnt="6" custScaleX="65174" custScaleY="115202">
        <dgm:presLayoutVars>
          <dgm:bulletEnabled val="1"/>
        </dgm:presLayoutVars>
      </dgm:prSet>
      <dgm:spPr/>
    </dgm:pt>
    <dgm:pt modelId="{3DD1044D-2311-46BD-9510-EF7F0027816F}" type="pres">
      <dgm:prSet presAssocID="{C8D1416F-FDD7-4F2A-A128-D05D37B9C397}" presName="parSpace" presStyleCnt="0"/>
      <dgm:spPr/>
    </dgm:pt>
    <dgm:pt modelId="{022198C4-94E6-41BC-965A-01324E1D21D6}" type="pres">
      <dgm:prSet presAssocID="{53D7F959-0E41-47BC-B677-075E77C9C479}" presName="parTxOnly" presStyleLbl="node1" presStyleIdx="1" presStyleCnt="6" custScaleX="110858" custScaleY="115202" custLinFactNeighborX="-14338">
        <dgm:presLayoutVars>
          <dgm:bulletEnabled val="1"/>
        </dgm:presLayoutVars>
      </dgm:prSet>
      <dgm:spPr/>
    </dgm:pt>
    <dgm:pt modelId="{56209B5B-BFAF-4BC9-BD99-66CD947C3008}" type="pres">
      <dgm:prSet presAssocID="{C54C2300-C6C5-443B-BF72-E5EFA2993239}" presName="parSpace" presStyleCnt="0"/>
      <dgm:spPr/>
    </dgm:pt>
    <dgm:pt modelId="{1B6D4189-1DFC-45EE-8E69-EC935AD595A1}" type="pres">
      <dgm:prSet presAssocID="{44518100-2369-4B4F-96CB-CFABD8A1E03D}" presName="parTxOnly" presStyleLbl="node1" presStyleIdx="2" presStyleCnt="6" custScaleX="107647" custScaleY="115202" custLinFactNeighborX="-28606">
        <dgm:presLayoutVars>
          <dgm:bulletEnabled val="1"/>
        </dgm:presLayoutVars>
      </dgm:prSet>
      <dgm:spPr/>
    </dgm:pt>
    <dgm:pt modelId="{96B12E41-A0C5-4B8A-BB03-316F8E1204DD}" type="pres">
      <dgm:prSet presAssocID="{1DCE4FD4-96B0-41F5-967E-8F1B023BD0C7}" presName="parSpace" presStyleCnt="0"/>
      <dgm:spPr/>
    </dgm:pt>
    <dgm:pt modelId="{1A9EE76E-4DB8-4512-A221-179E0BA07BEF}" type="pres">
      <dgm:prSet presAssocID="{0D9566BF-DD1B-4DF4-A1E9-CDC832C00FFA}" presName="parTxOnly" presStyleLbl="node1" presStyleIdx="3" presStyleCnt="6" custScaleX="106551" custScaleY="115202" custLinFactNeighborX="-42228">
        <dgm:presLayoutVars>
          <dgm:bulletEnabled val="1"/>
        </dgm:presLayoutVars>
      </dgm:prSet>
      <dgm:spPr>
        <a:xfrm>
          <a:off x="5805537" y="2189607"/>
          <a:ext cx="2418457" cy="967382"/>
        </a:xfrm>
        <a:prstGeom prst="chevron">
          <a:avLst/>
        </a:prstGeom>
      </dgm:spPr>
    </dgm:pt>
    <dgm:pt modelId="{BC62E229-EF6D-48E4-98DA-9CF82EC5D738}" type="pres">
      <dgm:prSet presAssocID="{405110DB-298A-4637-81D3-136D6DE6CE7C}" presName="parSpace" presStyleCnt="0"/>
      <dgm:spPr/>
    </dgm:pt>
    <dgm:pt modelId="{A12196D1-8F5A-49BC-8C1A-4ABE4DFEA6DB}" type="pres">
      <dgm:prSet presAssocID="{CFA60E84-127B-466F-BEC7-48E962BB0C2F}" presName="parTxOnly" presStyleLbl="node1" presStyleIdx="4" presStyleCnt="6" custScaleY="115202" custLinFactNeighborX="-55080">
        <dgm:presLayoutVars>
          <dgm:bulletEnabled val="1"/>
        </dgm:presLayoutVars>
      </dgm:prSet>
      <dgm:spPr>
        <a:xfrm>
          <a:off x="7740302" y="2189607"/>
          <a:ext cx="2418457" cy="967382"/>
        </a:xfrm>
        <a:prstGeom prst="chevron">
          <a:avLst/>
        </a:prstGeom>
      </dgm:spPr>
    </dgm:pt>
    <dgm:pt modelId="{92EDE1A7-F025-4517-9D0E-45096F9B9F58}" type="pres">
      <dgm:prSet presAssocID="{51A29289-F7B3-4F2E-926D-EDFC4D6F3E5B}" presName="parSpace" presStyleCnt="0"/>
      <dgm:spPr/>
    </dgm:pt>
    <dgm:pt modelId="{B0EACF7D-89DF-4598-9F41-370CB5E96282}" type="pres">
      <dgm:prSet presAssocID="{0D529F0B-1CE1-4773-AAF2-1A934D17774E}" presName="parTxOnly" presStyleLbl="node1" presStyleIdx="5" presStyleCnt="6" custScaleY="115202" custLinFactNeighborX="-67932">
        <dgm:presLayoutVars>
          <dgm:bulletEnabled val="1"/>
        </dgm:presLayoutVars>
      </dgm:prSet>
      <dgm:spPr/>
    </dgm:pt>
  </dgm:ptLst>
  <dgm:cxnLst>
    <dgm:cxn modelId="{D319FE0A-8DE4-492D-92BE-3BC03224EAF6}" srcId="{61E46EC6-57B4-4B7F-BC5C-4C518199A8E5}" destId="{53D7F959-0E41-47BC-B677-075E77C9C479}" srcOrd="1" destOrd="0" parTransId="{66C95D98-3098-47EF-A71F-534710AD704D}" sibTransId="{C54C2300-C6C5-443B-BF72-E5EFA2993239}"/>
    <dgm:cxn modelId="{C3EE4614-EE13-4105-B31B-B51F565C1A5C}" srcId="{61E46EC6-57B4-4B7F-BC5C-4C518199A8E5}" destId="{0D529F0B-1CE1-4773-AAF2-1A934D17774E}" srcOrd="5" destOrd="0" parTransId="{8672406E-DEF1-4AD7-A99A-932F7A8819A4}" sibTransId="{6DF41187-EAB6-431C-A595-049F5C5C6C15}"/>
    <dgm:cxn modelId="{3850C929-CAA5-4F95-8448-E6DD88A09FEF}" type="presOf" srcId="{44518100-2369-4B4F-96CB-CFABD8A1E03D}" destId="{1B6D4189-1DFC-45EE-8E69-EC935AD595A1}" srcOrd="0" destOrd="0" presId="urn:microsoft.com/office/officeart/2005/8/layout/hChevron3"/>
    <dgm:cxn modelId="{273FD464-CAA4-461E-B0B0-B41A044C17C9}" type="presOf" srcId="{53D7F959-0E41-47BC-B677-075E77C9C479}" destId="{022198C4-94E6-41BC-965A-01324E1D21D6}" srcOrd="0" destOrd="0" presId="urn:microsoft.com/office/officeart/2005/8/layout/hChevron3"/>
    <dgm:cxn modelId="{F08F2966-BF28-4D7D-8F2E-575744149B6C}" srcId="{61E46EC6-57B4-4B7F-BC5C-4C518199A8E5}" destId="{CFA60E84-127B-466F-BEC7-48E962BB0C2F}" srcOrd="4" destOrd="0" parTransId="{CE537291-1135-41B0-87CC-EB29A1570147}" sibTransId="{51A29289-F7B3-4F2E-926D-EDFC4D6F3E5B}"/>
    <dgm:cxn modelId="{E21EF473-ECBC-4BB8-ACB7-011351130B10}" type="presOf" srcId="{0D9566BF-DD1B-4DF4-A1E9-CDC832C00FFA}" destId="{1A9EE76E-4DB8-4512-A221-179E0BA07BEF}" srcOrd="0" destOrd="0" presId="urn:microsoft.com/office/officeart/2005/8/layout/hChevron3"/>
    <dgm:cxn modelId="{816FDC9A-FBD5-4BE9-969A-8F14F178757E}" type="presOf" srcId="{61E46EC6-57B4-4B7F-BC5C-4C518199A8E5}" destId="{3F7B5799-7635-47FC-9C94-5E0EBC20D49C}" srcOrd="0" destOrd="0" presId="urn:microsoft.com/office/officeart/2005/8/layout/hChevron3"/>
    <dgm:cxn modelId="{C0D223AB-9428-49DE-AFB4-1F8E74E5B695}" type="presOf" srcId="{1CF11602-05C2-4784-A89A-3EB38E4BDAB1}" destId="{F9ACCFCF-6137-4304-A781-5056DC56EEDC}" srcOrd="0" destOrd="0" presId="urn:microsoft.com/office/officeart/2005/8/layout/hChevron3"/>
    <dgm:cxn modelId="{FE6AB2C1-FEA6-432A-A05F-E44A654FF2C8}" srcId="{61E46EC6-57B4-4B7F-BC5C-4C518199A8E5}" destId="{0D9566BF-DD1B-4DF4-A1E9-CDC832C00FFA}" srcOrd="3" destOrd="0" parTransId="{4964F2B5-5A8B-4D65-B424-154FCAF42BF9}" sibTransId="{405110DB-298A-4637-81D3-136D6DE6CE7C}"/>
    <dgm:cxn modelId="{78DAB8CF-B256-44C8-AC60-F39E0CC9BF41}" srcId="{61E46EC6-57B4-4B7F-BC5C-4C518199A8E5}" destId="{44518100-2369-4B4F-96CB-CFABD8A1E03D}" srcOrd="2" destOrd="0" parTransId="{8EF10DF0-2087-49EE-8C4A-494871BE15C0}" sibTransId="{1DCE4FD4-96B0-41F5-967E-8F1B023BD0C7}"/>
    <dgm:cxn modelId="{7017B9DC-8069-4A67-8A9D-35BB5483DB47}" srcId="{61E46EC6-57B4-4B7F-BC5C-4C518199A8E5}" destId="{1CF11602-05C2-4784-A89A-3EB38E4BDAB1}" srcOrd="0" destOrd="0" parTransId="{0C7898AE-956E-4299-B557-B8567BB9D6D7}" sibTransId="{C8D1416F-FDD7-4F2A-A128-D05D37B9C397}"/>
    <dgm:cxn modelId="{64C6B4EC-FC1D-46DD-B410-AA3E7E98974C}" type="presOf" srcId="{0D529F0B-1CE1-4773-AAF2-1A934D17774E}" destId="{B0EACF7D-89DF-4598-9F41-370CB5E96282}" srcOrd="0" destOrd="0" presId="urn:microsoft.com/office/officeart/2005/8/layout/hChevron3"/>
    <dgm:cxn modelId="{9AA525ED-9399-4911-8B0B-621B5AEA14CF}" type="presOf" srcId="{CFA60E84-127B-466F-BEC7-48E962BB0C2F}" destId="{A12196D1-8F5A-49BC-8C1A-4ABE4DFEA6DB}" srcOrd="0" destOrd="0" presId="urn:microsoft.com/office/officeart/2005/8/layout/hChevron3"/>
    <dgm:cxn modelId="{0230FB4A-AB04-40EA-B34E-2B1962E03566}" type="presParOf" srcId="{3F7B5799-7635-47FC-9C94-5E0EBC20D49C}" destId="{F9ACCFCF-6137-4304-A781-5056DC56EEDC}" srcOrd="0" destOrd="0" presId="urn:microsoft.com/office/officeart/2005/8/layout/hChevron3"/>
    <dgm:cxn modelId="{AFFBA2F5-6C32-4008-951A-3C1DC70A721A}" type="presParOf" srcId="{3F7B5799-7635-47FC-9C94-5E0EBC20D49C}" destId="{3DD1044D-2311-46BD-9510-EF7F0027816F}" srcOrd="1" destOrd="0" presId="urn:microsoft.com/office/officeart/2005/8/layout/hChevron3"/>
    <dgm:cxn modelId="{E76F3BBC-AD00-4656-B704-C734C814968D}" type="presParOf" srcId="{3F7B5799-7635-47FC-9C94-5E0EBC20D49C}" destId="{022198C4-94E6-41BC-965A-01324E1D21D6}" srcOrd="2" destOrd="0" presId="urn:microsoft.com/office/officeart/2005/8/layout/hChevron3"/>
    <dgm:cxn modelId="{72D70F88-20E9-481D-989C-D005528D1A3E}" type="presParOf" srcId="{3F7B5799-7635-47FC-9C94-5E0EBC20D49C}" destId="{56209B5B-BFAF-4BC9-BD99-66CD947C3008}" srcOrd="3" destOrd="0" presId="urn:microsoft.com/office/officeart/2005/8/layout/hChevron3"/>
    <dgm:cxn modelId="{70FCB49E-FA00-4246-A063-61CB809E3EBE}" type="presParOf" srcId="{3F7B5799-7635-47FC-9C94-5E0EBC20D49C}" destId="{1B6D4189-1DFC-45EE-8E69-EC935AD595A1}" srcOrd="4" destOrd="0" presId="urn:microsoft.com/office/officeart/2005/8/layout/hChevron3"/>
    <dgm:cxn modelId="{D09A6467-8DD9-4400-8B10-0184AE6E9945}" type="presParOf" srcId="{3F7B5799-7635-47FC-9C94-5E0EBC20D49C}" destId="{96B12E41-A0C5-4B8A-BB03-316F8E1204DD}" srcOrd="5" destOrd="0" presId="urn:microsoft.com/office/officeart/2005/8/layout/hChevron3"/>
    <dgm:cxn modelId="{DFD09E34-40A1-4AA1-B933-814FD286E898}" type="presParOf" srcId="{3F7B5799-7635-47FC-9C94-5E0EBC20D49C}" destId="{1A9EE76E-4DB8-4512-A221-179E0BA07BEF}" srcOrd="6" destOrd="0" presId="urn:microsoft.com/office/officeart/2005/8/layout/hChevron3"/>
    <dgm:cxn modelId="{0D4B289E-DD7E-4270-A1C4-E69EDCA2AC77}" type="presParOf" srcId="{3F7B5799-7635-47FC-9C94-5E0EBC20D49C}" destId="{BC62E229-EF6D-48E4-98DA-9CF82EC5D738}" srcOrd="7" destOrd="0" presId="urn:microsoft.com/office/officeart/2005/8/layout/hChevron3"/>
    <dgm:cxn modelId="{F72B4134-7724-47BE-AF38-A69578E99932}" type="presParOf" srcId="{3F7B5799-7635-47FC-9C94-5E0EBC20D49C}" destId="{A12196D1-8F5A-49BC-8C1A-4ABE4DFEA6DB}" srcOrd="8" destOrd="0" presId="urn:microsoft.com/office/officeart/2005/8/layout/hChevron3"/>
    <dgm:cxn modelId="{85CFEDBA-493A-460F-82E9-8B6A99C98398}" type="presParOf" srcId="{3F7B5799-7635-47FC-9C94-5E0EBC20D49C}" destId="{92EDE1A7-F025-4517-9D0E-45096F9B9F58}" srcOrd="9" destOrd="0" presId="urn:microsoft.com/office/officeart/2005/8/layout/hChevron3"/>
    <dgm:cxn modelId="{BB8FFFD4-66CB-4E74-B229-75500EC0C839}" type="presParOf" srcId="{3F7B5799-7635-47FC-9C94-5E0EBC20D49C}" destId="{B0EACF7D-89DF-4598-9F41-370CB5E96282}" srcOrd="10" destOrd="0" presId="urn:microsoft.com/office/officeart/2005/8/layout/hChevron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9ACCFCF-6137-4304-A781-5056DC56EEDC}">
      <dsp:nvSpPr>
        <dsp:cNvPr id="0" name=""/>
        <dsp:cNvSpPr/>
      </dsp:nvSpPr>
      <dsp:spPr>
        <a:xfrm>
          <a:off x="2003" y="116119"/>
          <a:ext cx="845361" cy="597706"/>
        </a:xfrm>
        <a:prstGeom prst="homePlate">
          <a:avLst/>
        </a:prstGeom>
        <a:solidFill>
          <a:srgbClr val="00827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91440" rIns="12002" bIns="91440" numCol="1" spcCol="1270" anchor="ctr" anchorCtr="0">
          <a:noAutofit/>
        </a:bodyPr>
        <a:lstStyle/>
        <a:p>
          <a:pPr marL="0" lvl="0" indent="0" algn="l" defTabSz="400050">
            <a:lnSpc>
              <a:spcPct val="90000"/>
            </a:lnSpc>
            <a:spcBef>
              <a:spcPct val="0"/>
            </a:spcBef>
            <a:spcAft>
              <a:spcPct val="35000"/>
            </a:spcAft>
            <a:buNone/>
          </a:pPr>
          <a:r>
            <a:rPr lang="en-US" sz="900" kern="1200" dirty="0">
              <a:latin typeface="Segoe UI" panose="020B0502040204020203" pitchFamily="34" charset="0"/>
              <a:cs typeface="Segoe UI" panose="020B0502040204020203" pitchFamily="34" charset="0"/>
            </a:rPr>
            <a:t>Kickoff</a:t>
          </a:r>
          <a:br>
            <a:rPr lang="en-US" sz="900" kern="1200" dirty="0">
              <a:latin typeface="Segoe UI" panose="020B0502040204020203" pitchFamily="34" charset="0"/>
              <a:cs typeface="Segoe UI" panose="020B0502040204020203" pitchFamily="34" charset="0"/>
            </a:rPr>
          </a:br>
          <a:endParaRPr lang="en-US" sz="900" kern="1200" dirty="0">
            <a:latin typeface="Segoe UI" panose="020B0502040204020203" pitchFamily="34" charset="0"/>
            <a:cs typeface="Segoe UI" panose="020B0502040204020203" pitchFamily="34" charset="0"/>
          </a:endParaRPr>
        </a:p>
        <a:p>
          <a:pPr marL="0" lvl="0" indent="0" algn="l" defTabSz="400050">
            <a:lnSpc>
              <a:spcPct val="90000"/>
            </a:lnSpc>
            <a:spcBef>
              <a:spcPct val="0"/>
            </a:spcBef>
            <a:spcAft>
              <a:spcPct val="35000"/>
            </a:spcAft>
            <a:buNone/>
          </a:pPr>
          <a:r>
            <a:rPr lang="en-US" sz="900" kern="1200" dirty="0">
              <a:latin typeface="Segoe UI" panose="020B0502040204020203" pitchFamily="34" charset="0"/>
              <a:cs typeface="Segoe UI" panose="020B0502040204020203" pitchFamily="34" charset="0"/>
            </a:rPr>
            <a:t>1/2 day</a:t>
          </a:r>
        </a:p>
      </dsp:txBody>
      <dsp:txXfrm>
        <a:off x="2003" y="116119"/>
        <a:ext cx="695935" cy="597706"/>
      </dsp:txXfrm>
    </dsp:sp>
    <dsp:sp modelId="{022198C4-94E6-41BC-965A-01324E1D21D6}">
      <dsp:nvSpPr>
        <dsp:cNvPr id="0" name=""/>
        <dsp:cNvSpPr/>
      </dsp:nvSpPr>
      <dsp:spPr>
        <a:xfrm>
          <a:off x="550752" y="116119"/>
          <a:ext cx="1437920" cy="597706"/>
        </a:xfrm>
        <a:prstGeom prst="chevron">
          <a:avLst/>
        </a:prstGeom>
        <a:solidFill>
          <a:srgbClr val="00827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3152" tIns="24003" rIns="12002" bIns="24003" numCol="1" spcCol="1270" anchor="ctr" anchorCtr="0">
          <a:noAutofit/>
        </a:bodyPr>
        <a:lstStyle/>
        <a:p>
          <a:pPr marL="0" lvl="0" indent="0" algn="l" defTabSz="400050">
            <a:lnSpc>
              <a:spcPct val="90000"/>
            </a:lnSpc>
            <a:spcBef>
              <a:spcPct val="0"/>
            </a:spcBef>
            <a:spcAft>
              <a:spcPct val="35000"/>
            </a:spcAft>
            <a:buNone/>
          </a:pPr>
          <a:r>
            <a:rPr lang="en-US" sz="900" kern="1200" dirty="0">
              <a:latin typeface="Segoe UI" panose="020B0502040204020203" pitchFamily="34" charset="0"/>
              <a:cs typeface="Segoe UI" panose="020B0502040204020203" pitchFamily="34" charset="0"/>
            </a:rPr>
            <a:t>Information Architecture</a:t>
          </a:r>
        </a:p>
        <a:p>
          <a:pPr marL="0" lvl="0" indent="0" algn="l" defTabSz="400050">
            <a:lnSpc>
              <a:spcPct val="90000"/>
            </a:lnSpc>
            <a:spcBef>
              <a:spcPct val="0"/>
            </a:spcBef>
            <a:spcAft>
              <a:spcPct val="35000"/>
            </a:spcAft>
            <a:buNone/>
          </a:pPr>
          <a:r>
            <a:rPr lang="en-US" sz="900" kern="1200" dirty="0">
              <a:latin typeface="Segoe UI" panose="020B0502040204020203" pitchFamily="34" charset="0"/>
              <a:cs typeface="Segoe UI" panose="020B0502040204020203" pitchFamily="34" charset="0"/>
            </a:rPr>
            <a:t>10 days</a:t>
          </a:r>
        </a:p>
      </dsp:txBody>
      <dsp:txXfrm>
        <a:off x="849605" y="116119"/>
        <a:ext cx="840214" cy="597706"/>
      </dsp:txXfrm>
    </dsp:sp>
    <dsp:sp modelId="{1B6D4189-1DFC-45EE-8E69-EC935AD595A1}">
      <dsp:nvSpPr>
        <dsp:cNvPr id="0" name=""/>
        <dsp:cNvSpPr/>
      </dsp:nvSpPr>
      <dsp:spPr>
        <a:xfrm>
          <a:off x="1692243" y="116119"/>
          <a:ext cx="1396271" cy="597706"/>
        </a:xfrm>
        <a:prstGeom prst="chevron">
          <a:avLst/>
        </a:prstGeom>
        <a:solidFill>
          <a:srgbClr val="00827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3152" tIns="24003" rIns="12002" bIns="24003" numCol="1" spcCol="1270" anchor="ctr" anchorCtr="0">
          <a:noAutofit/>
        </a:bodyPr>
        <a:lstStyle/>
        <a:p>
          <a:pPr marL="0" lvl="0" indent="0" algn="l" defTabSz="400050">
            <a:lnSpc>
              <a:spcPct val="90000"/>
            </a:lnSpc>
            <a:spcBef>
              <a:spcPct val="0"/>
            </a:spcBef>
            <a:spcAft>
              <a:spcPct val="35000"/>
            </a:spcAft>
            <a:buNone/>
          </a:pPr>
          <a:r>
            <a:rPr lang="en-US" sz="900" kern="1200" dirty="0">
              <a:latin typeface="Segoe UI" panose="020B0502040204020203" pitchFamily="34" charset="0"/>
              <a:cs typeface="Segoe UI" panose="020B0502040204020203" pitchFamily="34" charset="0"/>
            </a:rPr>
            <a:t>Security and Compliance</a:t>
          </a:r>
        </a:p>
        <a:p>
          <a:pPr marL="0" lvl="0" indent="0" algn="l" defTabSz="400050">
            <a:lnSpc>
              <a:spcPct val="90000"/>
            </a:lnSpc>
            <a:spcBef>
              <a:spcPct val="0"/>
            </a:spcBef>
            <a:spcAft>
              <a:spcPct val="35000"/>
            </a:spcAft>
            <a:buNone/>
          </a:pPr>
          <a:r>
            <a:rPr lang="en-US" sz="900" kern="1200" dirty="0">
              <a:latin typeface="Segoe UI" panose="020B0502040204020203" pitchFamily="34" charset="0"/>
              <a:cs typeface="Segoe UI" panose="020B0502040204020203" pitchFamily="34" charset="0"/>
            </a:rPr>
            <a:t>10 days</a:t>
          </a:r>
        </a:p>
      </dsp:txBody>
      <dsp:txXfrm>
        <a:off x="1991096" y="116119"/>
        <a:ext cx="798565" cy="597706"/>
      </dsp:txXfrm>
    </dsp:sp>
    <dsp:sp modelId="{1A9EE76E-4DB8-4512-A221-179E0BA07BEF}">
      <dsp:nvSpPr>
        <dsp:cNvPr id="0" name=""/>
        <dsp:cNvSpPr/>
      </dsp:nvSpPr>
      <dsp:spPr>
        <a:xfrm>
          <a:off x="2793760" y="116119"/>
          <a:ext cx="1382055" cy="597706"/>
        </a:xfrm>
        <a:prstGeom prst="chevron">
          <a:avLst/>
        </a:prstGeom>
        <a:solidFill>
          <a:srgbClr val="008272"/>
        </a:solidFill>
        <a:ln w="12700" cap="flat" cmpd="sng" algn="ctr">
          <a:solidFill>
            <a:prstClr val="white">
              <a:hueOff val="0"/>
              <a:satOff val="0"/>
              <a:lumOff val="0"/>
              <a:alphaOff val="0"/>
            </a:prst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6012" tIns="64008" rIns="32004" bIns="64008" numCol="1" spcCol="1270" anchor="ctr" anchorCtr="0">
          <a:noAutofit/>
        </a:bodyPr>
        <a:lstStyle/>
        <a:p>
          <a:pPr marL="0" lvl="0" indent="0" algn="l" defTabSz="1066800">
            <a:lnSpc>
              <a:spcPct val="90000"/>
            </a:lnSpc>
            <a:spcBef>
              <a:spcPct val="0"/>
            </a:spcBef>
            <a:spcAft>
              <a:spcPct val="35000"/>
            </a:spcAft>
            <a:buNone/>
          </a:pPr>
          <a:r>
            <a:rPr lang="en-US" sz="900" kern="1200" dirty="0">
              <a:solidFill>
                <a:prstClr val="white"/>
              </a:solidFill>
              <a:latin typeface="Segoe UI" panose="020B0502040204020203" pitchFamily="34" charset="0"/>
              <a:ea typeface="+mn-ea"/>
              <a:cs typeface="Segoe UI" panose="020B0502040204020203" pitchFamily="34" charset="0"/>
            </a:rPr>
            <a:t>Applications</a:t>
          </a:r>
          <a:br>
            <a:rPr lang="en-US" sz="900" kern="1200" dirty="0">
              <a:solidFill>
                <a:prstClr val="white"/>
              </a:solidFill>
              <a:latin typeface="Segoe UI" panose="020B0502040204020203" pitchFamily="34" charset="0"/>
              <a:ea typeface="+mn-ea"/>
              <a:cs typeface="Segoe UI" panose="020B0502040204020203" pitchFamily="34" charset="0"/>
            </a:rPr>
          </a:br>
          <a:endParaRPr lang="en-US" sz="900" kern="1200" dirty="0">
            <a:solidFill>
              <a:prstClr val="white"/>
            </a:solidFill>
            <a:latin typeface="Segoe UI" panose="020B0502040204020203" pitchFamily="34" charset="0"/>
            <a:ea typeface="+mn-ea"/>
            <a:cs typeface="Segoe UI" panose="020B0502040204020203" pitchFamily="34" charset="0"/>
          </a:endParaRPr>
        </a:p>
        <a:p>
          <a:pPr marL="0" lvl="0" indent="0" algn="l" defTabSz="1066800">
            <a:lnSpc>
              <a:spcPct val="90000"/>
            </a:lnSpc>
            <a:spcBef>
              <a:spcPct val="0"/>
            </a:spcBef>
            <a:spcAft>
              <a:spcPct val="35000"/>
            </a:spcAft>
            <a:buNone/>
          </a:pPr>
          <a:r>
            <a:rPr lang="en-US" sz="900" kern="1200" dirty="0">
              <a:solidFill>
                <a:prstClr val="white"/>
              </a:solidFill>
              <a:latin typeface="Segoe UI" panose="020B0502040204020203" pitchFamily="34" charset="0"/>
              <a:ea typeface="+mn-ea"/>
              <a:cs typeface="Segoe UI" panose="020B0502040204020203" pitchFamily="34" charset="0"/>
            </a:rPr>
            <a:t>15 days</a:t>
          </a:r>
        </a:p>
      </dsp:txBody>
      <dsp:txXfrm>
        <a:off x="3092613" y="116119"/>
        <a:ext cx="784349" cy="597706"/>
      </dsp:txXfrm>
    </dsp:sp>
    <dsp:sp modelId="{A12196D1-8F5A-49BC-8C1A-4ABE4DFEA6DB}">
      <dsp:nvSpPr>
        <dsp:cNvPr id="0" name=""/>
        <dsp:cNvSpPr/>
      </dsp:nvSpPr>
      <dsp:spPr>
        <a:xfrm>
          <a:off x="3883059" y="116119"/>
          <a:ext cx="1297083" cy="597706"/>
        </a:xfrm>
        <a:prstGeom prst="chevron">
          <a:avLst/>
        </a:prstGeom>
        <a:solidFill>
          <a:srgbClr val="008272"/>
        </a:solidFill>
        <a:ln w="12700" cap="flat" cmpd="sng" algn="ctr">
          <a:solidFill>
            <a:prstClr val="white">
              <a:hueOff val="0"/>
              <a:satOff val="0"/>
              <a:lumOff val="0"/>
              <a:alphaOff val="0"/>
            </a:prst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6012" tIns="64008" rIns="32004" bIns="64008" numCol="1" spcCol="1270" anchor="ctr" anchorCtr="0">
          <a:noAutofit/>
        </a:bodyPr>
        <a:lstStyle/>
        <a:p>
          <a:pPr marL="0" lvl="0" indent="0" algn="l" defTabSz="1066800">
            <a:lnSpc>
              <a:spcPct val="90000"/>
            </a:lnSpc>
            <a:spcBef>
              <a:spcPct val="0"/>
            </a:spcBef>
            <a:spcAft>
              <a:spcPct val="35000"/>
            </a:spcAft>
            <a:buNone/>
          </a:pPr>
          <a:r>
            <a:rPr lang="en-US" sz="900" kern="1200" dirty="0">
              <a:solidFill>
                <a:prstClr val="white"/>
              </a:solidFill>
              <a:latin typeface="Segoe UI" panose="020B0502040204020203" pitchFamily="34" charset="0"/>
              <a:ea typeface="+mn-ea"/>
              <a:cs typeface="Segoe UI" panose="020B0502040204020203" pitchFamily="34" charset="0"/>
            </a:rPr>
            <a:t>Operations</a:t>
          </a:r>
          <a:br>
            <a:rPr lang="en-US" sz="900" kern="1200" dirty="0">
              <a:solidFill>
                <a:prstClr val="white"/>
              </a:solidFill>
              <a:latin typeface="Segoe UI" panose="020B0502040204020203" pitchFamily="34" charset="0"/>
              <a:ea typeface="+mn-ea"/>
              <a:cs typeface="Segoe UI" panose="020B0502040204020203" pitchFamily="34" charset="0"/>
            </a:rPr>
          </a:br>
          <a:endParaRPr lang="en-US" sz="900" kern="1200" dirty="0">
            <a:solidFill>
              <a:prstClr val="white"/>
            </a:solidFill>
            <a:latin typeface="Segoe UI" panose="020B0502040204020203" pitchFamily="34" charset="0"/>
            <a:ea typeface="+mn-ea"/>
            <a:cs typeface="Segoe UI" panose="020B0502040204020203" pitchFamily="34" charset="0"/>
          </a:endParaRPr>
        </a:p>
        <a:p>
          <a:pPr marL="0" lvl="0" indent="0" algn="l" defTabSz="1066800">
            <a:lnSpc>
              <a:spcPct val="90000"/>
            </a:lnSpc>
            <a:spcBef>
              <a:spcPct val="0"/>
            </a:spcBef>
            <a:spcAft>
              <a:spcPct val="35000"/>
            </a:spcAft>
            <a:buNone/>
          </a:pPr>
          <a:r>
            <a:rPr lang="en-US" sz="900" kern="1200" dirty="0">
              <a:solidFill>
                <a:prstClr val="white"/>
              </a:solidFill>
              <a:latin typeface="Segoe UI" panose="020B0502040204020203" pitchFamily="34" charset="0"/>
              <a:ea typeface="+mn-ea"/>
              <a:cs typeface="Segoe UI" panose="020B0502040204020203" pitchFamily="34" charset="0"/>
            </a:rPr>
            <a:t>6 days</a:t>
          </a:r>
        </a:p>
      </dsp:txBody>
      <dsp:txXfrm>
        <a:off x="4181912" y="116119"/>
        <a:ext cx="699377" cy="597706"/>
      </dsp:txXfrm>
    </dsp:sp>
    <dsp:sp modelId="{B0EACF7D-89DF-4598-9F41-370CB5E96282}">
      <dsp:nvSpPr>
        <dsp:cNvPr id="0" name=""/>
        <dsp:cNvSpPr/>
      </dsp:nvSpPr>
      <dsp:spPr>
        <a:xfrm>
          <a:off x="4887385" y="116119"/>
          <a:ext cx="1297083" cy="597706"/>
        </a:xfrm>
        <a:prstGeom prst="chevron">
          <a:avLst/>
        </a:prstGeom>
        <a:solidFill>
          <a:srgbClr val="008272"/>
        </a:solidFill>
        <a:ln w="12700" cap="flat" cmpd="sng" algn="ctr">
          <a:solidFill>
            <a:prstClr val="white">
              <a:hueOff val="0"/>
              <a:satOff val="0"/>
              <a:lumOff val="0"/>
              <a:alphaOff val="0"/>
            </a:prst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6012" tIns="64008" rIns="32004" bIns="64008" numCol="1" spcCol="1270" anchor="ctr" anchorCtr="0">
          <a:noAutofit/>
        </a:bodyPr>
        <a:lstStyle/>
        <a:p>
          <a:pPr marL="0" lvl="0" indent="0" algn="l" defTabSz="1066800">
            <a:lnSpc>
              <a:spcPct val="90000"/>
            </a:lnSpc>
            <a:spcBef>
              <a:spcPct val="0"/>
            </a:spcBef>
            <a:spcAft>
              <a:spcPct val="35000"/>
            </a:spcAft>
            <a:buNone/>
          </a:pPr>
          <a:r>
            <a:rPr lang="en-US" sz="900" kern="1200" dirty="0">
              <a:solidFill>
                <a:prstClr val="white"/>
              </a:solidFill>
              <a:latin typeface="Segoe UI" panose="020B0502040204020203" pitchFamily="34" charset="0"/>
              <a:ea typeface="+mn-ea"/>
              <a:cs typeface="Segoe UI" panose="020B0502040204020203" pitchFamily="34" charset="0"/>
            </a:rPr>
            <a:t>Report Out</a:t>
          </a:r>
          <a:br>
            <a:rPr lang="en-US" sz="900" kern="1200" dirty="0">
              <a:solidFill>
                <a:prstClr val="white"/>
              </a:solidFill>
              <a:latin typeface="Segoe UI" panose="020B0502040204020203" pitchFamily="34" charset="0"/>
              <a:ea typeface="+mn-ea"/>
              <a:cs typeface="Segoe UI" panose="020B0502040204020203" pitchFamily="34" charset="0"/>
            </a:rPr>
          </a:br>
          <a:br>
            <a:rPr lang="en-US" sz="900" kern="1200" dirty="0">
              <a:solidFill>
                <a:prstClr val="white"/>
              </a:solidFill>
              <a:latin typeface="Segoe UI" panose="020B0502040204020203" pitchFamily="34" charset="0"/>
              <a:ea typeface="+mn-ea"/>
              <a:cs typeface="Segoe UI" panose="020B0502040204020203" pitchFamily="34" charset="0"/>
            </a:rPr>
          </a:br>
          <a:r>
            <a:rPr lang="en-US" sz="900" kern="1200" dirty="0">
              <a:solidFill>
                <a:prstClr val="white"/>
              </a:solidFill>
              <a:latin typeface="Segoe UI" panose="020B0502040204020203" pitchFamily="34" charset="0"/>
              <a:ea typeface="+mn-ea"/>
              <a:cs typeface="Segoe UI" panose="020B0502040204020203" pitchFamily="34" charset="0"/>
            </a:rPr>
            <a:t>2 days</a:t>
          </a:r>
        </a:p>
      </dsp:txBody>
      <dsp:txXfrm>
        <a:off x="5186238" y="116119"/>
        <a:ext cx="699377" cy="597706"/>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CEC02E0258A27448A29FB0FC0148545" ma:contentTypeVersion="4" ma:contentTypeDescription="Create a new document." ma:contentTypeScope="" ma:versionID="edd0e92cf8ed7808b5801672f9d8b1ad">
  <xsd:schema xmlns:xsd="http://www.w3.org/2001/XMLSchema" xmlns:xs="http://www.w3.org/2001/XMLSchema" xmlns:p="http://schemas.microsoft.com/office/2006/metadata/properties" xmlns:ns2="c8831e79-45ca-49a6-932b-0c7b060f5ae7" targetNamespace="http://schemas.microsoft.com/office/2006/metadata/properties" ma:root="true" ma:fieldsID="f43d8950b4118adf17e0674d34fcc9df" ns2:_="">
    <xsd:import namespace="c8831e79-45ca-49a6-932b-0c7b060f5ae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831e79-45ca-49a6-932b-0c7b060f5a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c8831e79-45ca-49a6-932b-0c7b060f5ae7" xsi:nil="true"/>
  </documentManagement>
</p:properties>
</file>

<file path=customXml/itemProps1.xml><?xml version="1.0" encoding="utf-8"?>
<ds:datastoreItem xmlns:ds="http://schemas.openxmlformats.org/officeDocument/2006/customXml" ds:itemID="{B64C4DFB-1ECF-4E67-8810-863CDF6B3307}">
  <ds:schemaRefs>
    <ds:schemaRef ds:uri="http://schemas.openxmlformats.org/officeDocument/2006/bibliography"/>
  </ds:schemaRefs>
</ds:datastoreItem>
</file>

<file path=customXml/itemProps2.xml><?xml version="1.0" encoding="utf-8"?>
<ds:datastoreItem xmlns:ds="http://schemas.openxmlformats.org/officeDocument/2006/customXml" ds:itemID="{172A8D96-592D-4045-90F8-755E457343F0}"/>
</file>

<file path=customXml/itemProps3.xml><?xml version="1.0" encoding="utf-8"?>
<ds:datastoreItem xmlns:ds="http://schemas.openxmlformats.org/officeDocument/2006/customXml" ds:itemID="{B03E9B20-189A-4BD6-85F2-3CACCDBDD894}"/>
</file>

<file path=customXml/itemProps4.xml><?xml version="1.0" encoding="utf-8"?>
<ds:datastoreItem xmlns:ds="http://schemas.openxmlformats.org/officeDocument/2006/customXml" ds:itemID="{AC27D43F-9F53-4825-A3E7-79C868E225FA}"/>
</file>

<file path=docProps/app.xml><?xml version="1.0" encoding="utf-8"?>
<Properties xmlns="http://schemas.openxmlformats.org/officeDocument/2006/extended-properties" xmlns:vt="http://schemas.openxmlformats.org/officeDocument/2006/docPropsVTypes">
  <Template>Normal</Template>
  <TotalTime>0</TotalTime>
  <Pages>19</Pages>
  <Words>4974</Words>
  <Characters>28358</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33266</CharactersWithSpaces>
  <SharedDoc>false</SharedDoc>
  <HLinks>
    <vt:vector size="168" baseType="variant">
      <vt:variant>
        <vt:i4>3407994</vt:i4>
      </vt:variant>
      <vt:variant>
        <vt:i4>165</vt:i4>
      </vt:variant>
      <vt:variant>
        <vt:i4>0</vt:i4>
      </vt:variant>
      <vt:variant>
        <vt:i4>5</vt:i4>
      </vt:variant>
      <vt:variant>
        <vt:lpwstr>https://vldoctool.cloudapp.net/landing/services</vt:lpwstr>
      </vt:variant>
      <vt:variant>
        <vt:lpwstr/>
      </vt:variant>
      <vt:variant>
        <vt:i4>7012431</vt:i4>
      </vt:variant>
      <vt:variant>
        <vt:i4>147</vt:i4>
      </vt:variant>
      <vt:variant>
        <vt:i4>0</vt:i4>
      </vt:variant>
      <vt:variant>
        <vt:i4>5</vt:i4>
      </vt:variant>
      <vt:variant>
        <vt:lpwstr/>
      </vt:variant>
      <vt:variant>
        <vt:lpwstr>_General_project_activities</vt:lpwstr>
      </vt:variant>
      <vt:variant>
        <vt:i4>5177462</vt:i4>
      </vt:variant>
      <vt:variant>
        <vt:i4>144</vt:i4>
      </vt:variant>
      <vt:variant>
        <vt:i4>0</vt:i4>
      </vt:variant>
      <vt:variant>
        <vt:i4>5</vt:i4>
      </vt:variant>
      <vt:variant>
        <vt:lpwstr/>
      </vt:variant>
      <vt:variant>
        <vt:lpwstr>_Project_components_and</vt:lpwstr>
      </vt:variant>
      <vt:variant>
        <vt:i4>4456543</vt:i4>
      </vt:variant>
      <vt:variant>
        <vt:i4>138</vt:i4>
      </vt:variant>
      <vt:variant>
        <vt:i4>0</vt:i4>
      </vt:variant>
      <vt:variant>
        <vt:i4>5</vt:i4>
      </vt:variant>
      <vt:variant>
        <vt:lpwstr/>
      </vt:variant>
      <vt:variant>
        <vt:lpwstr>_Timeline_1</vt:lpwstr>
      </vt:variant>
      <vt:variant>
        <vt:i4>5177462</vt:i4>
      </vt:variant>
      <vt:variant>
        <vt:i4>135</vt:i4>
      </vt:variant>
      <vt:variant>
        <vt:i4>0</vt:i4>
      </vt:variant>
      <vt:variant>
        <vt:i4>5</vt:i4>
      </vt:variant>
      <vt:variant>
        <vt:lpwstr/>
      </vt:variant>
      <vt:variant>
        <vt:lpwstr>_Project_components_and</vt:lpwstr>
      </vt:variant>
      <vt:variant>
        <vt:i4>3407994</vt:i4>
      </vt:variant>
      <vt:variant>
        <vt:i4>123</vt:i4>
      </vt:variant>
      <vt:variant>
        <vt:i4>0</vt:i4>
      </vt:variant>
      <vt:variant>
        <vt:i4>5</vt:i4>
      </vt:variant>
      <vt:variant>
        <vt:lpwstr>https://vldoctool.cloudapp.net/landing/services</vt:lpwstr>
      </vt:variant>
      <vt:variant>
        <vt:lpwstr/>
      </vt:variant>
      <vt:variant>
        <vt:i4>2686985</vt:i4>
      </vt:variant>
      <vt:variant>
        <vt:i4>116</vt:i4>
      </vt:variant>
      <vt:variant>
        <vt:i4>0</vt:i4>
      </vt:variant>
      <vt:variant>
        <vt:i4>5</vt:i4>
      </vt:variant>
      <vt:variant>
        <vt:lpwstr/>
      </vt:variant>
      <vt:variant>
        <vt:lpwstr>_Toc5883453</vt:lpwstr>
      </vt:variant>
      <vt:variant>
        <vt:i4>2686985</vt:i4>
      </vt:variant>
      <vt:variant>
        <vt:i4>110</vt:i4>
      </vt:variant>
      <vt:variant>
        <vt:i4>0</vt:i4>
      </vt:variant>
      <vt:variant>
        <vt:i4>5</vt:i4>
      </vt:variant>
      <vt:variant>
        <vt:lpwstr/>
      </vt:variant>
      <vt:variant>
        <vt:lpwstr>_Toc5883452</vt:lpwstr>
      </vt:variant>
      <vt:variant>
        <vt:i4>2686985</vt:i4>
      </vt:variant>
      <vt:variant>
        <vt:i4>104</vt:i4>
      </vt:variant>
      <vt:variant>
        <vt:i4>0</vt:i4>
      </vt:variant>
      <vt:variant>
        <vt:i4>5</vt:i4>
      </vt:variant>
      <vt:variant>
        <vt:lpwstr/>
      </vt:variant>
      <vt:variant>
        <vt:lpwstr>_Toc5883451</vt:lpwstr>
      </vt:variant>
      <vt:variant>
        <vt:i4>2686985</vt:i4>
      </vt:variant>
      <vt:variant>
        <vt:i4>98</vt:i4>
      </vt:variant>
      <vt:variant>
        <vt:i4>0</vt:i4>
      </vt:variant>
      <vt:variant>
        <vt:i4>5</vt:i4>
      </vt:variant>
      <vt:variant>
        <vt:lpwstr/>
      </vt:variant>
      <vt:variant>
        <vt:lpwstr>_Toc5883450</vt:lpwstr>
      </vt:variant>
      <vt:variant>
        <vt:i4>2621449</vt:i4>
      </vt:variant>
      <vt:variant>
        <vt:i4>92</vt:i4>
      </vt:variant>
      <vt:variant>
        <vt:i4>0</vt:i4>
      </vt:variant>
      <vt:variant>
        <vt:i4>5</vt:i4>
      </vt:variant>
      <vt:variant>
        <vt:lpwstr/>
      </vt:variant>
      <vt:variant>
        <vt:lpwstr>_Toc5883449</vt:lpwstr>
      </vt:variant>
      <vt:variant>
        <vt:i4>2621449</vt:i4>
      </vt:variant>
      <vt:variant>
        <vt:i4>86</vt:i4>
      </vt:variant>
      <vt:variant>
        <vt:i4>0</vt:i4>
      </vt:variant>
      <vt:variant>
        <vt:i4>5</vt:i4>
      </vt:variant>
      <vt:variant>
        <vt:lpwstr/>
      </vt:variant>
      <vt:variant>
        <vt:lpwstr>_Toc5883448</vt:lpwstr>
      </vt:variant>
      <vt:variant>
        <vt:i4>2621449</vt:i4>
      </vt:variant>
      <vt:variant>
        <vt:i4>80</vt:i4>
      </vt:variant>
      <vt:variant>
        <vt:i4>0</vt:i4>
      </vt:variant>
      <vt:variant>
        <vt:i4>5</vt:i4>
      </vt:variant>
      <vt:variant>
        <vt:lpwstr/>
      </vt:variant>
      <vt:variant>
        <vt:lpwstr>_Toc5883447</vt:lpwstr>
      </vt:variant>
      <vt:variant>
        <vt:i4>2621449</vt:i4>
      </vt:variant>
      <vt:variant>
        <vt:i4>74</vt:i4>
      </vt:variant>
      <vt:variant>
        <vt:i4>0</vt:i4>
      </vt:variant>
      <vt:variant>
        <vt:i4>5</vt:i4>
      </vt:variant>
      <vt:variant>
        <vt:lpwstr/>
      </vt:variant>
      <vt:variant>
        <vt:lpwstr>_Toc5883446</vt:lpwstr>
      </vt:variant>
      <vt:variant>
        <vt:i4>2621449</vt:i4>
      </vt:variant>
      <vt:variant>
        <vt:i4>68</vt:i4>
      </vt:variant>
      <vt:variant>
        <vt:i4>0</vt:i4>
      </vt:variant>
      <vt:variant>
        <vt:i4>5</vt:i4>
      </vt:variant>
      <vt:variant>
        <vt:lpwstr/>
      </vt:variant>
      <vt:variant>
        <vt:lpwstr>_Toc5883445</vt:lpwstr>
      </vt:variant>
      <vt:variant>
        <vt:i4>2621449</vt:i4>
      </vt:variant>
      <vt:variant>
        <vt:i4>62</vt:i4>
      </vt:variant>
      <vt:variant>
        <vt:i4>0</vt:i4>
      </vt:variant>
      <vt:variant>
        <vt:i4>5</vt:i4>
      </vt:variant>
      <vt:variant>
        <vt:lpwstr/>
      </vt:variant>
      <vt:variant>
        <vt:lpwstr>_Toc5883443</vt:lpwstr>
      </vt:variant>
      <vt:variant>
        <vt:i4>2621449</vt:i4>
      </vt:variant>
      <vt:variant>
        <vt:i4>56</vt:i4>
      </vt:variant>
      <vt:variant>
        <vt:i4>0</vt:i4>
      </vt:variant>
      <vt:variant>
        <vt:i4>5</vt:i4>
      </vt:variant>
      <vt:variant>
        <vt:lpwstr/>
      </vt:variant>
      <vt:variant>
        <vt:lpwstr>_Toc5883441</vt:lpwstr>
      </vt:variant>
      <vt:variant>
        <vt:i4>2621449</vt:i4>
      </vt:variant>
      <vt:variant>
        <vt:i4>50</vt:i4>
      </vt:variant>
      <vt:variant>
        <vt:i4>0</vt:i4>
      </vt:variant>
      <vt:variant>
        <vt:i4>5</vt:i4>
      </vt:variant>
      <vt:variant>
        <vt:lpwstr/>
      </vt:variant>
      <vt:variant>
        <vt:lpwstr>_Toc5883440</vt:lpwstr>
      </vt:variant>
      <vt:variant>
        <vt:i4>3080201</vt:i4>
      </vt:variant>
      <vt:variant>
        <vt:i4>44</vt:i4>
      </vt:variant>
      <vt:variant>
        <vt:i4>0</vt:i4>
      </vt:variant>
      <vt:variant>
        <vt:i4>5</vt:i4>
      </vt:variant>
      <vt:variant>
        <vt:lpwstr/>
      </vt:variant>
      <vt:variant>
        <vt:lpwstr>_Toc5883439</vt:lpwstr>
      </vt:variant>
      <vt:variant>
        <vt:i4>3080201</vt:i4>
      </vt:variant>
      <vt:variant>
        <vt:i4>38</vt:i4>
      </vt:variant>
      <vt:variant>
        <vt:i4>0</vt:i4>
      </vt:variant>
      <vt:variant>
        <vt:i4>5</vt:i4>
      </vt:variant>
      <vt:variant>
        <vt:lpwstr/>
      </vt:variant>
      <vt:variant>
        <vt:lpwstr>_Toc5883438</vt:lpwstr>
      </vt:variant>
      <vt:variant>
        <vt:i4>3080201</vt:i4>
      </vt:variant>
      <vt:variant>
        <vt:i4>32</vt:i4>
      </vt:variant>
      <vt:variant>
        <vt:i4>0</vt:i4>
      </vt:variant>
      <vt:variant>
        <vt:i4>5</vt:i4>
      </vt:variant>
      <vt:variant>
        <vt:lpwstr/>
      </vt:variant>
      <vt:variant>
        <vt:lpwstr>_Toc5883437</vt:lpwstr>
      </vt:variant>
      <vt:variant>
        <vt:i4>3080201</vt:i4>
      </vt:variant>
      <vt:variant>
        <vt:i4>26</vt:i4>
      </vt:variant>
      <vt:variant>
        <vt:i4>0</vt:i4>
      </vt:variant>
      <vt:variant>
        <vt:i4>5</vt:i4>
      </vt:variant>
      <vt:variant>
        <vt:lpwstr/>
      </vt:variant>
      <vt:variant>
        <vt:lpwstr>_Toc5883436</vt:lpwstr>
      </vt:variant>
      <vt:variant>
        <vt:i4>3080201</vt:i4>
      </vt:variant>
      <vt:variant>
        <vt:i4>20</vt:i4>
      </vt:variant>
      <vt:variant>
        <vt:i4>0</vt:i4>
      </vt:variant>
      <vt:variant>
        <vt:i4>5</vt:i4>
      </vt:variant>
      <vt:variant>
        <vt:lpwstr/>
      </vt:variant>
      <vt:variant>
        <vt:lpwstr>_Toc5883435</vt:lpwstr>
      </vt:variant>
      <vt:variant>
        <vt:i4>3080239</vt:i4>
      </vt:variant>
      <vt:variant>
        <vt:i4>12</vt:i4>
      </vt:variant>
      <vt:variant>
        <vt:i4>0</vt:i4>
      </vt:variant>
      <vt:variant>
        <vt:i4>5</vt:i4>
      </vt:variant>
      <vt:variant>
        <vt:lpwstr>https://microsoft.sharepoint.com/teams/OCTOSBD/K360/Lists/K360Requests/Item/newifs.aspx?List=e1d3fc29%2Dddac%2D41e3%2Db603%2Dec7e6ba6191d&amp;RootFolder=&amp;Web=235aeb07%2Dea90%2D4503%2Db11a%2De4e39ece49d8</vt:lpwstr>
      </vt:variant>
      <vt:variant>
        <vt:lpwstr/>
      </vt:variant>
      <vt:variant>
        <vt:i4>655398</vt:i4>
      </vt:variant>
      <vt:variant>
        <vt:i4>9</vt:i4>
      </vt:variant>
      <vt:variant>
        <vt:i4>0</vt:i4>
      </vt:variant>
      <vt:variant>
        <vt:i4>5</vt:i4>
      </vt:variant>
      <vt:variant>
        <vt:lpwstr>mailto:sco@microsoft.com</vt:lpwstr>
      </vt:variant>
      <vt:variant>
        <vt:lpwstr/>
      </vt:variant>
      <vt:variant>
        <vt:i4>852047</vt:i4>
      </vt:variant>
      <vt:variant>
        <vt:i4>6</vt:i4>
      </vt:variant>
      <vt:variant>
        <vt:i4>0</vt:i4>
      </vt:variant>
      <vt:variant>
        <vt:i4>5</vt:i4>
      </vt:variant>
      <vt:variant>
        <vt:lpwstr>https://vldoctool.cloudapp.net/landing/services</vt:lpwstr>
      </vt:variant>
      <vt:variant>
        <vt:lpwstr>/?name=SOW+(Statement+of+Work)&amp;area=&amp;country=&amp;language=&amp;category=&amp;type=&amp;page=1&amp;count=50</vt:lpwstr>
      </vt:variant>
      <vt:variant>
        <vt:i4>3932219</vt:i4>
      </vt:variant>
      <vt:variant>
        <vt:i4>3</vt:i4>
      </vt:variant>
      <vt:variant>
        <vt:i4>0</vt:i4>
      </vt:variant>
      <vt:variant>
        <vt:i4>5</vt:i4>
      </vt:variant>
      <vt:variant>
        <vt:lpwstr>https://vldoctool.cloudapp.net/landing/services</vt:lpwstr>
      </vt:variant>
      <vt:variant>
        <vt:lpwstr>/?name=SOW+Writing+Guide&amp;area=&amp;country=&amp;language=&amp;category=&amp;type=&amp;page=1&amp;count=50</vt:lpwstr>
      </vt:variant>
      <vt:variant>
        <vt:i4>3932219</vt:i4>
      </vt:variant>
      <vt:variant>
        <vt:i4>0</vt:i4>
      </vt:variant>
      <vt:variant>
        <vt:i4>0</vt:i4>
      </vt:variant>
      <vt:variant>
        <vt:i4>5</vt:i4>
      </vt:variant>
      <vt:variant>
        <vt:lpwstr>https://vldoctool.cloudapp.net/landing/services</vt:lpwstr>
      </vt:variant>
      <vt:variant>
        <vt:lpwstr>/?name=SOW+Writing+Guide&amp;area=&amp;country=&amp;language=&amp;category=&amp;type=&amp;page=1&amp;count=50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2020-06-22T17:33:00Z</dcterms:created>
  <dcterms:modified xsi:type="dcterms:W3CDTF">2020-06-22T17:33:00Z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8704">
    <vt:lpwstr>360</vt:lpwstr>
  </property>
  <property fmtid="{D5CDD505-2E9C-101B-9397-08002B2CF9AE}" pid="3" name="MSIP_Label_f42aa342-8706-4288-bd11-ebb85995028c_Application">
    <vt:lpwstr>Microsoft Azure Information Protection</vt:lpwstr>
  </property>
  <property fmtid="{D5CDD505-2E9C-101B-9397-08002B2CF9AE}" pid="4" name="Sensitivity">
    <vt:lpwstr>General</vt:lpwstr>
  </property>
  <property fmtid="{D5CDD505-2E9C-101B-9397-08002B2CF9AE}" pid="5" name="AuthorIds_UIVersion_3">
    <vt:lpwstr>1102</vt:lpwstr>
  </property>
  <property fmtid="{D5CDD505-2E9C-101B-9397-08002B2CF9AE}" pid="6" name="MSIP_Label_f42aa342-8706-4288-bd11-ebb85995028c_Enabled">
    <vt:lpwstr>True</vt:lpwstr>
  </property>
  <property fmtid="{D5CDD505-2E9C-101B-9397-08002B2CF9AE}" pid="7" name="ContentTypeId">
    <vt:lpwstr>0x0101004CEC02E0258A27448A29FB0FC0148545</vt:lpwstr>
  </property>
  <property fmtid="{D5CDD505-2E9C-101B-9397-08002B2CF9AE}" pid="8" name="MSIP_Label_f42aa342-8706-4288-bd11-ebb85995028c_SetDate">
    <vt:lpwstr>2018-05-17T19:55:52.0109244Z</vt:lpwstr>
  </property>
  <property fmtid="{D5CDD505-2E9C-101B-9397-08002B2CF9AE}" pid="9" name="_dlc_DocIdItemGuid">
    <vt:lpwstr>7015194c-18c5-408c-9f2e-1e55245c0694</vt:lpwstr>
  </property>
  <property fmtid="{D5CDD505-2E9C-101B-9397-08002B2CF9AE}" pid="10" name="MSIP_Label_f42aa342-8706-4288-bd11-ebb85995028c_SiteId">
    <vt:lpwstr>72f988bf-86f1-41af-91ab-2d7cd011db47</vt:lpwstr>
  </property>
  <property fmtid="{D5CDD505-2E9C-101B-9397-08002B2CF9AE}" pid="11" name="MSIP_Label_f42aa342-8706-4288-bd11-ebb85995028c_Name">
    <vt:lpwstr>General</vt:lpwstr>
  </property>
  <property fmtid="{D5CDD505-2E9C-101B-9397-08002B2CF9AE}" pid="12" name="MSIP_Label_f42aa342-8706-4288-bd11-ebb85995028c_Extended_MSFT_Method">
    <vt:lpwstr>Automatic</vt:lpwstr>
  </property>
  <property fmtid="{D5CDD505-2E9C-101B-9397-08002B2CF9AE}" pid="13" name="AuthorIds_UIVersion_7">
    <vt:lpwstr>39142</vt:lpwstr>
  </property>
  <property fmtid="{D5CDD505-2E9C-101B-9397-08002B2CF9AE}" pid="14" name="AuthorIds_UIVersion_24576">
    <vt:lpwstr>1515</vt:lpwstr>
  </property>
  <property fmtid="{D5CDD505-2E9C-101B-9397-08002B2CF9AE}" pid="15" name="MSIP_Label_f42aa342-8706-4288-bd11-ebb85995028c_Owner">
    <vt:lpwstr>Andrea.Keller@indigoslate.com</vt:lpwstr>
  </property>
  <property fmtid="{D5CDD505-2E9C-101B-9397-08002B2CF9AE}" pid="16" name="AuthorIds_UIVersion_4608">
    <vt:lpwstr>46</vt:lpwstr>
  </property>
</Properties>
</file>