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5EB1F" w14:textId="77777777" w:rsidR="00F07221" w:rsidRDefault="00F07221">
      <w:pPr>
        <w:rPr>
          <w:color w:val="FF00FF"/>
        </w:rPr>
      </w:pPr>
    </w:p>
    <w:p w14:paraId="6925EB3D" w14:textId="77777777" w:rsidR="00A86A5C" w:rsidRPr="008E6137" w:rsidRDefault="00A86A5C" w:rsidP="00BE4720">
      <w:pPr>
        <w:spacing w:after="0"/>
        <w:rPr>
          <w:sz w:val="2"/>
          <w:szCs w:val="2"/>
        </w:rPr>
      </w:pPr>
    </w:p>
    <w:p w14:paraId="6925EB3E" w14:textId="77777777" w:rsidR="00A059E4" w:rsidRDefault="00A059E4" w:rsidP="003E260B"/>
    <w:p w14:paraId="6925EB3F" w14:textId="77777777" w:rsidR="00A059E4" w:rsidRDefault="00A059E4" w:rsidP="003E260B"/>
    <w:p w14:paraId="6925EB40" w14:textId="77777777" w:rsidR="00A059E4" w:rsidRDefault="00A059E4" w:rsidP="003E260B"/>
    <w:p w14:paraId="6925EB41" w14:textId="77777777" w:rsidR="00A059E4" w:rsidRDefault="00A059E4" w:rsidP="003E260B"/>
    <w:p w14:paraId="6925EB42" w14:textId="77777777" w:rsidR="00717F2C" w:rsidRDefault="008E6137" w:rsidP="003E260B">
      <w:r w:rsidRPr="008E6137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25EDDA" wp14:editId="6925EDDB">
                <wp:simplePos x="0" y="0"/>
                <wp:positionH relativeFrom="page">
                  <wp:posOffset>838200</wp:posOffset>
                </wp:positionH>
                <wp:positionV relativeFrom="paragraph">
                  <wp:posOffset>340814</wp:posOffset>
                </wp:positionV>
                <wp:extent cx="6932295" cy="2811145"/>
                <wp:effectExtent l="0" t="0" r="1905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2295" cy="2811145"/>
                        </a:xfrm>
                        <a:prstGeom prst="rect">
                          <a:avLst/>
                        </a:prstGeom>
                        <a:solidFill>
                          <a:srgbClr val="00827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5EE0A" w14:textId="77777777" w:rsidR="00D61DE6" w:rsidRDefault="00D61DE6" w:rsidP="00636570">
                            <w:pPr>
                              <w:pStyle w:val="Heading1"/>
                              <w:numPr>
                                <w:ilvl w:val="0"/>
                                <w:numId w:val="0"/>
                              </w:numPr>
                            </w:pPr>
                            <w:bookmarkStart w:id="0" w:name="_Toc475028472"/>
                            <w:bookmarkStart w:id="1" w:name="_Toc476167700"/>
                            <w:bookmarkEnd w:id="0"/>
                            <w:bookmarkEnd w:id="1"/>
                          </w:p>
                          <w:p w14:paraId="6925EE0B" w14:textId="77777777" w:rsidR="00D61DE6" w:rsidRPr="0052546A" w:rsidRDefault="00D61DE6" w:rsidP="0052546A">
                            <w:pPr>
                              <w:ind w:left="720"/>
                              <w:rPr>
                                <w:color w:val="FFFFFF" w:themeColor="background1"/>
                                <w:sz w:val="72"/>
                              </w:rPr>
                            </w:pPr>
                            <w:r w:rsidRPr="0052546A">
                              <w:rPr>
                                <w:color w:val="FFFFFF" w:themeColor="background1"/>
                                <w:sz w:val="72"/>
                              </w:rPr>
                              <w:t>Statement 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25ED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pt;margin-top:26.85pt;width:545.85pt;height:2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" fillcolor="#008272" stroked="f" strokeweight=".5pt">
                <v:textbox>
                  <w:txbxContent>
                    <w:p w14:paraId="6925EE0A" w14:textId="77777777" w:rsidR="00D61DE6" w:rsidRDefault="00D61DE6" w:rsidP="00636570">
                      <w:pPr>
                        <w:pStyle w:val="Heading1"/>
                        <w:numPr>
                          <w:ilvl w:val="0"/>
                          <w:numId w:val="0"/>
                        </w:numPr>
                      </w:pPr>
                      <w:bookmarkStart w:id="2" w:name="_Toc475028472"/>
                      <w:bookmarkStart w:id="3" w:name="_Toc476167700"/>
                      <w:bookmarkEnd w:id="2"/>
                      <w:bookmarkEnd w:id="3"/>
                    </w:p>
                    <w:p w14:paraId="6925EE0B" w14:textId="77777777" w:rsidR="00D61DE6" w:rsidRPr="0052546A" w:rsidRDefault="00D61DE6" w:rsidP="0052546A">
                      <w:pPr>
                        <w:ind w:left="720"/>
                        <w:rPr>
                          <w:color w:val="FFFFFF" w:themeColor="background1"/>
                          <w:sz w:val="72"/>
                        </w:rPr>
                      </w:pPr>
                      <w:r w:rsidRPr="0052546A">
                        <w:rPr>
                          <w:color w:val="FFFFFF" w:themeColor="background1"/>
                          <w:sz w:val="72"/>
                        </w:rPr>
                        <w:t>Statement of Work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925EB43" w14:textId="77777777" w:rsidR="00A86A5C" w:rsidRDefault="00A86A5C" w:rsidP="003E260B"/>
    <w:p w14:paraId="6925EB44" w14:textId="27A2D5F6" w:rsidR="0043613E" w:rsidRDefault="0043613E" w:rsidP="00C62FD2">
      <w:pPr>
        <w:pStyle w:val="Instructional"/>
      </w:pPr>
    </w:p>
    <w:p w14:paraId="6925EB45" w14:textId="068B8D6C" w:rsidR="0043613E" w:rsidRPr="00CF7AE9" w:rsidRDefault="0043613E" w:rsidP="00CF7AE9">
      <w:pPr>
        <w:rPr>
          <w:rFonts w:ascii="Segoe UI Semibold" w:hAnsi="Segoe UI Semibold" w:cs="Segoe UI Semibold"/>
          <w:color w:val="008272"/>
          <w:sz w:val="32"/>
        </w:rPr>
      </w:pPr>
    </w:p>
    <w:p w14:paraId="6925EB46" w14:textId="77777777" w:rsidR="0043613E" w:rsidRDefault="0043613E" w:rsidP="003E260B"/>
    <w:p w14:paraId="6925EB47" w14:textId="77777777" w:rsidR="00717F2C" w:rsidRDefault="00717F2C" w:rsidP="003E260B">
      <w:r>
        <w:t>Prepared for</w:t>
      </w:r>
    </w:p>
    <w:p w14:paraId="6925EB49" w14:textId="7C86DE13" w:rsidR="00B40F77" w:rsidRDefault="008220BD" w:rsidP="003E260B">
      <w:pPr>
        <w:rPr>
          <w:color w:val="000000" w:themeColor="text1"/>
        </w:rPr>
      </w:pPr>
      <w:r w:rsidRPr="00632ADD">
        <w:rPr>
          <w:color w:val="000000" w:themeColor="text1"/>
        </w:rPr>
        <w:t>()</w:t>
      </w:r>
    </w:p>
    <w:p w14:paraId="157147B1" w14:textId="77777777" w:rsidR="008220BD" w:rsidRDefault="008220BD" w:rsidP="003E260B"/>
    <w:p w14:paraId="6925EB4A" w14:textId="77777777" w:rsidR="007F148A" w:rsidRDefault="007F148A" w:rsidP="003E260B">
      <w:r>
        <w:t>Prepared by</w:t>
      </w:r>
    </w:p>
    <w:p w14:paraId="6925EB4C" w14:textId="77777777" w:rsidR="007F148A" w:rsidRDefault="007F148A" w:rsidP="003E260B"/>
    <w:p w14:paraId="6925EB4D" w14:textId="7B9FE3CB" w:rsidR="00717F2C" w:rsidRDefault="00717F2C" w:rsidP="003E260B">
      <w:r>
        <w:t xml:space="preserve">Date: </w:t>
      </w:r>
      <w:r w:rsidR="00C35DBC">
        <w:t>17 November 2019</w:t>
      </w:r>
    </w:p>
    <w:p w14:paraId="6925EB4E" w14:textId="3FF2CC52" w:rsidR="00717F2C" w:rsidRPr="00A8149E" w:rsidRDefault="00717F2C" w:rsidP="003E260B">
      <w:pPr>
        <w:rPr>
          <w:rStyle w:val="InstructionalChar"/>
        </w:rPr>
      </w:pPr>
      <w:r>
        <w:t>Version</w:t>
      </w:r>
      <w:r w:rsidR="008220BD">
        <w:t xml:space="preserve">: </w:t>
      </w:r>
      <w:r w:rsidR="00C35DBC">
        <w:t>1.0 FINAL</w:t>
      </w:r>
    </w:p>
    <w:p w14:paraId="6925EB4F" w14:textId="77777777" w:rsidR="007F148A" w:rsidRDefault="007F148A" w:rsidP="003E260B"/>
    <w:p w14:paraId="6925EB50" w14:textId="77777777" w:rsidR="007F148A" w:rsidRDefault="007F148A" w:rsidP="003E260B">
      <w:pPr>
        <w:sectPr w:rsidR="007F148A" w:rsidSect="00AC2C70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sdt>
      <w:sdtPr>
        <w:rPr>
          <w:rFonts w:ascii="Segoe UI" w:eastAsiaTheme="minorHAnsi" w:hAnsi="Segoe UI" w:cstheme="minorBidi"/>
          <w:color w:val="auto"/>
          <w:sz w:val="20"/>
          <w:szCs w:val="22"/>
        </w:rPr>
        <w:id w:val="19922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25EB51" w14:textId="77777777" w:rsidR="00C23371" w:rsidRDefault="00C23371" w:rsidP="00C158F4">
          <w:pPr>
            <w:pStyle w:val="TOCHeading"/>
            <w:numPr>
              <w:ilvl w:val="0"/>
              <w:numId w:val="0"/>
            </w:numPr>
            <w:ind w:left="360" w:hanging="360"/>
          </w:pPr>
          <w:r>
            <w:t xml:space="preserve">Table of </w:t>
          </w:r>
          <w:r w:rsidR="006209A1">
            <w:t>contents</w:t>
          </w:r>
        </w:p>
        <w:p w14:paraId="20242093" w14:textId="707CB6F4" w:rsidR="00C35DBC" w:rsidRDefault="00EF21F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24894294" w:history="1">
            <w:r w:rsidR="00C35DBC" w:rsidRPr="00C73C64">
              <w:rPr>
                <w:rStyle w:val="Hyperlink"/>
                <w:noProof/>
              </w:rPr>
              <w:t>Introduction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_Toc24894294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25026A3E" w14:textId="164C0DEB" w:rsidR="00C35DBC" w:rsidRDefault="0036705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295" w:history="1">
            <w:r w:rsidR="00C35DBC" w:rsidRPr="00C73C64">
              <w:rPr>
                <w:rStyle w:val="Hyperlink"/>
                <w:noProof/>
              </w:rPr>
              <w:t>1.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Project objectives and scope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_Toc24894295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68B280E5" w14:textId="3EAAD5CE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296" w:history="1">
            <w:r w:rsidR="00C35DBC" w:rsidRPr="00C73C64">
              <w:rPr>
                <w:rStyle w:val="Hyperlink"/>
                <w:noProof/>
              </w:rPr>
              <w:t>1.1.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Objectives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_Toc24894296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2307D01F" w14:textId="5DCAFCD8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297" w:history="1">
            <w:r w:rsidR="00C35DBC" w:rsidRPr="00C73C64">
              <w:rPr>
                <w:rStyle w:val="Hyperlink"/>
                <w:noProof/>
              </w:rPr>
              <w:t>1.2.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Areas in scope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_Toc24894297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7DC8038F" w14:textId="5DB9A2B9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298" w:history="1">
            <w:r w:rsidR="00C35DBC" w:rsidRPr="00C73C64">
              <w:rPr>
                <w:rStyle w:val="Hyperlink"/>
                <w:noProof/>
              </w:rPr>
              <w:t>1.3.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Areas out of scope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_Toc24894298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5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7D3D7E08" w14:textId="236F5EE5" w:rsidR="00C35DBC" w:rsidRDefault="0036705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299" w:history="1">
            <w:r w:rsidR="00C35DBC" w:rsidRPr="00C73C64">
              <w:rPr>
                <w:rStyle w:val="Hyperlink"/>
                <w:noProof/>
              </w:rPr>
              <w:t>2.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Project approach, timeline, and deliverable acceptance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_Toc24894299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6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3B18E720" w14:textId="08EC21CD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0" w:history="1">
            <w:r w:rsidR="00C35DBC" w:rsidRPr="00C73C64">
              <w:rPr>
                <w:rStyle w:val="Hyperlink"/>
                <w:noProof/>
              </w:rPr>
              <w:t>2.1.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Approach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_Toc24894300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6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456797F5" w14:textId="35DF4C2E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1" w:history="1">
            <w:r w:rsidR="00C35DBC" w:rsidRPr="00C73C64">
              <w:rPr>
                <w:rStyle w:val="Hyperlink"/>
                <w:noProof/>
              </w:rPr>
              <w:t>2.2.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Timeline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_Toc24894301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8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323D69F9" w14:textId="158B13CD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2" w:history="1">
            <w:r w:rsidR="00C35DBC" w:rsidRPr="00C73C64">
              <w:rPr>
                <w:rStyle w:val="Hyperlink"/>
                <w:noProof/>
              </w:rPr>
              <w:t>2.3.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Deliverable acceptance process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_Toc24894302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8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7917325F" w14:textId="40019301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3" w:history="1">
            <w:r w:rsidR="00C35DBC" w:rsidRPr="00C73C64">
              <w:rPr>
                <w:rStyle w:val="Hyperlink"/>
                <w:noProof/>
              </w:rPr>
              <w:t>2.4.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Project governance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_Toc24894303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9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09F45A34" w14:textId="406188A4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4" w:history="1">
            <w:r w:rsidR="00C35DBC" w:rsidRPr="00C73C64">
              <w:rPr>
                <w:rStyle w:val="Hyperlink"/>
                <w:noProof/>
              </w:rPr>
              <w:t>2.5.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Project completion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_Toc24894304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10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7E3541BF" w14:textId="6A76337E" w:rsidR="00C35DBC" w:rsidRDefault="0036705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5" w:history="1">
            <w:r w:rsidR="00C35DBC" w:rsidRPr="00C73C64">
              <w:rPr>
                <w:rStyle w:val="Hyperlink"/>
                <w:noProof/>
              </w:rPr>
              <w:t>3.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Project organization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_Toc24894305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11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5C2839D1" w14:textId="2DA13E54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6" w:history="1">
            <w:r w:rsidR="00C35DBC" w:rsidRPr="00C73C64">
              <w:rPr>
                <w:rStyle w:val="Hyperlink"/>
                <w:noProof/>
              </w:rPr>
              <w:t>3.1.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Project roles and responsibilities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_Toc24894306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11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0E3EE377" w14:textId="55E16002" w:rsidR="00C35DBC" w:rsidRDefault="00367055">
          <w:pPr>
            <w:pStyle w:val="TOC1"/>
            <w:tabs>
              <w:tab w:val="left" w:pos="4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7" w:history="1">
            <w:r w:rsidR="00C35DBC" w:rsidRPr="00C73C64">
              <w:rPr>
                <w:rStyle w:val="Hyperlink"/>
                <w:noProof/>
              </w:rPr>
              <w:t>4.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Customer responsibilities and project assumptions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_Toc24894307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12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1DA90C39" w14:textId="63E94772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8" w:history="1">
            <w:r w:rsidR="00C35DBC" w:rsidRPr="00C73C64">
              <w:rPr>
                <w:rStyle w:val="Hyperlink"/>
                <w:noProof/>
              </w:rPr>
              <w:t>4.1.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Customer responsibilities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_Toc24894308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12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79469ED3" w14:textId="349AD288" w:rsidR="00C35DBC" w:rsidRDefault="00367055">
          <w:pPr>
            <w:pStyle w:val="TOC2"/>
            <w:tabs>
              <w:tab w:val="left" w:pos="8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ZA" w:eastAsia="en-ZA"/>
            </w:rPr>
          </w:pPr>
          <w:hyperlink w:anchor="_Toc24894309" w:history="1">
            <w:r w:rsidR="00C35DBC" w:rsidRPr="00C73C64">
              <w:rPr>
                <w:rStyle w:val="Hyperlink"/>
                <w:noProof/>
              </w:rPr>
              <w:t>4.2.</w:t>
            </w:r>
            <w:r w:rsidR="00C35DBC">
              <w:rPr>
                <w:rFonts w:asciiTheme="minorHAnsi" w:eastAsiaTheme="minorEastAsia" w:hAnsiTheme="minorHAnsi"/>
                <w:noProof/>
                <w:sz w:val="22"/>
                <w:lang w:val="en-ZA" w:eastAsia="en-ZA"/>
              </w:rPr>
              <w:tab/>
            </w:r>
            <w:r w:rsidR="00C35DBC" w:rsidRPr="00C73C64">
              <w:rPr>
                <w:rStyle w:val="Hyperlink"/>
                <w:noProof/>
              </w:rPr>
              <w:t>Project assumptions</w:t>
            </w:r>
            <w:r w:rsidR="00C35DBC">
              <w:rPr>
                <w:noProof/>
                <w:webHidden/>
              </w:rPr>
              <w:tab/>
            </w:r>
            <w:r w:rsidR="00C35DBC">
              <w:rPr>
                <w:noProof/>
                <w:webHidden/>
              </w:rPr>
              <w:fldChar w:fldCharType="begin"/>
            </w:r>
            <w:r w:rsidR="00C35DBC">
              <w:rPr>
                <w:noProof/>
                <w:webHidden/>
              </w:rPr>
              <w:instrText xml:space="preserve"> PAGEREF _Toc24894309 \h </w:instrText>
            </w:r>
            <w:r w:rsidR="00C35DBC">
              <w:rPr>
                <w:noProof/>
                <w:webHidden/>
              </w:rPr>
            </w:r>
            <w:r w:rsidR="00C35DBC">
              <w:rPr>
                <w:noProof/>
                <w:webHidden/>
              </w:rPr>
              <w:fldChar w:fldCharType="separate"/>
            </w:r>
            <w:r w:rsidR="00C35DBC">
              <w:rPr>
                <w:noProof/>
                <w:webHidden/>
              </w:rPr>
              <w:t>12</w:t>
            </w:r>
            <w:r w:rsidR="00C35DBC">
              <w:rPr>
                <w:noProof/>
                <w:webHidden/>
              </w:rPr>
              <w:fldChar w:fldCharType="end"/>
            </w:r>
          </w:hyperlink>
        </w:p>
        <w:p w14:paraId="6925EB63" w14:textId="254806BB" w:rsidR="00C23371" w:rsidRDefault="00EF21FB">
          <w:r>
            <w:fldChar w:fldCharType="end"/>
          </w:r>
        </w:p>
      </w:sdtContent>
    </w:sdt>
    <w:p w14:paraId="6925EB64" w14:textId="77777777" w:rsidR="00C81329" w:rsidRDefault="00C81329"/>
    <w:p w14:paraId="6925EB65" w14:textId="77777777" w:rsidR="007E7F79" w:rsidRDefault="007E7F79">
      <w:pPr>
        <w:rPr>
          <w:highlight w:val="yellow"/>
        </w:rPr>
        <w:sectPr w:rsidR="007E7F79" w:rsidSect="00525EBE">
          <w:footerReference w:type="first" r:id="rId8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925EB66" w14:textId="0FEF4869" w:rsidR="0001741F" w:rsidRDefault="0001741F" w:rsidP="0001741F">
      <w:bookmarkStart w:id="4" w:name="_Toc476167701"/>
      <w:bookmarkStart w:id="5" w:name="_Toc476168021"/>
      <w:r>
        <w:lastRenderedPageBreak/>
        <w:t>This Statement of W</w:t>
      </w:r>
      <w:r w:rsidRPr="00C81329">
        <w:t xml:space="preserve">ork (SOW) and any exhibits, appendices, schedules, and attachments to </w:t>
      </w:r>
      <w:r>
        <w:t>it are made pursuant to Work Order</w:t>
      </w:r>
      <w:r w:rsidR="00073D15">
        <w:t xml:space="preserve"> </w:t>
      </w:r>
      <w:r w:rsidR="00073D15" w:rsidRPr="00073D15">
        <w:t>6ZAF201-260353-308257</w:t>
      </w:r>
      <w:r>
        <w:t xml:space="preserve"> and describes the work to be performed (Services) by Microsoft (“us,” “we”) for</w:t>
      </w:r>
      <w:r w:rsidR="00464471">
        <w:t xml:space="preserve"> </w:t>
      </w:r>
      <w:r w:rsidR="006F0BFD">
        <w:t xml:space="preserve">through </w:t>
      </w:r>
      <w:r>
        <w:t>(</w:t>
      </w:r>
      <w:r w:rsidR="006F0BFD">
        <w:t xml:space="preserve">“”, “”, </w:t>
      </w:r>
      <w:r>
        <w:t>“Customer,” “you,” “your”) relating to</w:t>
      </w:r>
      <w:r w:rsidR="006F0BFD">
        <w:t xml:space="preserve"> </w:t>
      </w:r>
      <w:r w:rsidR="000533C4">
        <w:t xml:space="preserve"> Archive Migration</w:t>
      </w:r>
      <w:r>
        <w:t xml:space="preserve"> (</w:t>
      </w:r>
      <w:r w:rsidR="000533C4">
        <w:t>“</w:t>
      </w:r>
      <w:r>
        <w:t>project</w:t>
      </w:r>
      <w:r w:rsidR="000533C4">
        <w:t>”</w:t>
      </w:r>
      <w:r>
        <w:t>).</w:t>
      </w:r>
    </w:p>
    <w:p w14:paraId="6925EB67" w14:textId="77777777" w:rsidR="0001741F" w:rsidRDefault="0001741F" w:rsidP="0001741F">
      <w:r>
        <w:t xml:space="preserve">This SOW and the associated Work Order expire 30 </w:t>
      </w:r>
      <w:r w:rsidRPr="00C81329">
        <w:t xml:space="preserve">days after their publication date, unless </w:t>
      </w:r>
      <w:r>
        <w:t xml:space="preserve">signed by both parties </w:t>
      </w:r>
      <w:proofErr w:type="gramStart"/>
      <w:r w:rsidRPr="00C81329">
        <w:t>or</w:t>
      </w:r>
      <w:proofErr w:type="gramEnd"/>
      <w:r w:rsidRPr="00C81329">
        <w:t xml:space="preserve"> formally extended in writing by Microsoft.</w:t>
      </w:r>
    </w:p>
    <w:p w14:paraId="6925EB68" w14:textId="77777777" w:rsidR="00C81329" w:rsidRPr="00C81329" w:rsidRDefault="00C81329" w:rsidP="004737C4">
      <w:pPr>
        <w:pStyle w:val="Heading1nonumbers"/>
      </w:pPr>
      <w:bookmarkStart w:id="6" w:name="_Toc24894294"/>
      <w:r w:rsidRPr="00C81329">
        <w:t>Introduction</w:t>
      </w:r>
      <w:bookmarkEnd w:id="4"/>
      <w:bookmarkEnd w:id="5"/>
      <w:bookmarkEnd w:id="6"/>
    </w:p>
    <w:p w14:paraId="6EC5E2A3" w14:textId="28CBE905" w:rsidR="00835D87" w:rsidRDefault="00835D87" w:rsidP="00835D8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bookmarkStart w:id="7" w:name="_Toc476167702"/>
      <w:bookmarkStart w:id="8" w:name="_Toc476168022"/>
      <w:bookmarkStart w:id="9" w:name="_Ref477786305"/>
      <w:r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 engaged Microsoft to provide them with a proposal to move ’s email from the hosted service provider to Exchange Online. One of the components that </w:t>
      </w:r>
      <w:r w:rsidR="00000802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that forms </w:t>
      </w:r>
      <w:r w:rsidR="00F373FB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part of the</w:t>
      </w:r>
      <w:r w:rsidR="00A360AB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</w:t>
      </w:r>
      <w:r w:rsidR="00C35DBC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overall migration</w:t>
      </w:r>
      <w:r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i</w:t>
      </w:r>
      <w:r w:rsidR="00FE37E0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ncludes </w:t>
      </w:r>
      <w:r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the </w:t>
      </w:r>
      <w:r w:rsidR="00A360AB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migration of </w:t>
      </w:r>
      <w:r w:rsidR="00643C6C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the </w:t>
      </w:r>
      <w:proofErr w:type="gramStart"/>
      <w:r w:rsidR="00643C6C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current </w:t>
      </w:r>
      <w:r w:rsidR="00000802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</w:t>
      </w:r>
      <w:r w:rsidR="00643C6C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Archive</w:t>
      </w:r>
      <w:proofErr w:type="gramEnd"/>
      <w:r w:rsidR="00643C6C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data</w:t>
      </w:r>
      <w:r w:rsidR="00F3043D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. The </w:t>
      </w:r>
      <w:r w:rsidR="000452C6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data, </w:t>
      </w:r>
      <w:r w:rsidR="00680B73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200TB, must be ingested </w:t>
      </w:r>
      <w:r w:rsidR="00910629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into </w:t>
      </w:r>
      <w:r w:rsidR="008013DD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Office 365 Online Archive mailboxes</w:t>
      </w:r>
      <w:r w:rsidR="00BB0321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. </w:t>
      </w:r>
      <w:r w:rsidR="0033642E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Our </w:t>
      </w:r>
      <w:r w:rsidR="007A3D30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approach </w:t>
      </w:r>
      <w:r w:rsidR="000F358C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assumes</w:t>
      </w:r>
      <w:r w:rsidR="007A3D30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</w:t>
      </w:r>
      <w:proofErr w:type="gramStart"/>
      <w:r w:rsidR="007A3D30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that  will</w:t>
      </w:r>
      <w:proofErr w:type="gramEnd"/>
      <w:r w:rsidR="007A3D30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negotiate with  to get the data extrac</w:t>
      </w:r>
      <w:r w:rsidR="00534059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ted </w:t>
      </w:r>
      <w:r w:rsidR="00B57F5D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and provided to Microsoft </w:t>
      </w:r>
      <w:r w:rsidR="007B174F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in zipped EML format</w:t>
      </w:r>
      <w:r w:rsidR="004C7B55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with full fidelity</w:t>
      </w:r>
      <w:r w:rsidR="00B57F5D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.</w:t>
      </w:r>
      <w:r w:rsidR="007B174F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</w:t>
      </w:r>
    </w:p>
    <w:p w14:paraId="389470CA" w14:textId="0B4E6A1F" w:rsidR="00835D87" w:rsidRDefault="00835D87" w:rsidP="00835D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</w:pPr>
      <w:r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This SOW describes the </w:t>
      </w:r>
      <w:r w:rsidR="000F358C"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archive data migration</w:t>
      </w:r>
      <w:r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 xml:space="preserve"> as a component, which forms part of the bigger overall email as a service program </w:t>
      </w:r>
      <w:proofErr w:type="gramStart"/>
      <w:r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  <w:t>for .</w:t>
      </w:r>
      <w:proofErr w:type="gramEnd"/>
    </w:p>
    <w:p w14:paraId="31B7CCAD" w14:textId="77777777" w:rsidR="00835D87" w:rsidRDefault="00835D87" w:rsidP="00835D8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eastAsiaTheme="majorEastAsia" w:hAnsi="Segoe UI" w:cs="Segoe UI"/>
          <w:sz w:val="20"/>
          <w:szCs w:val="20"/>
          <w:lang w:val="en-US"/>
        </w:rPr>
      </w:pPr>
    </w:p>
    <w:p w14:paraId="6925EB6A" w14:textId="488EC79D" w:rsidR="00C81329" w:rsidRPr="005C14DF" w:rsidRDefault="00C81329" w:rsidP="00835D87">
      <w:pPr>
        <w:pStyle w:val="Heading1"/>
      </w:pPr>
      <w:bookmarkStart w:id="10" w:name="_Toc24894295"/>
      <w:r w:rsidRPr="005C14DF">
        <w:t xml:space="preserve">Project </w:t>
      </w:r>
      <w:r w:rsidR="00D8456D" w:rsidRPr="005C14DF">
        <w:t>objective</w:t>
      </w:r>
      <w:r w:rsidR="00267D79">
        <w:t>s</w:t>
      </w:r>
      <w:r w:rsidR="00D8456D" w:rsidRPr="005C14DF">
        <w:t xml:space="preserve"> and scope</w:t>
      </w:r>
      <w:bookmarkEnd w:id="7"/>
      <w:bookmarkEnd w:id="8"/>
      <w:bookmarkEnd w:id="9"/>
      <w:bookmarkEnd w:id="10"/>
    </w:p>
    <w:p w14:paraId="6925EB6B" w14:textId="77777777" w:rsidR="005A1C5E" w:rsidRDefault="005A1C5E" w:rsidP="00C84DD9">
      <w:pPr>
        <w:pStyle w:val="Heading2"/>
      </w:pPr>
      <w:bookmarkStart w:id="11" w:name="_Toc476167703"/>
      <w:bookmarkStart w:id="12" w:name="_Toc476168023"/>
      <w:bookmarkStart w:id="13" w:name="_Toc24894296"/>
      <w:r>
        <w:t>Objectives</w:t>
      </w:r>
      <w:bookmarkEnd w:id="11"/>
      <w:bookmarkEnd w:id="12"/>
      <w:bookmarkEnd w:id="13"/>
    </w:p>
    <w:p w14:paraId="240FA745" w14:textId="74E4A8FF" w:rsidR="0032464A" w:rsidRDefault="005A1C5E" w:rsidP="00D8456D">
      <w:r>
        <w:t>The objectives of this project are</w:t>
      </w:r>
      <w:r w:rsidR="00884E0D">
        <w:t xml:space="preserve"> to</w:t>
      </w:r>
      <w:r w:rsidR="00B2408A">
        <w:t xml:space="preserve"> </w:t>
      </w:r>
      <w:r w:rsidR="004371F2">
        <w:t xml:space="preserve">ingest 200TB of zipped EML files into named Office 365 Online Archive mailboxes </w:t>
      </w:r>
      <w:r w:rsidR="00717C53">
        <w:t xml:space="preserve">and ensuring </w:t>
      </w:r>
      <w:r w:rsidR="00196554">
        <w:t>chain</w:t>
      </w:r>
      <w:r w:rsidR="00717C53">
        <w:t xml:space="preserve"> of custody</w:t>
      </w:r>
      <w:r w:rsidR="00FF03FD">
        <w:t xml:space="preserve"> </w:t>
      </w:r>
      <w:r w:rsidR="00E261C2">
        <w:t xml:space="preserve">is reported </w:t>
      </w:r>
      <w:r w:rsidR="00AE46BE">
        <w:t xml:space="preserve">over an </w:t>
      </w:r>
      <w:r w:rsidR="005212A5">
        <w:t>18-month</w:t>
      </w:r>
      <w:r w:rsidR="00AE46BE">
        <w:t xml:space="preserve"> period.</w:t>
      </w:r>
      <w:r w:rsidR="00AC0AB3">
        <w:t xml:space="preserve"> The ingestion </w:t>
      </w:r>
      <w:r w:rsidR="00AA12B8">
        <w:t xml:space="preserve">will only start </w:t>
      </w:r>
      <w:r w:rsidR="005212A5">
        <w:t>once the named mailboxes are active</w:t>
      </w:r>
      <w:r w:rsidR="00433D4D">
        <w:t>.</w:t>
      </w:r>
    </w:p>
    <w:p w14:paraId="2A0B13E4" w14:textId="5D4962D2" w:rsidR="00C93906" w:rsidRDefault="00C93906" w:rsidP="00D8456D">
      <w:r w:rsidRPr="00C93906">
        <w:t xml:space="preserve"> </w:t>
      </w:r>
    </w:p>
    <w:p w14:paraId="6925EB6D" w14:textId="77777777" w:rsidR="00D8456D" w:rsidRDefault="004C2A6F" w:rsidP="00C84DD9">
      <w:pPr>
        <w:pStyle w:val="Heading2"/>
      </w:pPr>
      <w:bookmarkStart w:id="14" w:name="_Toc476167704"/>
      <w:bookmarkStart w:id="15" w:name="_Toc476168024"/>
      <w:bookmarkStart w:id="16" w:name="_Ref477786310"/>
      <w:bookmarkStart w:id="17" w:name="_Toc24894297"/>
      <w:r>
        <w:t xml:space="preserve">Areas </w:t>
      </w:r>
      <w:r w:rsidR="00D8456D" w:rsidRPr="005C14DF">
        <w:t>in scope</w:t>
      </w:r>
      <w:bookmarkEnd w:id="14"/>
      <w:bookmarkEnd w:id="15"/>
      <w:bookmarkEnd w:id="16"/>
      <w:bookmarkEnd w:id="17"/>
    </w:p>
    <w:p w14:paraId="6925EB6E" w14:textId="3C5E10CF" w:rsidR="00390A88" w:rsidRDefault="00390A88" w:rsidP="00C84DD9">
      <w:pPr>
        <w:pStyle w:val="Heading3"/>
      </w:pPr>
      <w:bookmarkStart w:id="18" w:name="_Toc476168025"/>
      <w:r>
        <w:t>General project scope</w:t>
      </w:r>
      <w:bookmarkEnd w:id="18"/>
    </w:p>
    <w:p w14:paraId="6925EB70" w14:textId="77777777" w:rsidR="005A1C5E" w:rsidRDefault="005A1C5E" w:rsidP="00E618D7">
      <w:r>
        <w:t xml:space="preserve">Microsoft will provide </w:t>
      </w:r>
      <w:r w:rsidR="0001741F">
        <w:t>S</w:t>
      </w:r>
      <w:r w:rsidR="00BE40E6">
        <w:t xml:space="preserve">ervices </w:t>
      </w:r>
      <w:r>
        <w:t>in support of the following scope</w:t>
      </w:r>
      <w:r w:rsidR="00BE40E6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62"/>
        <w:gridCol w:w="4410"/>
        <w:gridCol w:w="2787"/>
      </w:tblGrid>
      <w:tr w:rsidR="00390A88" w14:paraId="6925EB74" w14:textId="77777777" w:rsidTr="000A5694">
        <w:trPr>
          <w:trHeight w:val="360"/>
          <w:tblHeader/>
        </w:trPr>
        <w:tc>
          <w:tcPr>
            <w:tcW w:w="2162" w:type="dxa"/>
            <w:shd w:val="clear" w:color="auto" w:fill="008272"/>
          </w:tcPr>
          <w:p w14:paraId="6925EB71" w14:textId="77777777" w:rsidR="00390A88" w:rsidRPr="00057271" w:rsidRDefault="00884E0D" w:rsidP="00057271">
            <w:pPr>
              <w:pStyle w:val="Table-Header"/>
            </w:pPr>
            <w:r w:rsidRPr="00057271">
              <w:t>Area</w:t>
            </w:r>
          </w:p>
        </w:tc>
        <w:tc>
          <w:tcPr>
            <w:tcW w:w="4410" w:type="dxa"/>
            <w:shd w:val="clear" w:color="auto" w:fill="008272"/>
          </w:tcPr>
          <w:p w14:paraId="6925EB72" w14:textId="77777777" w:rsidR="00390A88" w:rsidRPr="00057271" w:rsidRDefault="00390A88" w:rsidP="00057271">
            <w:pPr>
              <w:pStyle w:val="Table-Header"/>
            </w:pPr>
            <w:r w:rsidRPr="00057271">
              <w:t xml:space="preserve">Description </w:t>
            </w:r>
          </w:p>
        </w:tc>
        <w:tc>
          <w:tcPr>
            <w:tcW w:w="2787" w:type="dxa"/>
            <w:shd w:val="clear" w:color="auto" w:fill="008272"/>
          </w:tcPr>
          <w:p w14:paraId="6925EB73" w14:textId="252BB7A2" w:rsidR="00390A88" w:rsidRPr="00057271" w:rsidRDefault="00390A88" w:rsidP="00057271">
            <w:pPr>
              <w:pStyle w:val="Table-Header"/>
            </w:pPr>
            <w:r w:rsidRPr="00057271">
              <w:t>Assumptions</w:t>
            </w:r>
          </w:p>
        </w:tc>
      </w:tr>
      <w:tr w:rsidR="00390A88" w14:paraId="6925EB78" w14:textId="77777777" w:rsidTr="00B44F57">
        <w:trPr>
          <w:trHeight w:val="432"/>
        </w:trPr>
        <w:tc>
          <w:tcPr>
            <w:tcW w:w="2162" w:type="dxa"/>
            <w:shd w:val="clear" w:color="auto" w:fill="auto"/>
          </w:tcPr>
          <w:p w14:paraId="6925EB75" w14:textId="18A4F420" w:rsidR="00390A88" w:rsidRPr="00117AE2" w:rsidRDefault="00AA7360" w:rsidP="00117AE2">
            <w:pPr>
              <w:pStyle w:val="TableText"/>
            </w:pPr>
            <w:r>
              <w:t>Tooling</w:t>
            </w:r>
          </w:p>
        </w:tc>
        <w:tc>
          <w:tcPr>
            <w:tcW w:w="4410" w:type="dxa"/>
            <w:shd w:val="clear" w:color="auto" w:fill="FFFFFF" w:themeFill="background1"/>
          </w:tcPr>
          <w:p w14:paraId="18BB2859" w14:textId="40B30E9D" w:rsidR="00067119" w:rsidRPr="00067119" w:rsidRDefault="00067119" w:rsidP="00625289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lang w:val="en-ZA"/>
              </w:rPr>
            </w:pPr>
            <w:r w:rsidRPr="00067119">
              <w:t xml:space="preserve">Setup the extraction, </w:t>
            </w:r>
            <w:r w:rsidR="009D3768" w:rsidRPr="00067119">
              <w:t>classification,</w:t>
            </w:r>
            <w:r w:rsidRPr="00067119">
              <w:t xml:space="preserve"> and migration environment</w:t>
            </w:r>
            <w:r w:rsidR="00AE6B08">
              <w:t>, Archive2Azure</w:t>
            </w:r>
          </w:p>
          <w:p w14:paraId="44B5D2BA" w14:textId="7FB7BA33" w:rsidR="00AE6B08" w:rsidRPr="00C93906" w:rsidRDefault="00AE6B08" w:rsidP="00625289">
            <w:pPr>
              <w:pStyle w:val="ListParagraph"/>
              <w:numPr>
                <w:ilvl w:val="0"/>
                <w:numId w:val="9"/>
              </w:numPr>
              <w:rPr>
                <w:lang w:val="en-ZA"/>
              </w:rPr>
            </w:pPr>
            <w:r w:rsidRPr="00C93906">
              <w:t xml:space="preserve">Data checking, </w:t>
            </w:r>
            <w:proofErr w:type="gramStart"/>
            <w:r w:rsidRPr="00C93906">
              <w:t>validation</w:t>
            </w:r>
            <w:proofErr w:type="gramEnd"/>
            <w:r w:rsidRPr="00C93906">
              <w:t xml:space="preserve"> and classification in Archive2Azure</w:t>
            </w:r>
          </w:p>
          <w:p w14:paraId="0E6209DB" w14:textId="466F3109" w:rsidR="00AE6B08" w:rsidRPr="00C93906" w:rsidRDefault="00AE6B08" w:rsidP="00625289">
            <w:pPr>
              <w:pStyle w:val="ListParagraph"/>
              <w:numPr>
                <w:ilvl w:val="0"/>
                <w:numId w:val="9"/>
              </w:numPr>
              <w:rPr>
                <w:lang w:val="en-ZA"/>
              </w:rPr>
            </w:pPr>
            <w:r w:rsidRPr="00C93906">
              <w:t>Customer access to Archive2Azure for data archive search and retrieval during project duration</w:t>
            </w:r>
          </w:p>
          <w:p w14:paraId="6925EB76" w14:textId="77777777" w:rsidR="00390A88" w:rsidRDefault="00390A88" w:rsidP="00117AE2">
            <w:pPr>
              <w:pStyle w:val="TableText"/>
              <w:rPr>
                <w:rFonts w:ascii="Segoe UI Semilight" w:hAnsi="Segoe UI Semilight"/>
              </w:rPr>
            </w:pPr>
          </w:p>
        </w:tc>
        <w:tc>
          <w:tcPr>
            <w:tcW w:w="2787" w:type="dxa"/>
            <w:shd w:val="clear" w:color="auto" w:fill="FFFFFF" w:themeFill="background1"/>
          </w:tcPr>
          <w:p w14:paraId="6C98CAC2" w14:textId="3635C1FD" w:rsidR="00390A88" w:rsidRDefault="00451968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Azure </w:t>
            </w:r>
            <w:r w:rsidR="001B78DE">
              <w:rPr>
                <w:rFonts w:ascii="Segoe UI Semilight" w:hAnsi="Segoe UI Semilight"/>
              </w:rPr>
              <w:t xml:space="preserve">Enterprise </w:t>
            </w:r>
            <w:r w:rsidR="00FA5423">
              <w:rPr>
                <w:rFonts w:ascii="Segoe UI Semilight" w:hAnsi="Segoe UI Semilight"/>
              </w:rPr>
              <w:t>Agreement commit</w:t>
            </w:r>
            <w:r w:rsidR="00E3789D">
              <w:rPr>
                <w:rFonts w:ascii="Segoe UI Semilight" w:hAnsi="Segoe UI Semilight"/>
              </w:rPr>
              <w:t xml:space="preserve"> </w:t>
            </w:r>
            <w:r w:rsidR="004D26DA">
              <w:rPr>
                <w:rFonts w:ascii="Segoe UI Semilight" w:hAnsi="Segoe UI Semilight"/>
              </w:rPr>
              <w:t>will be use</w:t>
            </w:r>
            <w:r w:rsidR="009C0D31">
              <w:rPr>
                <w:rFonts w:ascii="Segoe UI Semilight" w:hAnsi="Segoe UI Semilight"/>
              </w:rPr>
              <w:t xml:space="preserve">d to </w:t>
            </w:r>
            <w:r w:rsidR="003D01A7">
              <w:rPr>
                <w:rFonts w:ascii="Segoe UI Semilight" w:hAnsi="Segoe UI Semilight"/>
              </w:rPr>
              <w:t xml:space="preserve">build </w:t>
            </w:r>
            <w:r w:rsidR="009C0D31">
              <w:rPr>
                <w:rFonts w:ascii="Segoe UI Semilight" w:hAnsi="Segoe UI Semilight"/>
              </w:rPr>
              <w:t>the tooling platform on</w:t>
            </w:r>
            <w:r w:rsidR="001B78DE">
              <w:rPr>
                <w:rFonts w:ascii="Segoe UI Semilight" w:hAnsi="Segoe UI Semilight"/>
              </w:rPr>
              <w:t xml:space="preserve"> (</w:t>
            </w:r>
            <w:r w:rsidR="00DB6EF1">
              <w:rPr>
                <w:rFonts w:ascii="Segoe UI Semilight" w:hAnsi="Segoe UI Semilight"/>
              </w:rPr>
              <w:t xml:space="preserve">estimated at </w:t>
            </w:r>
            <w:r w:rsidR="004844EA">
              <w:rPr>
                <w:rFonts w:ascii="Segoe UI Semilight" w:hAnsi="Segoe UI Semilight"/>
              </w:rPr>
              <w:t>$12 000</w:t>
            </w:r>
            <w:r w:rsidR="00505200">
              <w:rPr>
                <w:rFonts w:ascii="Segoe UI Semilight" w:hAnsi="Segoe UI Semilight"/>
              </w:rPr>
              <w:t>/month)</w:t>
            </w:r>
            <w:r w:rsidR="00B17157">
              <w:rPr>
                <w:rFonts w:ascii="Segoe UI Semilight" w:hAnsi="Segoe UI Semilight"/>
              </w:rPr>
              <w:t xml:space="preserve"> </w:t>
            </w:r>
          </w:p>
          <w:p w14:paraId="6925EB77" w14:textId="03AC5F18" w:rsidR="00390A88" w:rsidRDefault="001E5B0E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Tools </w:t>
            </w:r>
            <w:r w:rsidR="00636D90">
              <w:rPr>
                <w:rFonts w:ascii="Segoe UI Semilight" w:hAnsi="Segoe UI Semilight"/>
              </w:rPr>
              <w:t>will be decommissioned once all the archives are ingested into Exchange online</w:t>
            </w:r>
            <w:r w:rsidR="0041019A">
              <w:rPr>
                <w:rFonts w:ascii="Segoe UI Semilight" w:hAnsi="Segoe UI Semilight"/>
              </w:rPr>
              <w:t xml:space="preserve"> and the </w:t>
            </w:r>
            <w:r w:rsidR="00394DD8">
              <w:rPr>
                <w:rFonts w:ascii="Segoe UI Semilight" w:hAnsi="Segoe UI Semilight"/>
              </w:rPr>
              <w:t>storage account deleted</w:t>
            </w:r>
          </w:p>
        </w:tc>
      </w:tr>
      <w:tr w:rsidR="00390A88" w:rsidRPr="005F3BAF" w14:paraId="6925EB7C" w14:textId="77777777" w:rsidTr="00B44F57">
        <w:trPr>
          <w:trHeight w:val="432"/>
        </w:trPr>
        <w:tc>
          <w:tcPr>
            <w:tcW w:w="2162" w:type="dxa"/>
            <w:shd w:val="clear" w:color="auto" w:fill="auto"/>
          </w:tcPr>
          <w:p w14:paraId="6925EB79" w14:textId="663E5386" w:rsidR="00390A88" w:rsidRPr="005F3BAF" w:rsidRDefault="009878A4" w:rsidP="00117AE2">
            <w:pPr>
              <w:pStyle w:val="TableText"/>
            </w:pPr>
            <w:r>
              <w:lastRenderedPageBreak/>
              <w:t xml:space="preserve">Data uploads </w:t>
            </w:r>
            <w:r w:rsidR="004747A8">
              <w:t>to Azure</w:t>
            </w:r>
          </w:p>
        </w:tc>
        <w:tc>
          <w:tcPr>
            <w:tcW w:w="4410" w:type="dxa"/>
            <w:shd w:val="clear" w:color="auto" w:fill="FFFFFF" w:themeFill="background1"/>
          </w:tcPr>
          <w:p w14:paraId="7489B21E" w14:textId="77777777" w:rsidR="009878A4" w:rsidRDefault="009878A4" w:rsidP="00625289">
            <w:pPr>
              <w:pStyle w:val="ListParagraph"/>
              <w:numPr>
                <w:ilvl w:val="0"/>
                <w:numId w:val="9"/>
              </w:numPr>
              <w:spacing w:line="259" w:lineRule="auto"/>
            </w:pPr>
            <w:r>
              <w:t>Upload the 200TB of zipped EML files into Archive2Azure</w:t>
            </w:r>
          </w:p>
          <w:p w14:paraId="6925EB7A" w14:textId="77777777" w:rsidR="00390A88" w:rsidRPr="005F3BAF" w:rsidRDefault="00390A88" w:rsidP="00B83211">
            <w:pPr>
              <w:pStyle w:val="ListParagraph"/>
              <w:rPr>
                <w:rFonts w:ascii="Segoe UI Semilight" w:hAnsi="Segoe UI Semilight"/>
              </w:rPr>
            </w:pPr>
          </w:p>
        </w:tc>
        <w:tc>
          <w:tcPr>
            <w:tcW w:w="2787" w:type="dxa"/>
            <w:shd w:val="clear" w:color="auto" w:fill="FFFFFF" w:themeFill="background1"/>
          </w:tcPr>
          <w:p w14:paraId="3F70B69B" w14:textId="0893DF3D" w:rsidR="00390A88" w:rsidRDefault="00343E91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 will provide the data on encrypted disks in zipped EML format</w:t>
            </w:r>
          </w:p>
          <w:p w14:paraId="7CFD3C14" w14:textId="2BE7D59E" w:rsidR="00DE5244" w:rsidRDefault="00343E91" w:rsidP="00DE5244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 will commit to provide data at a </w:t>
            </w:r>
            <w:r w:rsidR="00820C9B">
              <w:rPr>
                <w:rFonts w:ascii="Segoe UI Semilight" w:hAnsi="Segoe UI Semilight"/>
              </w:rPr>
              <w:t xml:space="preserve">minimum rate of </w:t>
            </w:r>
            <w:r w:rsidR="00FF78BD">
              <w:rPr>
                <w:rFonts w:ascii="Segoe UI Semilight" w:hAnsi="Segoe UI Semilight"/>
              </w:rPr>
              <w:t>30</w:t>
            </w:r>
            <w:r w:rsidR="00820C9B">
              <w:rPr>
                <w:rFonts w:ascii="Segoe UI Semilight" w:hAnsi="Segoe UI Semilight"/>
              </w:rPr>
              <w:t>TB/month</w:t>
            </w:r>
          </w:p>
          <w:p w14:paraId="1524F8CB" w14:textId="1E36385F" w:rsidR="0045588B" w:rsidRDefault="00DE5244" w:rsidP="0045588B">
            <w:pPr>
              <w:rPr>
                <w:rFonts w:eastAsia="Times New Roman" w:cs="Segoe UI"/>
                <w:sz w:val="21"/>
                <w:szCs w:val="21"/>
              </w:rPr>
            </w:pPr>
            <w:r>
              <w:t>Customer data will be shipped on encrypted disks to customer premises</w:t>
            </w:r>
            <w:r w:rsidR="0045588B" w:rsidRPr="00C35DBC">
              <w:t xml:space="preserve">, extraction of the data will be done on a controlled system to ensure it cannot be </w:t>
            </w:r>
            <w:r w:rsidR="00895283" w:rsidRPr="00895283">
              <w:t>tampered</w:t>
            </w:r>
            <w:r w:rsidR="0045588B" w:rsidRPr="00C35DBC">
              <w:t xml:space="preserve"> with during the process of ingestion into the A360 platform. Audit logs will be provided</w:t>
            </w:r>
          </w:p>
          <w:p w14:paraId="1EF9A012" w14:textId="378E9D1E" w:rsidR="002D4D84" w:rsidRDefault="002C3F8C" w:rsidP="00DE5244">
            <w:pPr>
              <w:pStyle w:val="TableText"/>
            </w:pPr>
            <w:r>
              <w:t xml:space="preserve">Microsoft assume the customer has at least </w:t>
            </w:r>
            <w:r w:rsidR="003734C5">
              <w:t xml:space="preserve">800Mb/s </w:t>
            </w:r>
            <w:r w:rsidR="00801973">
              <w:t>available on their internet link</w:t>
            </w:r>
            <w:r w:rsidR="00780686">
              <w:t xml:space="preserve"> to </w:t>
            </w:r>
            <w:r w:rsidR="00433EFD">
              <w:t xml:space="preserve">upload the </w:t>
            </w:r>
            <w:r w:rsidR="006031C3">
              <w:t>a</w:t>
            </w:r>
            <w:r w:rsidR="00604429">
              <w:t>r</w:t>
            </w:r>
            <w:r w:rsidR="006031C3">
              <w:t xml:space="preserve">chive </w:t>
            </w:r>
            <w:r w:rsidR="00604429">
              <w:t xml:space="preserve">data at </w:t>
            </w:r>
            <w:r w:rsidR="00F210CC">
              <w:t>7</w:t>
            </w:r>
            <w:r w:rsidR="00F72CFD">
              <w:t>TB/</w:t>
            </w:r>
            <w:r w:rsidR="008A409B">
              <w:t>week</w:t>
            </w:r>
            <w:r w:rsidR="00A459CD">
              <w:t xml:space="preserve">. </w:t>
            </w:r>
            <w:r w:rsidR="00A162E9">
              <w:t xml:space="preserve">If </w:t>
            </w:r>
            <w:r w:rsidR="00AF52DB">
              <w:t xml:space="preserve">bandwidth </w:t>
            </w:r>
            <w:r w:rsidR="00523EDA">
              <w:t xml:space="preserve">is not available </w:t>
            </w:r>
            <w:r w:rsidR="00002F84">
              <w:t xml:space="preserve">and it </w:t>
            </w:r>
            <w:r w:rsidR="007445E9">
              <w:t xml:space="preserve">leads to delays the </w:t>
            </w:r>
            <w:r w:rsidR="00E801C3">
              <w:rPr>
                <w:rFonts w:eastAsia="Calibri"/>
                <w:bCs/>
              </w:rPr>
              <w:t>change management process</w:t>
            </w:r>
            <w:r w:rsidR="00A459CD">
              <w:t xml:space="preserve"> </w:t>
            </w:r>
            <w:r w:rsidR="00177F46">
              <w:t>will be invoked.</w:t>
            </w:r>
          </w:p>
          <w:p w14:paraId="3A300042" w14:textId="603E3647" w:rsidR="00C25FD6" w:rsidRDefault="004E784D" w:rsidP="00DE5244">
            <w:pPr>
              <w:pStyle w:val="TableText"/>
            </w:pPr>
            <w:r>
              <w:t xml:space="preserve">Microsoft assume the </w:t>
            </w:r>
            <w:r w:rsidR="00FA02A7">
              <w:t>u</w:t>
            </w:r>
            <w:r w:rsidR="00047251">
              <w:t>ploaded data will not be more than 300TB</w:t>
            </w:r>
            <w:r w:rsidR="0067757C">
              <w:t xml:space="preserve"> when in blob storage</w:t>
            </w:r>
          </w:p>
          <w:p w14:paraId="50EFBAC2" w14:textId="77777777" w:rsidR="00B86D94" w:rsidRDefault="00B86D94" w:rsidP="00DE5244">
            <w:pPr>
              <w:pStyle w:val="TableText"/>
              <w:rPr>
                <w:rFonts w:ascii="Segoe UI Semilight" w:hAnsi="Segoe UI Semilight"/>
              </w:rPr>
            </w:pPr>
          </w:p>
          <w:p w14:paraId="6925EB7B" w14:textId="07700B80" w:rsidR="00AB1299" w:rsidRPr="005F3BAF" w:rsidRDefault="00AB1299" w:rsidP="00117AE2">
            <w:pPr>
              <w:pStyle w:val="TableText"/>
              <w:rPr>
                <w:rFonts w:ascii="Segoe UI Semilight" w:hAnsi="Segoe UI Semilight"/>
              </w:rPr>
            </w:pPr>
          </w:p>
        </w:tc>
      </w:tr>
      <w:tr w:rsidR="004747A8" w:rsidRPr="005F3BAF" w14:paraId="395FF288" w14:textId="77777777" w:rsidTr="00B44F57">
        <w:trPr>
          <w:trHeight w:val="432"/>
        </w:trPr>
        <w:tc>
          <w:tcPr>
            <w:tcW w:w="2162" w:type="dxa"/>
            <w:shd w:val="clear" w:color="auto" w:fill="auto"/>
          </w:tcPr>
          <w:p w14:paraId="1944B5C7" w14:textId="5476EBA1" w:rsidR="004747A8" w:rsidRDefault="004747A8" w:rsidP="00117AE2">
            <w:pPr>
              <w:pStyle w:val="TableText"/>
            </w:pPr>
            <w:r>
              <w:t>Ingestion</w:t>
            </w:r>
          </w:p>
        </w:tc>
        <w:tc>
          <w:tcPr>
            <w:tcW w:w="4410" w:type="dxa"/>
            <w:shd w:val="clear" w:color="auto" w:fill="FFFFFF" w:themeFill="background1"/>
          </w:tcPr>
          <w:p w14:paraId="422B6106" w14:textId="28919A9A" w:rsidR="004747A8" w:rsidRPr="00C93906" w:rsidRDefault="004747A8" w:rsidP="00625289">
            <w:pPr>
              <w:pStyle w:val="ListParagraph"/>
              <w:numPr>
                <w:ilvl w:val="0"/>
                <w:numId w:val="9"/>
              </w:numPr>
              <w:spacing w:line="259" w:lineRule="auto"/>
              <w:rPr>
                <w:lang w:val="en-ZA"/>
              </w:rPr>
            </w:pPr>
            <w:r w:rsidRPr="00C93906">
              <w:t xml:space="preserve">Migration of Archive data into </w:t>
            </w:r>
            <w:r>
              <w:t xml:space="preserve">39 000 </w:t>
            </w:r>
            <w:r w:rsidRPr="00C93906">
              <w:t xml:space="preserve">named O365 </w:t>
            </w:r>
            <w:r>
              <w:t xml:space="preserve">archive </w:t>
            </w:r>
            <w:r w:rsidRPr="00C93906">
              <w:t xml:space="preserve">mailboxes </w:t>
            </w:r>
          </w:p>
          <w:p w14:paraId="7BFE6230" w14:textId="77777777" w:rsidR="004747A8" w:rsidRDefault="004747A8" w:rsidP="00B83211">
            <w:pPr>
              <w:pStyle w:val="ListParagraph"/>
            </w:pPr>
          </w:p>
        </w:tc>
        <w:tc>
          <w:tcPr>
            <w:tcW w:w="2787" w:type="dxa"/>
            <w:shd w:val="clear" w:color="auto" w:fill="FFFFFF" w:themeFill="background1"/>
          </w:tcPr>
          <w:p w14:paraId="416E1297" w14:textId="400AE7CA" w:rsidR="004747A8" w:rsidRDefault="005E372D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 xml:space="preserve">User </w:t>
            </w:r>
            <w:r w:rsidR="002738CD">
              <w:rPr>
                <w:rFonts w:ascii="Segoe UI Semilight" w:hAnsi="Segoe UI Semilight"/>
              </w:rPr>
              <w:t>mailboxes exist in Exchange Online</w:t>
            </w:r>
          </w:p>
          <w:p w14:paraId="42A77FAD" w14:textId="4725924D" w:rsidR="005E372D" w:rsidRDefault="005E372D" w:rsidP="00DE5244">
            <w:pPr>
              <w:pStyle w:val="TableText"/>
              <w:rPr>
                <w:rFonts w:cs="Segoe UI"/>
                <w:szCs w:val="20"/>
              </w:rPr>
            </w:pPr>
            <w:r w:rsidRPr="00C35DBC">
              <w:rPr>
                <w:rFonts w:cs="Segoe UI"/>
                <w:szCs w:val="20"/>
              </w:rPr>
              <w:t>Once all data is ingested into Exchange online the A360 platform will be dismantled and the storage account deleted</w:t>
            </w:r>
          </w:p>
          <w:p w14:paraId="197149BF" w14:textId="77FAD98C" w:rsidR="007900D5" w:rsidRPr="00ED60CF" w:rsidRDefault="009E1AA3" w:rsidP="00DE5244">
            <w:pPr>
              <w:pStyle w:val="TableText"/>
              <w:rPr>
                <w:rFonts w:ascii="Segoe UI Semilight" w:hAnsi="Segoe UI Semilight"/>
                <w:szCs w:val="20"/>
              </w:rPr>
            </w:pPr>
            <w:r>
              <w:rPr>
                <w:szCs w:val="20"/>
              </w:rPr>
              <w:t xml:space="preserve">Duplicate emails can potentially exist </w:t>
            </w:r>
            <w:r w:rsidR="00EF18AB">
              <w:rPr>
                <w:szCs w:val="20"/>
              </w:rPr>
              <w:t xml:space="preserve">between the online archive mailbox and </w:t>
            </w:r>
            <w:r w:rsidR="00EF18AB">
              <w:rPr>
                <w:szCs w:val="20"/>
              </w:rPr>
              <w:lastRenderedPageBreak/>
              <w:t xml:space="preserve">the </w:t>
            </w:r>
            <w:r w:rsidR="006F225E">
              <w:rPr>
                <w:szCs w:val="20"/>
              </w:rPr>
              <w:t>user’s active mailbox</w:t>
            </w:r>
            <w:r w:rsidR="00494E08">
              <w:rPr>
                <w:szCs w:val="20"/>
              </w:rPr>
              <w:t xml:space="preserve"> due</w:t>
            </w:r>
            <w:r w:rsidR="00F66111">
              <w:rPr>
                <w:szCs w:val="20"/>
              </w:rPr>
              <w:t xml:space="preserve"> to</w:t>
            </w:r>
            <w:r w:rsidR="00494E08">
              <w:rPr>
                <w:szCs w:val="20"/>
              </w:rPr>
              <w:t xml:space="preserve"> the </w:t>
            </w:r>
            <w:r w:rsidR="005E2D37">
              <w:rPr>
                <w:szCs w:val="20"/>
              </w:rPr>
              <w:t xml:space="preserve">journal data imported </w:t>
            </w:r>
            <w:proofErr w:type="gramStart"/>
            <w:r w:rsidR="005E2D37">
              <w:rPr>
                <w:szCs w:val="20"/>
              </w:rPr>
              <w:t xml:space="preserve">from </w:t>
            </w:r>
            <w:r w:rsidR="003835B6">
              <w:rPr>
                <w:szCs w:val="20"/>
              </w:rPr>
              <w:t xml:space="preserve"> </w:t>
            </w:r>
            <w:r w:rsidR="00320B6B">
              <w:rPr>
                <w:szCs w:val="20"/>
              </w:rPr>
              <w:t>which</w:t>
            </w:r>
            <w:proofErr w:type="gramEnd"/>
            <w:r w:rsidR="00320B6B">
              <w:rPr>
                <w:szCs w:val="20"/>
              </w:rPr>
              <w:t xml:space="preserve"> is unavoidable.</w:t>
            </w:r>
          </w:p>
          <w:p w14:paraId="6909D5E7" w14:textId="41324AD8" w:rsidR="004747A8" w:rsidRDefault="004747A8" w:rsidP="00117AE2">
            <w:pPr>
              <w:pStyle w:val="TableText"/>
              <w:rPr>
                <w:rFonts w:ascii="Segoe UI Semilight" w:hAnsi="Segoe UI Semilight"/>
              </w:rPr>
            </w:pPr>
          </w:p>
        </w:tc>
      </w:tr>
    </w:tbl>
    <w:p w14:paraId="24886142" w14:textId="2395A538" w:rsidR="00667CA7" w:rsidRDefault="00884E0D" w:rsidP="00723E82">
      <w:pPr>
        <w:pStyle w:val="Heading3"/>
      </w:pPr>
      <w:bookmarkStart w:id="19" w:name="_Toc476168026"/>
      <w:r>
        <w:lastRenderedPageBreak/>
        <w:t xml:space="preserve">Software </w:t>
      </w:r>
      <w:r w:rsidR="00602A8E">
        <w:t>products and technologies</w:t>
      </w:r>
    </w:p>
    <w:bookmarkEnd w:id="19"/>
    <w:p w14:paraId="6925EB7F" w14:textId="77777777" w:rsidR="00D8456D" w:rsidRDefault="008F05A6" w:rsidP="00D8456D">
      <w:r>
        <w:t xml:space="preserve">The products and technology </w:t>
      </w:r>
      <w:r w:rsidR="00BE40E6">
        <w:t xml:space="preserve">that are </w:t>
      </w:r>
      <w:r>
        <w:t xml:space="preserve">listed in the </w:t>
      </w:r>
      <w:r w:rsidR="00D812F8">
        <w:t>following table</w:t>
      </w:r>
      <w:r>
        <w:t xml:space="preserve"> are required </w:t>
      </w:r>
      <w:r w:rsidR="0001741F">
        <w:t>for project execution</w:t>
      </w:r>
      <w:r w:rsidR="0015119E">
        <w:t>.</w:t>
      </w:r>
      <w:r w:rsidR="002420ED">
        <w:t xml:space="preserve"> </w:t>
      </w:r>
      <w:r w:rsidR="0015119E">
        <w:t>T</w:t>
      </w:r>
      <w:r w:rsidR="00452159">
        <w:t>he Customer is responsible for obtaining all identified licenses and products.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239"/>
        <w:gridCol w:w="1258"/>
        <w:gridCol w:w="1862"/>
      </w:tblGrid>
      <w:tr w:rsidR="00904D2D" w:rsidRPr="00390A88" w14:paraId="6925EB83" w14:textId="77777777" w:rsidTr="00C35DBC">
        <w:trPr>
          <w:trHeight w:val="364"/>
          <w:tblHeader/>
        </w:trPr>
        <w:tc>
          <w:tcPr>
            <w:tcW w:w="6239" w:type="dxa"/>
            <w:shd w:val="clear" w:color="auto" w:fill="008272"/>
          </w:tcPr>
          <w:p w14:paraId="6925EB80" w14:textId="77777777" w:rsidR="00452159" w:rsidRPr="004B0557" w:rsidRDefault="00884E0D" w:rsidP="00B44F57">
            <w:pPr>
              <w:pStyle w:val="Table-Header"/>
            </w:pPr>
            <w:r>
              <w:t xml:space="preserve">Product and </w:t>
            </w:r>
            <w:r w:rsidR="00B649E2">
              <w:t>t</w:t>
            </w:r>
            <w:r w:rsidR="00452159">
              <w:t>echnology</w:t>
            </w:r>
            <w:r w:rsidR="00B649E2">
              <w:t xml:space="preserve"> item</w:t>
            </w:r>
          </w:p>
        </w:tc>
        <w:tc>
          <w:tcPr>
            <w:tcW w:w="1258" w:type="dxa"/>
            <w:shd w:val="clear" w:color="auto" w:fill="008272"/>
          </w:tcPr>
          <w:p w14:paraId="6925EB81" w14:textId="77777777" w:rsidR="00452159" w:rsidRPr="004B0557" w:rsidRDefault="00452159" w:rsidP="00B44F57">
            <w:pPr>
              <w:pStyle w:val="Table-Header"/>
            </w:pPr>
            <w:r>
              <w:t>Version</w:t>
            </w:r>
            <w:r w:rsidRPr="004B0557">
              <w:t xml:space="preserve"> </w:t>
            </w:r>
          </w:p>
        </w:tc>
        <w:tc>
          <w:tcPr>
            <w:tcW w:w="1862" w:type="dxa"/>
            <w:shd w:val="clear" w:color="auto" w:fill="008272"/>
          </w:tcPr>
          <w:p w14:paraId="6925EB82" w14:textId="77777777" w:rsidR="00452159" w:rsidRPr="00390A88" w:rsidRDefault="0001741F" w:rsidP="00B44F57">
            <w:pPr>
              <w:pStyle w:val="Table-Header"/>
            </w:pPr>
            <w:r>
              <w:t>Ready by</w:t>
            </w:r>
          </w:p>
        </w:tc>
      </w:tr>
      <w:tr w:rsidR="00452159" w14:paraId="6925EB87" w14:textId="77777777" w:rsidTr="00C35DBC">
        <w:trPr>
          <w:trHeight w:val="432"/>
        </w:trPr>
        <w:tc>
          <w:tcPr>
            <w:tcW w:w="6239" w:type="dxa"/>
            <w:shd w:val="clear" w:color="auto" w:fill="auto"/>
          </w:tcPr>
          <w:p w14:paraId="2A14075A" w14:textId="77777777" w:rsidR="00452159" w:rsidRDefault="002738CD" w:rsidP="00117AE2">
            <w:pPr>
              <w:pStyle w:val="TableText"/>
            </w:pPr>
            <w:r>
              <w:t xml:space="preserve">Azure </w:t>
            </w:r>
            <w:r w:rsidR="00A06044">
              <w:t>blob storage and Virtual Machines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18"/>
              <w:gridCol w:w="1082"/>
              <w:gridCol w:w="1173"/>
              <w:gridCol w:w="1520"/>
              <w:gridCol w:w="1020"/>
            </w:tblGrid>
            <w:tr w:rsidR="00844B5D" w:rsidRPr="00AC4ECB" w14:paraId="663BF3B5" w14:textId="77777777" w:rsidTr="00C35DBC">
              <w:tc>
                <w:tcPr>
                  <w:tcW w:w="1218" w:type="dxa"/>
                  <w:hideMark/>
                </w:tcPr>
                <w:p w14:paraId="46A1D0AE" w14:textId="77777777" w:rsidR="00844B5D" w:rsidRPr="00C35DBC" w:rsidRDefault="00844B5D" w:rsidP="00844B5D">
                  <w:pPr>
                    <w:spacing w:before="0" w:after="0"/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</w:pPr>
                  <w:r w:rsidRPr="00C35DBC"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  <w:t>Service type</w:t>
                  </w:r>
                </w:p>
              </w:tc>
              <w:tc>
                <w:tcPr>
                  <w:tcW w:w="1082" w:type="dxa"/>
                  <w:hideMark/>
                </w:tcPr>
                <w:p w14:paraId="48CF8FC8" w14:textId="77777777" w:rsidR="00844B5D" w:rsidRPr="00C35DBC" w:rsidRDefault="00844B5D" w:rsidP="00844B5D">
                  <w:pPr>
                    <w:spacing w:before="0" w:after="0"/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</w:pPr>
                  <w:r w:rsidRPr="00C35DBC"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  <w:t>Custom name</w:t>
                  </w:r>
                </w:p>
              </w:tc>
              <w:tc>
                <w:tcPr>
                  <w:tcW w:w="1173" w:type="dxa"/>
                  <w:hideMark/>
                </w:tcPr>
                <w:p w14:paraId="5DCBCD10" w14:textId="77777777" w:rsidR="00844B5D" w:rsidRPr="00C35DBC" w:rsidRDefault="00844B5D" w:rsidP="00844B5D">
                  <w:pPr>
                    <w:spacing w:before="0" w:after="0"/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</w:pPr>
                  <w:r w:rsidRPr="00C35DBC"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  <w:t>Region</w:t>
                  </w:r>
                </w:p>
              </w:tc>
              <w:tc>
                <w:tcPr>
                  <w:tcW w:w="1520" w:type="dxa"/>
                  <w:hideMark/>
                </w:tcPr>
                <w:p w14:paraId="6E86BDBE" w14:textId="77777777" w:rsidR="00844B5D" w:rsidRPr="00C35DBC" w:rsidRDefault="00844B5D" w:rsidP="00844B5D">
                  <w:pPr>
                    <w:spacing w:before="0" w:after="0"/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</w:pPr>
                  <w:r w:rsidRPr="00C35DBC"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  <w:t>Description</w:t>
                  </w:r>
                </w:p>
              </w:tc>
              <w:tc>
                <w:tcPr>
                  <w:tcW w:w="1020" w:type="dxa"/>
                  <w:hideMark/>
                </w:tcPr>
                <w:p w14:paraId="422A278C" w14:textId="77777777" w:rsidR="00844B5D" w:rsidRPr="00C35DBC" w:rsidRDefault="00844B5D" w:rsidP="00844B5D">
                  <w:pPr>
                    <w:spacing w:before="0" w:after="0"/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</w:pPr>
                  <w:r w:rsidRPr="00C35DBC">
                    <w:rPr>
                      <w:rFonts w:eastAsia="Times New Roman" w:cs="Segoe UI"/>
                      <w:b/>
                      <w:bCs/>
                      <w:szCs w:val="20"/>
                      <w:lang w:val="en-ZA" w:eastAsia="en-ZA"/>
                    </w:rPr>
                    <w:t>Size</w:t>
                  </w:r>
                </w:p>
              </w:tc>
            </w:tr>
            <w:tr w:rsidR="00844B5D" w:rsidRPr="00AC4ECB" w14:paraId="76775803" w14:textId="77777777" w:rsidTr="00C35DBC">
              <w:tc>
                <w:tcPr>
                  <w:tcW w:w="1218" w:type="dxa"/>
                  <w:hideMark/>
                </w:tcPr>
                <w:p w14:paraId="25015C65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Storage Accounts</w:t>
                  </w:r>
                </w:p>
              </w:tc>
              <w:tc>
                <w:tcPr>
                  <w:tcW w:w="1082" w:type="dxa"/>
                  <w:hideMark/>
                </w:tcPr>
                <w:p w14:paraId="404248E9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Blob</w:t>
                  </w:r>
                </w:p>
              </w:tc>
              <w:tc>
                <w:tcPr>
                  <w:tcW w:w="1173" w:type="dxa"/>
                  <w:hideMark/>
                </w:tcPr>
                <w:p w14:paraId="49F3F1A7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Central US</w:t>
                  </w:r>
                </w:p>
              </w:tc>
              <w:tc>
                <w:tcPr>
                  <w:tcW w:w="1520" w:type="dxa"/>
                  <w:hideMark/>
                </w:tcPr>
                <w:p w14:paraId="2E8A79CC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Block Blob Storage, General Purpose V2</w:t>
                  </w:r>
                </w:p>
              </w:tc>
              <w:tc>
                <w:tcPr>
                  <w:tcW w:w="1020" w:type="dxa"/>
                  <w:hideMark/>
                </w:tcPr>
                <w:p w14:paraId="116F50B1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100 TB</w:t>
                  </w:r>
                </w:p>
              </w:tc>
            </w:tr>
            <w:tr w:rsidR="00844B5D" w:rsidRPr="00AC4ECB" w14:paraId="6B3769E5" w14:textId="77777777" w:rsidTr="00C35DBC">
              <w:tc>
                <w:tcPr>
                  <w:tcW w:w="1218" w:type="dxa"/>
                  <w:hideMark/>
                </w:tcPr>
                <w:p w14:paraId="5B785064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Azure Cosmos DB</w:t>
                  </w:r>
                </w:p>
              </w:tc>
              <w:tc>
                <w:tcPr>
                  <w:tcW w:w="1082" w:type="dxa"/>
                  <w:hideMark/>
                </w:tcPr>
                <w:p w14:paraId="31B0FC59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Metadata</w:t>
                  </w:r>
                </w:p>
              </w:tc>
              <w:tc>
                <w:tcPr>
                  <w:tcW w:w="1173" w:type="dxa"/>
                  <w:hideMark/>
                </w:tcPr>
                <w:p w14:paraId="6DCDAB03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Central US</w:t>
                  </w:r>
                </w:p>
              </w:tc>
              <w:tc>
                <w:tcPr>
                  <w:tcW w:w="1520" w:type="dxa"/>
                  <w:hideMark/>
                </w:tcPr>
                <w:p w14:paraId="06267347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Single Region Write - Central US; Pay as you go; 20 x 100 RUs x 730 Hours; 20 GB Storage</w:t>
                  </w:r>
                </w:p>
              </w:tc>
              <w:tc>
                <w:tcPr>
                  <w:tcW w:w="1020" w:type="dxa"/>
                  <w:hideMark/>
                </w:tcPr>
                <w:p w14:paraId="0C210E8A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2000 GB</w:t>
                  </w:r>
                </w:p>
              </w:tc>
            </w:tr>
            <w:tr w:rsidR="00844B5D" w:rsidRPr="00AC4ECB" w14:paraId="10D0C55E" w14:textId="77777777" w:rsidTr="00C35DBC">
              <w:tc>
                <w:tcPr>
                  <w:tcW w:w="1218" w:type="dxa"/>
                  <w:hideMark/>
                </w:tcPr>
                <w:p w14:paraId="47E66503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Azure Kubernetes Service (AKS)</w:t>
                  </w:r>
                </w:p>
              </w:tc>
              <w:tc>
                <w:tcPr>
                  <w:tcW w:w="1082" w:type="dxa"/>
                  <w:hideMark/>
                </w:tcPr>
                <w:p w14:paraId="6CBDF070" w14:textId="302A06DB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Index</w:t>
                  </w:r>
                  <w:r w:rsidR="00C35DBC">
                    <w:rPr>
                      <w:rFonts w:eastAsia="Times New Roman" w:cs="Segoe UI"/>
                      <w:szCs w:val="20"/>
                      <w:lang w:val="en-ZA" w:eastAsia="en-ZA"/>
                    </w:rPr>
                    <w:t xml:space="preserve"> </w:t>
                  </w: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/</w:t>
                  </w:r>
                  <w:r w:rsidR="00C35DBC">
                    <w:rPr>
                      <w:rFonts w:eastAsia="Times New Roman" w:cs="Segoe UI"/>
                      <w:szCs w:val="20"/>
                      <w:lang w:val="en-ZA" w:eastAsia="en-ZA"/>
                    </w:rPr>
                    <w:t xml:space="preserve"> </w:t>
                  </w: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Search</w:t>
                  </w:r>
                </w:p>
              </w:tc>
              <w:tc>
                <w:tcPr>
                  <w:tcW w:w="1173" w:type="dxa"/>
                  <w:hideMark/>
                </w:tcPr>
                <w:p w14:paraId="4DBDFC69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Central US</w:t>
                  </w:r>
                </w:p>
              </w:tc>
              <w:tc>
                <w:tcPr>
                  <w:tcW w:w="1520" w:type="dxa"/>
                  <w:hideMark/>
                </w:tcPr>
                <w:p w14:paraId="0C892E93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5 DS5 v2 (16 vCPU(s), 56 GB RAM) nodes; 1 year reserved; 3 managed OS disks – S10</w:t>
                  </w:r>
                </w:p>
              </w:tc>
              <w:tc>
                <w:tcPr>
                  <w:tcW w:w="1020" w:type="dxa"/>
                  <w:hideMark/>
                </w:tcPr>
                <w:p w14:paraId="05CC7C7F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 </w:t>
                  </w:r>
                </w:p>
              </w:tc>
            </w:tr>
            <w:tr w:rsidR="00844B5D" w:rsidRPr="00AC4ECB" w14:paraId="568891F1" w14:textId="77777777" w:rsidTr="00C35DBC">
              <w:tc>
                <w:tcPr>
                  <w:tcW w:w="1218" w:type="dxa"/>
                  <w:hideMark/>
                </w:tcPr>
                <w:p w14:paraId="34306796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App Service</w:t>
                  </w:r>
                </w:p>
              </w:tc>
              <w:tc>
                <w:tcPr>
                  <w:tcW w:w="1082" w:type="dxa"/>
                  <w:hideMark/>
                </w:tcPr>
                <w:p w14:paraId="4002C76C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App</w:t>
                  </w:r>
                </w:p>
              </w:tc>
              <w:tc>
                <w:tcPr>
                  <w:tcW w:w="1173" w:type="dxa"/>
                  <w:hideMark/>
                </w:tcPr>
                <w:p w14:paraId="45A96395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Central US</w:t>
                  </w:r>
                </w:p>
              </w:tc>
              <w:tc>
                <w:tcPr>
                  <w:tcW w:w="1520" w:type="dxa"/>
                  <w:hideMark/>
                </w:tcPr>
                <w:p w14:paraId="0E5E33CF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Standard Tier; 1 S2 (2 Core(s), 3.5 GB RAM, 50 GB Storage) x 730 Hours; Windows OS</w:t>
                  </w:r>
                </w:p>
              </w:tc>
              <w:tc>
                <w:tcPr>
                  <w:tcW w:w="1020" w:type="dxa"/>
                  <w:hideMark/>
                </w:tcPr>
                <w:p w14:paraId="4EF63629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5 S50</w:t>
                  </w:r>
                </w:p>
              </w:tc>
            </w:tr>
            <w:tr w:rsidR="00844B5D" w:rsidRPr="00AC4ECB" w14:paraId="2083005E" w14:textId="77777777" w:rsidTr="00C35DBC">
              <w:tc>
                <w:tcPr>
                  <w:tcW w:w="1218" w:type="dxa"/>
                  <w:hideMark/>
                </w:tcPr>
                <w:p w14:paraId="5053BC97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Azure SQL Database</w:t>
                  </w:r>
                </w:p>
              </w:tc>
              <w:tc>
                <w:tcPr>
                  <w:tcW w:w="1082" w:type="dxa"/>
                  <w:hideMark/>
                </w:tcPr>
                <w:p w14:paraId="3776D83B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App</w:t>
                  </w:r>
                </w:p>
              </w:tc>
              <w:tc>
                <w:tcPr>
                  <w:tcW w:w="1173" w:type="dxa"/>
                  <w:hideMark/>
                </w:tcPr>
                <w:p w14:paraId="65520E12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Central US</w:t>
                  </w:r>
                </w:p>
              </w:tc>
              <w:tc>
                <w:tcPr>
                  <w:tcW w:w="1520" w:type="dxa"/>
                  <w:hideMark/>
                </w:tcPr>
                <w:p w14:paraId="17F2C30D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 xml:space="preserve">Single Database, DTU Purchase Model, Standard Tier, S2: 50 DTUs, </w:t>
                  </w: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lastRenderedPageBreak/>
                    <w:t>250 GB included storage per DB, 1 Database(s) x 730 Hours, 5 GB Retention</w:t>
                  </w:r>
                </w:p>
              </w:tc>
              <w:tc>
                <w:tcPr>
                  <w:tcW w:w="1020" w:type="dxa"/>
                  <w:hideMark/>
                </w:tcPr>
                <w:p w14:paraId="57317C86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lastRenderedPageBreak/>
                    <w:t> </w:t>
                  </w:r>
                </w:p>
              </w:tc>
            </w:tr>
            <w:tr w:rsidR="00844B5D" w:rsidRPr="00AC4ECB" w14:paraId="67951B48" w14:textId="77777777" w:rsidTr="00C35DBC">
              <w:tc>
                <w:tcPr>
                  <w:tcW w:w="1218" w:type="dxa"/>
                  <w:hideMark/>
                </w:tcPr>
                <w:p w14:paraId="5CB1C7E6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Application Gateway</w:t>
                  </w:r>
                </w:p>
              </w:tc>
              <w:tc>
                <w:tcPr>
                  <w:tcW w:w="1082" w:type="dxa"/>
                  <w:hideMark/>
                </w:tcPr>
                <w:p w14:paraId="2B4EB3C6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App</w:t>
                  </w:r>
                </w:p>
              </w:tc>
              <w:tc>
                <w:tcPr>
                  <w:tcW w:w="1173" w:type="dxa"/>
                  <w:hideMark/>
                </w:tcPr>
                <w:p w14:paraId="05537804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Central US</w:t>
                  </w:r>
                </w:p>
              </w:tc>
              <w:tc>
                <w:tcPr>
                  <w:tcW w:w="1520" w:type="dxa"/>
                  <w:hideMark/>
                </w:tcPr>
                <w:p w14:paraId="6E2FF70F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Basic tier, Small Instance size: 2 Gateway hours instance(s) x 730 Hours, 2 TB Data processed unit(s), 5 GB Zone unit(s)</w:t>
                  </w:r>
                </w:p>
              </w:tc>
              <w:tc>
                <w:tcPr>
                  <w:tcW w:w="1020" w:type="dxa"/>
                  <w:hideMark/>
                </w:tcPr>
                <w:p w14:paraId="4125F0D6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 </w:t>
                  </w:r>
                </w:p>
              </w:tc>
            </w:tr>
            <w:tr w:rsidR="00844B5D" w:rsidRPr="00AC4ECB" w14:paraId="13E1C92E" w14:textId="77777777" w:rsidTr="00C35DBC">
              <w:tc>
                <w:tcPr>
                  <w:tcW w:w="1218" w:type="dxa"/>
                  <w:hideMark/>
                </w:tcPr>
                <w:p w14:paraId="5E447551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Virtual Machine Scale Sets</w:t>
                  </w:r>
                </w:p>
              </w:tc>
              <w:tc>
                <w:tcPr>
                  <w:tcW w:w="1082" w:type="dxa"/>
                  <w:hideMark/>
                </w:tcPr>
                <w:p w14:paraId="03558E4E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App</w:t>
                  </w:r>
                </w:p>
              </w:tc>
              <w:tc>
                <w:tcPr>
                  <w:tcW w:w="1173" w:type="dxa"/>
                  <w:hideMark/>
                </w:tcPr>
                <w:p w14:paraId="0440ECB4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Central US</w:t>
                  </w:r>
                </w:p>
              </w:tc>
              <w:tc>
                <w:tcPr>
                  <w:tcW w:w="1520" w:type="dxa"/>
                  <w:hideMark/>
                </w:tcPr>
                <w:p w14:paraId="49C568DE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 xml:space="preserve">2 A2 v2 (2 vCPU(s), 4 GB RAM) x 730 Hours, Windows, </w:t>
                  </w:r>
                  <w:proofErr w:type="gramStart"/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Pay</w:t>
                  </w:r>
                  <w:proofErr w:type="gramEnd"/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 xml:space="preserve"> as you go</w:t>
                  </w:r>
                </w:p>
              </w:tc>
              <w:tc>
                <w:tcPr>
                  <w:tcW w:w="1020" w:type="dxa"/>
                  <w:hideMark/>
                </w:tcPr>
                <w:p w14:paraId="3554DE52" w14:textId="77777777" w:rsidR="00844B5D" w:rsidRPr="00AC4ECB" w:rsidRDefault="00844B5D" w:rsidP="00844B5D">
                  <w:pPr>
                    <w:spacing w:before="0" w:after="0"/>
                    <w:rPr>
                      <w:rFonts w:eastAsia="Times New Roman" w:cs="Segoe UI"/>
                      <w:szCs w:val="20"/>
                      <w:lang w:val="en-ZA" w:eastAsia="en-ZA"/>
                    </w:rPr>
                  </w:pPr>
                  <w:r w:rsidRPr="00AC4ECB">
                    <w:rPr>
                      <w:rFonts w:eastAsia="Times New Roman" w:cs="Segoe UI"/>
                      <w:szCs w:val="20"/>
                      <w:lang w:val="en-ZA" w:eastAsia="en-ZA"/>
                    </w:rPr>
                    <w:t> </w:t>
                  </w:r>
                </w:p>
              </w:tc>
            </w:tr>
          </w:tbl>
          <w:p w14:paraId="6925EB84" w14:textId="52795FBE" w:rsidR="00844B5D" w:rsidRPr="005F3BAF" w:rsidRDefault="00844B5D" w:rsidP="00844B5D">
            <w:pPr>
              <w:pStyle w:val="TableText"/>
            </w:pPr>
          </w:p>
        </w:tc>
        <w:tc>
          <w:tcPr>
            <w:tcW w:w="1258" w:type="dxa"/>
            <w:shd w:val="clear" w:color="auto" w:fill="FFFFFF" w:themeFill="background1"/>
          </w:tcPr>
          <w:p w14:paraId="6925EB85" w14:textId="42A52514" w:rsidR="00452159" w:rsidRDefault="00452159" w:rsidP="00117AE2">
            <w:pPr>
              <w:pStyle w:val="TableText"/>
              <w:rPr>
                <w:rFonts w:ascii="Segoe UI Semilight" w:hAnsi="Segoe UI Semilight"/>
              </w:rPr>
            </w:pPr>
          </w:p>
        </w:tc>
        <w:tc>
          <w:tcPr>
            <w:tcW w:w="1862" w:type="dxa"/>
            <w:shd w:val="clear" w:color="auto" w:fill="FFFFFF" w:themeFill="background1"/>
          </w:tcPr>
          <w:p w14:paraId="6925EB86" w14:textId="493BC82D" w:rsidR="00452159" w:rsidRDefault="009D6B27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At the start of the project</w:t>
            </w:r>
          </w:p>
        </w:tc>
      </w:tr>
    </w:tbl>
    <w:p w14:paraId="6925EB8C" w14:textId="77777777" w:rsidR="002455C5" w:rsidRDefault="002455C5" w:rsidP="00C84DD9">
      <w:pPr>
        <w:pStyle w:val="Heading3"/>
      </w:pPr>
      <w:bookmarkStart w:id="20" w:name="_Toc476168027"/>
      <w:r>
        <w:t>Data migration</w:t>
      </w:r>
      <w:bookmarkEnd w:id="20"/>
    </w:p>
    <w:p w14:paraId="6925EB8E" w14:textId="77777777" w:rsidR="002455C5" w:rsidRPr="00DB3CDA" w:rsidRDefault="002455C5" w:rsidP="00EA26FD">
      <w:r w:rsidRPr="00DB3CDA">
        <w:t>The following data migration is in scope for the project</w:t>
      </w:r>
      <w:r w:rsidR="00801CC4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582"/>
        <w:gridCol w:w="1890"/>
        <w:gridCol w:w="1858"/>
        <w:gridCol w:w="18"/>
      </w:tblGrid>
      <w:tr w:rsidR="002C4FA5" w:rsidRPr="00DB3CDA" w14:paraId="6925EB92" w14:textId="77777777" w:rsidTr="000A5694">
        <w:trPr>
          <w:trHeight w:val="391"/>
          <w:tblHeader/>
        </w:trPr>
        <w:tc>
          <w:tcPr>
            <w:tcW w:w="5582" w:type="dxa"/>
            <w:shd w:val="clear" w:color="auto" w:fill="008272"/>
          </w:tcPr>
          <w:p w14:paraId="6925EB8F" w14:textId="77777777" w:rsidR="002C4FA5" w:rsidRPr="00667E45" w:rsidRDefault="002C4FA5" w:rsidP="00B44F57">
            <w:pPr>
              <w:pStyle w:val="Table-Header"/>
            </w:pPr>
            <w:r w:rsidRPr="00667E45">
              <w:t>Data source</w:t>
            </w:r>
          </w:p>
        </w:tc>
        <w:tc>
          <w:tcPr>
            <w:tcW w:w="1890" w:type="dxa"/>
            <w:shd w:val="clear" w:color="auto" w:fill="008272"/>
          </w:tcPr>
          <w:p w14:paraId="6925EB90" w14:textId="77777777" w:rsidR="002C4FA5" w:rsidRPr="00667E45" w:rsidRDefault="002C4FA5" w:rsidP="00B44F57">
            <w:pPr>
              <w:pStyle w:val="Table-Header"/>
            </w:pPr>
            <w:r w:rsidRPr="00667E45">
              <w:t>Data volume</w:t>
            </w:r>
          </w:p>
        </w:tc>
        <w:tc>
          <w:tcPr>
            <w:tcW w:w="1876" w:type="dxa"/>
            <w:gridSpan w:val="2"/>
            <w:shd w:val="clear" w:color="auto" w:fill="008272"/>
          </w:tcPr>
          <w:p w14:paraId="6925EB91" w14:textId="77777777" w:rsidR="002C4FA5" w:rsidRPr="00667E45" w:rsidRDefault="002C4FA5" w:rsidP="00B44F57">
            <w:pPr>
              <w:pStyle w:val="Table-Header"/>
            </w:pPr>
            <w:r w:rsidRPr="00667E45">
              <w:t>Migration mechanism</w:t>
            </w:r>
          </w:p>
        </w:tc>
      </w:tr>
      <w:tr w:rsidR="002C4FA5" w:rsidRPr="00DB3CDA" w14:paraId="6925EB96" w14:textId="77777777" w:rsidTr="002C4FA5">
        <w:trPr>
          <w:gridAfter w:val="1"/>
          <w:wAfter w:w="18" w:type="dxa"/>
          <w:trHeight w:val="425"/>
        </w:trPr>
        <w:tc>
          <w:tcPr>
            <w:tcW w:w="5582" w:type="dxa"/>
            <w:shd w:val="clear" w:color="auto" w:fill="auto"/>
          </w:tcPr>
          <w:p w14:paraId="6925EB93" w14:textId="617E756A" w:rsidR="002C4FA5" w:rsidRPr="00DB3CDA" w:rsidRDefault="001A0783" w:rsidP="00117AE2">
            <w:pPr>
              <w:pStyle w:val="TableText"/>
            </w:pPr>
            <w:r>
              <w:t>Zipped EML</w:t>
            </w:r>
            <w:r w:rsidR="003D3729">
              <w:t xml:space="preserve"> files</w:t>
            </w:r>
          </w:p>
        </w:tc>
        <w:tc>
          <w:tcPr>
            <w:tcW w:w="1890" w:type="dxa"/>
            <w:shd w:val="clear" w:color="auto" w:fill="FFFFFF" w:themeFill="background1"/>
          </w:tcPr>
          <w:p w14:paraId="6925EB94" w14:textId="7D89BB70" w:rsidR="002C4FA5" w:rsidRPr="00DB3CDA" w:rsidRDefault="001A0783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200TB</w:t>
            </w:r>
          </w:p>
        </w:tc>
        <w:tc>
          <w:tcPr>
            <w:tcW w:w="1858" w:type="dxa"/>
            <w:shd w:val="clear" w:color="auto" w:fill="FFFFFF" w:themeFill="background1"/>
          </w:tcPr>
          <w:p w14:paraId="6925EB95" w14:textId="56AA952E" w:rsidR="002C4FA5" w:rsidRPr="00DB3CDA" w:rsidRDefault="003D3729" w:rsidP="00117AE2">
            <w:pPr>
              <w:pStyle w:val="TableText"/>
              <w:rPr>
                <w:rFonts w:ascii="Segoe UI Semilight" w:hAnsi="Segoe UI Semilight"/>
              </w:rPr>
            </w:pPr>
            <w:r>
              <w:rPr>
                <w:rFonts w:ascii="Segoe UI Semilight" w:hAnsi="Segoe UI Semilight"/>
              </w:rPr>
              <w:t>A360 tools</w:t>
            </w:r>
          </w:p>
        </w:tc>
      </w:tr>
      <w:tr w:rsidR="002C4FA5" w:rsidRPr="00DB3CDA" w14:paraId="6925EB9A" w14:textId="77777777" w:rsidTr="002C4FA5">
        <w:trPr>
          <w:gridAfter w:val="1"/>
          <w:wAfter w:w="18" w:type="dxa"/>
          <w:trHeight w:val="425"/>
        </w:trPr>
        <w:tc>
          <w:tcPr>
            <w:tcW w:w="5582" w:type="dxa"/>
            <w:shd w:val="clear" w:color="auto" w:fill="auto"/>
          </w:tcPr>
          <w:p w14:paraId="6925EB97" w14:textId="77777777" w:rsidR="002C4FA5" w:rsidRPr="00DB3CDA" w:rsidRDefault="002C4FA5" w:rsidP="00117AE2">
            <w:pPr>
              <w:pStyle w:val="TableText"/>
            </w:pPr>
          </w:p>
        </w:tc>
        <w:tc>
          <w:tcPr>
            <w:tcW w:w="1890" w:type="dxa"/>
            <w:shd w:val="clear" w:color="auto" w:fill="FFFFFF" w:themeFill="background1"/>
          </w:tcPr>
          <w:p w14:paraId="6925EB98" w14:textId="77777777" w:rsidR="002C4FA5" w:rsidRPr="00DB3CDA" w:rsidRDefault="002C4FA5" w:rsidP="00117AE2">
            <w:pPr>
              <w:pStyle w:val="TableText"/>
              <w:rPr>
                <w:rFonts w:ascii="Segoe UI Semilight" w:hAnsi="Segoe UI Semilight"/>
              </w:rPr>
            </w:pPr>
          </w:p>
        </w:tc>
        <w:tc>
          <w:tcPr>
            <w:tcW w:w="1858" w:type="dxa"/>
            <w:shd w:val="clear" w:color="auto" w:fill="FFFFFF" w:themeFill="background1"/>
          </w:tcPr>
          <w:p w14:paraId="6925EB99" w14:textId="77777777" w:rsidR="002C4FA5" w:rsidRPr="00DB3CDA" w:rsidRDefault="002C4FA5" w:rsidP="00117AE2">
            <w:pPr>
              <w:pStyle w:val="TableText"/>
              <w:rPr>
                <w:rFonts w:ascii="Segoe UI Semilight" w:hAnsi="Segoe UI Semilight"/>
              </w:rPr>
            </w:pPr>
          </w:p>
        </w:tc>
      </w:tr>
    </w:tbl>
    <w:p w14:paraId="6925EB9B" w14:textId="77777777" w:rsidR="002455C5" w:rsidRPr="00DB3CDA" w:rsidRDefault="00AE61D2" w:rsidP="00EA26FD">
      <w:r w:rsidRPr="00DB3CDA">
        <w:t xml:space="preserve">The responsibilities for performing data migration </w:t>
      </w:r>
      <w:r w:rsidR="0015119E">
        <w:t>tasks</w:t>
      </w:r>
      <w:r w:rsidR="0015119E" w:rsidRPr="00DB3CDA">
        <w:t xml:space="preserve"> </w:t>
      </w:r>
      <w:r w:rsidRPr="00DB3CDA">
        <w:t>are</w:t>
      </w:r>
      <w:r w:rsidR="00F445FA">
        <w:t xml:space="preserve"> as follows</w:t>
      </w:r>
      <w:r w:rsidR="00801CC4">
        <w:t>.</w:t>
      </w:r>
    </w:p>
    <w:tbl>
      <w:tblPr>
        <w:tblStyle w:val="TableGrid1"/>
        <w:tblW w:w="937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7373"/>
        <w:gridCol w:w="1999"/>
      </w:tblGrid>
      <w:tr w:rsidR="009B3A64" w:rsidRPr="00DB3CDA" w14:paraId="6925EB9F" w14:textId="77777777" w:rsidTr="009B3A64">
        <w:trPr>
          <w:trHeight w:val="360"/>
          <w:tblHeader/>
        </w:trPr>
        <w:tc>
          <w:tcPr>
            <w:tcW w:w="7373" w:type="dxa"/>
            <w:shd w:val="clear" w:color="auto" w:fill="008272"/>
          </w:tcPr>
          <w:p w14:paraId="6925EB9C" w14:textId="77777777" w:rsidR="009B3A64" w:rsidRPr="00EA26FD" w:rsidRDefault="009B3A64" w:rsidP="00B44F57">
            <w:pPr>
              <w:pStyle w:val="Table-Header"/>
            </w:pPr>
            <w:r w:rsidRPr="00EA26FD">
              <w:t>Task</w:t>
            </w:r>
          </w:p>
        </w:tc>
        <w:tc>
          <w:tcPr>
            <w:tcW w:w="1999" w:type="dxa"/>
            <w:shd w:val="clear" w:color="auto" w:fill="008272"/>
          </w:tcPr>
          <w:p w14:paraId="6925EB9D" w14:textId="77777777" w:rsidR="009B3A64" w:rsidRDefault="009B3A64" w:rsidP="00B44F57">
            <w:pPr>
              <w:pStyle w:val="Table-Header"/>
            </w:pPr>
            <w:r>
              <w:t>Responsibility</w:t>
            </w:r>
          </w:p>
        </w:tc>
      </w:tr>
      <w:tr w:rsidR="009B3A64" w:rsidRPr="00DB3CDA" w14:paraId="6925EBA3" w14:textId="77777777" w:rsidTr="009B3A64">
        <w:trPr>
          <w:trHeight w:val="407"/>
        </w:trPr>
        <w:tc>
          <w:tcPr>
            <w:tcW w:w="7373" w:type="dxa"/>
            <w:shd w:val="clear" w:color="auto" w:fill="auto"/>
          </w:tcPr>
          <w:p w14:paraId="6925EBA0" w14:textId="77777777" w:rsidR="009B3A64" w:rsidRPr="00DB3CDA" w:rsidRDefault="009B3A64" w:rsidP="00117AE2">
            <w:pPr>
              <w:pStyle w:val="TableText"/>
            </w:pPr>
            <w:r>
              <w:t>Define data migration requirements approach and strategy.</w:t>
            </w:r>
          </w:p>
        </w:tc>
        <w:tc>
          <w:tcPr>
            <w:tcW w:w="1999" w:type="dxa"/>
          </w:tcPr>
          <w:p w14:paraId="6925EBA1" w14:textId="77777777" w:rsidR="009B3A64" w:rsidRDefault="009B3A64" w:rsidP="00117AE2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Customer</w:t>
            </w:r>
          </w:p>
        </w:tc>
      </w:tr>
      <w:tr w:rsidR="009B3A64" w:rsidRPr="00DB3CDA" w14:paraId="6925EBA7" w14:textId="77777777" w:rsidTr="009B3A64">
        <w:trPr>
          <w:trHeight w:val="407"/>
        </w:trPr>
        <w:tc>
          <w:tcPr>
            <w:tcW w:w="7373" w:type="dxa"/>
            <w:shd w:val="clear" w:color="auto" w:fill="auto"/>
          </w:tcPr>
          <w:p w14:paraId="6925EBA4" w14:textId="77777777" w:rsidR="009B3A64" w:rsidRPr="00DB3CDA" w:rsidRDefault="009B3A64" w:rsidP="00117AE2">
            <w:pPr>
              <w:pStyle w:val="TableText"/>
            </w:pPr>
            <w:r w:rsidRPr="00DB3CDA">
              <w:t xml:space="preserve">Extract from </w:t>
            </w:r>
            <w:r>
              <w:t xml:space="preserve">a </w:t>
            </w:r>
            <w:r w:rsidRPr="00DB3CDA">
              <w:t>source system</w:t>
            </w:r>
            <w:r>
              <w:t>.</w:t>
            </w:r>
          </w:p>
        </w:tc>
        <w:tc>
          <w:tcPr>
            <w:tcW w:w="1999" w:type="dxa"/>
          </w:tcPr>
          <w:p w14:paraId="6925EBA5" w14:textId="6D78D72D" w:rsidR="009B3A64" w:rsidRPr="00DB3CDA" w:rsidRDefault="009B3A64" w:rsidP="00117AE2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/</w:t>
            </w:r>
            <w:r w:rsidRPr="00DB3CDA">
              <w:rPr>
                <w:szCs w:val="18"/>
              </w:rPr>
              <w:t>Customer</w:t>
            </w:r>
          </w:p>
        </w:tc>
      </w:tr>
      <w:tr w:rsidR="009B3A64" w:rsidRPr="00DB3CDA" w14:paraId="6925EBB7" w14:textId="77777777" w:rsidTr="009B3A64">
        <w:trPr>
          <w:trHeight w:val="407"/>
        </w:trPr>
        <w:tc>
          <w:tcPr>
            <w:tcW w:w="7373" w:type="dxa"/>
            <w:shd w:val="clear" w:color="auto" w:fill="auto"/>
          </w:tcPr>
          <w:p w14:paraId="6925EBB4" w14:textId="40AB43C7" w:rsidR="009B3A64" w:rsidRPr="00DB3CDA" w:rsidRDefault="009B3A64" w:rsidP="00117AE2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Convert data into format that could be ingested into Online Archive mailbox.</w:t>
            </w:r>
          </w:p>
        </w:tc>
        <w:tc>
          <w:tcPr>
            <w:tcW w:w="1999" w:type="dxa"/>
          </w:tcPr>
          <w:p w14:paraId="6925EBB5" w14:textId="77777777" w:rsidR="009B3A64" w:rsidRPr="00DB3CDA" w:rsidRDefault="009B3A64" w:rsidP="00117AE2">
            <w:pPr>
              <w:pStyle w:val="TableText"/>
              <w:rPr>
                <w:szCs w:val="18"/>
              </w:rPr>
            </w:pPr>
            <w:r w:rsidRPr="00DB3CDA">
              <w:rPr>
                <w:szCs w:val="18"/>
              </w:rPr>
              <w:t>Microsoft</w:t>
            </w:r>
          </w:p>
        </w:tc>
      </w:tr>
      <w:tr w:rsidR="009B3A64" w:rsidRPr="00DB3CDA" w14:paraId="6925EBBF" w14:textId="77777777" w:rsidTr="009B3A64">
        <w:trPr>
          <w:trHeight w:val="407"/>
        </w:trPr>
        <w:tc>
          <w:tcPr>
            <w:tcW w:w="7373" w:type="dxa"/>
            <w:shd w:val="clear" w:color="auto" w:fill="auto"/>
          </w:tcPr>
          <w:p w14:paraId="6925EBBC" w14:textId="5F7BFF78" w:rsidR="009B3A64" w:rsidRPr="00DB3CDA" w:rsidRDefault="009B3A64" w:rsidP="00117AE2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lastRenderedPageBreak/>
              <w:t>Ingest</w:t>
            </w:r>
            <w:r w:rsidRPr="00DB3CDA">
              <w:rPr>
                <w:szCs w:val="18"/>
              </w:rPr>
              <w:t xml:space="preserve"> data into </w:t>
            </w:r>
            <w:r>
              <w:rPr>
                <w:szCs w:val="18"/>
              </w:rPr>
              <w:t>the Online Archive Mailbox.</w:t>
            </w:r>
          </w:p>
        </w:tc>
        <w:tc>
          <w:tcPr>
            <w:tcW w:w="1999" w:type="dxa"/>
          </w:tcPr>
          <w:p w14:paraId="6925EBBD" w14:textId="77777777" w:rsidR="009B3A64" w:rsidRPr="00DB3CDA" w:rsidRDefault="009B3A64" w:rsidP="00117AE2">
            <w:pPr>
              <w:pStyle w:val="TableText"/>
              <w:rPr>
                <w:szCs w:val="18"/>
              </w:rPr>
            </w:pPr>
            <w:r w:rsidRPr="00DB3CDA">
              <w:rPr>
                <w:szCs w:val="18"/>
              </w:rPr>
              <w:t>Microsoft</w:t>
            </w:r>
          </w:p>
        </w:tc>
      </w:tr>
      <w:tr w:rsidR="009B3A64" w:rsidRPr="00DB3CDA" w14:paraId="6925EBC7" w14:textId="77777777" w:rsidTr="009B3A64">
        <w:trPr>
          <w:trHeight w:val="407"/>
        </w:trPr>
        <w:tc>
          <w:tcPr>
            <w:tcW w:w="7373" w:type="dxa"/>
            <w:shd w:val="clear" w:color="auto" w:fill="auto"/>
          </w:tcPr>
          <w:p w14:paraId="6925EBC4" w14:textId="77777777" w:rsidR="009B3A64" w:rsidRPr="00DB3CDA" w:rsidRDefault="009B3A64" w:rsidP="00117AE2">
            <w:pPr>
              <w:pStyle w:val="TableText"/>
              <w:rPr>
                <w:szCs w:val="18"/>
              </w:rPr>
            </w:pPr>
            <w:r w:rsidRPr="00DB3CDA">
              <w:rPr>
                <w:szCs w:val="18"/>
              </w:rPr>
              <w:t>Test and validat</w:t>
            </w:r>
            <w:r>
              <w:rPr>
                <w:szCs w:val="18"/>
              </w:rPr>
              <w:t>e</w:t>
            </w:r>
            <w:r w:rsidRPr="00DB3CDA">
              <w:rPr>
                <w:szCs w:val="18"/>
              </w:rPr>
              <w:t xml:space="preserve"> migrated data</w:t>
            </w:r>
            <w:r>
              <w:rPr>
                <w:szCs w:val="18"/>
              </w:rPr>
              <w:t>.</w:t>
            </w:r>
          </w:p>
        </w:tc>
        <w:tc>
          <w:tcPr>
            <w:tcW w:w="1999" w:type="dxa"/>
          </w:tcPr>
          <w:p w14:paraId="6925EBC5" w14:textId="77777777" w:rsidR="009B3A64" w:rsidRPr="00DB3CDA" w:rsidRDefault="009B3A64" w:rsidP="00117AE2">
            <w:pPr>
              <w:pStyle w:val="TableText"/>
              <w:rPr>
                <w:szCs w:val="18"/>
              </w:rPr>
            </w:pPr>
            <w:r w:rsidRPr="00DB3CDA">
              <w:rPr>
                <w:szCs w:val="18"/>
              </w:rPr>
              <w:t>Customer</w:t>
            </w:r>
          </w:p>
        </w:tc>
      </w:tr>
      <w:tr w:rsidR="009B3A64" w:rsidRPr="00DB3CDA" w14:paraId="6925EBCB" w14:textId="77777777" w:rsidTr="009B3A64">
        <w:trPr>
          <w:trHeight w:val="407"/>
        </w:trPr>
        <w:tc>
          <w:tcPr>
            <w:tcW w:w="7373" w:type="dxa"/>
            <w:shd w:val="clear" w:color="auto" w:fill="auto"/>
          </w:tcPr>
          <w:p w14:paraId="6925EBC8" w14:textId="0A6E63BE" w:rsidR="009B3A64" w:rsidRPr="00DB3CDA" w:rsidRDefault="009B3A64" w:rsidP="00117AE2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Provide reports</w:t>
            </w:r>
            <w:r w:rsidRPr="00DB3CDA">
              <w:rPr>
                <w:szCs w:val="18"/>
              </w:rPr>
              <w:t xml:space="preserve"> </w:t>
            </w:r>
          </w:p>
        </w:tc>
        <w:tc>
          <w:tcPr>
            <w:tcW w:w="1999" w:type="dxa"/>
          </w:tcPr>
          <w:p w14:paraId="6925EBC9" w14:textId="2E79715C" w:rsidR="009B3A64" w:rsidRPr="00DB3CDA" w:rsidRDefault="009B3A64" w:rsidP="00117AE2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Microsoft</w:t>
            </w:r>
          </w:p>
        </w:tc>
      </w:tr>
    </w:tbl>
    <w:p w14:paraId="6925EBDE" w14:textId="77777777" w:rsidR="004230B2" w:rsidRDefault="004230B2" w:rsidP="00C84DD9">
      <w:pPr>
        <w:pStyle w:val="Heading3"/>
      </w:pPr>
      <w:bookmarkStart w:id="21" w:name="_Toc476168029"/>
      <w:r>
        <w:t>Environments</w:t>
      </w:r>
      <w:bookmarkEnd w:id="21"/>
    </w:p>
    <w:p w14:paraId="6925EBE0" w14:textId="77777777" w:rsidR="004230B2" w:rsidRPr="00DB3CDA" w:rsidRDefault="004230B2" w:rsidP="00EA26FD">
      <w:r w:rsidRPr="00DB3CDA">
        <w:t xml:space="preserve">The following environments </w:t>
      </w:r>
      <w:r w:rsidR="00ED7049">
        <w:t>will be</w:t>
      </w:r>
      <w:r w:rsidR="00ED7049" w:rsidRPr="00DB3CDA">
        <w:t xml:space="preserve"> </w:t>
      </w:r>
      <w:r w:rsidRPr="00DB3CDA">
        <w:t>required to deliver the project</w:t>
      </w:r>
      <w:r w:rsidR="00E40CE7">
        <w:t>.</w:t>
      </w:r>
    </w:p>
    <w:tbl>
      <w:tblPr>
        <w:tblStyle w:val="TableGrid1"/>
        <w:tblW w:w="0" w:type="auto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972"/>
        <w:gridCol w:w="2106"/>
        <w:gridCol w:w="2107"/>
        <w:gridCol w:w="2107"/>
      </w:tblGrid>
      <w:tr w:rsidR="004230B2" w:rsidRPr="00DB3CDA" w14:paraId="6925EBE5" w14:textId="77777777" w:rsidTr="00104F35">
        <w:trPr>
          <w:trHeight w:val="360"/>
          <w:tblHeader/>
        </w:trPr>
        <w:tc>
          <w:tcPr>
            <w:tcW w:w="2972" w:type="dxa"/>
            <w:shd w:val="clear" w:color="auto" w:fill="008272"/>
          </w:tcPr>
          <w:p w14:paraId="6925EBE1" w14:textId="77777777" w:rsidR="004230B2" w:rsidRPr="00EA26FD" w:rsidRDefault="004230B2" w:rsidP="00B44F57">
            <w:pPr>
              <w:pStyle w:val="Table-Header"/>
            </w:pPr>
            <w:r w:rsidRPr="00EA26FD">
              <w:t>Environment</w:t>
            </w:r>
          </w:p>
        </w:tc>
        <w:tc>
          <w:tcPr>
            <w:tcW w:w="2106" w:type="dxa"/>
            <w:shd w:val="clear" w:color="auto" w:fill="008272"/>
          </w:tcPr>
          <w:p w14:paraId="6925EBE2" w14:textId="77777777" w:rsidR="004230B2" w:rsidRPr="00EA26FD" w:rsidRDefault="004230B2" w:rsidP="00B44F57">
            <w:pPr>
              <w:pStyle w:val="Table-Header"/>
            </w:pPr>
            <w:r w:rsidRPr="00EA26FD">
              <w:t>Location</w:t>
            </w:r>
          </w:p>
        </w:tc>
        <w:tc>
          <w:tcPr>
            <w:tcW w:w="2107" w:type="dxa"/>
            <w:shd w:val="clear" w:color="auto" w:fill="008272"/>
          </w:tcPr>
          <w:p w14:paraId="6925EBE3" w14:textId="77777777" w:rsidR="004230B2" w:rsidRPr="00EA26FD" w:rsidRDefault="003A58A8" w:rsidP="00B44F57">
            <w:pPr>
              <w:pStyle w:val="Table-Header"/>
            </w:pPr>
            <w:r>
              <w:t>Responsibility</w:t>
            </w:r>
          </w:p>
        </w:tc>
        <w:tc>
          <w:tcPr>
            <w:tcW w:w="2107" w:type="dxa"/>
            <w:shd w:val="clear" w:color="auto" w:fill="008272"/>
          </w:tcPr>
          <w:p w14:paraId="6925EBE4" w14:textId="77777777" w:rsidR="004230B2" w:rsidRPr="00EA26FD" w:rsidRDefault="003A58A8" w:rsidP="00B44F57">
            <w:pPr>
              <w:pStyle w:val="Table-Header"/>
            </w:pPr>
            <w:r>
              <w:t>Ready by</w:t>
            </w:r>
          </w:p>
        </w:tc>
      </w:tr>
      <w:tr w:rsidR="003A58A8" w:rsidRPr="00DB3CDA" w14:paraId="6925EBFE" w14:textId="77777777" w:rsidTr="00104F35">
        <w:trPr>
          <w:trHeight w:val="437"/>
        </w:trPr>
        <w:tc>
          <w:tcPr>
            <w:tcW w:w="2972" w:type="dxa"/>
            <w:shd w:val="clear" w:color="auto" w:fill="auto"/>
          </w:tcPr>
          <w:p w14:paraId="6925EBFA" w14:textId="77777777" w:rsidR="003A58A8" w:rsidRPr="00DB3CDA" w:rsidRDefault="003A58A8" w:rsidP="00117AE2">
            <w:pPr>
              <w:pStyle w:val="TableText"/>
            </w:pPr>
            <w:r w:rsidRPr="00DB3CDA">
              <w:t>Production</w:t>
            </w:r>
          </w:p>
        </w:tc>
        <w:tc>
          <w:tcPr>
            <w:tcW w:w="2106" w:type="dxa"/>
            <w:shd w:val="clear" w:color="auto" w:fill="FFFFFF" w:themeFill="background1"/>
          </w:tcPr>
          <w:p w14:paraId="6925EBFB" w14:textId="77777777" w:rsidR="003A58A8" w:rsidRPr="00DB3CDA" w:rsidRDefault="00104F35" w:rsidP="00117AE2">
            <w:pPr>
              <w:pStyle w:val="TableText"/>
              <w:rPr>
                <w:rFonts w:ascii="Segoe UI Semilight" w:hAnsi="Segoe UI Semilight"/>
              </w:rPr>
            </w:pPr>
            <w:r w:rsidRPr="00DB3CDA">
              <w:t>Customer</w:t>
            </w:r>
          </w:p>
        </w:tc>
        <w:tc>
          <w:tcPr>
            <w:tcW w:w="2107" w:type="dxa"/>
            <w:shd w:val="clear" w:color="auto" w:fill="FFFFFF" w:themeFill="background1"/>
          </w:tcPr>
          <w:p w14:paraId="6925EBFC" w14:textId="77777777" w:rsidR="003A58A8" w:rsidRPr="00DB3CDA" w:rsidRDefault="003A58A8" w:rsidP="00117AE2">
            <w:pPr>
              <w:pStyle w:val="TableText"/>
              <w:rPr>
                <w:rFonts w:ascii="Segoe UI Semilight" w:hAnsi="Segoe UI Semilight"/>
              </w:rPr>
            </w:pPr>
            <w:r w:rsidRPr="00DB3CDA">
              <w:t>Customer</w:t>
            </w:r>
          </w:p>
        </w:tc>
        <w:tc>
          <w:tcPr>
            <w:tcW w:w="2107" w:type="dxa"/>
            <w:shd w:val="clear" w:color="auto" w:fill="FFFFFF" w:themeFill="background1"/>
          </w:tcPr>
          <w:p w14:paraId="6925EBFD" w14:textId="5D2E89F8" w:rsidR="003A58A8" w:rsidRPr="00DB3CDA" w:rsidRDefault="00384427" w:rsidP="00117AE2">
            <w:pPr>
              <w:pStyle w:val="TableText"/>
            </w:pPr>
            <w:r>
              <w:t>Before the start of initiation phase</w:t>
            </w:r>
          </w:p>
        </w:tc>
      </w:tr>
    </w:tbl>
    <w:p w14:paraId="6925EBFF" w14:textId="5CE38E55" w:rsidR="00D812F8" w:rsidRDefault="00D812F8" w:rsidP="00C84DD9">
      <w:pPr>
        <w:pStyle w:val="Heading3"/>
      </w:pPr>
      <w:bookmarkStart w:id="22" w:name="_Toc476168030"/>
      <w:bookmarkStart w:id="23" w:name="_Ref477932815"/>
      <w:r>
        <w:t>Testing</w:t>
      </w:r>
      <w:r w:rsidR="008C6B1A">
        <w:t xml:space="preserve"> and </w:t>
      </w:r>
      <w:bookmarkEnd w:id="22"/>
      <w:bookmarkEnd w:id="23"/>
      <w:r w:rsidR="00C9177D">
        <w:t>pro</w:t>
      </w:r>
      <w:r w:rsidR="0026688B">
        <w:t>duct support</w:t>
      </w:r>
    </w:p>
    <w:p w14:paraId="6925EC01" w14:textId="77777777" w:rsidR="00DB3CDA" w:rsidRPr="00C313CC" w:rsidRDefault="00DB3CDA" w:rsidP="00C313CC">
      <w:pPr>
        <w:pStyle w:val="Heading4"/>
      </w:pPr>
      <w:r w:rsidRPr="00C313CC">
        <w:t>Testing</w:t>
      </w:r>
    </w:p>
    <w:p w14:paraId="6925EC02" w14:textId="2276D41F" w:rsidR="00FA3D21" w:rsidRPr="003E7B6A" w:rsidRDefault="00FA3D21" w:rsidP="00FF4E50">
      <w:r>
        <w:t xml:space="preserve">The following testing is included in </w:t>
      </w:r>
      <w:r w:rsidR="00895AD2">
        <w:t xml:space="preserve">the </w:t>
      </w:r>
      <w:r>
        <w:t xml:space="preserve">scope </w:t>
      </w:r>
      <w:r w:rsidR="00895AD2">
        <w:t xml:space="preserve">of </w:t>
      </w:r>
      <w:r>
        <w:t>the project</w:t>
      </w:r>
      <w:r w:rsidR="003C1EDE">
        <w:t>.</w:t>
      </w:r>
      <w:r w:rsidR="00EA26FD">
        <w:t xml:space="preserve"> </w:t>
      </w:r>
      <w:r w:rsidR="00A6780F">
        <w:t>If the Customer has responsibility for testing, the Microsoft effort to support that activity is identified</w:t>
      </w:r>
      <w:r w:rsidR="00E10C4A">
        <w:t xml:space="preserve">. </w:t>
      </w:r>
      <w:r w:rsidR="00E06254">
        <w:t>I</w:t>
      </w:r>
      <w:r w:rsidR="00D17C12">
        <w:t>f additional time is needed for Microsoft test</w:t>
      </w:r>
      <w:r w:rsidR="00ED7049">
        <w:t>ing</w:t>
      </w:r>
      <w:r w:rsidR="00D17C12">
        <w:t xml:space="preserve"> support, </w:t>
      </w:r>
      <w:r w:rsidR="00E06254">
        <w:t xml:space="preserve">then </w:t>
      </w:r>
      <w:r w:rsidR="00667E45">
        <w:t xml:space="preserve">it </w:t>
      </w:r>
      <w:r w:rsidR="003F6207">
        <w:t xml:space="preserve">can be requested through the </w:t>
      </w:r>
      <w:r w:rsidR="00667E45">
        <w:fldChar w:fldCharType="begin"/>
      </w:r>
      <w:r w:rsidR="00667E45">
        <w:instrText xml:space="preserve"> REF _Ref477866682 \h </w:instrText>
      </w:r>
      <w:r w:rsidR="00667E45">
        <w:fldChar w:fldCharType="separate"/>
      </w:r>
      <w:r w:rsidR="00812548">
        <w:t>Change management process</w:t>
      </w:r>
      <w:r w:rsidR="00667E45">
        <w:fldChar w:fldCharType="end"/>
      </w:r>
      <w:r w:rsidR="00667E45">
        <w:t xml:space="preserve"> </w:t>
      </w:r>
      <w:r w:rsidR="00D17C12">
        <w:t xml:space="preserve">described in this </w:t>
      </w:r>
      <w:r w:rsidR="003F6207">
        <w:t>S</w:t>
      </w:r>
      <w:r w:rsidR="00E40CE7">
        <w:t>OW</w:t>
      </w:r>
      <w:r w:rsidR="003F6207">
        <w:t>.</w:t>
      </w:r>
    </w:p>
    <w:tbl>
      <w:tblPr>
        <w:tblStyle w:val="TableGrid1"/>
        <w:tblW w:w="9392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802"/>
        <w:gridCol w:w="3690"/>
        <w:gridCol w:w="1300"/>
        <w:gridCol w:w="1300"/>
        <w:gridCol w:w="1300"/>
      </w:tblGrid>
      <w:tr w:rsidR="00B5324B" w:rsidRPr="005F3BAF" w14:paraId="6925EC06" w14:textId="77777777" w:rsidTr="0040341A">
        <w:trPr>
          <w:trHeight w:val="362"/>
          <w:tblHeader/>
        </w:trPr>
        <w:tc>
          <w:tcPr>
            <w:tcW w:w="1802" w:type="dxa"/>
            <w:vMerge w:val="restart"/>
            <w:shd w:val="clear" w:color="auto" w:fill="008272"/>
          </w:tcPr>
          <w:p w14:paraId="6925EC03" w14:textId="77777777" w:rsidR="00B5324B" w:rsidRPr="00B5324B" w:rsidRDefault="00B5324B" w:rsidP="00B44F57">
            <w:pPr>
              <w:pStyle w:val="Table-Header"/>
            </w:pPr>
            <w:r w:rsidRPr="00B5324B">
              <w:t>Test type (environment)</w:t>
            </w:r>
          </w:p>
        </w:tc>
        <w:tc>
          <w:tcPr>
            <w:tcW w:w="3690" w:type="dxa"/>
            <w:vMerge w:val="restart"/>
            <w:shd w:val="clear" w:color="auto" w:fill="008272"/>
          </w:tcPr>
          <w:p w14:paraId="6925EC04" w14:textId="77777777" w:rsidR="00B5324B" w:rsidRPr="00B5324B" w:rsidRDefault="00B5324B" w:rsidP="00B44F57">
            <w:pPr>
              <w:pStyle w:val="Table-Header"/>
            </w:pPr>
            <w:r w:rsidRPr="00B5324B">
              <w:t>Description</w:t>
            </w:r>
          </w:p>
        </w:tc>
        <w:tc>
          <w:tcPr>
            <w:tcW w:w="3900" w:type="dxa"/>
            <w:gridSpan w:val="3"/>
            <w:shd w:val="clear" w:color="auto" w:fill="008272"/>
          </w:tcPr>
          <w:p w14:paraId="6925EC05" w14:textId="77777777" w:rsidR="00B5324B" w:rsidRPr="00B5324B" w:rsidRDefault="00B5324B" w:rsidP="00B44F57">
            <w:pPr>
              <w:pStyle w:val="Table-Header"/>
              <w:rPr>
                <w:szCs w:val="18"/>
              </w:rPr>
            </w:pPr>
            <w:r w:rsidRPr="00B5324B">
              <w:rPr>
                <w:szCs w:val="18"/>
              </w:rPr>
              <w:t>Responsibility</w:t>
            </w:r>
          </w:p>
        </w:tc>
      </w:tr>
      <w:tr w:rsidR="003845C1" w:rsidRPr="005F3BAF" w14:paraId="6925EC0C" w14:textId="77777777" w:rsidTr="0040341A">
        <w:trPr>
          <w:trHeight w:val="362"/>
          <w:tblHeader/>
        </w:trPr>
        <w:tc>
          <w:tcPr>
            <w:tcW w:w="1802" w:type="dxa"/>
            <w:vMerge/>
            <w:shd w:val="clear" w:color="auto" w:fill="008272"/>
          </w:tcPr>
          <w:p w14:paraId="6925EC07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3690" w:type="dxa"/>
            <w:vMerge/>
            <w:shd w:val="clear" w:color="auto" w:fill="008272"/>
          </w:tcPr>
          <w:p w14:paraId="6925EC08" w14:textId="77777777" w:rsidR="00B5324B" w:rsidRPr="00B5324B" w:rsidRDefault="00B5324B" w:rsidP="00B44F57">
            <w:pPr>
              <w:pStyle w:val="Table-Header"/>
            </w:pPr>
          </w:p>
        </w:tc>
        <w:tc>
          <w:tcPr>
            <w:tcW w:w="1300" w:type="dxa"/>
            <w:shd w:val="clear" w:color="auto" w:fill="008272"/>
          </w:tcPr>
          <w:p w14:paraId="6925EC09" w14:textId="77777777" w:rsidR="00B5324B" w:rsidRPr="00BB0E7F" w:rsidRDefault="003845C1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Has responsibility </w:t>
            </w:r>
            <w:r w:rsidRPr="00BB0E7F">
              <w:rPr>
                <w:b w:val="0"/>
                <w:sz w:val="18"/>
                <w:szCs w:val="18"/>
              </w:rPr>
              <w:br/>
              <w:t>for testing?</w:t>
            </w:r>
          </w:p>
        </w:tc>
        <w:tc>
          <w:tcPr>
            <w:tcW w:w="1300" w:type="dxa"/>
            <w:shd w:val="clear" w:color="auto" w:fill="008272"/>
          </w:tcPr>
          <w:p w14:paraId="6925EC0A" w14:textId="77777777" w:rsidR="00B5324B" w:rsidRPr="00BB0E7F" w:rsidRDefault="00B5324B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>Provide</w:t>
            </w:r>
            <w:r w:rsidR="004C536F" w:rsidRPr="00BB0E7F">
              <w:rPr>
                <w:b w:val="0"/>
                <w:sz w:val="18"/>
                <w:szCs w:val="18"/>
              </w:rPr>
              <w:t>s</w:t>
            </w:r>
            <w:r w:rsidRPr="00BB0E7F">
              <w:rPr>
                <w:b w:val="0"/>
                <w:sz w:val="18"/>
                <w:szCs w:val="18"/>
              </w:rPr>
              <w:t xml:space="preserve"> data</w:t>
            </w:r>
            <w:r w:rsidR="004C536F" w:rsidRPr="00BB0E7F">
              <w:rPr>
                <w:b w:val="0"/>
                <w:sz w:val="18"/>
                <w:szCs w:val="18"/>
              </w:rPr>
              <w:t xml:space="preserve"> or </w:t>
            </w:r>
            <w:r w:rsidRPr="00BB0E7F">
              <w:rPr>
                <w:b w:val="0"/>
                <w:sz w:val="18"/>
                <w:szCs w:val="18"/>
              </w:rPr>
              <w:t>test cases</w:t>
            </w:r>
          </w:p>
        </w:tc>
        <w:tc>
          <w:tcPr>
            <w:tcW w:w="1300" w:type="dxa"/>
            <w:shd w:val="clear" w:color="auto" w:fill="008272"/>
          </w:tcPr>
          <w:p w14:paraId="6925EC0B" w14:textId="77777777" w:rsidR="00B5324B" w:rsidRPr="00BB0E7F" w:rsidRDefault="004C536F" w:rsidP="00B44F57">
            <w:pPr>
              <w:pStyle w:val="Table-Header"/>
              <w:rPr>
                <w:b w:val="0"/>
                <w:sz w:val="18"/>
                <w:szCs w:val="18"/>
              </w:rPr>
            </w:pPr>
            <w:r w:rsidRPr="00BB0E7F">
              <w:rPr>
                <w:b w:val="0"/>
                <w:sz w:val="18"/>
                <w:szCs w:val="18"/>
              </w:rPr>
              <w:t xml:space="preserve">Provides guidance </w:t>
            </w:r>
            <w:r w:rsidR="00B5324B" w:rsidRPr="00BB0E7F">
              <w:rPr>
                <w:b w:val="0"/>
                <w:sz w:val="18"/>
                <w:szCs w:val="18"/>
              </w:rPr>
              <w:t>and support</w:t>
            </w:r>
          </w:p>
        </w:tc>
      </w:tr>
      <w:tr w:rsidR="003845C1" w:rsidRPr="005F3BAF" w14:paraId="6925EC24" w14:textId="77777777" w:rsidTr="00D62C4A">
        <w:trPr>
          <w:trHeight w:val="362"/>
        </w:trPr>
        <w:tc>
          <w:tcPr>
            <w:tcW w:w="1802" w:type="dxa"/>
            <w:shd w:val="clear" w:color="auto" w:fill="auto"/>
          </w:tcPr>
          <w:p w14:paraId="6925EC1F" w14:textId="74E4CE8C" w:rsidR="00307A4C" w:rsidRPr="00117AE2" w:rsidRDefault="00307A4C" w:rsidP="00F0495D">
            <w:pPr>
              <w:pStyle w:val="TableText"/>
            </w:pPr>
            <w:r w:rsidRPr="00117AE2">
              <w:t>Performance and s</w:t>
            </w:r>
            <w:r w:rsidR="000926FA" w:rsidRPr="00117AE2">
              <w:t xml:space="preserve">calability </w:t>
            </w:r>
            <w:r w:rsidRPr="00117AE2">
              <w:t>testing (</w:t>
            </w:r>
            <w:r w:rsidR="004C536F" w:rsidRPr="00117AE2">
              <w:t>test</w:t>
            </w:r>
            <w:r w:rsidRPr="00117AE2">
              <w:t>)</w:t>
            </w:r>
          </w:p>
        </w:tc>
        <w:tc>
          <w:tcPr>
            <w:tcW w:w="3690" w:type="dxa"/>
            <w:shd w:val="clear" w:color="auto" w:fill="auto"/>
          </w:tcPr>
          <w:p w14:paraId="6925EC20" w14:textId="28EFC8B3" w:rsidR="00307A4C" w:rsidRPr="00117AE2" w:rsidRDefault="001A12A0" w:rsidP="00F0495D">
            <w:pPr>
              <w:pStyle w:val="TableText"/>
            </w:pPr>
            <w:r w:rsidRPr="001A12A0">
              <w:t>Validate that</w:t>
            </w:r>
            <w:r w:rsidR="009F3B56">
              <w:t xml:space="preserve"> </w:t>
            </w:r>
            <w:r w:rsidR="009107AA">
              <w:t>there is</w:t>
            </w:r>
            <w:r w:rsidR="00AE1D5D">
              <w:t xml:space="preserve"> enough bandwidth </w:t>
            </w:r>
            <w:r w:rsidR="009107AA">
              <w:t>to accommodate 7TB uploads per week</w:t>
            </w:r>
            <w:r w:rsidR="003C1EDE" w:rsidRPr="00117AE2">
              <w:t>.</w:t>
            </w:r>
          </w:p>
        </w:tc>
        <w:tc>
          <w:tcPr>
            <w:tcW w:w="1300" w:type="dxa"/>
            <w:shd w:val="clear" w:color="auto" w:fill="FFFFFF" w:themeFill="background1"/>
          </w:tcPr>
          <w:p w14:paraId="6925EC21" w14:textId="11F346C8" w:rsidR="00307A4C" w:rsidRPr="00117AE2" w:rsidRDefault="00F13172" w:rsidP="00F0495D">
            <w:pPr>
              <w:pStyle w:val="TableText"/>
            </w:pPr>
            <w:r>
              <w:t xml:space="preserve">Microsoft </w:t>
            </w:r>
          </w:p>
        </w:tc>
        <w:tc>
          <w:tcPr>
            <w:tcW w:w="1300" w:type="dxa"/>
            <w:shd w:val="clear" w:color="auto" w:fill="FFFFFF" w:themeFill="background1"/>
          </w:tcPr>
          <w:p w14:paraId="6925EC22" w14:textId="3CEF32A2" w:rsidR="00307A4C" w:rsidRPr="00117AE2" w:rsidRDefault="00F13172" w:rsidP="00F0495D">
            <w:pPr>
              <w:pStyle w:val="TableText"/>
            </w:pPr>
            <w:r>
              <w:t>Microsoft</w:t>
            </w:r>
          </w:p>
        </w:tc>
        <w:tc>
          <w:tcPr>
            <w:tcW w:w="1300" w:type="dxa"/>
            <w:shd w:val="clear" w:color="auto" w:fill="FFFFFF" w:themeFill="background1"/>
          </w:tcPr>
          <w:p w14:paraId="6925EC23" w14:textId="3F7651BC" w:rsidR="00307A4C" w:rsidRPr="00117AE2" w:rsidRDefault="00F13172" w:rsidP="00F0495D">
            <w:pPr>
              <w:pStyle w:val="TableText"/>
            </w:pPr>
            <w:r>
              <w:t>Microsoft</w:t>
            </w:r>
          </w:p>
        </w:tc>
      </w:tr>
      <w:tr w:rsidR="00F13172" w:rsidRPr="005F3BAF" w14:paraId="7A4A13D1" w14:textId="77777777" w:rsidTr="00D62C4A">
        <w:trPr>
          <w:trHeight w:val="362"/>
        </w:trPr>
        <w:tc>
          <w:tcPr>
            <w:tcW w:w="1802" w:type="dxa"/>
            <w:shd w:val="clear" w:color="auto" w:fill="auto"/>
          </w:tcPr>
          <w:p w14:paraId="32962B2E" w14:textId="2F87C1DA" w:rsidR="00F13172" w:rsidRPr="00117AE2" w:rsidRDefault="00187FCD" w:rsidP="00F0495D">
            <w:pPr>
              <w:pStyle w:val="TableText"/>
            </w:pPr>
            <w:r>
              <w:t>UAT</w:t>
            </w:r>
          </w:p>
        </w:tc>
        <w:tc>
          <w:tcPr>
            <w:tcW w:w="3690" w:type="dxa"/>
            <w:shd w:val="clear" w:color="auto" w:fill="auto"/>
          </w:tcPr>
          <w:p w14:paraId="460350F6" w14:textId="36761D73" w:rsidR="00F13172" w:rsidRPr="001A12A0" w:rsidRDefault="006862BB" w:rsidP="00F0495D">
            <w:pPr>
              <w:pStyle w:val="TableText"/>
            </w:pPr>
            <w:r>
              <w:t xml:space="preserve">Customer </w:t>
            </w:r>
            <w:r w:rsidR="0064046D">
              <w:t xml:space="preserve">to </w:t>
            </w:r>
            <w:r w:rsidR="00886790">
              <w:t xml:space="preserve">validate </w:t>
            </w:r>
            <w:r w:rsidR="001E56A3">
              <w:t xml:space="preserve">that </w:t>
            </w:r>
            <w:r w:rsidR="0064046D">
              <w:t>archive is accessible</w:t>
            </w:r>
          </w:p>
        </w:tc>
        <w:tc>
          <w:tcPr>
            <w:tcW w:w="1300" w:type="dxa"/>
            <w:shd w:val="clear" w:color="auto" w:fill="FFFFFF" w:themeFill="background1"/>
          </w:tcPr>
          <w:p w14:paraId="0845D1A0" w14:textId="5C20BE53" w:rsidR="00F13172" w:rsidRPr="00117AE2" w:rsidDel="00F13172" w:rsidRDefault="006D3F1B" w:rsidP="00F0495D">
            <w:pPr>
              <w:pStyle w:val="TableText"/>
            </w:pPr>
            <w:r>
              <w:t>Customer</w:t>
            </w:r>
          </w:p>
        </w:tc>
        <w:tc>
          <w:tcPr>
            <w:tcW w:w="1300" w:type="dxa"/>
            <w:shd w:val="clear" w:color="auto" w:fill="FFFFFF" w:themeFill="background1"/>
          </w:tcPr>
          <w:p w14:paraId="79879BF2" w14:textId="5EDEDBC8" w:rsidR="00F13172" w:rsidRPr="00117AE2" w:rsidDel="00F13172" w:rsidRDefault="006D3F1B" w:rsidP="00F0495D">
            <w:pPr>
              <w:pStyle w:val="TableText"/>
            </w:pPr>
            <w:r>
              <w:t>Customer</w:t>
            </w:r>
          </w:p>
        </w:tc>
        <w:tc>
          <w:tcPr>
            <w:tcW w:w="1300" w:type="dxa"/>
            <w:shd w:val="clear" w:color="auto" w:fill="FFFFFF" w:themeFill="background1"/>
          </w:tcPr>
          <w:p w14:paraId="6276954A" w14:textId="172C9A03" w:rsidR="00F13172" w:rsidRPr="00117AE2" w:rsidDel="00F13172" w:rsidRDefault="006D3F1B" w:rsidP="00F0495D">
            <w:pPr>
              <w:pStyle w:val="TableText"/>
            </w:pPr>
            <w:r>
              <w:t>Microsoft</w:t>
            </w:r>
          </w:p>
        </w:tc>
      </w:tr>
    </w:tbl>
    <w:p w14:paraId="0C04AADF" w14:textId="1915430F" w:rsidR="009B3DD3" w:rsidRDefault="009B3DD3" w:rsidP="00A6780F">
      <w:pPr>
        <w:pStyle w:val="Heading4"/>
      </w:pPr>
      <w:r>
        <w:t>Product support</w:t>
      </w:r>
    </w:p>
    <w:p w14:paraId="7F650D1B" w14:textId="6E8C265E" w:rsidR="009B3DD3" w:rsidRPr="009B3DD3" w:rsidRDefault="00A01178" w:rsidP="00C35DBC">
      <w:r>
        <w:t>S</w:t>
      </w:r>
      <w:r w:rsidR="000D5CA8">
        <w:t xml:space="preserve">upport for </w:t>
      </w:r>
      <w:r w:rsidR="006175A2">
        <w:t>3</w:t>
      </w:r>
      <w:r w:rsidR="006175A2" w:rsidRPr="00C35DBC">
        <w:rPr>
          <w:vertAlign w:val="superscript"/>
        </w:rPr>
        <w:t>rd</w:t>
      </w:r>
      <w:r w:rsidR="006175A2">
        <w:t xml:space="preserve"> party </w:t>
      </w:r>
      <w:r w:rsidR="000822B0">
        <w:t>component</w:t>
      </w:r>
      <w:r w:rsidR="00106444">
        <w:t xml:space="preserve"> (migration tooling</w:t>
      </w:r>
      <w:r w:rsidR="00092B8E">
        <w:t xml:space="preserve"> during the migration</w:t>
      </w:r>
      <w:r w:rsidR="00106444">
        <w:t>)</w:t>
      </w:r>
      <w:r w:rsidR="000822B0">
        <w:t xml:space="preserve"> </w:t>
      </w:r>
      <w:r w:rsidR="00197E9B">
        <w:t xml:space="preserve">will be done </w:t>
      </w:r>
      <w:r w:rsidR="00B8270E">
        <w:t xml:space="preserve">by </w:t>
      </w:r>
      <w:r w:rsidR="00E9239F">
        <w:t>Microsoft but any defect</w:t>
      </w:r>
      <w:r w:rsidR="00184CCB">
        <w:t xml:space="preserve"> remediation </w:t>
      </w:r>
      <w:r w:rsidR="00E9239F">
        <w:t xml:space="preserve">in the product </w:t>
      </w:r>
      <w:r w:rsidR="009E1E96">
        <w:t>will be referred to vendor</w:t>
      </w:r>
      <w:r w:rsidR="00D25BE6">
        <w:t xml:space="preserve"> and follow terms and conditions </w:t>
      </w:r>
      <w:r w:rsidR="008B08E0">
        <w:t>of the vendor</w:t>
      </w:r>
      <w:r w:rsidR="00AF7E6F">
        <w:t>.</w:t>
      </w:r>
      <w:r w:rsidR="009E1E96">
        <w:t xml:space="preserve"> </w:t>
      </w:r>
    </w:p>
    <w:p w14:paraId="6925EC50" w14:textId="77777777" w:rsidR="009D4EBC" w:rsidRDefault="004C2A6F" w:rsidP="00C84DD9">
      <w:pPr>
        <w:pStyle w:val="Heading2"/>
      </w:pPr>
      <w:bookmarkStart w:id="24" w:name="_Toc476167705"/>
      <w:bookmarkStart w:id="25" w:name="_Toc476168032"/>
      <w:bookmarkStart w:id="26" w:name="_Toc24894298"/>
      <w:r>
        <w:t>Areas out of scope</w:t>
      </w:r>
      <w:bookmarkEnd w:id="24"/>
      <w:bookmarkEnd w:id="25"/>
      <w:bookmarkEnd w:id="26"/>
    </w:p>
    <w:p w14:paraId="6925EC52" w14:textId="77777777" w:rsidR="004C2A6F" w:rsidRDefault="004C2A6F" w:rsidP="004C2A6F">
      <w:r w:rsidRPr="004C2A6F">
        <w:t xml:space="preserve">Any area not explicitly </w:t>
      </w:r>
      <w:r>
        <w:t xml:space="preserve">included in </w:t>
      </w:r>
      <w:r w:rsidR="00407A8B">
        <w:t xml:space="preserve">the </w:t>
      </w:r>
      <w:r w:rsidR="00407A8B">
        <w:fldChar w:fldCharType="begin"/>
      </w:r>
      <w:r w:rsidR="00407A8B">
        <w:instrText xml:space="preserve"> REF _Ref477786310 \h </w:instrText>
      </w:r>
      <w:r w:rsidR="00407A8B">
        <w:fldChar w:fldCharType="separate"/>
      </w:r>
      <w:r w:rsidR="00812548">
        <w:t xml:space="preserve">Areas </w:t>
      </w:r>
      <w:r w:rsidR="00812548" w:rsidRPr="005C14DF">
        <w:t>in scope</w:t>
      </w:r>
      <w:r w:rsidR="00407A8B">
        <w:fldChar w:fldCharType="end"/>
      </w:r>
      <w:r w:rsidR="00407A8B">
        <w:t xml:space="preserve"> section </w:t>
      </w:r>
      <w:r>
        <w:t xml:space="preserve">is </w:t>
      </w:r>
      <w:r w:rsidRPr="004C2A6F">
        <w:t xml:space="preserve">out of scope for </w:t>
      </w:r>
      <w:r w:rsidR="00623BDA">
        <w:t xml:space="preserve">Microsoft during </w:t>
      </w:r>
      <w:r w:rsidRPr="004C2A6F">
        <w:t xml:space="preserve">this </w:t>
      </w:r>
      <w:r w:rsidR="00DB3CDA">
        <w:t>project</w:t>
      </w:r>
      <w:r w:rsidRPr="004C2A6F">
        <w:t xml:space="preserve">. </w:t>
      </w:r>
      <w:r w:rsidR="00AC542D">
        <w:t xml:space="preserve">Areas </w:t>
      </w:r>
      <w:r w:rsidR="00F177FA">
        <w:t xml:space="preserve">out of scope for this project </w:t>
      </w:r>
      <w:r w:rsidR="00B4049F">
        <w:t xml:space="preserve">are listed </w:t>
      </w:r>
      <w:r w:rsidR="00AC542D">
        <w:t>i</w:t>
      </w:r>
      <w:r w:rsidR="00B4049F">
        <w:t>n</w:t>
      </w:r>
      <w:r w:rsidR="00AC542D">
        <w:t xml:space="preserve"> the following</w:t>
      </w:r>
      <w:r w:rsidR="00B4049F">
        <w:t xml:space="preserve"> table. 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612"/>
        <w:gridCol w:w="6740"/>
        <w:gridCol w:w="19"/>
      </w:tblGrid>
      <w:tr w:rsidR="004C2A6F" w14:paraId="6925EC55" w14:textId="77777777" w:rsidTr="008C6736">
        <w:trPr>
          <w:trHeight w:val="360"/>
          <w:tblHeader/>
        </w:trPr>
        <w:tc>
          <w:tcPr>
            <w:tcW w:w="2612" w:type="dxa"/>
            <w:shd w:val="clear" w:color="auto" w:fill="008272"/>
          </w:tcPr>
          <w:p w14:paraId="6925EC53" w14:textId="77777777" w:rsidR="004C2A6F" w:rsidRPr="00E40CE7" w:rsidRDefault="004C2A6F" w:rsidP="00B44F57">
            <w:pPr>
              <w:pStyle w:val="Table-Header"/>
            </w:pPr>
            <w:r w:rsidRPr="00E40CE7">
              <w:lastRenderedPageBreak/>
              <w:t>Area</w:t>
            </w:r>
          </w:p>
        </w:tc>
        <w:tc>
          <w:tcPr>
            <w:tcW w:w="6759" w:type="dxa"/>
            <w:gridSpan w:val="2"/>
            <w:shd w:val="clear" w:color="auto" w:fill="008272"/>
          </w:tcPr>
          <w:p w14:paraId="6925EC54" w14:textId="77777777" w:rsidR="004C2A6F" w:rsidRPr="00E40CE7" w:rsidRDefault="004C2A6F" w:rsidP="00B44F57">
            <w:pPr>
              <w:pStyle w:val="Table-Header"/>
            </w:pPr>
            <w:r w:rsidRPr="00E40CE7">
              <w:t>Description</w:t>
            </w:r>
          </w:p>
        </w:tc>
      </w:tr>
      <w:tr w:rsidR="004C2A6F" w:rsidRPr="005F3BAF" w14:paraId="6925EC58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56" w14:textId="77777777" w:rsidR="004C2A6F" w:rsidRPr="00D0227D" w:rsidRDefault="00250CA8" w:rsidP="00117AE2">
            <w:pPr>
              <w:pStyle w:val="TableText"/>
              <w:rPr>
                <w:rFonts w:cs="Segoe UI"/>
              </w:rPr>
            </w:pPr>
            <w:r>
              <w:t>Product l</w:t>
            </w:r>
            <w:r w:rsidR="004C2A6F" w:rsidRPr="00AD4086">
              <w:t>icenses</w:t>
            </w:r>
            <w:r w:rsidR="007D4496">
              <w:t xml:space="preserve"> and subscriptions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57" w14:textId="44D27BEE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 w:rsidRPr="00AD4086">
              <w:t xml:space="preserve">Product licenses (Microsoft) </w:t>
            </w:r>
            <w:r w:rsidR="007D4496">
              <w:t>and cloud service subscriptions are not included.</w:t>
            </w:r>
            <w:r w:rsidR="00623BDA">
              <w:t xml:space="preserve"> </w:t>
            </w:r>
          </w:p>
        </w:tc>
      </w:tr>
      <w:tr w:rsidR="004C2A6F" w:rsidRPr="005F3BAF" w14:paraId="6925EC5B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59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>Hardware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5A" w14:textId="77777777" w:rsidR="004C2A6F" w:rsidRPr="00D0227D" w:rsidRDefault="00623BDA" w:rsidP="00117AE2">
            <w:pPr>
              <w:pStyle w:val="TableText"/>
              <w:rPr>
                <w:rFonts w:cs="Segoe UI"/>
                <w:szCs w:val="18"/>
              </w:rPr>
            </w:pPr>
            <w:r>
              <w:t>Microsoft will not provide hardware for this project.</w:t>
            </w:r>
          </w:p>
        </w:tc>
      </w:tr>
      <w:tr w:rsidR="004C2A6F" w:rsidRPr="005F3BAF" w14:paraId="6925EC5E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5C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 xml:space="preserve">Integration with </w:t>
            </w:r>
            <w:r w:rsidR="00407A8B">
              <w:t>thi</w:t>
            </w:r>
            <w:r w:rsidR="00407A8B" w:rsidRPr="00E010AE">
              <w:t>rd</w:t>
            </w:r>
            <w:r w:rsidR="00407A8B">
              <w:t>-</w:t>
            </w:r>
            <w:r w:rsidR="000E0521">
              <w:t>party s</w:t>
            </w:r>
            <w:r>
              <w:t>oftware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5D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>Microsoft will not be responsible for integration with</w:t>
            </w:r>
            <w:r w:rsidR="00623BDA">
              <w:t xml:space="preserve"> </w:t>
            </w:r>
            <w:r w:rsidR="00407A8B">
              <w:t>third-</w:t>
            </w:r>
            <w:r w:rsidR="000E0521">
              <w:t>party s</w:t>
            </w:r>
            <w:r>
              <w:t>oftware</w:t>
            </w:r>
            <w:r w:rsidR="000F230A">
              <w:t>.</w:t>
            </w:r>
          </w:p>
        </w:tc>
      </w:tr>
      <w:tr w:rsidR="00884E0D" w:rsidRPr="005F3BAF" w14:paraId="6925EC61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5F" w14:textId="77777777" w:rsidR="00884E0D" w:rsidRDefault="00884E0D" w:rsidP="00F0495D">
            <w:pPr>
              <w:pStyle w:val="TableText"/>
            </w:pPr>
            <w:r>
              <w:t>Data migration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0" w14:textId="4FE3DB59" w:rsidR="00884E0D" w:rsidRDefault="00884E0D" w:rsidP="00F0495D">
            <w:pPr>
              <w:pStyle w:val="TableText"/>
            </w:pPr>
            <w:r>
              <w:t xml:space="preserve">Data migration activities are not </w:t>
            </w:r>
            <w:r w:rsidR="00D04CA6">
              <w:t>in scope for this project</w:t>
            </w:r>
            <w:r w:rsidR="00B07EE5">
              <w:t xml:space="preserve"> other than </w:t>
            </w:r>
            <w:proofErr w:type="gramStart"/>
            <w:r w:rsidR="00B07EE5">
              <w:t>the  Archive</w:t>
            </w:r>
            <w:proofErr w:type="gramEnd"/>
            <w:r w:rsidR="00B07EE5">
              <w:t xml:space="preserve"> data</w:t>
            </w:r>
          </w:p>
        </w:tc>
      </w:tr>
      <w:tr w:rsidR="004C2A6F" w:rsidRPr="005F3BAF" w14:paraId="6925EC67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65" w14:textId="77777777" w:rsidR="004C2A6F" w:rsidRDefault="004C2A6F" w:rsidP="00117AE2">
            <w:pPr>
              <w:pStyle w:val="TableText"/>
            </w:pPr>
            <w:r>
              <w:t>Product bugs</w:t>
            </w:r>
            <w:r w:rsidR="00623BDA">
              <w:t xml:space="preserve"> </w:t>
            </w:r>
            <w:r w:rsidR="00CE5743">
              <w:br/>
            </w:r>
            <w:r w:rsidR="00623BDA">
              <w:t>and upgrades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6" w14:textId="77777777" w:rsidR="004C2A6F" w:rsidRDefault="004C2A6F" w:rsidP="00117AE2">
            <w:pPr>
              <w:pStyle w:val="TableText"/>
            </w:pPr>
            <w:r>
              <w:t xml:space="preserve">Product </w:t>
            </w:r>
            <w:r w:rsidR="00623BDA">
              <w:t xml:space="preserve">upgrades, </w:t>
            </w:r>
            <w:r>
              <w:t>bugs</w:t>
            </w:r>
            <w:r w:rsidR="00B4049F">
              <w:t>,</w:t>
            </w:r>
            <w:r>
              <w:t xml:space="preserve"> and design change requests for Microsoft products</w:t>
            </w:r>
            <w:r w:rsidR="00884E0D">
              <w:t xml:space="preserve"> are not in scope for this project</w:t>
            </w:r>
            <w:r w:rsidR="000F230A">
              <w:t>.</w:t>
            </w:r>
          </w:p>
        </w:tc>
      </w:tr>
      <w:tr w:rsidR="004C2A6F" w:rsidRPr="005F3BAF" w14:paraId="6925EC6A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68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>Source code review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9" w14:textId="77777777" w:rsidR="004C2A6F" w:rsidRPr="00D0227D" w:rsidRDefault="00112EB1" w:rsidP="00117AE2">
            <w:pPr>
              <w:pStyle w:val="TableText"/>
              <w:rPr>
                <w:rFonts w:cs="Segoe UI"/>
                <w:szCs w:val="18"/>
              </w:rPr>
            </w:pPr>
            <w:r>
              <w:t xml:space="preserve">The </w:t>
            </w:r>
            <w:r w:rsidR="00140C9E">
              <w:t>C</w:t>
            </w:r>
            <w:r w:rsidR="004C2A6F">
              <w:t>ustomer will not provide Microsoft with access to non-Microsoft source code or source code information. For any n</w:t>
            </w:r>
            <w:r w:rsidR="00884E0D">
              <w:t xml:space="preserve">on-Microsoft code, Microsoft </w:t>
            </w:r>
            <w:r w:rsidR="00140C9E">
              <w:t>S</w:t>
            </w:r>
            <w:r w:rsidR="004C2A6F">
              <w:t>ervices will be limited to</w:t>
            </w:r>
            <w:r w:rsidR="00E12D6D">
              <w:t xml:space="preserve"> the</w:t>
            </w:r>
            <w:r w:rsidR="004C2A6F">
              <w:t xml:space="preserve"> analysis of binary data, such as a process dump or network monitor trace</w:t>
            </w:r>
            <w:r w:rsidR="000F230A">
              <w:t>.</w:t>
            </w:r>
          </w:p>
        </w:tc>
      </w:tr>
      <w:tr w:rsidR="004C2A6F" w:rsidRPr="005F3BAF" w14:paraId="6925EC6D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6B" w14:textId="77777777" w:rsidR="004C2A6F" w:rsidRPr="00D0227D" w:rsidRDefault="004C2A6F" w:rsidP="00117AE2">
            <w:pPr>
              <w:pStyle w:val="TableText"/>
              <w:rPr>
                <w:rFonts w:cs="Segoe UI"/>
                <w:szCs w:val="18"/>
              </w:rPr>
            </w:pPr>
            <w:r>
              <w:t>Process reengineering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C" w14:textId="77777777" w:rsidR="004C2A6F" w:rsidRPr="00D0227D" w:rsidRDefault="00B4049F" w:rsidP="00117AE2">
            <w:pPr>
              <w:pStyle w:val="TableText"/>
              <w:rPr>
                <w:rFonts w:cs="Segoe UI"/>
                <w:szCs w:val="18"/>
              </w:rPr>
            </w:pPr>
            <w:r>
              <w:t xml:space="preserve">Designing </w:t>
            </w:r>
            <w:r w:rsidR="004C2A6F">
              <w:t>functional business components of the solution</w:t>
            </w:r>
            <w:r w:rsidR="00DB3CDA">
              <w:t xml:space="preserve"> </w:t>
            </w:r>
            <w:r>
              <w:t xml:space="preserve">is </w:t>
            </w:r>
            <w:r w:rsidR="00DB3CDA">
              <w:t>not included</w:t>
            </w:r>
            <w:r w:rsidR="000F230A">
              <w:t>.</w:t>
            </w:r>
          </w:p>
        </w:tc>
      </w:tr>
      <w:tr w:rsidR="004C2A6F" w:rsidRPr="005F3BAF" w14:paraId="6925EC70" w14:textId="77777777" w:rsidTr="00B44F57">
        <w:trPr>
          <w:gridAfter w:val="1"/>
          <w:wAfter w:w="19" w:type="dxa"/>
          <w:trHeight w:val="432"/>
        </w:trPr>
        <w:tc>
          <w:tcPr>
            <w:tcW w:w="2612" w:type="dxa"/>
            <w:shd w:val="clear" w:color="auto" w:fill="auto"/>
          </w:tcPr>
          <w:p w14:paraId="6925EC6E" w14:textId="77777777" w:rsidR="004C2A6F" w:rsidRPr="00D0227D" w:rsidRDefault="007C3931" w:rsidP="00117AE2">
            <w:pPr>
              <w:pStyle w:val="TableText"/>
              <w:rPr>
                <w:rFonts w:cs="Segoe UI"/>
                <w:szCs w:val="18"/>
              </w:rPr>
            </w:pPr>
            <w:r>
              <w:t>Organizational change m</w:t>
            </w:r>
            <w:r w:rsidR="004C2A6F">
              <w:t>anagement</w:t>
            </w:r>
          </w:p>
        </w:tc>
        <w:tc>
          <w:tcPr>
            <w:tcW w:w="6740" w:type="dxa"/>
            <w:shd w:val="clear" w:color="auto" w:fill="FFFFFF" w:themeFill="background1"/>
          </w:tcPr>
          <w:p w14:paraId="6925EC6F" w14:textId="77777777" w:rsidR="004C2A6F" w:rsidRPr="00D0227D" w:rsidRDefault="00B4049F" w:rsidP="00117AE2">
            <w:pPr>
              <w:pStyle w:val="TableText"/>
              <w:rPr>
                <w:rFonts w:cs="Segoe UI"/>
                <w:szCs w:val="18"/>
              </w:rPr>
            </w:pPr>
            <w:r>
              <w:t>Designing—</w:t>
            </w:r>
            <w:r w:rsidR="004C2A6F">
              <w:t>or redesign</w:t>
            </w:r>
            <w:r>
              <w:t>ing—</w:t>
            </w:r>
            <w:r w:rsidR="00112EB1">
              <w:t xml:space="preserve">the </w:t>
            </w:r>
            <w:r w:rsidR="00140C9E">
              <w:t>C</w:t>
            </w:r>
            <w:r w:rsidR="004C2A6F">
              <w:t>ustomer’s functional organization</w:t>
            </w:r>
            <w:r w:rsidR="00DB3CDA">
              <w:t xml:space="preserve"> </w:t>
            </w:r>
            <w:r>
              <w:t xml:space="preserve">is </w:t>
            </w:r>
            <w:r w:rsidR="00DB3CDA">
              <w:t>not included</w:t>
            </w:r>
            <w:r w:rsidR="000F230A">
              <w:t>.</w:t>
            </w:r>
          </w:p>
        </w:tc>
      </w:tr>
    </w:tbl>
    <w:p w14:paraId="6925EC71" w14:textId="77777777" w:rsidR="00942632" w:rsidRDefault="00942632" w:rsidP="00C84DD9">
      <w:pPr>
        <w:pStyle w:val="Heading1"/>
      </w:pPr>
      <w:bookmarkStart w:id="27" w:name="_Toc476167706"/>
      <w:bookmarkStart w:id="28" w:name="_Toc476168033"/>
      <w:bookmarkStart w:id="29" w:name="_Toc24894299"/>
      <w:r>
        <w:t>Project approach, timeline</w:t>
      </w:r>
      <w:r w:rsidR="006209A1">
        <w:t>,</w:t>
      </w:r>
      <w:r>
        <w:t xml:space="preserve"> and deliverable acceptance</w:t>
      </w:r>
      <w:bookmarkEnd w:id="27"/>
      <w:bookmarkEnd w:id="28"/>
      <w:bookmarkEnd w:id="29"/>
    </w:p>
    <w:p w14:paraId="22F379E9" w14:textId="77777777" w:rsidR="00A111F2" w:rsidRPr="003815D6" w:rsidRDefault="00A111F2" w:rsidP="00625289">
      <w:pPr>
        <w:pStyle w:val="Heading2"/>
        <w:ind w:left="576" w:hanging="576"/>
      </w:pPr>
      <w:bookmarkStart w:id="30" w:name="_Toc476167707"/>
      <w:bookmarkStart w:id="31" w:name="_Toc476168034"/>
      <w:bookmarkStart w:id="32" w:name="_Ref477870375"/>
      <w:bookmarkStart w:id="33" w:name="_Ref477873467"/>
      <w:bookmarkStart w:id="34" w:name="_Ref477936654"/>
      <w:bookmarkStart w:id="35" w:name="_Ref477936937"/>
      <w:bookmarkStart w:id="36" w:name="_Toc514413043"/>
      <w:bookmarkStart w:id="37" w:name="_Toc517761999"/>
      <w:bookmarkStart w:id="38" w:name="_Toc22884105"/>
      <w:bookmarkStart w:id="39" w:name="_Toc24894300"/>
      <w:r w:rsidRPr="003815D6">
        <w:t>Approach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14:paraId="71989BE2" w14:textId="04B0B87C" w:rsidR="00A111F2" w:rsidRPr="003815D6" w:rsidRDefault="00A111F2" w:rsidP="00A111F2">
      <w:r w:rsidRPr="003815D6">
        <w:t xml:space="preserve">The project will be structured </w:t>
      </w:r>
      <w:r w:rsidR="0090062B">
        <w:t xml:space="preserve">to </w:t>
      </w:r>
      <w:r w:rsidRPr="003815D6">
        <w:t>follo</w:t>
      </w:r>
      <w:r w:rsidR="0090062B">
        <w:t xml:space="preserve">w an Engagement </w:t>
      </w:r>
      <w:r w:rsidR="00350397">
        <w:t xml:space="preserve">initiation and </w:t>
      </w:r>
      <w:r w:rsidR="00B0790D">
        <w:t xml:space="preserve">a </w:t>
      </w:r>
      <w:r w:rsidR="00385102">
        <w:t xml:space="preserve">Configuration and </w:t>
      </w:r>
      <w:r w:rsidR="00B0790D">
        <w:t xml:space="preserve">data migration phase. </w:t>
      </w:r>
      <w:r w:rsidRPr="003815D6">
        <w:t xml:space="preserve"> </w:t>
      </w:r>
    </w:p>
    <w:p w14:paraId="7988DACC" w14:textId="1EF2D09B" w:rsidR="00A111F2" w:rsidRPr="00C75744" w:rsidRDefault="00A111F2" w:rsidP="00A111F2">
      <w:r w:rsidRPr="003815D6">
        <w:t xml:space="preserve">If a deliverable requires formal review and acceptance (a process described in the </w:t>
      </w:r>
      <w:r w:rsidRPr="003815D6">
        <w:fldChar w:fldCharType="begin"/>
      </w:r>
      <w:r w:rsidRPr="003815D6">
        <w:instrText xml:space="preserve"> REF _Ref477932041 \h  \* MERGEFORMAT </w:instrText>
      </w:r>
      <w:r w:rsidRPr="003815D6">
        <w:fldChar w:fldCharType="separate"/>
      </w:r>
      <w:r w:rsidRPr="003815D6">
        <w:t>Deliverable acceptance process</w:t>
      </w:r>
      <w:r w:rsidRPr="003815D6">
        <w:fldChar w:fldCharType="end"/>
      </w:r>
      <w:r w:rsidRPr="003815D6">
        <w:t xml:space="preserve"> section), this is indicated in the following sections.</w:t>
      </w:r>
    </w:p>
    <w:p w14:paraId="123EBC39" w14:textId="77777777" w:rsidR="00A111F2" w:rsidRPr="003815D6" w:rsidRDefault="00A111F2" w:rsidP="00625289">
      <w:pPr>
        <w:pStyle w:val="Heading3"/>
      </w:pPr>
      <w:r w:rsidRPr="003815D6">
        <w:t>Engagement initiation</w:t>
      </w:r>
    </w:p>
    <w:p w14:paraId="0BC790C8" w14:textId="77777777" w:rsidR="00A111F2" w:rsidRPr="003815D6" w:rsidRDefault="00A111F2" w:rsidP="00A111F2">
      <w:r w:rsidRPr="003815D6">
        <w:t>Before beginning the project, the following prerequisites must be completed.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A111F2" w:rsidRPr="003815D6" w14:paraId="3000385D" w14:textId="77777777" w:rsidTr="00982A4F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0209F35F" w14:textId="77777777" w:rsidR="00A111F2" w:rsidRPr="003815D6" w:rsidRDefault="00A111F2" w:rsidP="0023196E">
            <w:pPr>
              <w:pStyle w:val="Table-Header"/>
            </w:pPr>
            <w:r w:rsidRPr="003815D6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52CA2527" w14:textId="77777777" w:rsidR="00A111F2" w:rsidRPr="003815D6" w:rsidRDefault="00A111F2" w:rsidP="0023196E">
            <w:pPr>
              <w:pStyle w:val="Table-Header"/>
            </w:pPr>
            <w:r w:rsidRPr="003815D6">
              <w:t>Description</w:t>
            </w:r>
          </w:p>
        </w:tc>
      </w:tr>
      <w:tr w:rsidR="00A111F2" w:rsidRPr="003815D6" w14:paraId="190E3BBE" w14:textId="77777777" w:rsidTr="00982A4F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137F278C" w14:textId="77777777" w:rsidR="00A111F2" w:rsidRPr="003815D6" w:rsidRDefault="00A111F2" w:rsidP="0023196E">
            <w:pPr>
              <w:pStyle w:val="TableText"/>
            </w:pPr>
            <w:r w:rsidRPr="003815D6">
              <w:rPr>
                <w:b/>
                <w:bCs/>
              </w:rPr>
              <w:t>Microsoft activities</w:t>
            </w:r>
            <w:r w:rsidRPr="003815D6">
              <w:br/>
              <w:t>The activities to be performed by Microsoft</w:t>
            </w:r>
          </w:p>
        </w:tc>
        <w:tc>
          <w:tcPr>
            <w:tcW w:w="6140" w:type="dxa"/>
            <w:shd w:val="clear" w:color="auto" w:fill="FFFFFF" w:themeFill="background1"/>
          </w:tcPr>
          <w:p w14:paraId="101CDE95" w14:textId="77777777" w:rsidR="00A111F2" w:rsidRPr="003815D6" w:rsidRDefault="00A111F2" w:rsidP="00625289">
            <w:pPr>
              <w:pStyle w:val="Bulletlist"/>
              <w:numPr>
                <w:ilvl w:val="0"/>
                <w:numId w:val="10"/>
              </w:numPr>
            </w:pPr>
            <w:r w:rsidRPr="003815D6">
              <w:t>Conduct a preinitiation call to initiate team formation and communicate expectations</w:t>
            </w:r>
            <w:r>
              <w:t>.</w:t>
            </w:r>
          </w:p>
          <w:p w14:paraId="3E93C0DD" w14:textId="77777777" w:rsidR="00A111F2" w:rsidRPr="003815D6" w:rsidRDefault="00A111F2" w:rsidP="00625289">
            <w:pPr>
              <w:pStyle w:val="Bulletlist"/>
              <w:numPr>
                <w:ilvl w:val="0"/>
                <w:numId w:val="10"/>
              </w:numPr>
            </w:pPr>
            <w:r w:rsidRPr="003815D6">
              <w:t>Document the project launch prerequisites using input from this SOW</w:t>
            </w:r>
            <w:r>
              <w:t>.</w:t>
            </w:r>
          </w:p>
          <w:p w14:paraId="455AA3BE" w14:textId="77777777" w:rsidR="00A111F2" w:rsidRPr="003815D6" w:rsidRDefault="00A111F2" w:rsidP="00625289">
            <w:pPr>
              <w:pStyle w:val="Bulletlist"/>
              <w:numPr>
                <w:ilvl w:val="0"/>
                <w:numId w:val="10"/>
              </w:numPr>
            </w:pPr>
            <w:r w:rsidRPr="003815D6">
              <w:t>Track the status of launch prerequisites and adjust the engagement initiation phase start date accordingly</w:t>
            </w:r>
            <w:r>
              <w:t>.</w:t>
            </w:r>
          </w:p>
          <w:p w14:paraId="41489879" w14:textId="77777777" w:rsidR="00A111F2" w:rsidRPr="003815D6" w:rsidRDefault="00A111F2" w:rsidP="00625289">
            <w:pPr>
              <w:pStyle w:val="Bulletlist"/>
              <w:numPr>
                <w:ilvl w:val="0"/>
                <w:numId w:val="10"/>
              </w:numPr>
            </w:pPr>
            <w:r w:rsidRPr="003815D6">
              <w:lastRenderedPageBreak/>
              <w:t>Conduct a detailed walk-through of the SOW with the customer to agree on an initial project schedule and approach</w:t>
            </w:r>
            <w:r>
              <w:t>.</w:t>
            </w:r>
          </w:p>
        </w:tc>
      </w:tr>
      <w:tr w:rsidR="00A111F2" w:rsidRPr="003815D6" w14:paraId="17DF678B" w14:textId="77777777" w:rsidTr="00982A4F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52169D12" w14:textId="77777777" w:rsidR="00A111F2" w:rsidRPr="003815D6" w:rsidRDefault="00A111F2" w:rsidP="0023196E">
            <w:pPr>
              <w:pStyle w:val="TableText"/>
            </w:pPr>
            <w:r w:rsidRPr="003815D6">
              <w:rPr>
                <w:b/>
                <w:bCs/>
              </w:rPr>
              <w:lastRenderedPageBreak/>
              <w:t>Customer activities</w:t>
            </w:r>
            <w:r w:rsidRPr="003815D6">
              <w:br/>
              <w:t>The activities to be performed by the Customer</w:t>
            </w:r>
          </w:p>
        </w:tc>
        <w:tc>
          <w:tcPr>
            <w:tcW w:w="6140" w:type="dxa"/>
            <w:shd w:val="clear" w:color="auto" w:fill="FFFFFF" w:themeFill="background1"/>
          </w:tcPr>
          <w:p w14:paraId="4894AC75" w14:textId="77777777" w:rsidR="00A111F2" w:rsidRPr="003815D6" w:rsidRDefault="00A111F2" w:rsidP="00625289">
            <w:pPr>
              <w:pStyle w:val="Bulletlist"/>
              <w:numPr>
                <w:ilvl w:val="0"/>
                <w:numId w:val="10"/>
              </w:numPr>
            </w:pPr>
            <w:r w:rsidRPr="003815D6">
              <w:t>Attend and participate in the preinitiation call</w:t>
            </w:r>
            <w:r>
              <w:t>.</w:t>
            </w:r>
          </w:p>
          <w:p w14:paraId="0AA8D415" w14:textId="77777777" w:rsidR="00A111F2" w:rsidRPr="003815D6" w:rsidRDefault="00A111F2" w:rsidP="00625289">
            <w:pPr>
              <w:pStyle w:val="Bulletlist"/>
              <w:numPr>
                <w:ilvl w:val="0"/>
                <w:numId w:val="10"/>
              </w:numPr>
            </w:pPr>
            <w:r w:rsidRPr="003815D6">
              <w:t>Assign project initiation and launch prerequisite responsibilities to accountable customer leadership and establish target completion dates</w:t>
            </w:r>
            <w:r>
              <w:t>.</w:t>
            </w:r>
          </w:p>
          <w:p w14:paraId="09DCD95D" w14:textId="77777777" w:rsidR="00A111F2" w:rsidRPr="003815D6" w:rsidRDefault="00A111F2" w:rsidP="00625289">
            <w:pPr>
              <w:pStyle w:val="Bulletlist"/>
              <w:numPr>
                <w:ilvl w:val="0"/>
                <w:numId w:val="10"/>
              </w:numPr>
            </w:pPr>
            <w:r w:rsidRPr="003815D6">
              <w:t>Complete the project initiation and launch prerequisites</w:t>
            </w:r>
            <w:r>
              <w:t>.</w:t>
            </w:r>
          </w:p>
          <w:p w14:paraId="788B6CF2" w14:textId="77777777" w:rsidR="00A111F2" w:rsidRPr="003815D6" w:rsidRDefault="00A111F2" w:rsidP="00625289">
            <w:pPr>
              <w:pStyle w:val="Bulletlist"/>
              <w:numPr>
                <w:ilvl w:val="0"/>
                <w:numId w:val="10"/>
              </w:numPr>
            </w:pPr>
            <w:r w:rsidRPr="003815D6">
              <w:t>Staff the project with the required customer resources in the time frames that were agreed upon in the preinitiation call</w:t>
            </w:r>
            <w:r>
              <w:t>.</w:t>
            </w:r>
          </w:p>
        </w:tc>
      </w:tr>
    </w:tbl>
    <w:p w14:paraId="78137E29" w14:textId="30FD7350" w:rsidR="00A111F2" w:rsidRDefault="00A111F2" w:rsidP="00A111F2">
      <w:bookmarkStart w:id="40" w:name="_General_project_activities"/>
      <w:bookmarkEnd w:id="40"/>
    </w:p>
    <w:p w14:paraId="5581D6DF" w14:textId="0386F7A9" w:rsidR="003A6596" w:rsidRPr="003815D6" w:rsidRDefault="005C687C" w:rsidP="005C687C">
      <w:pPr>
        <w:pStyle w:val="Heading3"/>
      </w:pPr>
      <w:r>
        <w:t>Configuration and Data Migration</w:t>
      </w:r>
    </w:p>
    <w:tbl>
      <w:tblPr>
        <w:tblStyle w:val="TableGrid1"/>
        <w:tblW w:w="922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3068"/>
        <w:gridCol w:w="6140"/>
        <w:gridCol w:w="13"/>
      </w:tblGrid>
      <w:tr w:rsidR="00A111F2" w:rsidRPr="003815D6" w14:paraId="6BEA6A7C" w14:textId="77777777" w:rsidTr="00982A4F">
        <w:trPr>
          <w:trHeight w:val="360"/>
          <w:tblHeader/>
        </w:trPr>
        <w:tc>
          <w:tcPr>
            <w:tcW w:w="3068" w:type="dxa"/>
            <w:shd w:val="clear" w:color="auto" w:fill="008272"/>
          </w:tcPr>
          <w:p w14:paraId="1EDBD3B9" w14:textId="77777777" w:rsidR="00A111F2" w:rsidRPr="003815D6" w:rsidRDefault="00A111F2" w:rsidP="0023196E">
            <w:pPr>
              <w:pStyle w:val="Table-Header"/>
            </w:pPr>
            <w:r w:rsidRPr="003815D6">
              <w:t>Category</w:t>
            </w:r>
          </w:p>
        </w:tc>
        <w:tc>
          <w:tcPr>
            <w:tcW w:w="6153" w:type="dxa"/>
            <w:gridSpan w:val="2"/>
            <w:shd w:val="clear" w:color="auto" w:fill="008272"/>
          </w:tcPr>
          <w:p w14:paraId="7256182D" w14:textId="77777777" w:rsidR="00A111F2" w:rsidRPr="003815D6" w:rsidRDefault="00A111F2" w:rsidP="0023196E">
            <w:pPr>
              <w:pStyle w:val="Table-Header"/>
            </w:pPr>
            <w:r w:rsidRPr="003815D6">
              <w:t>Description</w:t>
            </w:r>
          </w:p>
        </w:tc>
      </w:tr>
      <w:tr w:rsidR="00A111F2" w:rsidRPr="003815D6" w14:paraId="4EB0F490" w14:textId="77777777" w:rsidTr="00982A4F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1B0405DE" w14:textId="77777777" w:rsidR="00A111F2" w:rsidRPr="003815D6" w:rsidRDefault="00A111F2" w:rsidP="0023196E">
            <w:pPr>
              <w:pStyle w:val="TableText"/>
            </w:pPr>
            <w:r w:rsidRPr="003815D6">
              <w:rPr>
                <w:b/>
              </w:rPr>
              <w:t>Microsoft activities</w:t>
            </w:r>
            <w:r w:rsidRPr="003815D6">
              <w:br/>
              <w:t>The activities to be performed by Microsoft</w:t>
            </w:r>
          </w:p>
        </w:tc>
        <w:tc>
          <w:tcPr>
            <w:tcW w:w="6140" w:type="dxa"/>
            <w:shd w:val="clear" w:color="auto" w:fill="auto"/>
          </w:tcPr>
          <w:p w14:paraId="230FCF34" w14:textId="77777777" w:rsidR="00A111F2" w:rsidRDefault="00DE7140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 w:rsidRPr="00DE7140">
              <w:t>Kick off, inception workshop requirements</w:t>
            </w:r>
          </w:p>
          <w:p w14:paraId="6EE01E43" w14:textId="77777777" w:rsidR="00994113" w:rsidRDefault="00994113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 w:rsidRPr="00994113">
              <w:t>Configure Archive2Azure platform</w:t>
            </w:r>
          </w:p>
          <w:p w14:paraId="2EBF1AC3" w14:textId="331D520F" w:rsidR="00994113" w:rsidRDefault="00994113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>
              <w:t>Data ingestion includes software and services (PST in Azure to</w:t>
            </w:r>
            <w:r w:rsidR="009A474E">
              <w:t xml:space="preserve"> </w:t>
            </w:r>
            <w:r>
              <w:t>Archive2Azure platform)</w:t>
            </w:r>
          </w:p>
          <w:p w14:paraId="2A551780" w14:textId="02DD459F" w:rsidR="00423993" w:rsidRDefault="00423993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 w:rsidRPr="00423993">
              <w:t>Migration and classification from Archive2Azure to Office365</w:t>
            </w:r>
          </w:p>
          <w:p w14:paraId="4F717561" w14:textId="790F4728" w:rsidR="00994113" w:rsidRPr="003815D6" w:rsidRDefault="001F5C43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 w:rsidRPr="001F5C43">
              <w:t>Project Management for the duration of the planning and migration</w:t>
            </w:r>
          </w:p>
        </w:tc>
      </w:tr>
      <w:tr w:rsidR="00A111F2" w:rsidRPr="003815D6" w14:paraId="203CBA33" w14:textId="77777777" w:rsidTr="00982A4F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7D1F5E96" w14:textId="77777777" w:rsidR="004E7D5A" w:rsidRDefault="00A111F2" w:rsidP="0023196E">
            <w:pPr>
              <w:pStyle w:val="TableText"/>
              <w:rPr>
                <w:b/>
              </w:rPr>
            </w:pPr>
            <w:r w:rsidRPr="003815D6">
              <w:rPr>
                <w:b/>
              </w:rPr>
              <w:t>Customer activities</w:t>
            </w:r>
            <w:r>
              <w:rPr>
                <w:b/>
              </w:rPr>
              <w:t xml:space="preserve"> </w:t>
            </w:r>
          </w:p>
          <w:p w14:paraId="75A3087C" w14:textId="56119F76" w:rsidR="00A111F2" w:rsidRPr="003815D6" w:rsidRDefault="00A111F2" w:rsidP="0023196E">
            <w:pPr>
              <w:pStyle w:val="TableText"/>
            </w:pPr>
            <w:r w:rsidRPr="003815D6">
              <w:t>The activities to be performed by the Customer</w:t>
            </w:r>
          </w:p>
        </w:tc>
        <w:tc>
          <w:tcPr>
            <w:tcW w:w="6140" w:type="dxa"/>
            <w:shd w:val="clear" w:color="auto" w:fill="auto"/>
          </w:tcPr>
          <w:p w14:paraId="51F4F31F" w14:textId="77777777" w:rsidR="00476470" w:rsidRDefault="00476470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>
              <w:t>Make available required resources to attend the requirements workshop</w:t>
            </w:r>
          </w:p>
          <w:p w14:paraId="185850F7" w14:textId="7362C4DD" w:rsidR="001D4E22" w:rsidRDefault="001D4E22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>
              <w:t xml:space="preserve">Negotiate </w:t>
            </w:r>
            <w:proofErr w:type="gramStart"/>
            <w:r w:rsidR="00D71516">
              <w:t>with  for</w:t>
            </w:r>
            <w:proofErr w:type="gramEnd"/>
            <w:r w:rsidR="00D71516">
              <w:t xml:space="preserve"> the data extraction</w:t>
            </w:r>
          </w:p>
          <w:p w14:paraId="29E9E51A" w14:textId="2F2742D4" w:rsidR="00D71516" w:rsidRDefault="00D71516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proofErr w:type="gramStart"/>
            <w:r>
              <w:t>Manage  to</w:t>
            </w:r>
            <w:proofErr w:type="gramEnd"/>
            <w:r>
              <w:t xml:space="preserve"> ensure data is provided to </w:t>
            </w:r>
            <w:r w:rsidR="0029281A">
              <w:t>Microsoft in a timely fashion without any delays</w:t>
            </w:r>
          </w:p>
          <w:p w14:paraId="7E6E8D61" w14:textId="103B9244" w:rsidR="00093A03" w:rsidRPr="001E6BAE" w:rsidRDefault="00F66163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 w:rsidRPr="00EB3180">
              <w:rPr>
                <w:rFonts w:eastAsia="Calibri"/>
                <w:bCs/>
              </w:rPr>
              <w:t xml:space="preserve"> to be in contract should we need to re-request data that is corrupt</w:t>
            </w:r>
          </w:p>
          <w:p w14:paraId="4C638045" w14:textId="2B729634" w:rsidR="00A111F2" w:rsidRPr="003815D6" w:rsidRDefault="001E6BAE" w:rsidP="00625289">
            <w:pPr>
              <w:pStyle w:val="TableBullet1"/>
              <w:numPr>
                <w:ilvl w:val="0"/>
                <w:numId w:val="11"/>
              </w:numPr>
              <w:ind w:left="360"/>
            </w:pPr>
            <w:r w:rsidRPr="002B7C94">
              <w:rPr>
                <w:rFonts w:eastAsia="Calibri"/>
                <w:bCs/>
              </w:rPr>
              <w:t xml:space="preserve">The archiving tooling will require storage and compute which </w:t>
            </w:r>
            <w:r w:rsidR="0003248B" w:rsidRPr="002B7C94">
              <w:rPr>
                <w:rFonts w:eastAsia="Calibri"/>
                <w:bCs/>
              </w:rPr>
              <w:t xml:space="preserve">customer will provide within their </w:t>
            </w:r>
            <w:r w:rsidR="002B7C94" w:rsidRPr="002B7C94">
              <w:rPr>
                <w:rFonts w:eastAsia="Calibri"/>
                <w:bCs/>
              </w:rPr>
              <w:t xml:space="preserve">Azure </w:t>
            </w:r>
            <w:r w:rsidR="0003248B" w:rsidRPr="002B7C94">
              <w:rPr>
                <w:rFonts w:eastAsia="Calibri"/>
                <w:bCs/>
              </w:rPr>
              <w:t>EA Comm</w:t>
            </w:r>
            <w:r w:rsidR="002B7C94" w:rsidRPr="002B7C94">
              <w:rPr>
                <w:rFonts w:eastAsia="Calibri"/>
                <w:bCs/>
              </w:rPr>
              <w:t xml:space="preserve"> </w:t>
            </w:r>
          </w:p>
        </w:tc>
      </w:tr>
      <w:tr w:rsidR="00A111F2" w:rsidRPr="003815D6" w14:paraId="7EAE842E" w14:textId="77777777" w:rsidTr="00982A4F">
        <w:trPr>
          <w:gridAfter w:val="1"/>
          <w:wAfter w:w="13" w:type="dxa"/>
          <w:trHeight w:val="422"/>
        </w:trPr>
        <w:tc>
          <w:tcPr>
            <w:tcW w:w="3068" w:type="dxa"/>
            <w:shd w:val="clear" w:color="auto" w:fill="auto"/>
          </w:tcPr>
          <w:p w14:paraId="54BFF5EA" w14:textId="77777777" w:rsidR="00A111F2" w:rsidRPr="003815D6" w:rsidRDefault="00A111F2" w:rsidP="0023196E">
            <w:pPr>
              <w:pStyle w:val="TableText"/>
              <w:rPr>
                <w:b/>
              </w:rPr>
            </w:pPr>
            <w:r w:rsidRPr="003815D6">
              <w:rPr>
                <w:rFonts w:eastAsia="Calibri"/>
                <w:b/>
              </w:rPr>
              <w:t>Key assumptions</w:t>
            </w:r>
          </w:p>
        </w:tc>
        <w:tc>
          <w:tcPr>
            <w:tcW w:w="6140" w:type="dxa"/>
            <w:shd w:val="clear" w:color="auto" w:fill="auto"/>
          </w:tcPr>
          <w:p w14:paraId="7648A79A" w14:textId="5866E69C" w:rsidR="00EB3180" w:rsidRPr="00EB3180" w:rsidRDefault="00EB3180" w:rsidP="00625289">
            <w:pPr>
              <w:pStyle w:val="TableBullet1"/>
              <w:numPr>
                <w:ilvl w:val="0"/>
                <w:numId w:val="11"/>
              </w:numPr>
              <w:ind w:left="360"/>
              <w:rPr>
                <w:rFonts w:eastAsia="Calibri"/>
                <w:bCs/>
              </w:rPr>
            </w:pPr>
            <w:r w:rsidRPr="00EB3180">
              <w:rPr>
                <w:rFonts w:eastAsia="Calibri"/>
                <w:bCs/>
              </w:rPr>
              <w:t xml:space="preserve">200TB </w:t>
            </w:r>
            <w:proofErr w:type="gramStart"/>
            <w:r w:rsidRPr="00EB3180">
              <w:rPr>
                <w:rFonts w:eastAsia="Calibri"/>
                <w:bCs/>
              </w:rPr>
              <w:t>of  data</w:t>
            </w:r>
            <w:proofErr w:type="gramEnd"/>
            <w:r w:rsidRPr="00EB3180">
              <w:rPr>
                <w:rFonts w:eastAsia="Calibri"/>
                <w:bCs/>
              </w:rPr>
              <w:t xml:space="preserve"> (Journal format provided as PST in Azure) </w:t>
            </w:r>
          </w:p>
          <w:p w14:paraId="38F85A6E" w14:textId="1B041FDA" w:rsidR="00570C23" w:rsidRPr="00EB3180" w:rsidRDefault="00570C23" w:rsidP="00625289">
            <w:pPr>
              <w:pStyle w:val="TableBullet1"/>
              <w:numPr>
                <w:ilvl w:val="0"/>
                <w:numId w:val="11"/>
              </w:numPr>
              <w:ind w:left="36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Arc</w:t>
            </w:r>
            <w:r w:rsidR="00120CB2">
              <w:rPr>
                <w:rFonts w:eastAsia="Calibri"/>
                <w:bCs/>
              </w:rPr>
              <w:t xml:space="preserve">hive data </w:t>
            </w:r>
            <w:r w:rsidR="00330486">
              <w:rPr>
                <w:rFonts w:eastAsia="Calibri"/>
                <w:bCs/>
              </w:rPr>
              <w:t>ingestion</w:t>
            </w:r>
            <w:r w:rsidR="00120CB2">
              <w:rPr>
                <w:rFonts w:eastAsia="Calibri"/>
                <w:bCs/>
              </w:rPr>
              <w:t xml:space="preserve"> </w:t>
            </w:r>
            <w:r w:rsidR="004F4F16">
              <w:rPr>
                <w:rFonts w:eastAsia="Calibri"/>
                <w:bCs/>
              </w:rPr>
              <w:t xml:space="preserve">will </w:t>
            </w:r>
            <w:r w:rsidR="00BA43FF">
              <w:rPr>
                <w:rFonts w:eastAsia="Calibri"/>
                <w:bCs/>
              </w:rPr>
              <w:t xml:space="preserve">start once </w:t>
            </w:r>
            <w:r w:rsidR="0013708B">
              <w:rPr>
                <w:rFonts w:eastAsia="Calibri"/>
                <w:bCs/>
              </w:rPr>
              <w:t xml:space="preserve">all the mailboxes </w:t>
            </w:r>
            <w:r w:rsidR="008771F4">
              <w:rPr>
                <w:rFonts w:eastAsia="Calibri"/>
                <w:bCs/>
              </w:rPr>
              <w:t xml:space="preserve">have </w:t>
            </w:r>
            <w:r w:rsidR="00AF6235">
              <w:rPr>
                <w:rFonts w:eastAsia="Calibri"/>
                <w:bCs/>
              </w:rPr>
              <w:t>been migrated to Exch</w:t>
            </w:r>
            <w:r w:rsidR="00AB2190">
              <w:rPr>
                <w:rFonts w:eastAsia="Calibri"/>
                <w:bCs/>
              </w:rPr>
              <w:t>ange Online</w:t>
            </w:r>
          </w:p>
          <w:p w14:paraId="5C52A539" w14:textId="7EA9D971" w:rsidR="00EB3180" w:rsidRPr="00EB3180" w:rsidRDefault="00EB3180" w:rsidP="00625289">
            <w:pPr>
              <w:pStyle w:val="TableBullet1"/>
              <w:numPr>
                <w:ilvl w:val="0"/>
                <w:numId w:val="11"/>
              </w:numPr>
              <w:ind w:left="360"/>
              <w:rPr>
                <w:rFonts w:eastAsia="Calibri"/>
                <w:bCs/>
              </w:rPr>
            </w:pPr>
            <w:r w:rsidRPr="00EB3180">
              <w:rPr>
                <w:rFonts w:eastAsia="Calibri"/>
                <w:bCs/>
              </w:rPr>
              <w:t>39</w:t>
            </w:r>
            <w:r w:rsidR="0092012E">
              <w:rPr>
                <w:rFonts w:eastAsia="Calibri"/>
                <w:bCs/>
              </w:rPr>
              <w:t xml:space="preserve"> </w:t>
            </w:r>
            <w:r w:rsidRPr="00EB3180">
              <w:rPr>
                <w:rFonts w:eastAsia="Calibri"/>
                <w:bCs/>
              </w:rPr>
              <w:t>00</w:t>
            </w:r>
            <w:r w:rsidR="0092012E">
              <w:rPr>
                <w:rFonts w:eastAsia="Calibri"/>
                <w:bCs/>
              </w:rPr>
              <w:t>0</w:t>
            </w:r>
            <w:r w:rsidRPr="00EB3180">
              <w:rPr>
                <w:rFonts w:eastAsia="Calibri"/>
                <w:bCs/>
              </w:rPr>
              <w:t xml:space="preserve"> Exchange mailboxes – expected to be x1.5 larger with inactive users </w:t>
            </w:r>
            <w:proofErr w:type="gramStart"/>
            <w:r w:rsidRPr="00EB3180">
              <w:rPr>
                <w:rFonts w:eastAsia="Calibri"/>
                <w:bCs/>
              </w:rPr>
              <w:t>in  archive</w:t>
            </w:r>
            <w:proofErr w:type="gramEnd"/>
            <w:r w:rsidRPr="00EB3180">
              <w:rPr>
                <w:rFonts w:eastAsia="Calibri"/>
                <w:bCs/>
              </w:rPr>
              <w:t xml:space="preserve"> </w:t>
            </w:r>
          </w:p>
          <w:p w14:paraId="3A1D7169" w14:textId="272B4F5E" w:rsidR="00EB3180" w:rsidRPr="00EB3180" w:rsidRDefault="00EB3180" w:rsidP="00625289">
            <w:pPr>
              <w:pStyle w:val="TableBullet1"/>
              <w:numPr>
                <w:ilvl w:val="0"/>
                <w:numId w:val="11"/>
              </w:numPr>
              <w:ind w:left="360"/>
              <w:rPr>
                <w:rFonts w:eastAsia="Calibri"/>
                <w:bCs/>
              </w:rPr>
            </w:pPr>
            <w:r w:rsidRPr="00EB3180">
              <w:rPr>
                <w:rFonts w:eastAsia="Calibri"/>
                <w:bCs/>
              </w:rPr>
              <w:t>Microsoft Licensing has already been procured to support the project.</w:t>
            </w:r>
          </w:p>
          <w:p w14:paraId="18450E03" w14:textId="59459BDE" w:rsidR="006E3B4F" w:rsidRPr="006E3B4F" w:rsidRDefault="006E3B4F" w:rsidP="00625289">
            <w:pPr>
              <w:pStyle w:val="TableBullet1"/>
              <w:numPr>
                <w:ilvl w:val="0"/>
                <w:numId w:val="11"/>
              </w:numPr>
              <w:ind w:left="360"/>
              <w:rPr>
                <w:rFonts w:eastAsia="Calibri"/>
                <w:bCs/>
              </w:rPr>
            </w:pPr>
            <w:r w:rsidRPr="006E3B4F">
              <w:rPr>
                <w:rFonts w:eastAsia="Calibri"/>
                <w:bCs/>
              </w:rPr>
              <w:t>Migration of data to Office</w:t>
            </w:r>
            <w:r w:rsidR="00BC1601">
              <w:rPr>
                <w:rFonts w:eastAsia="Calibri"/>
                <w:bCs/>
              </w:rPr>
              <w:t>3</w:t>
            </w:r>
            <w:r w:rsidRPr="006E3B4F">
              <w:rPr>
                <w:rFonts w:eastAsia="Calibri"/>
                <w:bCs/>
              </w:rPr>
              <w:t>65 from A2Az can only happen once all data is ingested and validated in A2Az.</w:t>
            </w:r>
          </w:p>
          <w:p w14:paraId="2C375272" w14:textId="2F61BFD1" w:rsidR="006E3B4F" w:rsidRPr="006E3B4F" w:rsidRDefault="001C605A" w:rsidP="00625289">
            <w:pPr>
              <w:pStyle w:val="TableBullet1"/>
              <w:numPr>
                <w:ilvl w:val="0"/>
                <w:numId w:val="11"/>
              </w:numPr>
              <w:ind w:left="36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 xml:space="preserve">All </w:t>
            </w:r>
            <w:r w:rsidR="000F2310">
              <w:rPr>
                <w:rFonts w:eastAsia="Calibri"/>
                <w:bCs/>
              </w:rPr>
              <w:t xml:space="preserve">mailbox </w:t>
            </w:r>
            <w:r>
              <w:rPr>
                <w:rFonts w:eastAsia="Calibri"/>
                <w:bCs/>
              </w:rPr>
              <w:t xml:space="preserve">migration are </w:t>
            </w:r>
            <w:proofErr w:type="gramStart"/>
            <w:r>
              <w:rPr>
                <w:rFonts w:eastAsia="Calibri"/>
                <w:bCs/>
              </w:rPr>
              <w:t xml:space="preserve">complete </w:t>
            </w:r>
            <w:r w:rsidR="000F2310">
              <w:rPr>
                <w:rFonts w:eastAsia="Calibri"/>
                <w:bCs/>
              </w:rPr>
              <w:t xml:space="preserve"> before</w:t>
            </w:r>
            <w:proofErr w:type="gramEnd"/>
            <w:r w:rsidR="000F2310">
              <w:rPr>
                <w:rFonts w:eastAsia="Calibri"/>
                <w:bCs/>
              </w:rPr>
              <w:t xml:space="preserve"> the </w:t>
            </w:r>
            <w:r w:rsidR="00BB5D5E">
              <w:rPr>
                <w:rFonts w:eastAsia="Calibri"/>
                <w:bCs/>
              </w:rPr>
              <w:t xml:space="preserve">archive </w:t>
            </w:r>
            <w:r w:rsidR="00D876F8">
              <w:rPr>
                <w:rFonts w:eastAsia="Calibri"/>
                <w:bCs/>
              </w:rPr>
              <w:t xml:space="preserve">ingestion </w:t>
            </w:r>
            <w:r w:rsidR="00F126CE">
              <w:rPr>
                <w:rFonts w:eastAsia="Calibri"/>
                <w:bCs/>
              </w:rPr>
              <w:t xml:space="preserve">to Exchange Online </w:t>
            </w:r>
            <w:r w:rsidR="00BB5D5E">
              <w:rPr>
                <w:rFonts w:eastAsia="Calibri"/>
                <w:bCs/>
              </w:rPr>
              <w:t>can start</w:t>
            </w:r>
            <w:r w:rsidR="006E3B4F" w:rsidRPr="006E3B4F">
              <w:rPr>
                <w:rFonts w:eastAsia="Calibri"/>
                <w:bCs/>
              </w:rPr>
              <w:t>.</w:t>
            </w:r>
          </w:p>
          <w:p w14:paraId="53B7E3FE" w14:textId="25122E05" w:rsidR="00B3348E" w:rsidRDefault="003D23E8" w:rsidP="00625289">
            <w:pPr>
              <w:pStyle w:val="TableBullet1"/>
              <w:numPr>
                <w:ilvl w:val="0"/>
                <w:numId w:val="11"/>
              </w:numPr>
              <w:ind w:left="360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lastRenderedPageBreak/>
              <w:t xml:space="preserve">Once </w:t>
            </w:r>
            <w:r w:rsidR="00E03ABC">
              <w:rPr>
                <w:rFonts w:eastAsia="Calibri"/>
                <w:bCs/>
              </w:rPr>
              <w:t xml:space="preserve">extraction </w:t>
            </w:r>
            <w:r w:rsidR="005647C0">
              <w:rPr>
                <w:rFonts w:eastAsia="Calibri"/>
                <w:bCs/>
              </w:rPr>
              <w:t>of dat</w:t>
            </w:r>
            <w:r w:rsidR="00E709AA">
              <w:rPr>
                <w:rFonts w:eastAsia="Calibri"/>
                <w:bCs/>
              </w:rPr>
              <w:t>a</w:t>
            </w:r>
            <w:r w:rsidR="005647C0">
              <w:rPr>
                <w:rFonts w:eastAsia="Calibri"/>
                <w:bCs/>
              </w:rPr>
              <w:t xml:space="preserve"> </w:t>
            </w:r>
            <w:proofErr w:type="gramStart"/>
            <w:r w:rsidR="00E03ABC">
              <w:rPr>
                <w:rFonts w:eastAsia="Calibri"/>
                <w:bCs/>
              </w:rPr>
              <w:t xml:space="preserve">from </w:t>
            </w:r>
            <w:r w:rsidR="004057AD">
              <w:rPr>
                <w:rFonts w:eastAsia="Calibri"/>
                <w:bCs/>
              </w:rPr>
              <w:t xml:space="preserve"> begins</w:t>
            </w:r>
            <w:proofErr w:type="gramEnd"/>
            <w:r w:rsidR="004057AD">
              <w:rPr>
                <w:rFonts w:eastAsia="Calibri"/>
                <w:bCs/>
              </w:rPr>
              <w:t xml:space="preserve"> the journaling of email </w:t>
            </w:r>
            <w:r w:rsidR="00DB4897">
              <w:rPr>
                <w:rFonts w:eastAsia="Calibri"/>
                <w:bCs/>
              </w:rPr>
              <w:t>to</w:t>
            </w:r>
            <w:r w:rsidR="00DD07DA">
              <w:rPr>
                <w:rFonts w:eastAsia="Calibri"/>
                <w:bCs/>
              </w:rPr>
              <w:t xml:space="preserve">  will be stopped.</w:t>
            </w:r>
            <w:r w:rsidR="00E03ABC">
              <w:rPr>
                <w:rFonts w:eastAsia="Calibri"/>
                <w:bCs/>
              </w:rPr>
              <w:t xml:space="preserve"> </w:t>
            </w:r>
            <w:r w:rsidR="008468E6">
              <w:rPr>
                <w:rFonts w:eastAsia="Calibri"/>
                <w:bCs/>
              </w:rPr>
              <w:t xml:space="preserve">If </w:t>
            </w:r>
            <w:r w:rsidR="00D74960">
              <w:rPr>
                <w:rFonts w:eastAsia="Calibri"/>
                <w:bCs/>
              </w:rPr>
              <w:t xml:space="preserve">it is not stopped </w:t>
            </w:r>
            <w:r w:rsidR="00B506E2">
              <w:rPr>
                <w:rFonts w:eastAsia="Calibri"/>
                <w:bCs/>
              </w:rPr>
              <w:t xml:space="preserve">it would require a differential of data to be migrated and that would </w:t>
            </w:r>
            <w:r w:rsidR="00545738">
              <w:rPr>
                <w:rFonts w:eastAsia="Calibri"/>
                <w:bCs/>
              </w:rPr>
              <w:t>invoke the</w:t>
            </w:r>
            <w:r w:rsidR="00B506E2">
              <w:rPr>
                <w:rFonts w:eastAsia="Calibri"/>
                <w:bCs/>
              </w:rPr>
              <w:t xml:space="preserve"> </w:t>
            </w:r>
            <w:r w:rsidR="007B5FDE">
              <w:rPr>
                <w:rFonts w:eastAsia="Calibri"/>
                <w:bCs/>
              </w:rPr>
              <w:t xml:space="preserve">change </w:t>
            </w:r>
            <w:r w:rsidR="006D3745">
              <w:rPr>
                <w:rFonts w:eastAsia="Calibri"/>
                <w:bCs/>
              </w:rPr>
              <w:t>management process.</w:t>
            </w:r>
          </w:p>
          <w:p w14:paraId="63F665DC" w14:textId="457C4BFC" w:rsidR="00A111F2" w:rsidRPr="003815D6" w:rsidRDefault="001D39B1" w:rsidP="00625289">
            <w:pPr>
              <w:pStyle w:val="TableBullet1"/>
              <w:numPr>
                <w:ilvl w:val="0"/>
                <w:numId w:val="11"/>
              </w:numPr>
              <w:ind w:left="360"/>
              <w:rPr>
                <w:rFonts w:eastAsia="Calibri"/>
                <w:b/>
              </w:rPr>
            </w:pPr>
            <w:r>
              <w:rPr>
                <w:rFonts w:eastAsia="Calibri"/>
                <w:bCs/>
              </w:rPr>
              <w:t xml:space="preserve">The data migration estimates is based on </w:t>
            </w:r>
            <w:r w:rsidR="00C157EE">
              <w:rPr>
                <w:rFonts w:eastAsia="Calibri"/>
                <w:bCs/>
              </w:rPr>
              <w:t xml:space="preserve"> providing a minimum of </w:t>
            </w:r>
            <w:r w:rsidR="006D3745">
              <w:rPr>
                <w:rFonts w:eastAsia="Calibri"/>
                <w:bCs/>
              </w:rPr>
              <w:t xml:space="preserve">30TBTB </w:t>
            </w:r>
            <w:r w:rsidR="00C157EE">
              <w:rPr>
                <w:rFonts w:eastAsia="Calibri"/>
                <w:bCs/>
              </w:rPr>
              <w:t xml:space="preserve">of data per month </w:t>
            </w:r>
            <w:r w:rsidR="003C0E91">
              <w:rPr>
                <w:rFonts w:eastAsia="Calibri"/>
                <w:bCs/>
              </w:rPr>
              <w:t xml:space="preserve">and if this is not achieved </w:t>
            </w:r>
            <w:r w:rsidR="008914E5">
              <w:rPr>
                <w:rFonts w:eastAsia="Calibri"/>
                <w:bCs/>
              </w:rPr>
              <w:t xml:space="preserve">it would </w:t>
            </w:r>
            <w:r w:rsidR="00D542F7">
              <w:rPr>
                <w:rFonts w:eastAsia="Calibri"/>
                <w:bCs/>
              </w:rPr>
              <w:t xml:space="preserve">result in a change request to accommodate </w:t>
            </w:r>
            <w:r w:rsidR="00D96DE0">
              <w:rPr>
                <w:rFonts w:eastAsia="Calibri"/>
                <w:bCs/>
              </w:rPr>
              <w:t>the increase in time to complete the migration</w:t>
            </w:r>
          </w:p>
        </w:tc>
      </w:tr>
    </w:tbl>
    <w:p w14:paraId="084954C7" w14:textId="10F57EDF" w:rsidR="00D712DF" w:rsidRDefault="00D712DF" w:rsidP="00D712DF">
      <w:pPr>
        <w:pStyle w:val="Heading4"/>
      </w:pPr>
      <w:r>
        <w:lastRenderedPageBreak/>
        <w:t>Deliverables</w:t>
      </w:r>
    </w:p>
    <w:tbl>
      <w:tblPr>
        <w:tblStyle w:val="TableGrid1"/>
        <w:tblW w:w="9210" w:type="dxa"/>
        <w:tblInd w:w="-5" w:type="dxa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085"/>
        <w:gridCol w:w="3947"/>
        <w:gridCol w:w="1587"/>
        <w:gridCol w:w="1591"/>
      </w:tblGrid>
      <w:tr w:rsidR="00D712DF" w:rsidRPr="003F779C" w14:paraId="7B9385E7" w14:textId="77777777" w:rsidTr="00982A4F">
        <w:trPr>
          <w:trHeight w:val="361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00460966" w14:textId="77777777" w:rsidR="00D712DF" w:rsidRPr="00BC4E85" w:rsidRDefault="00D712DF" w:rsidP="0023196E">
            <w:pPr>
              <w:pStyle w:val="Table-Header"/>
            </w:pPr>
            <w:r w:rsidRPr="00BC4E85">
              <w:t>Name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19E33CE3" w14:textId="77777777" w:rsidR="00D712DF" w:rsidRPr="00BC4E85" w:rsidRDefault="00D712DF" w:rsidP="0023196E">
            <w:pPr>
              <w:pStyle w:val="Table-Header"/>
            </w:pPr>
            <w:r w:rsidRPr="00BC4E85">
              <w:t>Description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3DA39819" w14:textId="77777777" w:rsidR="00D712DF" w:rsidRPr="00BC4E85" w:rsidRDefault="00D712DF" w:rsidP="0023196E">
            <w:pPr>
              <w:pStyle w:val="Table-Header"/>
            </w:pPr>
            <w:r w:rsidRPr="00BC4E85">
              <w:t xml:space="preserve">Acceptance </w:t>
            </w:r>
            <w:r>
              <w:t>required</w:t>
            </w:r>
            <w:r w:rsidRPr="00BC4E85">
              <w:t>?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008272"/>
          </w:tcPr>
          <w:p w14:paraId="480ED1CD" w14:textId="77777777" w:rsidR="00D712DF" w:rsidRPr="00BC4E85" w:rsidRDefault="00D712DF" w:rsidP="0023196E">
            <w:pPr>
              <w:pStyle w:val="Table-Header"/>
            </w:pPr>
            <w:r w:rsidRPr="00BC4E85">
              <w:t>Responsibility</w:t>
            </w:r>
          </w:p>
        </w:tc>
      </w:tr>
      <w:tr w:rsidR="006D62DF" w:rsidRPr="003F779C" w14:paraId="343CDE63" w14:textId="77777777" w:rsidTr="00982A4F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2C8D9D35" w14:textId="4B8FE0B4" w:rsidR="006D62DF" w:rsidRDefault="006D62DF" w:rsidP="00EF76D6">
            <w:pPr>
              <w:pStyle w:val="TableText"/>
            </w:pPr>
            <w:r>
              <w:t>Data Migration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FD4C854" w14:textId="4C7BD80A" w:rsidR="006D62DF" w:rsidRDefault="009C17CE" w:rsidP="00EF76D6">
            <w:pPr>
              <w:pStyle w:val="TableText"/>
            </w:pPr>
            <w:r>
              <w:t xml:space="preserve"> </w:t>
            </w:r>
            <w:r w:rsidR="006D62DF">
              <w:t xml:space="preserve">Archive </w:t>
            </w:r>
            <w:r w:rsidR="009F216A">
              <w:t>data migration to Office 365</w:t>
            </w:r>
            <w:r w:rsidR="00292160">
              <w:t xml:space="preserve"> with chain of custody and data validation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1162E33" w14:textId="1077A16C" w:rsidR="006D62DF" w:rsidRPr="003C745A" w:rsidRDefault="00397258" w:rsidP="00EF76D6">
            <w:pPr>
              <w:pStyle w:val="TableText"/>
            </w:pPr>
            <w:r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AF71712" w14:textId="02964491" w:rsidR="006D62DF" w:rsidRPr="003C745A" w:rsidRDefault="00397258" w:rsidP="00EF76D6">
            <w:pPr>
              <w:pStyle w:val="TableText"/>
            </w:pPr>
            <w:r>
              <w:t>Microsoft</w:t>
            </w:r>
          </w:p>
        </w:tc>
      </w:tr>
      <w:tr w:rsidR="00D712DF" w:rsidRPr="003F779C" w14:paraId="5887323D" w14:textId="77777777" w:rsidTr="00982A4F">
        <w:trPr>
          <w:trHeight w:val="417"/>
        </w:trPr>
        <w:tc>
          <w:tcPr>
            <w:tcW w:w="2085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6584E65A" w14:textId="25B63846" w:rsidR="00D712DF" w:rsidRPr="003C745A" w:rsidRDefault="005C3D90" w:rsidP="0023196E">
            <w:pPr>
              <w:pStyle w:val="TableText"/>
            </w:pPr>
            <w:r>
              <w:t>Final c</w:t>
            </w:r>
            <w:r w:rsidR="0012322F">
              <w:t>hain of custody report</w:t>
            </w:r>
            <w:r w:rsidR="00E975FD">
              <w:t>ing</w:t>
            </w:r>
            <w:r w:rsidR="00950E84">
              <w:t xml:space="preserve"> and validation </w:t>
            </w:r>
            <w:r w:rsidR="0011436E">
              <w:t>report</w:t>
            </w:r>
          </w:p>
        </w:tc>
        <w:tc>
          <w:tcPr>
            <w:tcW w:w="394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3685F937" w14:textId="53A1B116" w:rsidR="00D712DF" w:rsidRPr="003C745A" w:rsidRDefault="006E5D1F" w:rsidP="0023196E">
            <w:pPr>
              <w:pStyle w:val="TableText"/>
            </w:pPr>
            <w:r>
              <w:t xml:space="preserve">Report to proof chain of custody </w:t>
            </w:r>
            <w:r w:rsidR="005838DC">
              <w:t xml:space="preserve">and </w:t>
            </w:r>
            <w:r w:rsidR="00044FA5">
              <w:t>Validation of data in O365</w:t>
            </w:r>
          </w:p>
        </w:tc>
        <w:tc>
          <w:tcPr>
            <w:tcW w:w="1587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4CB689BF" w14:textId="77777777" w:rsidR="00D712DF" w:rsidRPr="003C745A" w:rsidRDefault="00D712DF" w:rsidP="0023196E">
            <w:pPr>
              <w:pStyle w:val="TableText"/>
            </w:pPr>
            <w:r w:rsidRPr="003C745A">
              <w:t>Yes</w:t>
            </w:r>
          </w:p>
        </w:tc>
        <w:tc>
          <w:tcPr>
            <w:tcW w:w="1591" w:type="dxa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FFFFFF" w:themeFill="background1"/>
          </w:tcPr>
          <w:p w14:paraId="11CF4B44" w14:textId="77777777" w:rsidR="00D712DF" w:rsidRPr="003C745A" w:rsidRDefault="00D712DF" w:rsidP="0023196E">
            <w:pPr>
              <w:pStyle w:val="TableText"/>
            </w:pPr>
            <w:r w:rsidRPr="003C745A">
              <w:t>Microsoft</w:t>
            </w:r>
          </w:p>
        </w:tc>
      </w:tr>
    </w:tbl>
    <w:p w14:paraId="559F3363" w14:textId="77777777" w:rsidR="00D712DF" w:rsidRDefault="00D712DF" w:rsidP="00D712DF"/>
    <w:p w14:paraId="6925EC76" w14:textId="7F92579F" w:rsidR="00DC319F" w:rsidRDefault="00DC319F" w:rsidP="0032686E"/>
    <w:p w14:paraId="6925ED33" w14:textId="77777777" w:rsidR="009B1142" w:rsidRDefault="00C416FE" w:rsidP="00C84DD9">
      <w:pPr>
        <w:pStyle w:val="Heading2"/>
      </w:pPr>
      <w:bookmarkStart w:id="41" w:name="_Toc476167708"/>
      <w:bookmarkStart w:id="42" w:name="_Toc476168041"/>
      <w:bookmarkStart w:id="43" w:name="_Toc24894301"/>
      <w:r>
        <w:t>Timeline</w:t>
      </w:r>
      <w:bookmarkEnd w:id="41"/>
      <w:bookmarkEnd w:id="42"/>
      <w:bookmarkEnd w:id="43"/>
    </w:p>
    <w:p w14:paraId="6925ED34" w14:textId="77777777" w:rsidR="00C416FE" w:rsidRDefault="00DA7FE6" w:rsidP="00C416FE">
      <w:r>
        <w:t>During project planning</w:t>
      </w:r>
      <w:r w:rsidR="00C416FE">
        <w:t xml:space="preserve"> of the project</w:t>
      </w:r>
      <w:r w:rsidR="006965B5">
        <w:t>,</w:t>
      </w:r>
      <w:r w:rsidR="00C416FE">
        <w:t xml:space="preserve"> a detailed </w:t>
      </w:r>
      <w:r w:rsidR="006965B5">
        <w:t xml:space="preserve">project </w:t>
      </w:r>
      <w:r w:rsidR="00C416FE">
        <w:t xml:space="preserve">timeline </w:t>
      </w:r>
      <w:r w:rsidR="008D2374">
        <w:t>will be developed. A</w:t>
      </w:r>
      <w:r w:rsidR="007F3384">
        <w:t xml:space="preserve">ll dates and durations are </w:t>
      </w:r>
      <w:r w:rsidR="004E5105">
        <w:t xml:space="preserve">relative to the project start date and are </w:t>
      </w:r>
      <w:r w:rsidR="00057271">
        <w:t>estimates only.</w:t>
      </w:r>
    </w:p>
    <w:p w14:paraId="6925ED36" w14:textId="77777777" w:rsidR="00C44D16" w:rsidRDefault="00371AF2" w:rsidP="00C416FE">
      <w:r>
        <w:rPr>
          <w:noProof/>
        </w:rPr>
        <w:drawing>
          <wp:inline distT="0" distB="0" distL="0" distR="0" wp14:anchorId="6925EDE8" wp14:editId="09420872">
            <wp:extent cx="5703570" cy="571500"/>
            <wp:effectExtent l="38100" t="38100" r="30480" b="5715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925ED37" w14:textId="77777777" w:rsidR="00C44D16" w:rsidRDefault="00C44D16" w:rsidP="00C84DD9">
      <w:pPr>
        <w:pStyle w:val="Heading2"/>
      </w:pPr>
      <w:bookmarkStart w:id="44" w:name="_Toc476167709"/>
      <w:bookmarkStart w:id="45" w:name="_Toc476168042"/>
      <w:bookmarkStart w:id="46" w:name="_Ref477932041"/>
      <w:bookmarkStart w:id="47" w:name="_Toc24894302"/>
      <w:r>
        <w:t>Deliverable acceptance process</w:t>
      </w:r>
      <w:bookmarkEnd w:id="44"/>
      <w:bookmarkEnd w:id="45"/>
      <w:bookmarkEnd w:id="46"/>
      <w:bookmarkEnd w:id="47"/>
    </w:p>
    <w:p w14:paraId="6925ED38" w14:textId="77777777" w:rsidR="00C44D16" w:rsidRDefault="00C44D16" w:rsidP="00C44D16">
      <w:r>
        <w:t>During the project</w:t>
      </w:r>
      <w:r w:rsidR="00E40CE7">
        <w:t>,</w:t>
      </w:r>
      <w:r>
        <w:t xml:space="preserve"> </w:t>
      </w:r>
      <w:r w:rsidR="00840E9D">
        <w:t>Microsoft</w:t>
      </w:r>
      <w:r>
        <w:t xml:space="preserve"> will submit certain deliverables </w:t>
      </w:r>
      <w:r w:rsidR="00D44A6B">
        <w:t xml:space="preserve">(listed in the </w:t>
      </w:r>
      <w:r w:rsidR="00550DD8">
        <w:fldChar w:fldCharType="begin"/>
      </w:r>
      <w:r w:rsidR="00550DD8">
        <w:instrText xml:space="preserve"> REF _Ref477873467 \h </w:instrText>
      </w:r>
      <w:r w:rsidR="00550DD8">
        <w:fldChar w:fldCharType="separate"/>
      </w:r>
      <w:r w:rsidR="00812548">
        <w:t>Approach</w:t>
      </w:r>
      <w:r w:rsidR="00550DD8">
        <w:fldChar w:fldCharType="end"/>
      </w:r>
      <w:r w:rsidR="00ED7049">
        <w:t xml:space="preserve"> </w:t>
      </w:r>
      <w:r w:rsidR="00D44A6B">
        <w:t xml:space="preserve">section as deliverables with </w:t>
      </w:r>
      <w:r w:rsidR="00ED7049">
        <w:t>“</w:t>
      </w:r>
      <w:r w:rsidR="006965B5">
        <w:t xml:space="preserve">Acceptance </w:t>
      </w:r>
      <w:r w:rsidR="00ED7049">
        <w:t>required</w:t>
      </w:r>
      <w:r w:rsidR="006965B5">
        <w:t>?</w:t>
      </w:r>
      <w:r w:rsidR="00ED7049">
        <w:t xml:space="preserve">” </w:t>
      </w:r>
      <w:r w:rsidR="00D44A6B">
        <w:t xml:space="preserve">equal </w:t>
      </w:r>
      <w:r w:rsidR="006965B5">
        <w:t xml:space="preserve">to </w:t>
      </w:r>
      <w:r w:rsidR="00ED7049">
        <w:t>“</w:t>
      </w:r>
      <w:r w:rsidR="006965B5">
        <w:t>Y</w:t>
      </w:r>
      <w:r w:rsidR="00ED7049">
        <w:t>es”</w:t>
      </w:r>
      <w:r w:rsidR="00D44A6B">
        <w:t xml:space="preserve">) </w:t>
      </w:r>
      <w:r>
        <w:t xml:space="preserve">for </w:t>
      </w:r>
      <w:r w:rsidR="00840E9D">
        <w:t xml:space="preserve">the </w:t>
      </w:r>
      <w:r w:rsidR="00A26C0D">
        <w:t>c</w:t>
      </w:r>
      <w:r w:rsidR="00BC30AA">
        <w:t>ustomer’s review and approval.</w:t>
      </w:r>
    </w:p>
    <w:p w14:paraId="6925ED39" w14:textId="77777777" w:rsidR="00840E9D" w:rsidRDefault="00840E9D" w:rsidP="00C44D16">
      <w:r>
        <w:t xml:space="preserve">Within </w:t>
      </w:r>
      <w:r w:rsidR="00E40CE7">
        <w:t>three</w:t>
      </w:r>
      <w:r>
        <w:t xml:space="preserve"> business days </w:t>
      </w:r>
      <w:r w:rsidR="006965B5">
        <w:t xml:space="preserve">of </w:t>
      </w:r>
      <w:r>
        <w:t xml:space="preserve">the date of submittal, the </w:t>
      </w:r>
      <w:r w:rsidR="00A26C0D">
        <w:t>c</w:t>
      </w:r>
      <w:r>
        <w:t>ustomer is required to:</w:t>
      </w:r>
    </w:p>
    <w:p w14:paraId="6925ED3A" w14:textId="77777777" w:rsidR="006965B5" w:rsidRDefault="00840E9D" w:rsidP="00840E9D">
      <w:pPr>
        <w:pStyle w:val="Bulletlist"/>
      </w:pPr>
      <w:r w:rsidRPr="00AC1B81">
        <w:rPr>
          <w:b/>
        </w:rPr>
        <w:t>Accept the deliverable</w:t>
      </w:r>
      <w:r>
        <w:t xml:space="preserve"> by signing, dating</w:t>
      </w:r>
      <w:r w:rsidR="006965B5">
        <w:t>,</w:t>
      </w:r>
      <w:r>
        <w:t xml:space="preserve"> and returning </w:t>
      </w:r>
      <w:r w:rsidR="006965B5">
        <w:t xml:space="preserve">a service deliverable acceptance </w:t>
      </w:r>
      <w:r w:rsidR="00D44A6B">
        <w:t>form</w:t>
      </w:r>
      <w:r w:rsidR="006965B5">
        <w:t>, which can</w:t>
      </w:r>
      <w:r w:rsidR="00D44A6B">
        <w:t xml:space="preserve"> be sent </w:t>
      </w:r>
      <w:r w:rsidR="006965B5">
        <w:t xml:space="preserve">by </w:t>
      </w:r>
      <w:r w:rsidR="00D44A6B">
        <w:t>email</w:t>
      </w:r>
      <w:r w:rsidR="006965B5">
        <w:t>,</w:t>
      </w:r>
      <w:r w:rsidR="00474631">
        <w:t xml:space="preserve"> </w:t>
      </w:r>
      <w:r w:rsidR="00D44A6B">
        <w:t>o</w:t>
      </w:r>
      <w:r>
        <w:t xml:space="preserve">r by using </w:t>
      </w:r>
      <w:r w:rsidR="006965B5">
        <w:t xml:space="preserve">(or partially using) </w:t>
      </w:r>
      <w:r>
        <w:t>the deliverable</w:t>
      </w:r>
    </w:p>
    <w:p w14:paraId="6925ED3B" w14:textId="77777777" w:rsidR="00840E9D" w:rsidRPr="0031303E" w:rsidRDefault="006965B5" w:rsidP="00140C9E">
      <w:pPr>
        <w:ind w:firstLine="360"/>
      </w:pPr>
      <w:r w:rsidRPr="00140C9E">
        <w:t>Or</w:t>
      </w:r>
      <w:r w:rsidRPr="0031303E">
        <w:t xml:space="preserve"> </w:t>
      </w:r>
    </w:p>
    <w:p w14:paraId="6925ED3C" w14:textId="77777777" w:rsidR="00840E9D" w:rsidRDefault="00840E9D" w:rsidP="00840E9D">
      <w:pPr>
        <w:pStyle w:val="Bulletlist"/>
      </w:pPr>
      <w:r w:rsidRPr="00AC1B81">
        <w:rPr>
          <w:b/>
        </w:rPr>
        <w:t>Reject the deliverable</w:t>
      </w:r>
      <w:r>
        <w:t xml:space="preserve"> by notifying Microsoft in writing</w:t>
      </w:r>
      <w:r w:rsidR="006965B5">
        <w:t xml:space="preserve">; the customer must include </w:t>
      </w:r>
      <w:r>
        <w:t>a complete list of reasons for rejection</w:t>
      </w:r>
      <w:r w:rsidR="006965B5">
        <w:t>.</w:t>
      </w:r>
    </w:p>
    <w:p w14:paraId="6925ED3F" w14:textId="77777777" w:rsidR="00840E9D" w:rsidRDefault="00840E9D" w:rsidP="00840E9D">
      <w:pPr>
        <w:pStyle w:val="Bulletlist"/>
        <w:numPr>
          <w:ilvl w:val="0"/>
          <w:numId w:val="0"/>
        </w:numPr>
        <w:contextualSpacing w:val="0"/>
      </w:pPr>
      <w:r>
        <w:lastRenderedPageBreak/>
        <w:t xml:space="preserve">Deliverables shall be deemed accepted unless the </w:t>
      </w:r>
      <w:r w:rsidR="00C4139D">
        <w:t xml:space="preserve">written </w:t>
      </w:r>
      <w:r>
        <w:t>rejection notification is r</w:t>
      </w:r>
      <w:r w:rsidR="00D44A6B">
        <w:t>eceived by Microsoft</w:t>
      </w:r>
      <w:r w:rsidR="00D70772">
        <w:t xml:space="preserve"> in the timeframe specified</w:t>
      </w:r>
      <w:r w:rsidR="00D44A6B">
        <w:t>.</w:t>
      </w:r>
      <w:r w:rsidR="00666831">
        <w:t xml:space="preserve"> </w:t>
      </w:r>
    </w:p>
    <w:p w14:paraId="6925ED40" w14:textId="77777777" w:rsidR="00840E9D" w:rsidRDefault="00840E9D" w:rsidP="00840E9D">
      <w:pPr>
        <w:pStyle w:val="Bulletlist"/>
        <w:numPr>
          <w:ilvl w:val="0"/>
          <w:numId w:val="0"/>
        </w:numPr>
      </w:pPr>
      <w:r>
        <w:t>If a reje</w:t>
      </w:r>
      <w:r w:rsidR="00BE7980">
        <w:t xml:space="preserve">ction notification is received, Microsoft will correct problems with a deliverable that </w:t>
      </w:r>
      <w:r w:rsidR="001820B5">
        <w:t xml:space="preserve">are </w:t>
      </w:r>
      <w:r w:rsidR="00BE7980">
        <w:t>in scope for the project (and documented in this S</w:t>
      </w:r>
      <w:r w:rsidR="00E40CE7">
        <w:t>OW</w:t>
      </w:r>
      <w:r w:rsidR="00BE7980">
        <w:t>), after which the deliverable is deemed accepted.</w:t>
      </w:r>
    </w:p>
    <w:p w14:paraId="6925ED41" w14:textId="77777777" w:rsidR="00BE7980" w:rsidRDefault="0031303E" w:rsidP="00840E9D">
      <w:pPr>
        <w:pStyle w:val="Bulletlist"/>
        <w:numPr>
          <w:ilvl w:val="0"/>
          <w:numId w:val="0"/>
        </w:numPr>
      </w:pPr>
      <w:r>
        <w:t xml:space="preserve">Problems </w:t>
      </w:r>
      <w:r w:rsidR="00BE7980">
        <w:t>that are outside the scope of this S</w:t>
      </w:r>
      <w:r w:rsidR="00E40CE7">
        <w:t>OW</w:t>
      </w:r>
      <w:r w:rsidR="00BE7980">
        <w:t xml:space="preserve">, and feedback provided after a deliverable has been accepted will be addressed as a change request, managed as described in the </w:t>
      </w:r>
      <w:r w:rsidR="00160775">
        <w:fldChar w:fldCharType="begin"/>
      </w:r>
      <w:r w:rsidR="00160775">
        <w:instrText xml:space="preserve"> REF _Ref477932885 \h </w:instrText>
      </w:r>
      <w:r w:rsidR="00160775">
        <w:fldChar w:fldCharType="separate"/>
      </w:r>
      <w:r w:rsidR="00812548">
        <w:t>Change management process</w:t>
      </w:r>
      <w:r w:rsidR="00160775">
        <w:fldChar w:fldCharType="end"/>
      </w:r>
      <w:r w:rsidR="00BE7980">
        <w:t xml:space="preserve"> section.</w:t>
      </w:r>
    </w:p>
    <w:p w14:paraId="6925ED42" w14:textId="77777777" w:rsidR="00364836" w:rsidRDefault="00364836" w:rsidP="00C84DD9">
      <w:pPr>
        <w:pStyle w:val="Heading2"/>
      </w:pPr>
      <w:bookmarkStart w:id="48" w:name="_Toc476167710"/>
      <w:bookmarkStart w:id="49" w:name="_Toc476168043"/>
      <w:bookmarkStart w:id="50" w:name="_Toc24894303"/>
      <w:r>
        <w:t>Project governance</w:t>
      </w:r>
      <w:bookmarkEnd w:id="48"/>
      <w:bookmarkEnd w:id="49"/>
      <w:bookmarkEnd w:id="50"/>
    </w:p>
    <w:p w14:paraId="6925ED43" w14:textId="77777777" w:rsidR="00364836" w:rsidRDefault="00364836" w:rsidP="00364836">
      <w:r>
        <w:t>The governance structure and processes the team will adhere to for the project are described in the following section</w:t>
      </w:r>
      <w:r w:rsidR="00D70772">
        <w:t>s</w:t>
      </w:r>
      <w:r>
        <w:t>:</w:t>
      </w:r>
    </w:p>
    <w:p w14:paraId="6925ED44" w14:textId="77777777" w:rsidR="00BB669A" w:rsidRDefault="00BB669A" w:rsidP="00C84DD9">
      <w:pPr>
        <w:pStyle w:val="Heading3"/>
      </w:pPr>
      <w:bookmarkStart w:id="51" w:name="_Toc476168044"/>
      <w:r>
        <w:t>Project communication</w:t>
      </w:r>
      <w:bookmarkEnd w:id="51"/>
    </w:p>
    <w:p w14:paraId="6925ED45" w14:textId="77777777" w:rsidR="00BB669A" w:rsidRDefault="00BB669A" w:rsidP="00BB669A">
      <w:r>
        <w:t>The following will be used to communicate during the project</w:t>
      </w:r>
      <w:r w:rsidR="008F6487">
        <w:t>:</w:t>
      </w:r>
    </w:p>
    <w:p w14:paraId="6925ED46" w14:textId="77777777" w:rsidR="00104AB3" w:rsidRDefault="00104AB3" w:rsidP="00BB669A">
      <w:pPr>
        <w:pStyle w:val="Bulletlist"/>
      </w:pPr>
      <w:r w:rsidRPr="00E54AE8">
        <w:rPr>
          <w:b/>
        </w:rPr>
        <w:t xml:space="preserve">Communication </w:t>
      </w:r>
      <w:r w:rsidR="00111EBA">
        <w:rPr>
          <w:b/>
        </w:rPr>
        <w:t>p</w:t>
      </w:r>
      <w:r w:rsidRPr="00E54AE8">
        <w:rPr>
          <w:b/>
        </w:rPr>
        <w:t>lan</w:t>
      </w:r>
      <w:r w:rsidR="006C6051">
        <w:t xml:space="preserve">: </w:t>
      </w:r>
      <w:r w:rsidR="00160775">
        <w:t xml:space="preserve">this document will </w:t>
      </w:r>
      <w:r>
        <w:t>describe the frequency, audience</w:t>
      </w:r>
      <w:r w:rsidR="00160775">
        <w:t>,</w:t>
      </w:r>
      <w:r>
        <w:t xml:space="preserve"> and content </w:t>
      </w:r>
      <w:r w:rsidR="00160775">
        <w:t xml:space="preserve">of </w:t>
      </w:r>
      <w:r>
        <w:t xml:space="preserve">communication </w:t>
      </w:r>
      <w:r w:rsidR="00160775">
        <w:t xml:space="preserve">with </w:t>
      </w:r>
      <w:r>
        <w:t>the team and stakeholders.</w:t>
      </w:r>
      <w:r w:rsidR="00160775">
        <w:t xml:space="preserve"> It will be developed by Microsoft and the customer </w:t>
      </w:r>
      <w:r w:rsidR="00760487">
        <w:t>as part of project planning</w:t>
      </w:r>
      <w:r w:rsidR="00160775">
        <w:t>.</w:t>
      </w:r>
    </w:p>
    <w:p w14:paraId="6925ED47" w14:textId="77777777" w:rsidR="00BB669A" w:rsidRDefault="00BB669A" w:rsidP="00BB669A">
      <w:pPr>
        <w:pStyle w:val="Bulletlist"/>
      </w:pPr>
      <w:r w:rsidRPr="00E54AE8">
        <w:rPr>
          <w:b/>
        </w:rPr>
        <w:t>Status reports</w:t>
      </w:r>
      <w:r w:rsidR="006C6051">
        <w:t xml:space="preserve">: </w:t>
      </w:r>
      <w:r w:rsidR="00160775">
        <w:t xml:space="preserve">the </w:t>
      </w:r>
      <w:r>
        <w:t>Microsoft team will prepare and issue regular status report</w:t>
      </w:r>
      <w:r w:rsidR="00160775">
        <w:t>s</w:t>
      </w:r>
      <w:r>
        <w:t xml:space="preserve"> to project stakeholders</w:t>
      </w:r>
      <w:r w:rsidR="00111EBA">
        <w:t xml:space="preserve"> </w:t>
      </w:r>
      <w:r w:rsidR="00D70772">
        <w:t>per</w:t>
      </w:r>
      <w:r w:rsidR="00160775">
        <w:t xml:space="preserve"> </w:t>
      </w:r>
      <w:r w:rsidR="00111EBA">
        <w:t>the frequency defined in the communication plan.</w:t>
      </w:r>
    </w:p>
    <w:p w14:paraId="6925ED48" w14:textId="77777777" w:rsidR="00104AB3" w:rsidRDefault="00BB669A" w:rsidP="00104AB3">
      <w:pPr>
        <w:pStyle w:val="Bulletlist"/>
      </w:pPr>
      <w:r w:rsidRPr="00E54AE8">
        <w:rPr>
          <w:b/>
        </w:rPr>
        <w:t>Status meetings</w:t>
      </w:r>
      <w:r w:rsidR="006C6051">
        <w:t xml:space="preserve">: </w:t>
      </w:r>
      <w:r w:rsidR="00160775">
        <w:t xml:space="preserve">the </w:t>
      </w:r>
      <w:r>
        <w:t xml:space="preserve">Microsoft team will schedule regular </w:t>
      </w:r>
      <w:r w:rsidR="00104AB3">
        <w:t>status</w:t>
      </w:r>
      <w:r>
        <w:t xml:space="preserve"> meetings to review the overall project status, the acceptance of deliverables</w:t>
      </w:r>
      <w:r w:rsidR="00160775">
        <w:t>,</w:t>
      </w:r>
      <w:r>
        <w:t xml:space="preserve"> and review </w:t>
      </w:r>
      <w:r w:rsidR="00104AB3">
        <w:t xml:space="preserve">open </w:t>
      </w:r>
      <w:r w:rsidR="00160775">
        <w:t xml:space="preserve">problems </w:t>
      </w:r>
      <w:r w:rsidR="00E54AE8">
        <w:t>and risks</w:t>
      </w:r>
      <w:r w:rsidR="00104AB3">
        <w:t>.</w:t>
      </w:r>
    </w:p>
    <w:p w14:paraId="6925ED49" w14:textId="77777777" w:rsidR="00E54AE8" w:rsidRDefault="00E54AE8" w:rsidP="00C84DD9">
      <w:pPr>
        <w:pStyle w:val="Heading3"/>
      </w:pPr>
      <w:bookmarkStart w:id="52" w:name="_Toc476168045"/>
      <w:r>
        <w:t>Risk and issue management</w:t>
      </w:r>
      <w:bookmarkEnd w:id="52"/>
    </w:p>
    <w:p w14:paraId="6925ED4A" w14:textId="77777777" w:rsidR="00E54AE8" w:rsidRDefault="00E54AE8" w:rsidP="00E54AE8">
      <w:r>
        <w:t xml:space="preserve">The following general procedure will be used to manage active project issues and </w:t>
      </w:r>
      <w:r w:rsidR="00043018">
        <w:t xml:space="preserve">risks </w:t>
      </w:r>
      <w:r>
        <w:t>during the project:</w:t>
      </w:r>
    </w:p>
    <w:p w14:paraId="6925ED4B" w14:textId="77777777" w:rsidR="00E54AE8" w:rsidRDefault="00E54AE8" w:rsidP="00E54AE8">
      <w:pPr>
        <w:pStyle w:val="Bulletlist"/>
      </w:pPr>
      <w:r w:rsidRPr="00E54AE8">
        <w:rPr>
          <w:b/>
        </w:rPr>
        <w:t>Identify</w:t>
      </w:r>
      <w:r w:rsidR="006C6051">
        <w:t xml:space="preserve">: </w:t>
      </w:r>
      <w:r w:rsidR="00550DD8">
        <w:t xml:space="preserve">identify </w:t>
      </w:r>
      <w:r>
        <w:t xml:space="preserve">and document project issues (current problems) and risks (potential problems that </w:t>
      </w:r>
      <w:r w:rsidR="001C00BA">
        <w:t>could</w:t>
      </w:r>
      <w:r w:rsidR="00160775">
        <w:t xml:space="preserve"> </w:t>
      </w:r>
      <w:r w:rsidR="006D6E88">
        <w:t>affect</w:t>
      </w:r>
      <w:r>
        <w:t xml:space="preserve"> the project)</w:t>
      </w:r>
      <w:r w:rsidR="006D6E88">
        <w:t>.</w:t>
      </w:r>
    </w:p>
    <w:p w14:paraId="6925ED4C" w14:textId="77777777" w:rsidR="00E54AE8" w:rsidRDefault="00E54AE8" w:rsidP="00E54AE8">
      <w:pPr>
        <w:pStyle w:val="Bulletlist"/>
      </w:pPr>
      <w:r w:rsidRPr="00E54AE8">
        <w:rPr>
          <w:b/>
        </w:rPr>
        <w:t xml:space="preserve">Analyze and </w:t>
      </w:r>
      <w:proofErr w:type="gramStart"/>
      <w:r w:rsidRPr="00E54AE8">
        <w:rPr>
          <w:b/>
        </w:rPr>
        <w:t>prioritize</w:t>
      </w:r>
      <w:r w:rsidR="006C6051">
        <w:t>:</w:t>
      </w:r>
      <w:proofErr w:type="gramEnd"/>
      <w:r w:rsidR="006C6051">
        <w:t xml:space="preserve"> </w:t>
      </w:r>
      <w:r w:rsidR="00160775">
        <w:t xml:space="preserve">assess </w:t>
      </w:r>
      <w:r w:rsidR="004F4BCE">
        <w:t xml:space="preserve">the </w:t>
      </w:r>
      <w:r w:rsidR="00160775">
        <w:t xml:space="preserve">potential </w:t>
      </w:r>
      <w:r w:rsidR="004F4BCE">
        <w:t xml:space="preserve">impact and determine the highest </w:t>
      </w:r>
      <w:r w:rsidR="006D6E88">
        <w:t>priority</w:t>
      </w:r>
      <w:r w:rsidR="004F4BCE">
        <w:t xml:space="preserve"> risks and </w:t>
      </w:r>
      <w:r w:rsidR="00160775">
        <w:t xml:space="preserve">problems </w:t>
      </w:r>
      <w:r w:rsidR="004F4BCE">
        <w:t xml:space="preserve">that will be </w:t>
      </w:r>
      <w:r w:rsidR="006D6E88">
        <w:t>actively managed.</w:t>
      </w:r>
    </w:p>
    <w:p w14:paraId="6925ED4D" w14:textId="77777777" w:rsidR="00E54AE8" w:rsidRDefault="006C6051" w:rsidP="00E54AE8">
      <w:pPr>
        <w:pStyle w:val="Bulletlist"/>
      </w:pPr>
      <w:r>
        <w:rPr>
          <w:b/>
        </w:rPr>
        <w:t>Plan and schedule</w:t>
      </w:r>
      <w:r w:rsidRPr="006C6051">
        <w:t xml:space="preserve">: </w:t>
      </w:r>
      <w:r w:rsidR="00160775">
        <w:t xml:space="preserve">determine </w:t>
      </w:r>
      <w:r w:rsidR="00E54AE8">
        <w:t xml:space="preserve">the strategy for managing priority risks and </w:t>
      </w:r>
      <w:proofErr w:type="gramStart"/>
      <w:r w:rsidR="00E54AE8">
        <w:t xml:space="preserve">issues, </w:t>
      </w:r>
      <w:r w:rsidR="00160775">
        <w:t>and</w:t>
      </w:r>
      <w:proofErr w:type="gramEnd"/>
      <w:r w:rsidR="00160775">
        <w:t xml:space="preserve"> </w:t>
      </w:r>
      <w:r w:rsidR="00E54AE8">
        <w:t xml:space="preserve">identify </w:t>
      </w:r>
      <w:r w:rsidR="00160775">
        <w:t>a resource who can</w:t>
      </w:r>
      <w:r w:rsidR="00E54AE8">
        <w:t xml:space="preserve"> </w:t>
      </w:r>
      <w:r w:rsidR="00160775">
        <w:t xml:space="preserve">take responsibility for </w:t>
      </w:r>
      <w:r w:rsidR="00E54AE8">
        <w:t>mitigation and remediation.</w:t>
      </w:r>
    </w:p>
    <w:p w14:paraId="6925ED4E" w14:textId="77777777" w:rsidR="00E54AE8" w:rsidRDefault="006C6051" w:rsidP="00E54AE8">
      <w:pPr>
        <w:pStyle w:val="Bulletlist"/>
      </w:pPr>
      <w:r>
        <w:rPr>
          <w:b/>
        </w:rPr>
        <w:t>Track and report</w:t>
      </w:r>
      <w:r w:rsidRPr="006C6051">
        <w:t xml:space="preserve">: </w:t>
      </w:r>
      <w:r w:rsidR="00160775">
        <w:t xml:space="preserve">monitor </w:t>
      </w:r>
      <w:r w:rsidR="00E54AE8">
        <w:t>and report</w:t>
      </w:r>
      <w:r w:rsidR="006D6E88">
        <w:t xml:space="preserve"> the status of risks and </w:t>
      </w:r>
      <w:r w:rsidR="00160775">
        <w:t>problems</w:t>
      </w:r>
      <w:r w:rsidR="006D6E88">
        <w:t>.</w:t>
      </w:r>
    </w:p>
    <w:p w14:paraId="6925ED4F" w14:textId="77777777" w:rsidR="00C4139D" w:rsidRDefault="00C4139D" w:rsidP="00E54AE8">
      <w:pPr>
        <w:pStyle w:val="Bulletlist"/>
      </w:pPr>
      <w:r>
        <w:rPr>
          <w:b/>
        </w:rPr>
        <w:t>Escalate</w:t>
      </w:r>
      <w:r w:rsidR="006C6051">
        <w:t xml:space="preserve">: </w:t>
      </w:r>
      <w:r w:rsidR="00160775">
        <w:t xml:space="preserve">escalate to project sponsors the </w:t>
      </w:r>
      <w:r w:rsidR="004F4BCE">
        <w:t xml:space="preserve">high impact </w:t>
      </w:r>
      <w:r w:rsidR="00160775">
        <w:t xml:space="preserve">problems </w:t>
      </w:r>
      <w:r w:rsidR="004F4BCE">
        <w:t xml:space="preserve">and risks </w:t>
      </w:r>
      <w:r w:rsidR="00160775">
        <w:t xml:space="preserve">that </w:t>
      </w:r>
      <w:r>
        <w:t xml:space="preserve">the team </w:t>
      </w:r>
      <w:r w:rsidR="00160775">
        <w:t xml:space="preserve">is </w:t>
      </w:r>
      <w:r w:rsidR="004F4BCE">
        <w:t>unable to resolve</w:t>
      </w:r>
      <w:r>
        <w:t>.</w:t>
      </w:r>
    </w:p>
    <w:p w14:paraId="6925ED50" w14:textId="77777777" w:rsidR="00E54AE8" w:rsidRDefault="006C6051" w:rsidP="00E54AE8">
      <w:pPr>
        <w:pStyle w:val="Bulletlist"/>
      </w:pPr>
      <w:r>
        <w:rPr>
          <w:b/>
        </w:rPr>
        <w:t>Control</w:t>
      </w:r>
      <w:r w:rsidRPr="006C6051">
        <w:t xml:space="preserve">: </w:t>
      </w:r>
      <w:r w:rsidR="00160775">
        <w:t>r</w:t>
      </w:r>
      <w:r w:rsidR="00160775" w:rsidRPr="00E54AE8">
        <w:t xml:space="preserve">eview </w:t>
      </w:r>
      <w:r w:rsidR="00E54AE8" w:rsidRPr="00E54AE8">
        <w:t>the effectiveness of r</w:t>
      </w:r>
      <w:r w:rsidR="006D6E88">
        <w:t>isk and issue management action</w:t>
      </w:r>
      <w:r w:rsidR="004F4BCE">
        <w:t>s</w:t>
      </w:r>
      <w:r w:rsidR="006D6E88">
        <w:t>.</w:t>
      </w:r>
    </w:p>
    <w:p w14:paraId="6925ED51" w14:textId="77777777" w:rsidR="0007565A" w:rsidRDefault="0007565A" w:rsidP="00E54AE8">
      <w:pPr>
        <w:pStyle w:val="Bulletlist"/>
        <w:numPr>
          <w:ilvl w:val="0"/>
          <w:numId w:val="0"/>
        </w:numPr>
        <w:ind w:left="360" w:hanging="360"/>
      </w:pPr>
    </w:p>
    <w:p w14:paraId="6925ED52" w14:textId="77777777" w:rsidR="00E54AE8" w:rsidRDefault="00E54AE8" w:rsidP="00E54AE8">
      <w:pPr>
        <w:pStyle w:val="Bulletlist"/>
        <w:numPr>
          <w:ilvl w:val="0"/>
          <w:numId w:val="0"/>
        </w:numPr>
        <w:ind w:left="360" w:hanging="360"/>
      </w:pPr>
      <w:r>
        <w:t>Active issues and risks will be regularly monitored during the project.</w:t>
      </w:r>
    </w:p>
    <w:p w14:paraId="6925ED53" w14:textId="77777777" w:rsidR="002952F0" w:rsidRDefault="002952F0" w:rsidP="00C84DD9">
      <w:pPr>
        <w:pStyle w:val="Heading3"/>
      </w:pPr>
      <w:bookmarkStart w:id="53" w:name="_Toc476168046"/>
      <w:bookmarkStart w:id="54" w:name="_Ref477866682"/>
      <w:bookmarkStart w:id="55" w:name="_Ref477932885"/>
      <w:bookmarkStart w:id="56" w:name="_Ref477934302"/>
      <w:r>
        <w:t>Change management process</w:t>
      </w:r>
      <w:bookmarkEnd w:id="53"/>
      <w:bookmarkEnd w:id="54"/>
      <w:bookmarkEnd w:id="55"/>
      <w:bookmarkEnd w:id="56"/>
    </w:p>
    <w:p w14:paraId="6925ED54" w14:textId="77777777" w:rsidR="003E1B4E" w:rsidRDefault="003E1B4E" w:rsidP="003E1B4E">
      <w:r>
        <w:t>Dur</w:t>
      </w:r>
      <w:r w:rsidR="006D6E88">
        <w:t>i</w:t>
      </w:r>
      <w:r w:rsidR="004F4BCE">
        <w:t xml:space="preserve">ng the project, either party </w:t>
      </w:r>
      <w:proofErr w:type="gramStart"/>
      <w:r w:rsidR="00160775">
        <w:t>is able to</w:t>
      </w:r>
      <w:proofErr w:type="gramEnd"/>
      <w:r w:rsidR="00160775">
        <w:t xml:space="preserve"> </w:t>
      </w:r>
      <w:r w:rsidR="00884E0D">
        <w:t xml:space="preserve">request modifications to the </w:t>
      </w:r>
      <w:r w:rsidR="00140C9E">
        <w:t>S</w:t>
      </w:r>
      <w:r w:rsidR="00F97F79">
        <w:t>ervices described in this</w:t>
      </w:r>
      <w:r>
        <w:t xml:space="preserve"> S</w:t>
      </w:r>
      <w:r w:rsidR="00E40CE7">
        <w:t>OW</w:t>
      </w:r>
      <w:r>
        <w:t xml:space="preserve">. </w:t>
      </w:r>
      <w:r w:rsidR="004723A1">
        <w:t xml:space="preserve">These changes only take effect when the proposed change is agreed </w:t>
      </w:r>
      <w:r w:rsidR="00160775">
        <w:t xml:space="preserve">upon </w:t>
      </w:r>
      <w:r w:rsidR="004723A1">
        <w:t>by both parties.</w:t>
      </w:r>
      <w:r w:rsidR="00140C9E">
        <w:t xml:space="preserve"> The change management process steps are:</w:t>
      </w:r>
    </w:p>
    <w:p w14:paraId="6925ED55" w14:textId="77777777" w:rsidR="003E1B4E" w:rsidRDefault="00246AC9" w:rsidP="004723A1">
      <w:pPr>
        <w:pStyle w:val="Bulletlist"/>
      </w:pPr>
      <w:r>
        <w:rPr>
          <w:b/>
        </w:rPr>
        <w:lastRenderedPageBreak/>
        <w:t xml:space="preserve">The change </w:t>
      </w:r>
      <w:r w:rsidR="0025535A">
        <w:rPr>
          <w:b/>
        </w:rPr>
        <w:t>is documented</w:t>
      </w:r>
      <w:r w:rsidR="006C6051">
        <w:t xml:space="preserve">: </w:t>
      </w:r>
      <w:r>
        <w:t xml:space="preserve">all </w:t>
      </w:r>
      <w:r w:rsidR="003E1B4E">
        <w:t>change requests will be documented</w:t>
      </w:r>
      <w:r w:rsidR="004723A1">
        <w:t xml:space="preserve"> by Microsoft </w:t>
      </w:r>
      <w:r w:rsidR="003E1B4E">
        <w:t xml:space="preserve">in a Microsoft </w:t>
      </w:r>
      <w:r>
        <w:t xml:space="preserve">change request form </w:t>
      </w:r>
      <w:r w:rsidR="003E1B4E">
        <w:t xml:space="preserve">and submitted to the </w:t>
      </w:r>
      <w:r w:rsidR="00140C9E">
        <w:t>C</w:t>
      </w:r>
      <w:r w:rsidR="003E1B4E">
        <w:t xml:space="preserve">ustomer. The </w:t>
      </w:r>
      <w:r>
        <w:t xml:space="preserve">change request form </w:t>
      </w:r>
      <w:r w:rsidR="003E1B4E">
        <w:t>includes</w:t>
      </w:r>
      <w:r>
        <w:t>:</w:t>
      </w:r>
    </w:p>
    <w:p w14:paraId="6925ED56" w14:textId="77777777" w:rsidR="003E1B4E" w:rsidRDefault="00246AC9" w:rsidP="00625289">
      <w:pPr>
        <w:pStyle w:val="Bulletlist"/>
        <w:numPr>
          <w:ilvl w:val="1"/>
          <w:numId w:val="5"/>
        </w:numPr>
      </w:pPr>
      <w:r>
        <w:t xml:space="preserve">A description </w:t>
      </w:r>
      <w:r w:rsidR="003E1B4E">
        <w:t>of the change</w:t>
      </w:r>
      <w:r>
        <w:t>.</w:t>
      </w:r>
    </w:p>
    <w:p w14:paraId="6925ED57" w14:textId="77777777" w:rsidR="003E1B4E" w:rsidRDefault="00246AC9" w:rsidP="00625289">
      <w:pPr>
        <w:pStyle w:val="Bulletlist"/>
        <w:numPr>
          <w:ilvl w:val="1"/>
          <w:numId w:val="5"/>
        </w:numPr>
      </w:pPr>
      <w:r>
        <w:t xml:space="preserve">The estimated effect </w:t>
      </w:r>
      <w:r w:rsidR="003E1B4E">
        <w:t xml:space="preserve">of </w:t>
      </w:r>
      <w:r>
        <w:t xml:space="preserve">implementing the change. </w:t>
      </w:r>
    </w:p>
    <w:p w14:paraId="6925ED58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 xml:space="preserve">hange </w:t>
      </w:r>
      <w:r w:rsidR="00112EB1">
        <w:rPr>
          <w:b/>
        </w:rPr>
        <w:t>is submitted</w:t>
      </w:r>
      <w:r w:rsidR="006C6051">
        <w:t xml:space="preserve">: </w:t>
      </w:r>
      <w:r>
        <w:t xml:space="preserve">the change request form will be </w:t>
      </w:r>
      <w:r w:rsidR="004723A1">
        <w:t xml:space="preserve">provided to the </w:t>
      </w:r>
      <w:r w:rsidR="00140C9E">
        <w:t>C</w:t>
      </w:r>
      <w:r w:rsidR="004723A1">
        <w:t>ustomer</w:t>
      </w:r>
      <w:r w:rsidR="00A26C0D">
        <w:t>.</w:t>
      </w:r>
    </w:p>
    <w:p w14:paraId="6925ED59" w14:textId="77777777" w:rsidR="004723A1" w:rsidRDefault="00246AC9" w:rsidP="004723A1">
      <w:pPr>
        <w:pStyle w:val="Bulletlist"/>
      </w:pPr>
      <w:r>
        <w:rPr>
          <w:b/>
        </w:rPr>
        <w:t>The c</w:t>
      </w:r>
      <w:r w:rsidR="0025535A" w:rsidRPr="0025535A">
        <w:rPr>
          <w:b/>
        </w:rPr>
        <w:t>hange is accepted or rejected</w:t>
      </w:r>
      <w:r w:rsidR="006C6051">
        <w:t xml:space="preserve">: </w:t>
      </w:r>
      <w:proofErr w:type="gramStart"/>
      <w:r>
        <w:t>the</w:t>
      </w:r>
      <w:proofErr w:type="gramEnd"/>
      <w:r>
        <w:t xml:space="preserve"> </w:t>
      </w:r>
      <w:r w:rsidR="00140C9E">
        <w:t>C</w:t>
      </w:r>
      <w:r w:rsidR="00C4139D">
        <w:t>ustomer has three</w:t>
      </w:r>
      <w:r w:rsidR="004723A1">
        <w:t xml:space="preserve"> business days to confirm </w:t>
      </w:r>
      <w:r>
        <w:t xml:space="preserve">the following </w:t>
      </w:r>
      <w:r w:rsidR="004723A1">
        <w:t>to Microsoft</w:t>
      </w:r>
      <w:r w:rsidR="00A26C0D">
        <w:t>:</w:t>
      </w:r>
    </w:p>
    <w:p w14:paraId="6925ED5A" w14:textId="77777777" w:rsidR="004723A1" w:rsidRDefault="004723A1" w:rsidP="00625289">
      <w:pPr>
        <w:pStyle w:val="Bulletlist"/>
        <w:numPr>
          <w:ilvl w:val="1"/>
          <w:numId w:val="5"/>
        </w:numPr>
      </w:pPr>
      <w:r>
        <w:t>Acceptance</w:t>
      </w:r>
      <w:r w:rsidR="00515713">
        <w:t>—</w:t>
      </w:r>
      <w:r w:rsidR="00246AC9">
        <w:t xml:space="preserve">the </w:t>
      </w:r>
      <w:r w:rsidR="00140C9E">
        <w:t>C</w:t>
      </w:r>
      <w:r>
        <w:t xml:space="preserve">ustomer </w:t>
      </w:r>
      <w:r w:rsidR="0025535A">
        <w:t>must</w:t>
      </w:r>
      <w:r>
        <w:t xml:space="preserve"> sign and return </w:t>
      </w:r>
      <w:r w:rsidR="00ED7049">
        <w:t xml:space="preserve">change request </w:t>
      </w:r>
      <w:r w:rsidR="00246AC9">
        <w:t>form.</w:t>
      </w:r>
    </w:p>
    <w:p w14:paraId="6925ED5B" w14:textId="77777777" w:rsidR="004723A1" w:rsidRDefault="004723A1" w:rsidP="00625289">
      <w:pPr>
        <w:pStyle w:val="Bulletlist"/>
        <w:numPr>
          <w:ilvl w:val="1"/>
          <w:numId w:val="5"/>
        </w:numPr>
      </w:pPr>
      <w:r>
        <w:t>Rejection</w:t>
      </w:r>
      <w:r w:rsidR="00246AC9">
        <w:t>—i</w:t>
      </w:r>
      <w:r w:rsidR="00112EB1">
        <w:t xml:space="preserve">f the </w:t>
      </w:r>
      <w:r w:rsidR="00140C9E">
        <w:t>C</w:t>
      </w:r>
      <w:r w:rsidR="0025535A">
        <w:t xml:space="preserve">ustomer does not want to </w:t>
      </w:r>
      <w:r w:rsidR="00043018">
        <w:t xml:space="preserve">proceed </w:t>
      </w:r>
      <w:r w:rsidR="0025535A">
        <w:t xml:space="preserve">with the change or does not provide an approval within </w:t>
      </w:r>
      <w:r w:rsidR="00C4139D">
        <w:t>three</w:t>
      </w:r>
      <w:r w:rsidR="0025535A">
        <w:t xml:space="preserve"> business days, no changes will be performed.</w:t>
      </w:r>
    </w:p>
    <w:p w14:paraId="6925ED5F" w14:textId="77777777" w:rsidR="0025535A" w:rsidRDefault="0025535A" w:rsidP="00C84DD9">
      <w:pPr>
        <w:pStyle w:val="Heading3"/>
      </w:pPr>
      <w:bookmarkStart w:id="57" w:name="_Toc476168047"/>
      <w:r>
        <w:t>Executive steering committee</w:t>
      </w:r>
      <w:bookmarkEnd w:id="57"/>
    </w:p>
    <w:p w14:paraId="6925ED61" w14:textId="77777777" w:rsidR="0099108B" w:rsidRDefault="0099108B" w:rsidP="0099108B">
      <w:r>
        <w:t xml:space="preserve">The executive steering committee provides overall senior management oversight and strategic direction for the project. </w:t>
      </w:r>
      <w:r w:rsidR="0019440A" w:rsidRPr="0019440A">
        <w:t xml:space="preserve">The executive steering committee for the project will meet </w:t>
      </w:r>
      <w:r w:rsidR="00D70772">
        <w:t xml:space="preserve">per </w:t>
      </w:r>
      <w:r w:rsidR="0019440A" w:rsidRPr="0019440A">
        <w:t xml:space="preserve">the frequency defined in the </w:t>
      </w:r>
      <w:r w:rsidR="0019440A">
        <w:t>c</w:t>
      </w:r>
      <w:r w:rsidR="0019440A" w:rsidRPr="0019440A">
        <w:t xml:space="preserve">ommunication plan and </w:t>
      </w:r>
      <w:r w:rsidR="00246AC9">
        <w:t xml:space="preserve">will </w:t>
      </w:r>
      <w:r w:rsidR="0019440A" w:rsidRPr="0019440A">
        <w:t>include the roles</w:t>
      </w:r>
      <w:r w:rsidR="00246AC9">
        <w:t xml:space="preserve"> listed in the following table. </w:t>
      </w:r>
      <w:r w:rsidR="00AB4D70">
        <w:t>The responsibilities for the committee include:</w:t>
      </w:r>
    </w:p>
    <w:p w14:paraId="6925ED62" w14:textId="77777777" w:rsidR="00AB4D70" w:rsidRDefault="00AB4D70" w:rsidP="00AB4D70">
      <w:pPr>
        <w:pStyle w:val="Bulletlist"/>
      </w:pPr>
      <w:r>
        <w:t xml:space="preserve">Making decisions </w:t>
      </w:r>
      <w:r w:rsidR="00C30D22">
        <w:t xml:space="preserve">about </w:t>
      </w:r>
      <w:r>
        <w:t>project strategic direction</w:t>
      </w:r>
      <w:r w:rsidR="00246AC9">
        <w:t>.</w:t>
      </w:r>
    </w:p>
    <w:p w14:paraId="6925ED63" w14:textId="77777777" w:rsidR="00AB4D70" w:rsidRDefault="00AB4D70" w:rsidP="00AB4D70">
      <w:pPr>
        <w:pStyle w:val="Bulletlist"/>
      </w:pPr>
      <w:r>
        <w:t>Serving as a final arbiter of project issues</w:t>
      </w:r>
      <w:r w:rsidR="00246AC9">
        <w:t>.</w:t>
      </w:r>
    </w:p>
    <w:p w14:paraId="6925ED64" w14:textId="77777777" w:rsidR="00AB4D70" w:rsidRDefault="00AB4D70" w:rsidP="00AB4D70">
      <w:pPr>
        <w:pStyle w:val="Bulletlist"/>
      </w:pPr>
      <w:r>
        <w:t>Approving significant change requests</w:t>
      </w:r>
      <w:r w:rsidR="00246AC9">
        <w:t>.</w:t>
      </w:r>
    </w:p>
    <w:tbl>
      <w:tblPr>
        <w:tblStyle w:val="TableGrid1"/>
        <w:tblW w:w="9371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6482"/>
        <w:gridCol w:w="2870"/>
        <w:gridCol w:w="19"/>
      </w:tblGrid>
      <w:tr w:rsidR="00AB4D70" w14:paraId="6925ED67" w14:textId="77777777" w:rsidTr="008C6736">
        <w:trPr>
          <w:trHeight w:val="360"/>
          <w:tblHeader/>
        </w:trPr>
        <w:tc>
          <w:tcPr>
            <w:tcW w:w="6482" w:type="dxa"/>
            <w:shd w:val="clear" w:color="auto" w:fill="008272"/>
          </w:tcPr>
          <w:p w14:paraId="6925ED65" w14:textId="77777777" w:rsidR="00AB4D70" w:rsidRPr="00D91A3C" w:rsidRDefault="00AB4D70" w:rsidP="00D91A3C">
            <w:pPr>
              <w:pStyle w:val="Table-Header"/>
            </w:pPr>
            <w:r w:rsidRPr="00D91A3C">
              <w:t>Role</w:t>
            </w:r>
          </w:p>
        </w:tc>
        <w:tc>
          <w:tcPr>
            <w:tcW w:w="2889" w:type="dxa"/>
            <w:gridSpan w:val="2"/>
            <w:shd w:val="clear" w:color="auto" w:fill="008272"/>
          </w:tcPr>
          <w:p w14:paraId="6925ED66" w14:textId="77777777" w:rsidR="00AB4D70" w:rsidRPr="00D91A3C" w:rsidRDefault="00AB4D70" w:rsidP="00D91A3C">
            <w:pPr>
              <w:pStyle w:val="Table-Header"/>
            </w:pPr>
            <w:r w:rsidRPr="00D91A3C">
              <w:t>Organization</w:t>
            </w:r>
          </w:p>
        </w:tc>
      </w:tr>
      <w:tr w:rsidR="00AB4D70" w:rsidRPr="005F3BAF" w14:paraId="6925ED6A" w14:textId="77777777" w:rsidTr="00B44F57">
        <w:trPr>
          <w:gridAfter w:val="1"/>
          <w:wAfter w:w="19" w:type="dxa"/>
          <w:trHeight w:val="432"/>
        </w:trPr>
        <w:tc>
          <w:tcPr>
            <w:tcW w:w="6482" w:type="dxa"/>
            <w:shd w:val="clear" w:color="auto" w:fill="auto"/>
          </w:tcPr>
          <w:p w14:paraId="6925ED68" w14:textId="77777777" w:rsidR="00AB4D70" w:rsidRPr="00D0227D" w:rsidRDefault="00AB4D70" w:rsidP="0013452E">
            <w:pPr>
              <w:pStyle w:val="TableText"/>
            </w:pPr>
            <w:r>
              <w:t>Project sponsor</w:t>
            </w:r>
          </w:p>
        </w:tc>
        <w:tc>
          <w:tcPr>
            <w:tcW w:w="2870" w:type="dxa"/>
            <w:shd w:val="clear" w:color="auto" w:fill="FFFFFF" w:themeFill="background1"/>
          </w:tcPr>
          <w:p w14:paraId="6925ED69" w14:textId="77777777" w:rsidR="00AB4D70" w:rsidRPr="00D0227D" w:rsidRDefault="00AB4D70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Customer</w:t>
            </w:r>
          </w:p>
        </w:tc>
      </w:tr>
      <w:tr w:rsidR="00AB4D70" w:rsidRPr="005F3BAF" w14:paraId="6925ED6D" w14:textId="77777777" w:rsidTr="00B44F57">
        <w:trPr>
          <w:gridAfter w:val="1"/>
          <w:wAfter w:w="19" w:type="dxa"/>
          <w:trHeight w:val="432"/>
        </w:trPr>
        <w:tc>
          <w:tcPr>
            <w:tcW w:w="6482" w:type="dxa"/>
            <w:shd w:val="clear" w:color="auto" w:fill="auto"/>
          </w:tcPr>
          <w:p w14:paraId="6925ED6B" w14:textId="77777777" w:rsidR="00AB4D70" w:rsidRPr="00D0227D" w:rsidRDefault="00C4139D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Delivery manager</w:t>
            </w:r>
          </w:p>
        </w:tc>
        <w:tc>
          <w:tcPr>
            <w:tcW w:w="2870" w:type="dxa"/>
            <w:shd w:val="clear" w:color="auto" w:fill="FFFFFF" w:themeFill="background1"/>
          </w:tcPr>
          <w:p w14:paraId="6925ED6C" w14:textId="77777777" w:rsidR="00AB4D70" w:rsidRPr="00D0227D" w:rsidRDefault="00AB4D70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Microsoft</w:t>
            </w:r>
          </w:p>
        </w:tc>
      </w:tr>
    </w:tbl>
    <w:p w14:paraId="6925ED6E" w14:textId="77777777" w:rsidR="00892C8C" w:rsidRDefault="00892C8C" w:rsidP="00892C8C">
      <w:pPr>
        <w:pStyle w:val="Heading3"/>
      </w:pPr>
      <w:bookmarkStart w:id="58" w:name="_Toc476168048"/>
      <w:r>
        <w:t>Escalation path</w:t>
      </w:r>
      <w:bookmarkEnd w:id="58"/>
    </w:p>
    <w:p w14:paraId="6925ED70" w14:textId="77777777" w:rsidR="00892C8C" w:rsidRDefault="00892C8C" w:rsidP="00892C8C">
      <w:r>
        <w:t xml:space="preserve">The Microsoft </w:t>
      </w:r>
      <w:r w:rsidR="00246AC9">
        <w:t xml:space="preserve">project manager </w:t>
      </w:r>
      <w:r>
        <w:t xml:space="preserve">will work closely with the </w:t>
      </w:r>
      <w:r w:rsidR="00A26C0D">
        <w:t>c</w:t>
      </w:r>
      <w:r>
        <w:t xml:space="preserve">ustomer </w:t>
      </w:r>
      <w:r w:rsidR="00A26C0D">
        <w:t>project manager</w:t>
      </w:r>
      <w:r>
        <w:t xml:space="preserve">, </w:t>
      </w:r>
      <w:r w:rsidR="00A26C0D">
        <w:t>sponsor</w:t>
      </w:r>
      <w:r>
        <w:t xml:space="preserve">, and other designees to manage </w:t>
      </w:r>
      <w:r w:rsidR="0072174A">
        <w:t>p</w:t>
      </w:r>
      <w:r>
        <w:t xml:space="preserve">roject issues, risks, and </w:t>
      </w:r>
      <w:r w:rsidR="00A26C0D">
        <w:t>c</w:t>
      </w:r>
      <w:r>
        <w:t xml:space="preserve">hange </w:t>
      </w:r>
      <w:r w:rsidR="00A26C0D">
        <w:t>r</w:t>
      </w:r>
      <w:r>
        <w:t xml:space="preserve">equests as described </w:t>
      </w:r>
      <w:r w:rsidR="00246AC9">
        <w:t>previously</w:t>
      </w:r>
      <w:r>
        <w:t xml:space="preserve">. </w:t>
      </w:r>
      <w:r w:rsidR="00335083">
        <w:t xml:space="preserve">The </w:t>
      </w:r>
      <w:r w:rsidR="00A26C0D">
        <w:t>c</w:t>
      </w:r>
      <w:r w:rsidR="00335083">
        <w:t xml:space="preserve">ustomer will </w:t>
      </w:r>
      <w:r w:rsidR="00E40CE7">
        <w:t xml:space="preserve">provide </w:t>
      </w:r>
      <w:r w:rsidR="00335083">
        <w:t xml:space="preserve">reasonable access to the </w:t>
      </w:r>
      <w:r w:rsidR="005055CC">
        <w:t xml:space="preserve">sponsor or </w:t>
      </w:r>
      <w:r w:rsidR="00335083">
        <w:t>sponsors</w:t>
      </w:r>
      <w:r w:rsidR="00E40CE7">
        <w:t xml:space="preserve"> </w:t>
      </w:r>
      <w:proofErr w:type="gramStart"/>
      <w:r w:rsidR="00E40CE7">
        <w:t>in order</w:t>
      </w:r>
      <w:r w:rsidR="00335083">
        <w:t xml:space="preserve"> </w:t>
      </w:r>
      <w:r>
        <w:t>to</w:t>
      </w:r>
      <w:proofErr w:type="gramEnd"/>
      <w:r>
        <w:t xml:space="preserve"> expedite resolution.</w:t>
      </w:r>
      <w:r w:rsidR="00335083">
        <w:t xml:space="preserve"> The standard escalation path</w:t>
      </w:r>
      <w:r>
        <w:t xml:space="preserve"> for review</w:t>
      </w:r>
      <w:r w:rsidR="005055CC">
        <w:t>,</w:t>
      </w:r>
      <w:r>
        <w:t xml:space="preserve"> approval</w:t>
      </w:r>
      <w:r w:rsidR="005055CC">
        <w:t>,</w:t>
      </w:r>
      <w:r>
        <w:t xml:space="preserve"> or dispute resolution is as follows:</w:t>
      </w:r>
    </w:p>
    <w:p w14:paraId="6925ED71" w14:textId="77777777" w:rsidR="00892C8C" w:rsidRPr="00892C8C" w:rsidRDefault="00892C8C" w:rsidP="00892C8C">
      <w:pPr>
        <w:pStyle w:val="Bulletlist"/>
      </w:pPr>
      <w:r w:rsidRPr="00892C8C">
        <w:t xml:space="preserve">Project </w:t>
      </w:r>
      <w:r w:rsidR="006C6051">
        <w:t>t</w:t>
      </w:r>
      <w:r w:rsidRPr="00892C8C">
        <w:t xml:space="preserve">eam member (Microsoft or </w:t>
      </w:r>
      <w:r w:rsidR="00112EB1">
        <w:t xml:space="preserve">the </w:t>
      </w:r>
      <w:r w:rsidR="00140C9E">
        <w:t>C</w:t>
      </w:r>
      <w:r w:rsidRPr="00892C8C">
        <w:t>ustomer)</w:t>
      </w:r>
    </w:p>
    <w:p w14:paraId="6925ED72" w14:textId="77777777" w:rsidR="00892C8C" w:rsidRPr="00892C8C" w:rsidRDefault="006C6051" w:rsidP="00892C8C">
      <w:pPr>
        <w:pStyle w:val="Bulletlist"/>
      </w:pPr>
      <w:r>
        <w:t>Project</w:t>
      </w:r>
      <w:r w:rsidR="00892C8C" w:rsidRPr="00892C8C">
        <w:t xml:space="preserve"> </w:t>
      </w:r>
      <w:r w:rsidR="005055CC">
        <w:t>m</w:t>
      </w:r>
      <w:r w:rsidR="005055CC" w:rsidRPr="00892C8C">
        <w:t xml:space="preserve">anager </w:t>
      </w:r>
      <w:r w:rsidR="00892C8C" w:rsidRPr="00892C8C">
        <w:t xml:space="preserve">(Microsoft and </w:t>
      </w:r>
      <w:r w:rsidR="00112EB1">
        <w:t xml:space="preserve">the </w:t>
      </w:r>
      <w:r w:rsidR="00140C9E">
        <w:t>C</w:t>
      </w:r>
      <w:r w:rsidR="00892C8C" w:rsidRPr="00892C8C">
        <w:t>ustomer)</w:t>
      </w:r>
    </w:p>
    <w:p w14:paraId="6925ED73" w14:textId="77777777" w:rsidR="00892C8C" w:rsidRPr="00892C8C" w:rsidRDefault="00892C8C" w:rsidP="00892C8C">
      <w:pPr>
        <w:pStyle w:val="Bulletlist"/>
      </w:pPr>
      <w:r w:rsidRPr="00892C8C">
        <w:t xml:space="preserve">Microsoft </w:t>
      </w:r>
      <w:r w:rsidR="006C6051">
        <w:t>delivery manager</w:t>
      </w:r>
    </w:p>
    <w:p w14:paraId="6925ED74" w14:textId="77777777" w:rsidR="00892C8C" w:rsidRDefault="00892C8C" w:rsidP="00892C8C">
      <w:pPr>
        <w:pStyle w:val="Bulletlist"/>
      </w:pPr>
      <w:r w:rsidRPr="00892C8C">
        <w:t xml:space="preserve">Microsoft and </w:t>
      </w:r>
      <w:r w:rsidR="00112EB1">
        <w:t xml:space="preserve">the </w:t>
      </w:r>
      <w:r w:rsidR="00140C9E">
        <w:t>C</w:t>
      </w:r>
      <w:r w:rsidRPr="00892C8C">
        <w:t xml:space="preserve">ustomer </w:t>
      </w:r>
      <w:r w:rsidR="006C6051">
        <w:t>project sponsor</w:t>
      </w:r>
    </w:p>
    <w:p w14:paraId="6925ED75" w14:textId="77777777" w:rsidR="000C591B" w:rsidRPr="00EC1D50" w:rsidRDefault="000C591B" w:rsidP="000C591B">
      <w:pPr>
        <w:pStyle w:val="Bulletlist"/>
      </w:pPr>
      <w:r w:rsidRPr="00EC1D50">
        <w:t>Executive steering committee</w:t>
      </w:r>
    </w:p>
    <w:p w14:paraId="6925ED76" w14:textId="77777777" w:rsidR="00AB4D70" w:rsidRDefault="00AB4D70" w:rsidP="00C84DD9">
      <w:pPr>
        <w:pStyle w:val="Heading2"/>
      </w:pPr>
      <w:bookmarkStart w:id="59" w:name="_Toc476167711"/>
      <w:bookmarkStart w:id="60" w:name="_Toc476168049"/>
      <w:bookmarkStart w:id="61" w:name="_Toc24894304"/>
      <w:r>
        <w:t>Project completion</w:t>
      </w:r>
      <w:bookmarkEnd w:id="59"/>
      <w:bookmarkEnd w:id="60"/>
      <w:bookmarkEnd w:id="61"/>
    </w:p>
    <w:p w14:paraId="6925ED85" w14:textId="77777777" w:rsidR="00152B24" w:rsidRPr="00152B24" w:rsidRDefault="00152B24" w:rsidP="00C31FC0">
      <w:r w:rsidRPr="00152B24">
        <w:t xml:space="preserve">The project will be considered complete when </w:t>
      </w:r>
      <w:r w:rsidR="00AD3CAD">
        <w:t>at least one</w:t>
      </w:r>
      <w:r w:rsidR="00AD3CAD" w:rsidRPr="00152B24">
        <w:t xml:space="preserve"> </w:t>
      </w:r>
      <w:r w:rsidRPr="00152B24">
        <w:t xml:space="preserve">of the following conditions </w:t>
      </w:r>
      <w:r w:rsidR="00AD3CAD">
        <w:t>is</w:t>
      </w:r>
      <w:r w:rsidR="00AD3CAD" w:rsidRPr="00152B24">
        <w:t xml:space="preserve"> </w:t>
      </w:r>
      <w:r w:rsidRPr="00152B24">
        <w:t>met:</w:t>
      </w:r>
    </w:p>
    <w:p w14:paraId="6925ED86" w14:textId="77777777" w:rsidR="00152B24" w:rsidRPr="00C31FC0" w:rsidRDefault="00152B24" w:rsidP="00152B24">
      <w:pPr>
        <w:pStyle w:val="Bulletlist"/>
      </w:pPr>
      <w:r w:rsidRPr="00C31FC0">
        <w:t xml:space="preserve">All Microsoft deliverables that require acceptance </w:t>
      </w:r>
      <w:r w:rsidR="00AD3CAD" w:rsidRPr="00C31FC0">
        <w:t xml:space="preserve">have been </w:t>
      </w:r>
      <w:r w:rsidRPr="00C31FC0">
        <w:t>delivered and accepted (or deemed accepted)</w:t>
      </w:r>
      <w:r w:rsidR="00AD3CAD" w:rsidRPr="00C31FC0">
        <w:t>.</w:t>
      </w:r>
    </w:p>
    <w:p w14:paraId="6925ED87" w14:textId="77777777" w:rsidR="00152B24" w:rsidRPr="00C31FC0" w:rsidRDefault="00152B24" w:rsidP="00152B24">
      <w:pPr>
        <w:pStyle w:val="Bulletlist"/>
      </w:pPr>
      <w:r w:rsidRPr="00C31FC0">
        <w:t xml:space="preserve">The Work Order </w:t>
      </w:r>
      <w:r w:rsidR="00AD3CAD" w:rsidRPr="00C31FC0">
        <w:t xml:space="preserve">has been </w:t>
      </w:r>
      <w:r w:rsidRPr="00C31FC0">
        <w:t>terminated</w:t>
      </w:r>
      <w:r w:rsidR="00043018" w:rsidRPr="00C31FC0">
        <w:t>.</w:t>
      </w:r>
    </w:p>
    <w:p w14:paraId="6925ED88" w14:textId="77777777" w:rsidR="00152B24" w:rsidRDefault="00152B24" w:rsidP="00C84DD9">
      <w:pPr>
        <w:pStyle w:val="Heading1"/>
      </w:pPr>
      <w:bookmarkStart w:id="62" w:name="_Toc476167712"/>
      <w:bookmarkStart w:id="63" w:name="_Toc476168050"/>
      <w:bookmarkStart w:id="64" w:name="_Toc24894305"/>
      <w:r>
        <w:lastRenderedPageBreak/>
        <w:t>Project organization</w:t>
      </w:r>
      <w:bookmarkEnd w:id="62"/>
      <w:bookmarkEnd w:id="63"/>
      <w:bookmarkEnd w:id="64"/>
    </w:p>
    <w:p w14:paraId="6925ED8A" w14:textId="77777777" w:rsidR="00C84DD9" w:rsidRDefault="00C84DD9" w:rsidP="005C66A2">
      <w:pPr>
        <w:pStyle w:val="Heading2"/>
      </w:pPr>
      <w:bookmarkStart w:id="65" w:name="_Toc476167713"/>
      <w:bookmarkStart w:id="66" w:name="_Toc476168051"/>
      <w:bookmarkStart w:id="67" w:name="_Toc24894306"/>
      <w:r w:rsidRPr="00C84DD9">
        <w:t>Project roles and responsibilities</w:t>
      </w:r>
      <w:bookmarkEnd w:id="65"/>
      <w:bookmarkEnd w:id="66"/>
      <w:bookmarkEnd w:id="67"/>
    </w:p>
    <w:p w14:paraId="6925ED8C" w14:textId="77777777" w:rsidR="00C84DD9" w:rsidRDefault="00C84DD9" w:rsidP="00C84DD9">
      <w:r>
        <w:t>The key project roles and the responsibilities are as follows</w:t>
      </w:r>
      <w:r w:rsidR="00AD3CAD">
        <w:t>.</w:t>
      </w:r>
    </w:p>
    <w:p w14:paraId="6925ED8D" w14:textId="77777777" w:rsidR="0013452E" w:rsidRDefault="0013452E" w:rsidP="0013452E">
      <w:pPr>
        <w:pStyle w:val="Heading4"/>
      </w:pPr>
      <w:r>
        <w:t>Customer</w:t>
      </w:r>
    </w:p>
    <w:tbl>
      <w:tblPr>
        <w:tblStyle w:val="TableGrid1"/>
        <w:tblW w:w="9357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57"/>
        <w:gridCol w:w="7200"/>
      </w:tblGrid>
      <w:tr w:rsidR="0013452E" w14:paraId="6925ED90" w14:textId="77777777" w:rsidTr="008C6736">
        <w:trPr>
          <w:trHeight w:val="360"/>
          <w:tblHeader/>
        </w:trPr>
        <w:tc>
          <w:tcPr>
            <w:tcW w:w="2157" w:type="dxa"/>
            <w:shd w:val="clear" w:color="auto" w:fill="008272"/>
          </w:tcPr>
          <w:p w14:paraId="6925ED8E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200" w:type="dxa"/>
            <w:shd w:val="clear" w:color="auto" w:fill="008272"/>
          </w:tcPr>
          <w:p w14:paraId="6925ED8F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6925ED95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6925ED91" w14:textId="77777777" w:rsidR="0013452E" w:rsidRPr="00D0227D" w:rsidRDefault="0013452E" w:rsidP="0013452E">
            <w:pPr>
              <w:pStyle w:val="TableText"/>
            </w:pPr>
            <w:r>
              <w:t>Project sponsor</w:t>
            </w:r>
          </w:p>
        </w:tc>
        <w:tc>
          <w:tcPr>
            <w:tcW w:w="7200" w:type="dxa"/>
            <w:shd w:val="clear" w:color="auto" w:fill="FFFFFF" w:themeFill="background1"/>
          </w:tcPr>
          <w:p w14:paraId="6925ED92" w14:textId="48F203F7" w:rsidR="00410DC2" w:rsidRPr="00410DC2" w:rsidRDefault="0013452E" w:rsidP="00D218A5">
            <w:pPr>
              <w:pStyle w:val="Bulletlist"/>
              <w:rPr>
                <w:rStyle w:val="InstructionalChar"/>
                <w:color w:val="auto"/>
              </w:rPr>
            </w:pPr>
            <w:r w:rsidRPr="00D91A3C">
              <w:rPr>
                <w:rStyle w:val="BulletlistChar"/>
              </w:rPr>
              <w:t xml:space="preserve">Provide </w:t>
            </w:r>
            <w:r w:rsidR="00A74EE9">
              <w:rPr>
                <w:rStyle w:val="BulletlistChar"/>
              </w:rPr>
              <w:t xml:space="preserve">part-time </w:t>
            </w:r>
            <w:r>
              <w:t>project commitment</w:t>
            </w:r>
          </w:p>
          <w:p w14:paraId="6925ED93" w14:textId="77777777" w:rsidR="00410DC2" w:rsidRPr="00410DC2" w:rsidRDefault="0013452E" w:rsidP="00410DC2">
            <w:pPr>
              <w:pStyle w:val="Bulletlist"/>
              <w:rPr>
                <w:szCs w:val="18"/>
              </w:rPr>
            </w:pPr>
            <w:r w:rsidRPr="00BB4A4F">
              <w:t>Make key project decisions</w:t>
            </w:r>
            <w:r>
              <w:t>.</w:t>
            </w:r>
          </w:p>
          <w:p w14:paraId="6925ED94" w14:textId="77777777" w:rsidR="0013452E" w:rsidRPr="00BB4A4F" w:rsidRDefault="0013452E" w:rsidP="00410DC2">
            <w:pPr>
              <w:pStyle w:val="Bulletlist"/>
              <w:rPr>
                <w:szCs w:val="18"/>
              </w:rPr>
            </w:pPr>
            <w:r w:rsidRPr="00BB4A4F">
              <w:t>Serve as a point of escalation to suppo</w:t>
            </w:r>
            <w:r>
              <w:t>rt clearing project roadblocks.</w:t>
            </w:r>
          </w:p>
        </w:tc>
      </w:tr>
      <w:tr w:rsidR="0013452E" w:rsidRPr="005F3BAF" w14:paraId="6925ED9D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6925ED96" w14:textId="77777777" w:rsidR="0013452E" w:rsidRPr="00D0227D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Project manager</w:t>
            </w:r>
          </w:p>
        </w:tc>
        <w:tc>
          <w:tcPr>
            <w:tcW w:w="7200" w:type="dxa"/>
            <w:shd w:val="clear" w:color="auto" w:fill="FFFFFF" w:themeFill="background1"/>
          </w:tcPr>
          <w:p w14:paraId="38FE4159" w14:textId="77777777" w:rsidR="00222F8C" w:rsidRDefault="00222F8C" w:rsidP="0023196E">
            <w:pPr>
              <w:pStyle w:val="Bulletlist"/>
              <w:spacing w:line="259" w:lineRule="auto"/>
            </w:pPr>
            <w:r w:rsidRPr="00D91A3C">
              <w:rPr>
                <w:rStyle w:val="BulletlistChar"/>
              </w:rPr>
              <w:t xml:space="preserve">Provide </w:t>
            </w:r>
            <w:r>
              <w:rPr>
                <w:rStyle w:val="BulletlistChar"/>
              </w:rPr>
              <w:t xml:space="preserve">part-time </w:t>
            </w:r>
            <w:r>
              <w:t>project commitment</w:t>
            </w:r>
          </w:p>
          <w:p w14:paraId="6925ED98" w14:textId="20E62AA2" w:rsidR="0013452E" w:rsidRDefault="0013452E" w:rsidP="0023196E">
            <w:pPr>
              <w:pStyle w:val="Bulletlist"/>
              <w:spacing w:line="259" w:lineRule="auto"/>
            </w:pPr>
            <w:r>
              <w:t>Serve as p</w:t>
            </w:r>
            <w:r w:rsidRPr="00DA76F0">
              <w:t xml:space="preserve">rimary point of contact for </w:t>
            </w:r>
            <w:r>
              <w:t xml:space="preserve">the </w:t>
            </w:r>
            <w:r w:rsidRPr="00DA76F0">
              <w:t>Microsoft team</w:t>
            </w:r>
          </w:p>
          <w:p w14:paraId="6925ED99" w14:textId="77777777" w:rsidR="0013452E" w:rsidRDefault="0013452E" w:rsidP="00222F8C">
            <w:pPr>
              <w:pStyle w:val="Bulletlist"/>
            </w:pPr>
            <w:r>
              <w:t>M</w:t>
            </w:r>
            <w:r w:rsidRPr="00DA76F0">
              <w:t>anag</w:t>
            </w:r>
            <w:r>
              <w:t xml:space="preserve">e </w:t>
            </w:r>
            <w:r w:rsidRPr="00DA76F0">
              <w:t>the overall project</w:t>
            </w:r>
            <w:r>
              <w:t>.</w:t>
            </w:r>
          </w:p>
          <w:p w14:paraId="6925ED9A" w14:textId="77777777" w:rsidR="0013452E" w:rsidRPr="00117AE2" w:rsidRDefault="0013452E" w:rsidP="00222F8C">
            <w:pPr>
              <w:pStyle w:val="Bulletlist"/>
            </w:pPr>
            <w:r w:rsidRPr="00117AE2">
              <w:t>Deliver the project on schedule.</w:t>
            </w:r>
          </w:p>
          <w:p w14:paraId="6925ED9B" w14:textId="77777777" w:rsidR="0013452E" w:rsidRDefault="0013452E" w:rsidP="00222F8C">
            <w:pPr>
              <w:pStyle w:val="Bulletlist"/>
            </w:pPr>
            <w:r>
              <w:t>Take responsibility for c</w:t>
            </w:r>
            <w:r w:rsidRPr="00DA76F0">
              <w:t xml:space="preserve">ustomer resource allocation, risk management, </w:t>
            </w:r>
            <w:r>
              <w:t xml:space="preserve">and </w:t>
            </w:r>
            <w:r w:rsidRPr="00DA76F0">
              <w:t>project priorities</w:t>
            </w:r>
            <w:r>
              <w:t>.</w:t>
            </w:r>
          </w:p>
          <w:p w14:paraId="6925ED9C" w14:textId="77777777" w:rsidR="0013452E" w:rsidRPr="00BB4A4F" w:rsidRDefault="0013452E" w:rsidP="00222F8C">
            <w:pPr>
              <w:pStyle w:val="Bulletlist"/>
            </w:pPr>
            <w:r>
              <w:t>C</w:t>
            </w:r>
            <w:r w:rsidRPr="00DA76F0">
              <w:t>ommu</w:t>
            </w:r>
            <w:r>
              <w:t>nicate with executive stakeholders.</w:t>
            </w:r>
          </w:p>
        </w:tc>
      </w:tr>
      <w:tr w:rsidR="0013452E" w:rsidRPr="005F3BAF" w14:paraId="6925EDA2" w14:textId="77777777" w:rsidTr="0013452E">
        <w:trPr>
          <w:trHeight w:val="432"/>
        </w:trPr>
        <w:tc>
          <w:tcPr>
            <w:tcW w:w="2157" w:type="dxa"/>
            <w:shd w:val="clear" w:color="auto" w:fill="auto"/>
          </w:tcPr>
          <w:p w14:paraId="6925ED9E" w14:textId="77777777" w:rsidR="0013452E" w:rsidRDefault="0013452E" w:rsidP="0013452E">
            <w:pPr>
              <w:pStyle w:val="TableText"/>
              <w:rPr>
                <w:szCs w:val="18"/>
              </w:rPr>
            </w:pPr>
            <w:r>
              <w:rPr>
                <w:szCs w:val="18"/>
              </w:rPr>
              <w:t>Technical team lead</w:t>
            </w:r>
          </w:p>
        </w:tc>
        <w:tc>
          <w:tcPr>
            <w:tcW w:w="7200" w:type="dxa"/>
            <w:shd w:val="clear" w:color="auto" w:fill="FFFFFF" w:themeFill="background1"/>
          </w:tcPr>
          <w:p w14:paraId="123A5437" w14:textId="77777777" w:rsidR="00D95EC0" w:rsidRDefault="00D95EC0" w:rsidP="00D95EC0">
            <w:pPr>
              <w:pStyle w:val="TableBullet1"/>
            </w:pPr>
            <w:r>
              <w:t>Project commitment will vary based on the different phases the delivery has</w:t>
            </w:r>
          </w:p>
          <w:p w14:paraId="6925EDA0" w14:textId="77777777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>Serve as p</w:t>
            </w:r>
            <w:r w:rsidRPr="00BB4A4F">
              <w:t>ri</w:t>
            </w:r>
            <w:r>
              <w:t>mary technical point of contact.</w:t>
            </w:r>
          </w:p>
          <w:p w14:paraId="6925EDA1" w14:textId="77777777" w:rsidR="0013452E" w:rsidRPr="00BB4A4F" w:rsidRDefault="0013452E" w:rsidP="0013452E">
            <w:pPr>
              <w:pStyle w:val="TableBullet1"/>
              <w:rPr>
                <w:szCs w:val="18"/>
              </w:rPr>
            </w:pPr>
            <w:r>
              <w:t xml:space="preserve">Take ownership of </w:t>
            </w:r>
            <w:r w:rsidRPr="00BB4A4F">
              <w:t>technical architecture and code deliverables</w:t>
            </w:r>
            <w:r>
              <w:t>.</w:t>
            </w:r>
          </w:p>
        </w:tc>
      </w:tr>
    </w:tbl>
    <w:p w14:paraId="6925EDA7" w14:textId="77777777" w:rsidR="00C84DD9" w:rsidRDefault="0013452E" w:rsidP="0013452E">
      <w:pPr>
        <w:pStyle w:val="Heading4"/>
      </w:pPr>
      <w:r>
        <w:t>Microsoft</w:t>
      </w:r>
    </w:p>
    <w:tbl>
      <w:tblPr>
        <w:tblStyle w:val="TableGrid1"/>
        <w:tblW w:w="9360" w:type="dxa"/>
        <w:tblInd w:w="-5" w:type="dxa"/>
        <w:tblBorders>
          <w:top w:val="single" w:sz="2" w:space="0" w:color="7F7F7F" w:themeColor="text1" w:themeTint="80"/>
          <w:left w:val="single" w:sz="2" w:space="0" w:color="7F7F7F" w:themeColor="text1" w:themeTint="80"/>
          <w:bottom w:val="single" w:sz="2" w:space="0" w:color="7F7F7F" w:themeColor="text1" w:themeTint="80"/>
          <w:right w:val="single" w:sz="2" w:space="0" w:color="7F7F7F" w:themeColor="text1" w:themeTint="80"/>
          <w:insideH w:val="single" w:sz="2" w:space="0" w:color="7F7F7F" w:themeColor="text1" w:themeTint="80"/>
          <w:insideV w:val="single" w:sz="2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174"/>
        <w:gridCol w:w="7163"/>
        <w:gridCol w:w="23"/>
      </w:tblGrid>
      <w:tr w:rsidR="0013452E" w14:paraId="6925EDAA" w14:textId="77777777" w:rsidTr="008C6736">
        <w:trPr>
          <w:trHeight w:val="360"/>
          <w:tblHeader/>
        </w:trPr>
        <w:tc>
          <w:tcPr>
            <w:tcW w:w="2174" w:type="dxa"/>
            <w:shd w:val="clear" w:color="auto" w:fill="008272"/>
            <w:vAlign w:val="center"/>
          </w:tcPr>
          <w:p w14:paraId="6925EDA8" w14:textId="77777777" w:rsidR="0013452E" w:rsidRPr="00031658" w:rsidRDefault="0013452E" w:rsidP="00031658">
            <w:pPr>
              <w:pStyle w:val="Table-Header"/>
            </w:pPr>
            <w:r w:rsidRPr="00031658">
              <w:t>Role</w:t>
            </w:r>
          </w:p>
        </w:tc>
        <w:tc>
          <w:tcPr>
            <w:tcW w:w="7186" w:type="dxa"/>
            <w:gridSpan w:val="2"/>
            <w:shd w:val="clear" w:color="auto" w:fill="008272"/>
            <w:vAlign w:val="center"/>
          </w:tcPr>
          <w:p w14:paraId="6925EDA9" w14:textId="77777777" w:rsidR="0013452E" w:rsidRPr="00031658" w:rsidRDefault="0013452E" w:rsidP="00031658">
            <w:pPr>
              <w:pStyle w:val="Table-Header"/>
            </w:pPr>
            <w:r w:rsidRPr="00031658">
              <w:t>Responsibilities</w:t>
            </w:r>
          </w:p>
        </w:tc>
      </w:tr>
      <w:tr w:rsidR="0013452E" w:rsidRPr="005F3BAF" w14:paraId="6925EDAE" w14:textId="77777777" w:rsidTr="0013452E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  <w:vAlign w:val="center"/>
          </w:tcPr>
          <w:p w14:paraId="6925EDAB" w14:textId="77777777" w:rsidR="0013452E" w:rsidRDefault="0013452E" w:rsidP="0013452E">
            <w:pPr>
              <w:pStyle w:val="TableText"/>
            </w:pPr>
            <w:r>
              <w:t>Delivery manager</w:t>
            </w:r>
          </w:p>
        </w:tc>
        <w:tc>
          <w:tcPr>
            <w:tcW w:w="7163" w:type="dxa"/>
            <w:shd w:val="clear" w:color="auto" w:fill="FFFFFF" w:themeFill="background1"/>
            <w:vAlign w:val="center"/>
          </w:tcPr>
          <w:p w14:paraId="6925EDAC" w14:textId="77777777" w:rsidR="0013452E" w:rsidRDefault="0013452E" w:rsidP="0013452E">
            <w:pPr>
              <w:pStyle w:val="TableBullet1"/>
            </w:pPr>
            <w:r>
              <w:t>Manage and coordinate the overall Microsoft project.</w:t>
            </w:r>
          </w:p>
          <w:p w14:paraId="6925EDAD" w14:textId="77777777" w:rsidR="0013452E" w:rsidRDefault="0013452E" w:rsidP="0013452E">
            <w:pPr>
              <w:pStyle w:val="TableBullet1"/>
            </w:pPr>
            <w:r w:rsidRPr="008B4B6F">
              <w:t>S</w:t>
            </w:r>
            <w:r>
              <w:t>erve as a s</w:t>
            </w:r>
            <w:r w:rsidRPr="008B4B6F">
              <w:t>ingle point of contact for</w:t>
            </w:r>
            <w:r>
              <w:t xml:space="preserve"> escalations,</w:t>
            </w:r>
            <w:r w:rsidRPr="008B4B6F">
              <w:t xml:space="preserve"> billing issues, personnel matters, </w:t>
            </w:r>
            <w:r>
              <w:t xml:space="preserve">and </w:t>
            </w:r>
            <w:r w:rsidRPr="008B4B6F">
              <w:t>contract extensions</w:t>
            </w:r>
            <w:r>
              <w:t>.</w:t>
            </w:r>
          </w:p>
        </w:tc>
      </w:tr>
      <w:tr w:rsidR="0013452E" w:rsidRPr="005F3BAF" w14:paraId="6925EDB3" w14:textId="77777777" w:rsidTr="0013452E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  <w:vAlign w:val="center"/>
          </w:tcPr>
          <w:p w14:paraId="6925EDAF" w14:textId="77777777" w:rsidR="0013452E" w:rsidRDefault="0013452E" w:rsidP="0013452E">
            <w:pPr>
              <w:pStyle w:val="TableText"/>
            </w:pPr>
            <w:r>
              <w:t>Microsoft project manager</w:t>
            </w:r>
          </w:p>
        </w:tc>
        <w:tc>
          <w:tcPr>
            <w:tcW w:w="7163" w:type="dxa"/>
            <w:shd w:val="clear" w:color="auto" w:fill="FFFFFF" w:themeFill="background1"/>
            <w:vAlign w:val="center"/>
          </w:tcPr>
          <w:p w14:paraId="6925EDB0" w14:textId="77777777" w:rsidR="0013452E" w:rsidRPr="008B4B6F" w:rsidRDefault="0013452E" w:rsidP="0013452E">
            <w:pPr>
              <w:pStyle w:val="TableBullet1"/>
            </w:pPr>
            <w:r>
              <w:t>M</w:t>
            </w:r>
            <w:r w:rsidRPr="008B4B6F">
              <w:t>anag</w:t>
            </w:r>
            <w:r>
              <w:t>e</w:t>
            </w:r>
            <w:r w:rsidRPr="008B4B6F">
              <w:t xml:space="preserve"> and coordinat</w:t>
            </w:r>
            <w:r>
              <w:t>e</w:t>
            </w:r>
            <w:r w:rsidRPr="008B4B6F">
              <w:t xml:space="preserve"> Microsoft project delivery.</w:t>
            </w:r>
          </w:p>
          <w:p w14:paraId="6925EDB1" w14:textId="77777777" w:rsidR="0013452E" w:rsidRPr="00DA5E67" w:rsidRDefault="0013452E" w:rsidP="0013452E">
            <w:pPr>
              <w:pStyle w:val="TableBullet1"/>
            </w:pPr>
            <w:r>
              <w:t>Take r</w:t>
            </w:r>
            <w:r w:rsidRPr="0024615C">
              <w:t>esponsib</w:t>
            </w:r>
            <w:r>
              <w:t>i</w:t>
            </w:r>
            <w:r w:rsidRPr="0024615C">
              <w:t>l</w:t>
            </w:r>
            <w:r>
              <w:t>ity</w:t>
            </w:r>
            <w:r w:rsidRPr="0024615C">
              <w:t xml:space="preserve"> for </w:t>
            </w:r>
            <w:r>
              <w:t xml:space="preserve">issue and </w:t>
            </w:r>
            <w:r w:rsidRPr="0024615C">
              <w:t xml:space="preserve">risk management, </w:t>
            </w:r>
            <w:r>
              <w:t xml:space="preserve">change management, </w:t>
            </w:r>
            <w:r w:rsidRPr="0024615C">
              <w:t xml:space="preserve">project priorities, </w:t>
            </w:r>
            <w:r>
              <w:t xml:space="preserve">status </w:t>
            </w:r>
            <w:r w:rsidRPr="0024615C">
              <w:t>communication</w:t>
            </w:r>
            <w:r>
              <w:t>s, and status meetings.</w:t>
            </w:r>
          </w:p>
          <w:p w14:paraId="6925EDB2" w14:textId="77777777" w:rsidR="0013452E" w:rsidRPr="00292FE1" w:rsidRDefault="0013452E" w:rsidP="0013452E">
            <w:pPr>
              <w:pStyle w:val="TableBullet1"/>
            </w:pPr>
            <w:r w:rsidRPr="00DA5E67">
              <w:t xml:space="preserve">Coordinate </w:t>
            </w:r>
            <w:r>
              <w:t>Microsoft and Microsoft</w:t>
            </w:r>
            <w:r w:rsidDel="00C35540">
              <w:t xml:space="preserve"> </w:t>
            </w:r>
            <w:r>
              <w:t>subcontractor resources but not customer resources.</w:t>
            </w:r>
          </w:p>
        </w:tc>
      </w:tr>
      <w:tr w:rsidR="0013452E" w:rsidRPr="005F3BAF" w14:paraId="6925EDB7" w14:textId="77777777" w:rsidTr="0013452E">
        <w:trPr>
          <w:gridAfter w:val="1"/>
          <w:wAfter w:w="23" w:type="dxa"/>
          <w:trHeight w:val="441"/>
        </w:trPr>
        <w:tc>
          <w:tcPr>
            <w:tcW w:w="2174" w:type="dxa"/>
            <w:shd w:val="clear" w:color="auto" w:fill="auto"/>
            <w:vAlign w:val="center"/>
          </w:tcPr>
          <w:p w14:paraId="6925EDB4" w14:textId="77777777" w:rsidR="0013452E" w:rsidRDefault="0013452E" w:rsidP="0013452E">
            <w:pPr>
              <w:pStyle w:val="TableText"/>
            </w:pPr>
            <w:r>
              <w:t>Microsoft lead architect</w:t>
            </w:r>
          </w:p>
        </w:tc>
        <w:tc>
          <w:tcPr>
            <w:tcW w:w="7163" w:type="dxa"/>
            <w:shd w:val="clear" w:color="auto" w:fill="FFFFFF" w:themeFill="background1"/>
            <w:vAlign w:val="center"/>
          </w:tcPr>
          <w:p w14:paraId="6925EDB5" w14:textId="77777777" w:rsidR="0013452E" w:rsidRDefault="0013452E" w:rsidP="0013452E">
            <w:pPr>
              <w:pStyle w:val="TableBullet1"/>
            </w:pPr>
            <w:r>
              <w:t>Design the overall solution.</w:t>
            </w:r>
          </w:p>
          <w:p w14:paraId="6925EDB6" w14:textId="77777777" w:rsidR="0013452E" w:rsidRPr="00D0227D" w:rsidRDefault="0013452E" w:rsidP="0013452E">
            <w:pPr>
              <w:pStyle w:val="TableBullet1"/>
              <w:rPr>
                <w:szCs w:val="18"/>
              </w:rPr>
            </w:pPr>
            <w:r w:rsidRPr="00A67A54">
              <w:rPr>
                <w:bCs/>
              </w:rPr>
              <w:t>Provide guidance based on Microsoft</w:t>
            </w:r>
            <w:r>
              <w:rPr>
                <w:bCs/>
              </w:rPr>
              <w:t>-</w:t>
            </w:r>
            <w:r w:rsidRPr="00A67A54">
              <w:rPr>
                <w:bCs/>
              </w:rPr>
              <w:t>recommended practices</w:t>
            </w:r>
            <w:r>
              <w:rPr>
                <w:bCs/>
              </w:rPr>
              <w:t>.</w:t>
            </w:r>
          </w:p>
        </w:tc>
      </w:tr>
    </w:tbl>
    <w:p w14:paraId="6925EDB8" w14:textId="77777777" w:rsidR="0089268B" w:rsidRDefault="0089268B" w:rsidP="0089268B">
      <w:pPr>
        <w:pStyle w:val="Heading1"/>
      </w:pPr>
      <w:bookmarkStart w:id="68" w:name="_Toc476167714"/>
      <w:bookmarkStart w:id="69" w:name="_Toc476168052"/>
      <w:bookmarkStart w:id="70" w:name="_Toc24894307"/>
      <w:r>
        <w:lastRenderedPageBreak/>
        <w:t>Customer responsibilities and project assumptions</w:t>
      </w:r>
      <w:bookmarkEnd w:id="68"/>
      <w:bookmarkEnd w:id="69"/>
      <w:bookmarkEnd w:id="70"/>
    </w:p>
    <w:p w14:paraId="6925EDB9" w14:textId="77777777" w:rsidR="002F1155" w:rsidRPr="00D30E59" w:rsidRDefault="00737D61" w:rsidP="00737D61">
      <w:pPr>
        <w:pStyle w:val="Heading2"/>
      </w:pPr>
      <w:bookmarkStart w:id="71" w:name="_Toc476167715"/>
      <w:bookmarkStart w:id="72" w:name="_Toc476168053"/>
      <w:bookmarkStart w:id="73" w:name="_Toc24894308"/>
      <w:r w:rsidRPr="00D30E59">
        <w:t>Customer responsibilities</w:t>
      </w:r>
      <w:bookmarkEnd w:id="71"/>
      <w:bookmarkEnd w:id="72"/>
      <w:bookmarkEnd w:id="73"/>
    </w:p>
    <w:p w14:paraId="6925EDBB" w14:textId="77777777" w:rsidR="00737D61" w:rsidRDefault="00737D61" w:rsidP="00AC1B81">
      <w:r>
        <w:t xml:space="preserve">In addition to </w:t>
      </w:r>
      <w:r w:rsidR="00112EB1">
        <w:t>C</w:t>
      </w:r>
      <w:r>
        <w:t xml:space="preserve">ustomer activities defined </w:t>
      </w:r>
      <w:r w:rsidR="00A67A54">
        <w:t xml:space="preserve">in the </w:t>
      </w:r>
      <w:r w:rsidR="00C35540">
        <w:fldChar w:fldCharType="begin"/>
      </w:r>
      <w:r w:rsidR="00C35540">
        <w:instrText xml:space="preserve"> REF _Ref477936654 \h </w:instrText>
      </w:r>
      <w:r w:rsidR="00C35540">
        <w:fldChar w:fldCharType="separate"/>
      </w:r>
      <w:r w:rsidR="00812548">
        <w:t>Approach</w:t>
      </w:r>
      <w:r w:rsidR="00C35540">
        <w:fldChar w:fldCharType="end"/>
      </w:r>
      <w:r w:rsidR="00C35540">
        <w:t xml:space="preserve"> </w:t>
      </w:r>
      <w:r w:rsidR="00A67A54">
        <w:t xml:space="preserve">section, </w:t>
      </w:r>
      <w:r>
        <w:t xml:space="preserve">the </w:t>
      </w:r>
      <w:r w:rsidR="00EF4391">
        <w:t>C</w:t>
      </w:r>
      <w:r>
        <w:t>ustomer is also required to</w:t>
      </w:r>
      <w:r w:rsidR="00CE5B67">
        <w:t>:</w:t>
      </w:r>
      <w:r>
        <w:t xml:space="preserve"> </w:t>
      </w:r>
    </w:p>
    <w:p w14:paraId="6925EDBC" w14:textId="77777777" w:rsidR="00CE5B67" w:rsidRDefault="00CE5B67" w:rsidP="00EF4391">
      <w:pPr>
        <w:pStyle w:val="Bulletlist"/>
      </w:pPr>
      <w:r>
        <w:t>Provide i</w:t>
      </w:r>
      <w:r w:rsidRPr="006679AB">
        <w:t>nformation</w:t>
      </w:r>
      <w:r w:rsidR="0060052B">
        <w:t xml:space="preserve">: </w:t>
      </w:r>
    </w:p>
    <w:p w14:paraId="6925EDBD" w14:textId="77777777" w:rsidR="004D04B9" w:rsidRPr="006679AB" w:rsidRDefault="00CE5B67" w:rsidP="00625289">
      <w:pPr>
        <w:pStyle w:val="Bulletlist"/>
        <w:numPr>
          <w:ilvl w:val="1"/>
          <w:numId w:val="5"/>
        </w:numPr>
      </w:pPr>
      <w:r>
        <w:t>This includes a</w:t>
      </w:r>
      <w:r w:rsidRPr="006679AB">
        <w:t>ccurate</w:t>
      </w:r>
      <w:r>
        <w:t xml:space="preserve">, </w:t>
      </w:r>
      <w:r w:rsidR="004D04B9" w:rsidRPr="006679AB">
        <w:t>timely (within three business days or as mutually agreed</w:t>
      </w:r>
      <w:r>
        <w:t>-upon</w:t>
      </w:r>
      <w:r w:rsidR="004D04B9" w:rsidRPr="006679AB">
        <w:t>)</w:t>
      </w:r>
      <w:r>
        <w:t>,</w:t>
      </w:r>
      <w:r w:rsidR="004D04B9" w:rsidRPr="006679AB">
        <w:t xml:space="preserve"> and complete information</w:t>
      </w:r>
      <w:r w:rsidR="00636B13" w:rsidRPr="006679AB">
        <w:t>.</w:t>
      </w:r>
    </w:p>
    <w:p w14:paraId="6925EDBE" w14:textId="77777777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people and resources</w:t>
      </w:r>
      <w:r>
        <w:t xml:space="preserve">. </w:t>
      </w:r>
    </w:p>
    <w:p w14:paraId="6925EDBF" w14:textId="77777777" w:rsidR="004D04B9" w:rsidRPr="006679AB" w:rsidRDefault="005D19D2" w:rsidP="00625289">
      <w:pPr>
        <w:pStyle w:val="Bulletlist"/>
        <w:numPr>
          <w:ilvl w:val="1"/>
          <w:numId w:val="5"/>
        </w:numPr>
      </w:pPr>
      <w:r>
        <w:t>This includes a</w:t>
      </w:r>
      <w:r w:rsidR="004D04B9" w:rsidRPr="006679AB">
        <w:t xml:space="preserve">ccess to knowledgeable </w:t>
      </w:r>
      <w:r w:rsidR="00A26C0D">
        <w:t>customer</w:t>
      </w:r>
      <w:r w:rsidR="004D04B9" w:rsidRPr="006679AB">
        <w:t xml:space="preserve"> personnel, including business user representatives, and access to funding </w:t>
      </w:r>
      <w:r>
        <w:t>if</w:t>
      </w:r>
      <w:r w:rsidRPr="006679AB">
        <w:t xml:space="preserve"> </w:t>
      </w:r>
      <w:r w:rsidR="004D04B9" w:rsidRPr="006679AB">
        <w:t xml:space="preserve">additional budget is </w:t>
      </w:r>
      <w:r>
        <w:t>needed</w:t>
      </w:r>
      <w:r w:rsidRPr="006679AB">
        <w:t xml:space="preserve"> </w:t>
      </w:r>
      <w:r w:rsidR="004D04B9" w:rsidRPr="006679AB">
        <w:t>to deliver project scope.</w:t>
      </w:r>
    </w:p>
    <w:p w14:paraId="6925EDC0" w14:textId="77777777" w:rsidR="005D19D2" w:rsidRDefault="005D19D2" w:rsidP="00EF4391">
      <w:pPr>
        <w:pStyle w:val="Bulletlist"/>
      </w:pPr>
      <w:r>
        <w:t>Provide a</w:t>
      </w:r>
      <w:r w:rsidRPr="006679AB">
        <w:t xml:space="preserve">ccess </w:t>
      </w:r>
      <w:r w:rsidR="004D04B9" w:rsidRPr="006679AB">
        <w:t>to systems</w:t>
      </w:r>
      <w:r>
        <w:t xml:space="preserve">. </w:t>
      </w:r>
    </w:p>
    <w:p w14:paraId="6925EDC1" w14:textId="77777777" w:rsidR="004D04B9" w:rsidRPr="006679AB" w:rsidRDefault="004D04B9" w:rsidP="00625289">
      <w:pPr>
        <w:pStyle w:val="Bulletlist"/>
        <w:numPr>
          <w:ilvl w:val="1"/>
          <w:numId w:val="5"/>
        </w:numPr>
      </w:pPr>
      <w:r w:rsidRPr="006679AB">
        <w:t xml:space="preserve"> </w:t>
      </w:r>
      <w:r w:rsidR="005D19D2">
        <w:t>This includes a</w:t>
      </w:r>
      <w:r w:rsidRPr="006679AB">
        <w:t xml:space="preserve">ccess to all necessary </w:t>
      </w:r>
      <w:r w:rsidR="00A26C0D">
        <w:t>customer</w:t>
      </w:r>
      <w:r w:rsidRPr="006679AB">
        <w:t xml:space="preserve"> work locations, networks, systems</w:t>
      </w:r>
      <w:r w:rsidR="00C30D22">
        <w:t>,</w:t>
      </w:r>
      <w:r w:rsidRPr="006679AB">
        <w:t xml:space="preserve"> and applications (remote and onsite)</w:t>
      </w:r>
      <w:r w:rsidR="00636B13" w:rsidRPr="006679AB">
        <w:t>.</w:t>
      </w:r>
    </w:p>
    <w:p w14:paraId="6925EDC2" w14:textId="77777777" w:rsidR="00C35540" w:rsidRDefault="00C35540" w:rsidP="00EF4391">
      <w:pPr>
        <w:pStyle w:val="Bulletlist"/>
      </w:pPr>
      <w:r>
        <w:t>Provide a w</w:t>
      </w:r>
      <w:r w:rsidRPr="006679AB">
        <w:t xml:space="preserve">ork </w:t>
      </w:r>
      <w:r w:rsidR="004D04B9" w:rsidRPr="006679AB">
        <w:t>environment</w:t>
      </w:r>
      <w:r>
        <w:t>.</w:t>
      </w:r>
    </w:p>
    <w:p w14:paraId="6925EDC3" w14:textId="77777777" w:rsidR="004D04B9" w:rsidRPr="006679AB" w:rsidRDefault="00C35540" w:rsidP="00625289">
      <w:pPr>
        <w:pStyle w:val="Bulletlist"/>
        <w:numPr>
          <w:ilvl w:val="1"/>
          <w:numId w:val="5"/>
        </w:numPr>
      </w:pPr>
      <w:r>
        <w:t>This consists of s</w:t>
      </w:r>
      <w:r w:rsidRPr="006679AB">
        <w:t xml:space="preserve">uitable </w:t>
      </w:r>
      <w:proofErr w:type="gramStart"/>
      <w:r w:rsidR="004D04B9" w:rsidRPr="006679AB">
        <w:t>work spaces</w:t>
      </w:r>
      <w:proofErr w:type="gramEnd"/>
      <w:r w:rsidR="004D04B9" w:rsidRPr="006679AB">
        <w:t>, including desk</w:t>
      </w:r>
      <w:r>
        <w:t>s</w:t>
      </w:r>
      <w:r w:rsidR="004D04B9" w:rsidRPr="006679AB">
        <w:t>, chair</w:t>
      </w:r>
      <w:r>
        <w:t>s</w:t>
      </w:r>
      <w:r w:rsidR="004D04B9" w:rsidRPr="006679AB">
        <w:t xml:space="preserve">, </w:t>
      </w:r>
      <w:r>
        <w:t>and I</w:t>
      </w:r>
      <w:r w:rsidRPr="006679AB">
        <w:t xml:space="preserve">nternet </w:t>
      </w:r>
      <w:r w:rsidR="004D04B9" w:rsidRPr="006679AB">
        <w:t>access</w:t>
      </w:r>
      <w:r w:rsidR="00A26C0D">
        <w:t>.</w:t>
      </w:r>
    </w:p>
    <w:p w14:paraId="6925EDC4" w14:textId="77777777" w:rsidR="00C35540" w:rsidRDefault="00C35540" w:rsidP="00EF4391">
      <w:pPr>
        <w:pStyle w:val="Bulletlist"/>
      </w:pPr>
      <w:r>
        <w:t>Manage n</w:t>
      </w:r>
      <w:r w:rsidRPr="006679AB">
        <w:t>on</w:t>
      </w:r>
      <w:r w:rsidR="004D04B9" w:rsidRPr="006679AB">
        <w:t>-Microsoft resources</w:t>
      </w:r>
      <w:r>
        <w:t>.</w:t>
      </w:r>
    </w:p>
    <w:p w14:paraId="6925EDC5" w14:textId="77777777" w:rsidR="004D04B9" w:rsidRPr="006679AB" w:rsidRDefault="006679AB" w:rsidP="00625289">
      <w:pPr>
        <w:pStyle w:val="Bulletlist"/>
        <w:numPr>
          <w:ilvl w:val="1"/>
          <w:numId w:val="5"/>
        </w:numPr>
      </w:pPr>
      <w:r w:rsidRPr="006679AB">
        <w:t xml:space="preserve"> </w:t>
      </w:r>
      <w:r w:rsidR="004B1433">
        <w:t>The customer will a</w:t>
      </w:r>
      <w:r w:rsidR="004D04B9" w:rsidRPr="006679AB">
        <w:t>ssume respon</w:t>
      </w:r>
      <w:r w:rsidR="00112EB1" w:rsidRPr="006679AB">
        <w:t xml:space="preserve">sibility for </w:t>
      </w:r>
      <w:r w:rsidR="004B1433">
        <w:t xml:space="preserve">the </w:t>
      </w:r>
      <w:r w:rsidR="00112EB1" w:rsidRPr="006679AB">
        <w:t xml:space="preserve">management of all </w:t>
      </w:r>
      <w:r w:rsidR="00A26C0D">
        <w:t>customer</w:t>
      </w:r>
      <w:r w:rsidR="004D04B9" w:rsidRPr="006679AB">
        <w:t xml:space="preserve"> personnel and vendors </w:t>
      </w:r>
      <w:r w:rsidR="004B1433">
        <w:t xml:space="preserve">who are </w:t>
      </w:r>
      <w:r w:rsidR="004D04B9" w:rsidRPr="006679AB">
        <w:t>not managed by Microsoft</w:t>
      </w:r>
      <w:r w:rsidR="00636B13" w:rsidRPr="006679AB">
        <w:t>.</w:t>
      </w:r>
    </w:p>
    <w:p w14:paraId="6925EDC6" w14:textId="77777777" w:rsidR="004B1433" w:rsidRDefault="004D04B9" w:rsidP="00EF4391">
      <w:pPr>
        <w:pStyle w:val="Bulletlist"/>
      </w:pPr>
      <w:r w:rsidRPr="006679AB">
        <w:t>Manage external dependencies</w:t>
      </w:r>
      <w:r w:rsidR="009E316D">
        <w:t>.</w:t>
      </w:r>
    </w:p>
    <w:p w14:paraId="6925EDC7" w14:textId="77777777" w:rsidR="004D04B9" w:rsidRPr="006679AB" w:rsidRDefault="004B1433" w:rsidP="00625289">
      <w:pPr>
        <w:pStyle w:val="Bulletlist"/>
        <w:numPr>
          <w:ilvl w:val="1"/>
          <w:numId w:val="5"/>
        </w:numPr>
      </w:pPr>
      <w:r>
        <w:t>The customer will f</w:t>
      </w:r>
      <w:r w:rsidR="004D04B9" w:rsidRPr="006679AB">
        <w:t xml:space="preserve">acilitate </w:t>
      </w:r>
      <w:r>
        <w:t xml:space="preserve">any </w:t>
      </w:r>
      <w:r w:rsidR="004D04B9" w:rsidRPr="006679AB">
        <w:t>interaction</w:t>
      </w:r>
      <w:r>
        <w:t>s</w:t>
      </w:r>
      <w:r w:rsidR="004D04B9" w:rsidRPr="006679AB">
        <w:t xml:space="preserve"> with related projects </w:t>
      </w:r>
      <w:r>
        <w:t>or</w:t>
      </w:r>
      <w:r w:rsidRPr="006679AB">
        <w:t xml:space="preserve"> </w:t>
      </w:r>
      <w:r w:rsidR="004D04B9" w:rsidRPr="006679AB">
        <w:t xml:space="preserve">programs </w:t>
      </w:r>
      <w:proofErr w:type="gramStart"/>
      <w:r>
        <w:t>in order to</w:t>
      </w:r>
      <w:proofErr w:type="gramEnd"/>
      <w:r>
        <w:t xml:space="preserve"> manage</w:t>
      </w:r>
      <w:r w:rsidRPr="006679AB">
        <w:t xml:space="preserve"> </w:t>
      </w:r>
      <w:r w:rsidR="004D04B9" w:rsidRPr="006679AB">
        <w:t xml:space="preserve">external </w:t>
      </w:r>
      <w:r w:rsidRPr="006679AB">
        <w:t xml:space="preserve">project </w:t>
      </w:r>
      <w:r w:rsidR="004D04B9" w:rsidRPr="006679AB">
        <w:t>dependencies.</w:t>
      </w:r>
    </w:p>
    <w:p w14:paraId="6925EDC8" w14:textId="77777777" w:rsidR="007D3787" w:rsidRPr="00D30E59" w:rsidRDefault="007D3787" w:rsidP="007D3787">
      <w:pPr>
        <w:pStyle w:val="Heading2"/>
      </w:pPr>
      <w:bookmarkStart w:id="74" w:name="_Toc476167716"/>
      <w:bookmarkStart w:id="75" w:name="_Toc476168054"/>
      <w:bookmarkStart w:id="76" w:name="_Toc24894309"/>
      <w:r w:rsidRPr="00D30E59">
        <w:t xml:space="preserve">Project </w:t>
      </w:r>
      <w:bookmarkEnd w:id="74"/>
      <w:bookmarkEnd w:id="75"/>
      <w:r w:rsidR="006209A1" w:rsidRPr="00D30E59">
        <w:t>assumptions</w:t>
      </w:r>
      <w:bookmarkEnd w:id="76"/>
    </w:p>
    <w:p w14:paraId="6925EDCA" w14:textId="77777777" w:rsidR="00EC7993" w:rsidRDefault="007D3787" w:rsidP="00EC7993">
      <w:r>
        <w:t>The project sc</w:t>
      </w:r>
      <w:r w:rsidR="00884E0D">
        <w:t xml:space="preserve">ope, </w:t>
      </w:r>
      <w:r w:rsidR="00EF4391">
        <w:t>s</w:t>
      </w:r>
      <w:r w:rsidR="00EC7993">
        <w:t>ervices, fees, timeline</w:t>
      </w:r>
      <w:r w:rsidR="00A26C0D">
        <w:t>,</w:t>
      </w:r>
      <w:r w:rsidR="00EC7993">
        <w:t xml:space="preserve"> and our detailed solution are based on the information provided by the </w:t>
      </w:r>
      <w:r w:rsidR="00EF4391">
        <w:t>C</w:t>
      </w:r>
      <w:r w:rsidR="00EC7993">
        <w:t xml:space="preserve">ustomer to date. During the </w:t>
      </w:r>
      <w:r w:rsidR="00397E85">
        <w:t>project</w:t>
      </w:r>
      <w:r w:rsidR="00EC7993">
        <w:t xml:space="preserve">, the information </w:t>
      </w:r>
      <w:r w:rsidR="00A213E3">
        <w:t xml:space="preserve">and assumptions </w:t>
      </w:r>
      <w:r w:rsidR="00C17EF0">
        <w:t xml:space="preserve">in this SOW </w:t>
      </w:r>
      <w:r w:rsidR="00EC7993">
        <w:t>will be validated</w:t>
      </w:r>
      <w:r w:rsidR="00E1732C">
        <w:t>,</w:t>
      </w:r>
      <w:r w:rsidR="00EC7993">
        <w:t xml:space="preserve"> and if a material difference is present, this </w:t>
      </w:r>
      <w:r w:rsidR="001C00BA">
        <w:t>could</w:t>
      </w:r>
      <w:r w:rsidR="007104D0">
        <w:t xml:space="preserve"> </w:t>
      </w:r>
      <w:r w:rsidR="00EC7993">
        <w:t xml:space="preserve">result in Microsoft </w:t>
      </w:r>
      <w:r w:rsidR="007104D0">
        <w:t xml:space="preserve">initiating </w:t>
      </w:r>
      <w:r w:rsidR="00EC7993">
        <w:t xml:space="preserve">a change request to cover additional work or extend </w:t>
      </w:r>
      <w:r w:rsidR="004B1433">
        <w:t xml:space="preserve">the project </w:t>
      </w:r>
      <w:r w:rsidR="00EC7993">
        <w:t>duration. In addition,</w:t>
      </w:r>
      <w:r w:rsidR="003313E4">
        <w:t xml:space="preserve"> the following </w:t>
      </w:r>
      <w:r w:rsidR="00EC7993">
        <w:t>assumptions have been made:</w:t>
      </w:r>
    </w:p>
    <w:p w14:paraId="6925EDCB" w14:textId="77777777" w:rsidR="003D158B" w:rsidRDefault="000F1748" w:rsidP="002E3D1B">
      <w:pPr>
        <w:pStyle w:val="Bulletlist"/>
      </w:pPr>
      <w:proofErr w:type="gramStart"/>
      <w:r>
        <w:t>Work day</w:t>
      </w:r>
      <w:proofErr w:type="gramEnd"/>
      <w:r>
        <w:t xml:space="preserve">: </w:t>
      </w:r>
    </w:p>
    <w:p w14:paraId="6925EDCC" w14:textId="77777777" w:rsidR="004D04B9" w:rsidRPr="006679AB" w:rsidRDefault="00BB19E5" w:rsidP="00625289">
      <w:pPr>
        <w:pStyle w:val="Bulletlist"/>
        <w:numPr>
          <w:ilvl w:val="1"/>
          <w:numId w:val="5"/>
        </w:numPr>
      </w:pPr>
      <w:r>
        <w:t>T</w:t>
      </w:r>
      <w:r w:rsidR="007104D0" w:rsidRPr="006679AB">
        <w:t xml:space="preserve">he </w:t>
      </w:r>
      <w:r w:rsidR="004D04B9" w:rsidRPr="006679AB">
        <w:t xml:space="preserve">standard </w:t>
      </w:r>
      <w:proofErr w:type="gramStart"/>
      <w:r w:rsidR="004D04B9" w:rsidRPr="006679AB">
        <w:t>work day</w:t>
      </w:r>
      <w:proofErr w:type="gramEnd"/>
      <w:r w:rsidR="004D04B9" w:rsidRPr="006679AB">
        <w:t xml:space="preserve"> for the Microsoft project team is between 8</w:t>
      </w:r>
      <w:r w:rsidR="007104D0">
        <w:t xml:space="preserve"> AM</w:t>
      </w:r>
      <w:r w:rsidR="007104D0" w:rsidRPr="006679AB">
        <w:t xml:space="preserve"> </w:t>
      </w:r>
      <w:r w:rsidR="004D04B9" w:rsidRPr="006679AB">
        <w:t>and 5</w:t>
      </w:r>
      <w:r w:rsidR="007104D0">
        <w:t xml:space="preserve"> PM</w:t>
      </w:r>
      <w:r w:rsidR="009E719B">
        <w:t>, Monday through Friday.</w:t>
      </w:r>
    </w:p>
    <w:p w14:paraId="6925EDCD" w14:textId="77777777" w:rsidR="009E719B" w:rsidRDefault="009E719B" w:rsidP="009E719B">
      <w:pPr>
        <w:pStyle w:val="Bulletlist"/>
      </w:pPr>
      <w:r>
        <w:t>Standard holidays:</w:t>
      </w:r>
    </w:p>
    <w:p w14:paraId="6925EDCE" w14:textId="77777777" w:rsidR="009E719B" w:rsidRPr="006679AB" w:rsidRDefault="009E719B" w:rsidP="00625289">
      <w:pPr>
        <w:pStyle w:val="Bulletlist"/>
        <w:numPr>
          <w:ilvl w:val="1"/>
          <w:numId w:val="5"/>
        </w:numPr>
      </w:pPr>
      <w:r>
        <w:t>O</w:t>
      </w:r>
      <w:r w:rsidRPr="006679AB">
        <w:t xml:space="preserve">bservance of </w:t>
      </w:r>
      <w:r>
        <w:t>c</w:t>
      </w:r>
      <w:r w:rsidRPr="006679AB">
        <w:t xml:space="preserve">onsultants’ </w:t>
      </w:r>
      <w:r>
        <w:t>c</w:t>
      </w:r>
      <w:r w:rsidRPr="006679AB">
        <w:t>ountry-of-</w:t>
      </w:r>
      <w:r>
        <w:t>r</w:t>
      </w:r>
      <w:r w:rsidRPr="006679AB">
        <w:t>esidence holidays is assumed and has been factored into the project timeline.</w:t>
      </w:r>
    </w:p>
    <w:p w14:paraId="6925EDCF" w14:textId="77777777" w:rsidR="003D158B" w:rsidRDefault="003D158B" w:rsidP="002E3D1B">
      <w:pPr>
        <w:pStyle w:val="Bulletlist"/>
      </w:pPr>
      <w:r>
        <w:t>Remote working:</w:t>
      </w:r>
    </w:p>
    <w:p w14:paraId="6925EDD0" w14:textId="77777777" w:rsidR="004D04B9" w:rsidRPr="006679AB" w:rsidRDefault="00BB19E5" w:rsidP="00625289">
      <w:pPr>
        <w:pStyle w:val="Bulletlist"/>
        <w:numPr>
          <w:ilvl w:val="1"/>
          <w:numId w:val="5"/>
        </w:numPr>
      </w:pPr>
      <w:r>
        <w:t>T</w:t>
      </w:r>
      <w:r w:rsidR="004D04B9" w:rsidRPr="006679AB">
        <w:t xml:space="preserve">he Microsoft project team </w:t>
      </w:r>
      <w:r w:rsidR="001C00BA">
        <w:t>may</w:t>
      </w:r>
      <w:r w:rsidR="007104D0" w:rsidRPr="006679AB">
        <w:t xml:space="preserve"> </w:t>
      </w:r>
      <w:r w:rsidR="004D04B9" w:rsidRPr="006679AB">
        <w:t xml:space="preserve">perform </w:t>
      </w:r>
      <w:r w:rsidR="00A26C0D">
        <w:t>services</w:t>
      </w:r>
      <w:r w:rsidR="004D04B9" w:rsidRPr="006679AB">
        <w:t xml:space="preserve"> remotely</w:t>
      </w:r>
      <w:r w:rsidR="00636B13" w:rsidRPr="006679AB">
        <w:t>.</w:t>
      </w:r>
    </w:p>
    <w:p w14:paraId="6925EDD1" w14:textId="77777777" w:rsidR="004D04B9" w:rsidRPr="006679AB" w:rsidRDefault="00BB19E5" w:rsidP="00625289">
      <w:pPr>
        <w:pStyle w:val="Bulletlist"/>
        <w:numPr>
          <w:ilvl w:val="1"/>
          <w:numId w:val="5"/>
        </w:numPr>
      </w:pPr>
      <w:r>
        <w:t>I</w:t>
      </w:r>
      <w:r w:rsidR="0058051C" w:rsidRPr="006679AB">
        <w:t xml:space="preserve">f </w:t>
      </w:r>
      <w:r w:rsidR="0058051C">
        <w:t xml:space="preserve">the </w:t>
      </w:r>
      <w:r w:rsidR="004D04B9" w:rsidRPr="006679AB">
        <w:t xml:space="preserve">Microsoft project team </w:t>
      </w:r>
      <w:r w:rsidR="0058051C">
        <w:t>is</w:t>
      </w:r>
      <w:r w:rsidR="0058051C" w:rsidRPr="006679AB">
        <w:t xml:space="preserve"> </w:t>
      </w:r>
      <w:r w:rsidR="004D04B9" w:rsidRPr="006679AB">
        <w:t xml:space="preserve">required to be present at the </w:t>
      </w:r>
      <w:r w:rsidR="00A26C0D">
        <w:t>customer</w:t>
      </w:r>
      <w:r w:rsidR="004D04B9" w:rsidRPr="006679AB">
        <w:t xml:space="preserve"> location on a weekly basis, resources</w:t>
      </w:r>
      <w:r w:rsidR="006F0E0E">
        <w:t xml:space="preserve"> will typically be on site for three nights</w:t>
      </w:r>
      <w:r w:rsidR="0058051C">
        <w:t xml:space="preserve"> and </w:t>
      </w:r>
      <w:r w:rsidR="006F0E0E">
        <w:t>four</w:t>
      </w:r>
      <w:r w:rsidR="004D04B9" w:rsidRPr="006679AB">
        <w:t xml:space="preserve"> days</w:t>
      </w:r>
      <w:r w:rsidR="0058051C">
        <w:t xml:space="preserve">, </w:t>
      </w:r>
      <w:r w:rsidR="004D04B9" w:rsidRPr="006679AB">
        <w:t xml:space="preserve">arriving on </w:t>
      </w:r>
      <w:r w:rsidR="0058051C">
        <w:t xml:space="preserve">a </w:t>
      </w:r>
      <w:r w:rsidR="004D04B9" w:rsidRPr="006679AB">
        <w:t>Monday</w:t>
      </w:r>
      <w:r w:rsidR="0058051C">
        <w:t>s</w:t>
      </w:r>
      <w:r w:rsidR="004D04B9" w:rsidRPr="006679AB">
        <w:t xml:space="preserve"> and leaving </w:t>
      </w:r>
      <w:r w:rsidR="0058051C">
        <w:t xml:space="preserve">on a </w:t>
      </w:r>
      <w:r w:rsidR="004D04B9" w:rsidRPr="006679AB">
        <w:t>Thursday</w:t>
      </w:r>
      <w:r w:rsidR="00636B13" w:rsidRPr="006679AB">
        <w:t>.</w:t>
      </w:r>
    </w:p>
    <w:p w14:paraId="6925EDD2" w14:textId="77777777" w:rsidR="003D158B" w:rsidRDefault="003D158B" w:rsidP="002E3D1B">
      <w:pPr>
        <w:pStyle w:val="Bulletlist"/>
      </w:pPr>
      <w:r>
        <w:t>Language:</w:t>
      </w:r>
    </w:p>
    <w:p w14:paraId="6925EDD3" w14:textId="58BBC56C" w:rsidR="004D04B9" w:rsidRPr="006679AB" w:rsidRDefault="00BB19E5" w:rsidP="00625289">
      <w:pPr>
        <w:pStyle w:val="Bulletlist"/>
        <w:numPr>
          <w:ilvl w:val="1"/>
          <w:numId w:val="5"/>
        </w:numPr>
      </w:pPr>
      <w:r>
        <w:t>A</w:t>
      </w:r>
      <w:r w:rsidR="0072174A" w:rsidRPr="006679AB">
        <w:t>ll p</w:t>
      </w:r>
      <w:r w:rsidR="004D04B9" w:rsidRPr="006679AB">
        <w:t xml:space="preserve">roject communications and documentation will be in </w:t>
      </w:r>
      <w:r w:rsidR="004E7D5A" w:rsidRPr="004E7D5A">
        <w:rPr>
          <w:rStyle w:val="InstructionalChar"/>
          <w:color w:val="auto"/>
        </w:rPr>
        <w:t>English</w:t>
      </w:r>
      <w:r w:rsidR="004D04B9" w:rsidRPr="004E7D5A">
        <w:t>.</w:t>
      </w:r>
      <w:r w:rsidR="004D04B9" w:rsidRPr="006679AB">
        <w:t xml:space="preserve"> Local language support and translations will be provided by </w:t>
      </w:r>
      <w:r w:rsidR="00EF4391">
        <w:t>the C</w:t>
      </w:r>
      <w:r w:rsidR="00A26C0D">
        <w:t>ustomer</w:t>
      </w:r>
      <w:r w:rsidR="004D04B9" w:rsidRPr="006679AB">
        <w:t>.</w:t>
      </w:r>
    </w:p>
    <w:p w14:paraId="6925EDD4" w14:textId="77777777" w:rsidR="003D158B" w:rsidRDefault="003D158B" w:rsidP="003D158B">
      <w:pPr>
        <w:pStyle w:val="Bulletlist"/>
      </w:pPr>
      <w:r>
        <w:lastRenderedPageBreak/>
        <w:t>Staffing:</w:t>
      </w:r>
    </w:p>
    <w:p w14:paraId="6925EDD5" w14:textId="77777777" w:rsidR="004D04B9" w:rsidRPr="006679AB" w:rsidRDefault="00BB19E5" w:rsidP="00625289">
      <w:pPr>
        <w:pStyle w:val="Bulletlist"/>
        <w:numPr>
          <w:ilvl w:val="1"/>
          <w:numId w:val="5"/>
        </w:numPr>
      </w:pPr>
      <w:r>
        <w:t>I</w:t>
      </w:r>
      <w:r w:rsidR="00CE5B67">
        <w:t xml:space="preserve">f necessary, </w:t>
      </w:r>
      <w:r w:rsidR="004D04B9" w:rsidRPr="006679AB">
        <w:t xml:space="preserve">Microsoft </w:t>
      </w:r>
      <w:r w:rsidR="00CE5B67">
        <w:t>will</w:t>
      </w:r>
      <w:r w:rsidR="00CE5B67" w:rsidRPr="006679AB">
        <w:t xml:space="preserve"> </w:t>
      </w:r>
      <w:r w:rsidR="004D04B9" w:rsidRPr="006679AB">
        <w:t xml:space="preserve">make </w:t>
      </w:r>
      <w:r w:rsidR="00CE5B67" w:rsidRPr="006679AB">
        <w:t xml:space="preserve">staffing </w:t>
      </w:r>
      <w:r w:rsidR="004D04B9" w:rsidRPr="006679AB">
        <w:t>changes</w:t>
      </w:r>
      <w:r w:rsidR="00CE5B67">
        <w:t xml:space="preserve">. These can </w:t>
      </w:r>
      <w:r w:rsidR="004D04B9" w:rsidRPr="006679AB">
        <w:t>includ</w:t>
      </w:r>
      <w:r w:rsidR="00CE5B67">
        <w:t>e,</w:t>
      </w:r>
      <w:r w:rsidR="004D04B9" w:rsidRPr="006679AB">
        <w:t xml:space="preserve"> but </w:t>
      </w:r>
      <w:r w:rsidR="00CE5B67">
        <w:t xml:space="preserve">are </w:t>
      </w:r>
      <w:r w:rsidR="004D04B9" w:rsidRPr="006679AB">
        <w:t>not limited to</w:t>
      </w:r>
      <w:r w:rsidR="00C30D22">
        <w:t>,</w:t>
      </w:r>
      <w:r w:rsidR="004D04B9" w:rsidRPr="006679AB">
        <w:t xml:space="preserve"> </w:t>
      </w:r>
      <w:r w:rsidR="00CE5B67">
        <w:t xml:space="preserve">the </w:t>
      </w:r>
      <w:r w:rsidR="004D04B9" w:rsidRPr="006679AB">
        <w:t xml:space="preserve">number of resources, individuals, </w:t>
      </w:r>
      <w:r w:rsidR="00CE5B67">
        <w:t xml:space="preserve">and </w:t>
      </w:r>
      <w:r w:rsidR="004D04B9" w:rsidRPr="006679AB">
        <w:t>project roles.</w:t>
      </w:r>
    </w:p>
    <w:p w14:paraId="6925EDD6" w14:textId="77777777" w:rsidR="00BB19E5" w:rsidRDefault="004D04B9" w:rsidP="00EF4391">
      <w:pPr>
        <w:pStyle w:val="Bulletlist"/>
      </w:pPr>
      <w:r w:rsidRPr="006679AB">
        <w:t>Informal knowledge transfer</w:t>
      </w:r>
      <w:r w:rsidR="00925615">
        <w:t>:</w:t>
      </w:r>
    </w:p>
    <w:p w14:paraId="6925EDD7" w14:textId="77777777" w:rsidR="004D04B9" w:rsidRPr="006679AB" w:rsidRDefault="00BB19E5" w:rsidP="00625289">
      <w:pPr>
        <w:pStyle w:val="Bulletlist"/>
        <w:numPr>
          <w:ilvl w:val="1"/>
          <w:numId w:val="5"/>
        </w:numPr>
      </w:pPr>
      <w:r>
        <w:t>C</w:t>
      </w:r>
      <w:r w:rsidR="00A26C0D">
        <w:t>ustomer</w:t>
      </w:r>
      <w:r w:rsidR="004D04B9" w:rsidRPr="006679AB">
        <w:t xml:space="preserve"> staff </w:t>
      </w:r>
      <w:r w:rsidR="00CE5B67">
        <w:t xml:space="preserve">members who </w:t>
      </w:r>
      <w:r w:rsidR="00CE5B67" w:rsidRPr="006679AB">
        <w:t xml:space="preserve">work </w:t>
      </w:r>
      <w:r w:rsidR="004D04B9" w:rsidRPr="006679AB">
        <w:t>a</w:t>
      </w:r>
      <w:r w:rsidR="00705B6A" w:rsidRPr="006679AB">
        <w:t xml:space="preserve">longside Microsoft staff </w:t>
      </w:r>
      <w:r w:rsidR="004D04B9" w:rsidRPr="006679AB">
        <w:t xml:space="preserve">will be provided </w:t>
      </w:r>
      <w:r w:rsidR="00705B6A" w:rsidRPr="006679AB">
        <w:t xml:space="preserve">with information knowledge transfer </w:t>
      </w:r>
      <w:r w:rsidR="004D04B9" w:rsidRPr="006679AB">
        <w:t>throughout the project.</w:t>
      </w:r>
      <w:r w:rsidR="002420ED">
        <w:t xml:space="preserve"> </w:t>
      </w:r>
      <w:r w:rsidR="004D04B9" w:rsidRPr="006679AB">
        <w:t>No formal training materials will be developed or delivered as part of</w:t>
      </w:r>
      <w:r w:rsidR="00CE5B67">
        <w:t xml:space="preserve"> this</w:t>
      </w:r>
      <w:r w:rsidR="004D04B9" w:rsidRPr="006679AB">
        <w:t xml:space="preserve"> informal knowledge transfer.</w:t>
      </w:r>
    </w:p>
    <w:sectPr w:rsidR="004D04B9" w:rsidRPr="006679AB" w:rsidSect="00812548">
      <w:footerReference w:type="default" r:id="rId14"/>
      <w:pgSz w:w="12240" w:h="15840" w:code="1"/>
      <w:pgMar w:top="1440" w:right="1440" w:bottom="1440" w:left="1440" w:header="720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17FF9" w14:textId="77777777" w:rsidR="00831779" w:rsidRDefault="00831779" w:rsidP="000D404A">
      <w:pPr>
        <w:spacing w:after="0" w:line="240" w:lineRule="auto"/>
      </w:pPr>
      <w:r>
        <w:separator/>
      </w:r>
    </w:p>
    <w:p w14:paraId="1C975564" w14:textId="77777777" w:rsidR="00831779" w:rsidRDefault="00831779"/>
  </w:endnote>
  <w:endnote w:type="continuationSeparator" w:id="0">
    <w:p w14:paraId="2A1A05BD" w14:textId="77777777" w:rsidR="00831779" w:rsidRDefault="00831779" w:rsidP="000D404A">
      <w:pPr>
        <w:spacing w:after="0" w:line="240" w:lineRule="auto"/>
      </w:pPr>
      <w:r>
        <w:continuationSeparator/>
      </w:r>
    </w:p>
    <w:p w14:paraId="435AF40F" w14:textId="77777777" w:rsidR="00831779" w:rsidRDefault="00831779"/>
  </w:endnote>
  <w:endnote w:type="continuationNotice" w:id="1">
    <w:p w14:paraId="4144F827" w14:textId="77777777" w:rsidR="00831779" w:rsidRDefault="00831779">
      <w:pPr>
        <w:spacing w:after="0" w:line="240" w:lineRule="auto"/>
      </w:pPr>
    </w:p>
    <w:p w14:paraId="0DF0B58E" w14:textId="77777777" w:rsidR="00831779" w:rsidRDefault="00831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">
    <w:altName w:val="Calibri"/>
    <w:charset w:val="00"/>
    <w:family w:val="swiss"/>
    <w:pitch w:val="variable"/>
    <w:sig w:usb0="A00002AF" w:usb1="4000205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Black">
    <w:altName w:val="Arial"/>
    <w:charset w:val="00"/>
    <w:family w:val="swiss"/>
    <w:pitch w:val="variable"/>
    <w:sig w:usb0="A00002AF" w:usb1="4000205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Light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Pro">
    <w:altName w:val="Lucida Sans Unicode"/>
    <w:charset w:val="00"/>
    <w:family w:val="swiss"/>
    <w:pitch w:val="variable"/>
    <w:sig w:usb0="00000001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EE00" w14:textId="5C2BACDF" w:rsidR="00D61DE6" w:rsidRPr="00367055" w:rsidRDefault="00D61DE6" w:rsidP="003670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EE05" w14:textId="77777777" w:rsidR="00D61DE6" w:rsidRPr="00367055" w:rsidRDefault="00D61DE6" w:rsidP="00367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5F2A6" w14:textId="77777777" w:rsidR="00831779" w:rsidRDefault="00831779" w:rsidP="000D404A">
      <w:pPr>
        <w:spacing w:after="0" w:line="240" w:lineRule="auto"/>
      </w:pPr>
      <w:r>
        <w:separator/>
      </w:r>
    </w:p>
    <w:p w14:paraId="525A905D" w14:textId="77777777" w:rsidR="00831779" w:rsidRDefault="00831779"/>
  </w:footnote>
  <w:footnote w:type="continuationSeparator" w:id="0">
    <w:p w14:paraId="622C8BCA" w14:textId="77777777" w:rsidR="00831779" w:rsidRDefault="00831779" w:rsidP="000D404A">
      <w:pPr>
        <w:spacing w:after="0" w:line="240" w:lineRule="auto"/>
      </w:pPr>
      <w:r>
        <w:continuationSeparator/>
      </w:r>
    </w:p>
    <w:p w14:paraId="61FBA2DE" w14:textId="77777777" w:rsidR="00831779" w:rsidRDefault="00831779"/>
  </w:footnote>
  <w:footnote w:type="continuationNotice" w:id="1">
    <w:p w14:paraId="66C881D9" w14:textId="77777777" w:rsidR="00831779" w:rsidRDefault="00831779">
      <w:pPr>
        <w:spacing w:after="0" w:line="240" w:lineRule="auto"/>
      </w:pPr>
    </w:p>
    <w:p w14:paraId="352A4749" w14:textId="77777777" w:rsidR="00831779" w:rsidRDefault="0083177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4F9"/>
    <w:multiLevelType w:val="multilevel"/>
    <w:tmpl w:val="2F1482CE"/>
    <w:styleLink w:val="TableBullets"/>
    <w:lvl w:ilvl="0">
      <w:start w:val="1"/>
      <w:numFmt w:val="bullet"/>
      <w:pStyle w:val="TableBullet1MS"/>
      <w:lvlText w:val="▪"/>
      <w:lvlJc w:val="left"/>
      <w:pPr>
        <w:ind w:left="216" w:hanging="216"/>
      </w:pPr>
      <w:rPr>
        <w:rFonts w:ascii="Segoe" w:hAnsi="Segoe" w:hint="default"/>
        <w:b w:val="0"/>
        <w:i w:val="0"/>
        <w:color w:val="000000"/>
        <w:sz w:val="20"/>
      </w:rPr>
    </w:lvl>
    <w:lvl w:ilvl="1">
      <w:start w:val="1"/>
      <w:numFmt w:val="bullet"/>
      <w:pStyle w:val="TableBullet2MS"/>
      <w:lvlText w:val="−"/>
      <w:lvlJc w:val="left"/>
      <w:pPr>
        <w:ind w:left="432" w:hanging="216"/>
      </w:pPr>
      <w:rPr>
        <w:rFonts w:ascii="Segoe" w:hAnsi="Segoe" w:hint="default"/>
        <w:b w:val="0"/>
        <w:i w:val="0"/>
        <w:color w:val="000000"/>
        <w:sz w:val="20"/>
      </w:rPr>
    </w:lvl>
    <w:lvl w:ilvl="2">
      <w:start w:val="1"/>
      <w:numFmt w:val="bullet"/>
      <w:lvlText w:val="▪"/>
      <w:lvlJc w:val="left"/>
      <w:pPr>
        <w:ind w:left="648" w:hanging="216"/>
      </w:pPr>
      <w:rPr>
        <w:rFonts w:ascii="Segoe Black" w:hAnsi="Segoe Black" w:hint="default"/>
        <w:b w:val="0"/>
        <w:i w:val="0"/>
        <w:color w:val="000000"/>
        <w:sz w:val="20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52E72D1"/>
    <w:multiLevelType w:val="hybridMultilevel"/>
    <w:tmpl w:val="925A2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71A2D"/>
    <w:multiLevelType w:val="hybridMultilevel"/>
    <w:tmpl w:val="DBEEE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62B9E"/>
    <w:multiLevelType w:val="hybridMultilevel"/>
    <w:tmpl w:val="A3A43D1A"/>
    <w:lvl w:ilvl="0" w:tplc="E3A23968">
      <w:start w:val="1"/>
      <w:numFmt w:val="bullet"/>
      <w:pStyle w:val="Bullet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057DCF"/>
    <w:multiLevelType w:val="hybridMultilevel"/>
    <w:tmpl w:val="7726815A"/>
    <w:lvl w:ilvl="0" w:tplc="EAAC5A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9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B87FAB"/>
    <w:multiLevelType w:val="multilevel"/>
    <w:tmpl w:val="815E809A"/>
    <w:lvl w:ilvl="0">
      <w:start w:val="1"/>
      <w:numFmt w:val="bullet"/>
      <w:pStyle w:val="ListBullet"/>
      <w:lvlText w:val=""/>
      <w:lvlJc w:val="left"/>
      <w:pPr>
        <w:ind w:left="717" w:hanging="360"/>
      </w:pPr>
      <w:rPr>
        <w:rFonts w:ascii="Symbol" w:hAnsi="Symbol" w:hint="default"/>
        <w:color w:val="008AC8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5B9BD5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5B9BD5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6" w15:restartNumberingAfterBreak="0">
    <w:nsid w:val="38901CB9"/>
    <w:multiLevelType w:val="multilevel"/>
    <w:tmpl w:val="0409001F"/>
    <w:numStyleLink w:val="Style1"/>
  </w:abstractNum>
  <w:abstractNum w:abstractNumId="7" w15:restartNumberingAfterBreak="0">
    <w:nsid w:val="45286566"/>
    <w:multiLevelType w:val="multilevel"/>
    <w:tmpl w:val="BFEA11AE"/>
    <w:styleLink w:val="NumberBulletStylesMS"/>
    <w:lvl w:ilvl="0">
      <w:start w:val="1"/>
      <w:numFmt w:val="decimal"/>
      <w:lvlText w:val="%1."/>
      <w:lvlJc w:val="left"/>
      <w:pPr>
        <w:ind w:left="288" w:hanging="288"/>
      </w:pPr>
      <w:rPr>
        <w:rFonts w:ascii="Segoe Light" w:hAnsi="Segoe Light" w:hint="default"/>
        <w:color w:val="557EB9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2">
      <w:start w:val="1"/>
      <w:numFmt w:val="lowerRoman"/>
      <w:lvlText w:val="%3."/>
      <w:lvlJc w:val="left"/>
      <w:pPr>
        <w:ind w:left="864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ascii="Segoe Light" w:hAnsi="Segoe Light" w:hint="default"/>
        <w:b w:val="0"/>
        <w:i w:val="0"/>
        <w:color w:val="557EB9"/>
        <w:sz w:val="20"/>
      </w:rPr>
    </w:lvl>
    <w:lvl w:ilvl="5">
      <w:start w:val="1"/>
      <w:numFmt w:val="none"/>
      <w:lvlText w:val="%6"/>
      <w:lvlJc w:val="right"/>
      <w:pPr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ind w:left="5400" w:hanging="360"/>
      </w:pPr>
      <w:rPr>
        <w:rFonts w:hint="default"/>
      </w:rPr>
    </w:lvl>
    <w:lvl w:ilvl="8">
      <w:start w:val="1"/>
      <w:numFmt w:val="none"/>
      <w:lvlText w:val="%9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5A3A3899"/>
    <w:multiLevelType w:val="hybridMultilevel"/>
    <w:tmpl w:val="7154224C"/>
    <w:lvl w:ilvl="0" w:tplc="07824E34">
      <w:start w:val="1"/>
      <w:numFmt w:val="lowerRoman"/>
      <w:pStyle w:val="NumBullet3"/>
      <w:lvlText w:val="%1."/>
      <w:lvlJc w:val="right"/>
      <w:pPr>
        <w:ind w:left="936" w:hanging="360"/>
      </w:pPr>
      <w:rPr>
        <w:rFonts w:hint="default"/>
        <w:color w:val="008AC8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9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326C6E"/>
    <w:multiLevelType w:val="hybridMultilevel"/>
    <w:tmpl w:val="58308EA0"/>
    <w:lvl w:ilvl="0" w:tplc="29CE240E">
      <w:start w:val="1"/>
      <w:numFmt w:val="lowerLetter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2"/>
  </w:num>
  <w:num w:numId="10">
    <w:abstractNumId w:val="4"/>
  </w:num>
  <w:num w:numId="11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removePersonalInformation/>
  <w:removeDateAndTim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14"/>
    <w:rsid w:val="00000802"/>
    <w:rsid w:val="0000094A"/>
    <w:rsid w:val="00001922"/>
    <w:rsid w:val="00002F84"/>
    <w:rsid w:val="000031E6"/>
    <w:rsid w:val="00006950"/>
    <w:rsid w:val="00007020"/>
    <w:rsid w:val="000138B0"/>
    <w:rsid w:val="00013ABD"/>
    <w:rsid w:val="0001442B"/>
    <w:rsid w:val="000149FA"/>
    <w:rsid w:val="00014E4E"/>
    <w:rsid w:val="000163EF"/>
    <w:rsid w:val="0001741F"/>
    <w:rsid w:val="00017EE6"/>
    <w:rsid w:val="00020575"/>
    <w:rsid w:val="000208CB"/>
    <w:rsid w:val="000218AF"/>
    <w:rsid w:val="00022256"/>
    <w:rsid w:val="00023D1C"/>
    <w:rsid w:val="00024903"/>
    <w:rsid w:val="000251D3"/>
    <w:rsid w:val="00026310"/>
    <w:rsid w:val="00026DA0"/>
    <w:rsid w:val="0003049A"/>
    <w:rsid w:val="00031658"/>
    <w:rsid w:val="0003248B"/>
    <w:rsid w:val="0003395C"/>
    <w:rsid w:val="00034943"/>
    <w:rsid w:val="000352F9"/>
    <w:rsid w:val="00036CDA"/>
    <w:rsid w:val="000374A4"/>
    <w:rsid w:val="0004051B"/>
    <w:rsid w:val="000412A9"/>
    <w:rsid w:val="000414A7"/>
    <w:rsid w:val="000417FD"/>
    <w:rsid w:val="00041DE1"/>
    <w:rsid w:val="00043018"/>
    <w:rsid w:val="0004420C"/>
    <w:rsid w:val="00044760"/>
    <w:rsid w:val="00044FA5"/>
    <w:rsid w:val="000452C6"/>
    <w:rsid w:val="000468D5"/>
    <w:rsid w:val="00047251"/>
    <w:rsid w:val="00047297"/>
    <w:rsid w:val="00047578"/>
    <w:rsid w:val="0005205F"/>
    <w:rsid w:val="000533C4"/>
    <w:rsid w:val="00056FC6"/>
    <w:rsid w:val="00057271"/>
    <w:rsid w:val="000612F9"/>
    <w:rsid w:val="000618C7"/>
    <w:rsid w:val="00062796"/>
    <w:rsid w:val="00062D61"/>
    <w:rsid w:val="00066383"/>
    <w:rsid w:val="000664C6"/>
    <w:rsid w:val="00067119"/>
    <w:rsid w:val="00067C64"/>
    <w:rsid w:val="00072506"/>
    <w:rsid w:val="000730ED"/>
    <w:rsid w:val="00073CDE"/>
    <w:rsid w:val="00073D15"/>
    <w:rsid w:val="0007565A"/>
    <w:rsid w:val="000801E6"/>
    <w:rsid w:val="0008026F"/>
    <w:rsid w:val="000819CF"/>
    <w:rsid w:val="000822B0"/>
    <w:rsid w:val="0008641F"/>
    <w:rsid w:val="0008648D"/>
    <w:rsid w:val="00087713"/>
    <w:rsid w:val="00087BF3"/>
    <w:rsid w:val="0009058B"/>
    <w:rsid w:val="00092649"/>
    <w:rsid w:val="000926FA"/>
    <w:rsid w:val="00092B8E"/>
    <w:rsid w:val="00093335"/>
    <w:rsid w:val="00093A03"/>
    <w:rsid w:val="00094884"/>
    <w:rsid w:val="000A3182"/>
    <w:rsid w:val="000A3544"/>
    <w:rsid w:val="000A497C"/>
    <w:rsid w:val="000A5694"/>
    <w:rsid w:val="000A6144"/>
    <w:rsid w:val="000A6BD9"/>
    <w:rsid w:val="000A79F4"/>
    <w:rsid w:val="000B1418"/>
    <w:rsid w:val="000B25F2"/>
    <w:rsid w:val="000B3436"/>
    <w:rsid w:val="000B476E"/>
    <w:rsid w:val="000B561C"/>
    <w:rsid w:val="000B5C7F"/>
    <w:rsid w:val="000B62A5"/>
    <w:rsid w:val="000B711C"/>
    <w:rsid w:val="000C1BB1"/>
    <w:rsid w:val="000C21C3"/>
    <w:rsid w:val="000C27BE"/>
    <w:rsid w:val="000C2EED"/>
    <w:rsid w:val="000C3FCD"/>
    <w:rsid w:val="000C4A75"/>
    <w:rsid w:val="000C591B"/>
    <w:rsid w:val="000C59C2"/>
    <w:rsid w:val="000D03E9"/>
    <w:rsid w:val="000D1F01"/>
    <w:rsid w:val="000D3AD5"/>
    <w:rsid w:val="000D404A"/>
    <w:rsid w:val="000D4E93"/>
    <w:rsid w:val="000D55FE"/>
    <w:rsid w:val="000D5CA8"/>
    <w:rsid w:val="000D6334"/>
    <w:rsid w:val="000D761C"/>
    <w:rsid w:val="000E0521"/>
    <w:rsid w:val="000E06B0"/>
    <w:rsid w:val="000E21C9"/>
    <w:rsid w:val="000E5669"/>
    <w:rsid w:val="000E5CFF"/>
    <w:rsid w:val="000E68EB"/>
    <w:rsid w:val="000E7924"/>
    <w:rsid w:val="000F051E"/>
    <w:rsid w:val="000F164C"/>
    <w:rsid w:val="000F1748"/>
    <w:rsid w:val="000F230A"/>
    <w:rsid w:val="000F2310"/>
    <w:rsid w:val="000F3412"/>
    <w:rsid w:val="000F358C"/>
    <w:rsid w:val="000F38CE"/>
    <w:rsid w:val="000F49DA"/>
    <w:rsid w:val="000F5A4B"/>
    <w:rsid w:val="000F6B41"/>
    <w:rsid w:val="00100A82"/>
    <w:rsid w:val="00104009"/>
    <w:rsid w:val="00104A08"/>
    <w:rsid w:val="00104AB3"/>
    <w:rsid w:val="00104E74"/>
    <w:rsid w:val="00104F35"/>
    <w:rsid w:val="00106444"/>
    <w:rsid w:val="00107A71"/>
    <w:rsid w:val="00107E85"/>
    <w:rsid w:val="001109CA"/>
    <w:rsid w:val="00110CAA"/>
    <w:rsid w:val="00111EBA"/>
    <w:rsid w:val="00112EB1"/>
    <w:rsid w:val="00113EB2"/>
    <w:rsid w:val="0011436E"/>
    <w:rsid w:val="001146EB"/>
    <w:rsid w:val="00115347"/>
    <w:rsid w:val="001172E9"/>
    <w:rsid w:val="001179FC"/>
    <w:rsid w:val="00117AE2"/>
    <w:rsid w:val="0012088D"/>
    <w:rsid w:val="00120CB2"/>
    <w:rsid w:val="0012105E"/>
    <w:rsid w:val="001223BA"/>
    <w:rsid w:val="00122C20"/>
    <w:rsid w:val="00122DAB"/>
    <w:rsid w:val="0012322F"/>
    <w:rsid w:val="00124716"/>
    <w:rsid w:val="00127B5B"/>
    <w:rsid w:val="00131718"/>
    <w:rsid w:val="00134115"/>
    <w:rsid w:val="0013452E"/>
    <w:rsid w:val="0013708B"/>
    <w:rsid w:val="00137A1A"/>
    <w:rsid w:val="00137F0F"/>
    <w:rsid w:val="00140C9E"/>
    <w:rsid w:val="00140F8B"/>
    <w:rsid w:val="00146A9C"/>
    <w:rsid w:val="00147509"/>
    <w:rsid w:val="00150981"/>
    <w:rsid w:val="0015119E"/>
    <w:rsid w:val="00151DD2"/>
    <w:rsid w:val="00152B24"/>
    <w:rsid w:val="0015560E"/>
    <w:rsid w:val="00155780"/>
    <w:rsid w:val="00160775"/>
    <w:rsid w:val="001646DA"/>
    <w:rsid w:val="00166316"/>
    <w:rsid w:val="00167F49"/>
    <w:rsid w:val="0017247C"/>
    <w:rsid w:val="00172AE4"/>
    <w:rsid w:val="00172F0C"/>
    <w:rsid w:val="00173661"/>
    <w:rsid w:val="0017674D"/>
    <w:rsid w:val="00177F46"/>
    <w:rsid w:val="00181485"/>
    <w:rsid w:val="001820B5"/>
    <w:rsid w:val="00182C8C"/>
    <w:rsid w:val="001834E0"/>
    <w:rsid w:val="00183788"/>
    <w:rsid w:val="00184CCB"/>
    <w:rsid w:val="00186870"/>
    <w:rsid w:val="001868AD"/>
    <w:rsid w:val="00187294"/>
    <w:rsid w:val="00187FCD"/>
    <w:rsid w:val="001900FE"/>
    <w:rsid w:val="00190796"/>
    <w:rsid w:val="00191055"/>
    <w:rsid w:val="001912C7"/>
    <w:rsid w:val="00192865"/>
    <w:rsid w:val="0019440A"/>
    <w:rsid w:val="00196554"/>
    <w:rsid w:val="001967E6"/>
    <w:rsid w:val="00197E9B"/>
    <w:rsid w:val="001A0783"/>
    <w:rsid w:val="001A12A0"/>
    <w:rsid w:val="001A48D0"/>
    <w:rsid w:val="001A49D0"/>
    <w:rsid w:val="001A5A64"/>
    <w:rsid w:val="001A5D5F"/>
    <w:rsid w:val="001A61E5"/>
    <w:rsid w:val="001A6E6A"/>
    <w:rsid w:val="001B3BA7"/>
    <w:rsid w:val="001B78DE"/>
    <w:rsid w:val="001B7C82"/>
    <w:rsid w:val="001C00BA"/>
    <w:rsid w:val="001C0C18"/>
    <w:rsid w:val="001C308F"/>
    <w:rsid w:val="001C46D5"/>
    <w:rsid w:val="001C4CD2"/>
    <w:rsid w:val="001C5050"/>
    <w:rsid w:val="001C605A"/>
    <w:rsid w:val="001D175A"/>
    <w:rsid w:val="001D31C8"/>
    <w:rsid w:val="001D37A0"/>
    <w:rsid w:val="001D39B1"/>
    <w:rsid w:val="001D47B2"/>
    <w:rsid w:val="001D4E22"/>
    <w:rsid w:val="001D714E"/>
    <w:rsid w:val="001D7829"/>
    <w:rsid w:val="001E20E3"/>
    <w:rsid w:val="001E2B48"/>
    <w:rsid w:val="001E3DD9"/>
    <w:rsid w:val="001E56A3"/>
    <w:rsid w:val="001E5B0E"/>
    <w:rsid w:val="001E6BAE"/>
    <w:rsid w:val="001F0E2A"/>
    <w:rsid w:val="001F27FC"/>
    <w:rsid w:val="001F561F"/>
    <w:rsid w:val="001F5AFD"/>
    <w:rsid w:val="001F5C43"/>
    <w:rsid w:val="001F6AAE"/>
    <w:rsid w:val="0020098C"/>
    <w:rsid w:val="00200C0F"/>
    <w:rsid w:val="002019DC"/>
    <w:rsid w:val="00202F45"/>
    <w:rsid w:val="00203434"/>
    <w:rsid w:val="0020647D"/>
    <w:rsid w:val="00207450"/>
    <w:rsid w:val="002109C3"/>
    <w:rsid w:val="00210EF0"/>
    <w:rsid w:val="00213542"/>
    <w:rsid w:val="002146FC"/>
    <w:rsid w:val="00214855"/>
    <w:rsid w:val="00214FF6"/>
    <w:rsid w:val="00216273"/>
    <w:rsid w:val="0021649A"/>
    <w:rsid w:val="00216889"/>
    <w:rsid w:val="00216D13"/>
    <w:rsid w:val="00217E33"/>
    <w:rsid w:val="0022132C"/>
    <w:rsid w:val="00222F8C"/>
    <w:rsid w:val="00224329"/>
    <w:rsid w:val="00227900"/>
    <w:rsid w:val="00230503"/>
    <w:rsid w:val="00230B93"/>
    <w:rsid w:val="0023196E"/>
    <w:rsid w:val="00232419"/>
    <w:rsid w:val="0023246C"/>
    <w:rsid w:val="002338D4"/>
    <w:rsid w:val="00234B59"/>
    <w:rsid w:val="00235005"/>
    <w:rsid w:val="00236796"/>
    <w:rsid w:val="002367F0"/>
    <w:rsid w:val="00236B5C"/>
    <w:rsid w:val="00240478"/>
    <w:rsid w:val="00241661"/>
    <w:rsid w:val="002420ED"/>
    <w:rsid w:val="00243F9A"/>
    <w:rsid w:val="00244B75"/>
    <w:rsid w:val="00245311"/>
    <w:rsid w:val="002455C5"/>
    <w:rsid w:val="0024663B"/>
    <w:rsid w:val="00246AC9"/>
    <w:rsid w:val="002504D8"/>
    <w:rsid w:val="00250CA8"/>
    <w:rsid w:val="00251238"/>
    <w:rsid w:val="00251613"/>
    <w:rsid w:val="00255175"/>
    <w:rsid w:val="0025535A"/>
    <w:rsid w:val="0025590D"/>
    <w:rsid w:val="00260B3B"/>
    <w:rsid w:val="00262BD0"/>
    <w:rsid w:val="00262F99"/>
    <w:rsid w:val="002664EE"/>
    <w:rsid w:val="0026688B"/>
    <w:rsid w:val="00266CF0"/>
    <w:rsid w:val="0026720A"/>
    <w:rsid w:val="00267D79"/>
    <w:rsid w:val="00267ED0"/>
    <w:rsid w:val="0027191D"/>
    <w:rsid w:val="00271A0B"/>
    <w:rsid w:val="002738CD"/>
    <w:rsid w:val="00273E84"/>
    <w:rsid w:val="0027421F"/>
    <w:rsid w:val="002758D1"/>
    <w:rsid w:val="0027741D"/>
    <w:rsid w:val="00277730"/>
    <w:rsid w:val="00277FE9"/>
    <w:rsid w:val="0028103B"/>
    <w:rsid w:val="0028580C"/>
    <w:rsid w:val="00285CBE"/>
    <w:rsid w:val="00285DC7"/>
    <w:rsid w:val="0029185F"/>
    <w:rsid w:val="00292160"/>
    <w:rsid w:val="0029281A"/>
    <w:rsid w:val="00292F2E"/>
    <w:rsid w:val="00292FE1"/>
    <w:rsid w:val="002933DD"/>
    <w:rsid w:val="002952F0"/>
    <w:rsid w:val="002967F9"/>
    <w:rsid w:val="002A1842"/>
    <w:rsid w:val="002A495D"/>
    <w:rsid w:val="002A4AE8"/>
    <w:rsid w:val="002A54E4"/>
    <w:rsid w:val="002A5634"/>
    <w:rsid w:val="002A5AD1"/>
    <w:rsid w:val="002A6216"/>
    <w:rsid w:val="002A7BB3"/>
    <w:rsid w:val="002B1792"/>
    <w:rsid w:val="002B3289"/>
    <w:rsid w:val="002B535B"/>
    <w:rsid w:val="002B7C94"/>
    <w:rsid w:val="002C0C04"/>
    <w:rsid w:val="002C3F8C"/>
    <w:rsid w:val="002C4FA5"/>
    <w:rsid w:val="002D25D3"/>
    <w:rsid w:val="002D307C"/>
    <w:rsid w:val="002D4C6D"/>
    <w:rsid w:val="002D4D84"/>
    <w:rsid w:val="002D601F"/>
    <w:rsid w:val="002D6091"/>
    <w:rsid w:val="002E04CE"/>
    <w:rsid w:val="002E0950"/>
    <w:rsid w:val="002E16FC"/>
    <w:rsid w:val="002E1E13"/>
    <w:rsid w:val="002E362C"/>
    <w:rsid w:val="002E390C"/>
    <w:rsid w:val="002E3D1B"/>
    <w:rsid w:val="002E54F3"/>
    <w:rsid w:val="002E555E"/>
    <w:rsid w:val="002E57A0"/>
    <w:rsid w:val="002E59DC"/>
    <w:rsid w:val="002E69CA"/>
    <w:rsid w:val="002E6D86"/>
    <w:rsid w:val="002E7ACB"/>
    <w:rsid w:val="002F1155"/>
    <w:rsid w:val="002F11C0"/>
    <w:rsid w:val="002F167C"/>
    <w:rsid w:val="002F23B9"/>
    <w:rsid w:val="002F3F20"/>
    <w:rsid w:val="002F7B31"/>
    <w:rsid w:val="0030054A"/>
    <w:rsid w:val="00300CF1"/>
    <w:rsid w:val="003028B5"/>
    <w:rsid w:val="0030297C"/>
    <w:rsid w:val="0030327F"/>
    <w:rsid w:val="00304B93"/>
    <w:rsid w:val="00306450"/>
    <w:rsid w:val="00306465"/>
    <w:rsid w:val="00306F92"/>
    <w:rsid w:val="0030702A"/>
    <w:rsid w:val="00307A4C"/>
    <w:rsid w:val="00307D90"/>
    <w:rsid w:val="00311B84"/>
    <w:rsid w:val="0031234C"/>
    <w:rsid w:val="0031303E"/>
    <w:rsid w:val="003140CD"/>
    <w:rsid w:val="00314265"/>
    <w:rsid w:val="00314BFF"/>
    <w:rsid w:val="00314C5F"/>
    <w:rsid w:val="00315211"/>
    <w:rsid w:val="00315C2F"/>
    <w:rsid w:val="00315E98"/>
    <w:rsid w:val="00317174"/>
    <w:rsid w:val="0031773E"/>
    <w:rsid w:val="00320B6B"/>
    <w:rsid w:val="00320CE9"/>
    <w:rsid w:val="0032464A"/>
    <w:rsid w:val="0032686E"/>
    <w:rsid w:val="00326C25"/>
    <w:rsid w:val="00330486"/>
    <w:rsid w:val="00330823"/>
    <w:rsid w:val="003313E4"/>
    <w:rsid w:val="00332AE6"/>
    <w:rsid w:val="00333B64"/>
    <w:rsid w:val="00334ABB"/>
    <w:rsid w:val="00335083"/>
    <w:rsid w:val="0033642E"/>
    <w:rsid w:val="003372A8"/>
    <w:rsid w:val="003400ED"/>
    <w:rsid w:val="003403CB"/>
    <w:rsid w:val="00340A70"/>
    <w:rsid w:val="003424CE"/>
    <w:rsid w:val="00343E91"/>
    <w:rsid w:val="0034590C"/>
    <w:rsid w:val="00345F21"/>
    <w:rsid w:val="003461A6"/>
    <w:rsid w:val="00350397"/>
    <w:rsid w:val="00351B2F"/>
    <w:rsid w:val="003534B0"/>
    <w:rsid w:val="00353873"/>
    <w:rsid w:val="00355F40"/>
    <w:rsid w:val="00356C71"/>
    <w:rsid w:val="003604E6"/>
    <w:rsid w:val="00361B79"/>
    <w:rsid w:val="003636EC"/>
    <w:rsid w:val="00364836"/>
    <w:rsid w:val="0036496C"/>
    <w:rsid w:val="003666E2"/>
    <w:rsid w:val="00366940"/>
    <w:rsid w:val="00367055"/>
    <w:rsid w:val="0036776F"/>
    <w:rsid w:val="00367BA6"/>
    <w:rsid w:val="00371AF2"/>
    <w:rsid w:val="00372CDD"/>
    <w:rsid w:val="003734C5"/>
    <w:rsid w:val="003742F7"/>
    <w:rsid w:val="0037561F"/>
    <w:rsid w:val="00376083"/>
    <w:rsid w:val="00377C6F"/>
    <w:rsid w:val="00380605"/>
    <w:rsid w:val="00380A0B"/>
    <w:rsid w:val="00382A78"/>
    <w:rsid w:val="003835B6"/>
    <w:rsid w:val="00383D84"/>
    <w:rsid w:val="003840B4"/>
    <w:rsid w:val="00384427"/>
    <w:rsid w:val="003845C1"/>
    <w:rsid w:val="00384A87"/>
    <w:rsid w:val="00385102"/>
    <w:rsid w:val="003862AA"/>
    <w:rsid w:val="00390A88"/>
    <w:rsid w:val="003925C9"/>
    <w:rsid w:val="00394BAF"/>
    <w:rsid w:val="00394DD8"/>
    <w:rsid w:val="00396E53"/>
    <w:rsid w:val="00397258"/>
    <w:rsid w:val="00397E85"/>
    <w:rsid w:val="003A1152"/>
    <w:rsid w:val="003A18DC"/>
    <w:rsid w:val="003A227F"/>
    <w:rsid w:val="003A2B39"/>
    <w:rsid w:val="003A58A8"/>
    <w:rsid w:val="003A6596"/>
    <w:rsid w:val="003B129F"/>
    <w:rsid w:val="003B1D40"/>
    <w:rsid w:val="003B3321"/>
    <w:rsid w:val="003B6767"/>
    <w:rsid w:val="003B6812"/>
    <w:rsid w:val="003B683E"/>
    <w:rsid w:val="003B795F"/>
    <w:rsid w:val="003B7D9E"/>
    <w:rsid w:val="003C08C8"/>
    <w:rsid w:val="003C0E91"/>
    <w:rsid w:val="003C1EDE"/>
    <w:rsid w:val="003C2E1F"/>
    <w:rsid w:val="003C3093"/>
    <w:rsid w:val="003C497B"/>
    <w:rsid w:val="003C5286"/>
    <w:rsid w:val="003C53AF"/>
    <w:rsid w:val="003C6307"/>
    <w:rsid w:val="003C6514"/>
    <w:rsid w:val="003C72CF"/>
    <w:rsid w:val="003C745A"/>
    <w:rsid w:val="003C7FAC"/>
    <w:rsid w:val="003D01A7"/>
    <w:rsid w:val="003D075F"/>
    <w:rsid w:val="003D0CB5"/>
    <w:rsid w:val="003D11C0"/>
    <w:rsid w:val="003D158B"/>
    <w:rsid w:val="003D23E8"/>
    <w:rsid w:val="003D2CBA"/>
    <w:rsid w:val="003D326B"/>
    <w:rsid w:val="003D3729"/>
    <w:rsid w:val="003D6E88"/>
    <w:rsid w:val="003E0AF9"/>
    <w:rsid w:val="003E129C"/>
    <w:rsid w:val="003E185B"/>
    <w:rsid w:val="003E1A17"/>
    <w:rsid w:val="003E1B4E"/>
    <w:rsid w:val="003E1C68"/>
    <w:rsid w:val="003E260B"/>
    <w:rsid w:val="003E2B6C"/>
    <w:rsid w:val="003E3AF1"/>
    <w:rsid w:val="003E3C81"/>
    <w:rsid w:val="003E55C6"/>
    <w:rsid w:val="003E6197"/>
    <w:rsid w:val="003E6C5F"/>
    <w:rsid w:val="003E7B6A"/>
    <w:rsid w:val="003F478D"/>
    <w:rsid w:val="003F55E0"/>
    <w:rsid w:val="003F6207"/>
    <w:rsid w:val="003F779C"/>
    <w:rsid w:val="003F7AA8"/>
    <w:rsid w:val="004005BF"/>
    <w:rsid w:val="00402A1B"/>
    <w:rsid w:val="0040341A"/>
    <w:rsid w:val="004043B2"/>
    <w:rsid w:val="004057AD"/>
    <w:rsid w:val="0040599B"/>
    <w:rsid w:val="004059D6"/>
    <w:rsid w:val="00405F6A"/>
    <w:rsid w:val="00407A8B"/>
    <w:rsid w:val="0041019A"/>
    <w:rsid w:val="00410DC2"/>
    <w:rsid w:val="00412536"/>
    <w:rsid w:val="00413AB0"/>
    <w:rsid w:val="00413B06"/>
    <w:rsid w:val="00413EDB"/>
    <w:rsid w:val="004141E5"/>
    <w:rsid w:val="004171D2"/>
    <w:rsid w:val="00420211"/>
    <w:rsid w:val="0042235A"/>
    <w:rsid w:val="004230B2"/>
    <w:rsid w:val="00423993"/>
    <w:rsid w:val="00423C7D"/>
    <w:rsid w:val="00425828"/>
    <w:rsid w:val="00426606"/>
    <w:rsid w:val="004279D3"/>
    <w:rsid w:val="004302AE"/>
    <w:rsid w:val="004305C0"/>
    <w:rsid w:val="00432528"/>
    <w:rsid w:val="00432DB2"/>
    <w:rsid w:val="00433D4D"/>
    <w:rsid w:val="00433EFD"/>
    <w:rsid w:val="0043613E"/>
    <w:rsid w:val="004370A7"/>
    <w:rsid w:val="004371F2"/>
    <w:rsid w:val="00437854"/>
    <w:rsid w:val="00441FB7"/>
    <w:rsid w:val="004422B6"/>
    <w:rsid w:val="0044457A"/>
    <w:rsid w:val="004446A6"/>
    <w:rsid w:val="00444CCA"/>
    <w:rsid w:val="00444EC7"/>
    <w:rsid w:val="00445613"/>
    <w:rsid w:val="004457AB"/>
    <w:rsid w:val="00445BE8"/>
    <w:rsid w:val="00446BAE"/>
    <w:rsid w:val="00447682"/>
    <w:rsid w:val="00450829"/>
    <w:rsid w:val="0045125A"/>
    <w:rsid w:val="00451968"/>
    <w:rsid w:val="00452159"/>
    <w:rsid w:val="004526B5"/>
    <w:rsid w:val="00453357"/>
    <w:rsid w:val="0045347E"/>
    <w:rsid w:val="00454517"/>
    <w:rsid w:val="00454AB1"/>
    <w:rsid w:val="0045588B"/>
    <w:rsid w:val="00455F61"/>
    <w:rsid w:val="00461145"/>
    <w:rsid w:val="00461CB3"/>
    <w:rsid w:val="00462282"/>
    <w:rsid w:val="00463375"/>
    <w:rsid w:val="00463720"/>
    <w:rsid w:val="00463EAA"/>
    <w:rsid w:val="00464471"/>
    <w:rsid w:val="00466CBE"/>
    <w:rsid w:val="00470601"/>
    <w:rsid w:val="00470D0B"/>
    <w:rsid w:val="00470DCE"/>
    <w:rsid w:val="00471337"/>
    <w:rsid w:val="00471420"/>
    <w:rsid w:val="0047236B"/>
    <w:rsid w:val="004723A1"/>
    <w:rsid w:val="00472F64"/>
    <w:rsid w:val="004737C4"/>
    <w:rsid w:val="004742D1"/>
    <w:rsid w:val="00474631"/>
    <w:rsid w:val="004747A8"/>
    <w:rsid w:val="00476470"/>
    <w:rsid w:val="00477407"/>
    <w:rsid w:val="004806DB"/>
    <w:rsid w:val="004844EA"/>
    <w:rsid w:val="00485751"/>
    <w:rsid w:val="00490745"/>
    <w:rsid w:val="004909E9"/>
    <w:rsid w:val="0049279F"/>
    <w:rsid w:val="004944C2"/>
    <w:rsid w:val="00494A12"/>
    <w:rsid w:val="00494E08"/>
    <w:rsid w:val="00496696"/>
    <w:rsid w:val="004969CF"/>
    <w:rsid w:val="004A0F21"/>
    <w:rsid w:val="004A417A"/>
    <w:rsid w:val="004A4F8D"/>
    <w:rsid w:val="004A64D6"/>
    <w:rsid w:val="004A6D96"/>
    <w:rsid w:val="004A767A"/>
    <w:rsid w:val="004B0557"/>
    <w:rsid w:val="004B1433"/>
    <w:rsid w:val="004B23CB"/>
    <w:rsid w:val="004B7049"/>
    <w:rsid w:val="004B7957"/>
    <w:rsid w:val="004B7D15"/>
    <w:rsid w:val="004C02F5"/>
    <w:rsid w:val="004C1270"/>
    <w:rsid w:val="004C2A6F"/>
    <w:rsid w:val="004C33EB"/>
    <w:rsid w:val="004C4DC3"/>
    <w:rsid w:val="004C536F"/>
    <w:rsid w:val="004C5E02"/>
    <w:rsid w:val="004C70C4"/>
    <w:rsid w:val="004C7222"/>
    <w:rsid w:val="004C75F0"/>
    <w:rsid w:val="004C7B55"/>
    <w:rsid w:val="004D03A1"/>
    <w:rsid w:val="004D04B9"/>
    <w:rsid w:val="004D092D"/>
    <w:rsid w:val="004D153A"/>
    <w:rsid w:val="004D26DA"/>
    <w:rsid w:val="004D27CB"/>
    <w:rsid w:val="004D3444"/>
    <w:rsid w:val="004D3FC7"/>
    <w:rsid w:val="004D4775"/>
    <w:rsid w:val="004D4E74"/>
    <w:rsid w:val="004D5577"/>
    <w:rsid w:val="004D5911"/>
    <w:rsid w:val="004D5D6A"/>
    <w:rsid w:val="004D6658"/>
    <w:rsid w:val="004D68DF"/>
    <w:rsid w:val="004D6AB8"/>
    <w:rsid w:val="004E0335"/>
    <w:rsid w:val="004E5105"/>
    <w:rsid w:val="004E784D"/>
    <w:rsid w:val="004E7D5A"/>
    <w:rsid w:val="004F09B9"/>
    <w:rsid w:val="004F4BCE"/>
    <w:rsid w:val="004F4DF4"/>
    <w:rsid w:val="004F4F16"/>
    <w:rsid w:val="004F685E"/>
    <w:rsid w:val="004F6EF6"/>
    <w:rsid w:val="0050008D"/>
    <w:rsid w:val="00502B50"/>
    <w:rsid w:val="00505200"/>
    <w:rsid w:val="005055CC"/>
    <w:rsid w:val="00507494"/>
    <w:rsid w:val="00507953"/>
    <w:rsid w:val="00507CF2"/>
    <w:rsid w:val="00514BD1"/>
    <w:rsid w:val="005152A6"/>
    <w:rsid w:val="0051565E"/>
    <w:rsid w:val="00515681"/>
    <w:rsid w:val="00515713"/>
    <w:rsid w:val="005164D3"/>
    <w:rsid w:val="00520762"/>
    <w:rsid w:val="00521210"/>
    <w:rsid w:val="005212A5"/>
    <w:rsid w:val="0052160E"/>
    <w:rsid w:val="0052180F"/>
    <w:rsid w:val="00521D88"/>
    <w:rsid w:val="00522256"/>
    <w:rsid w:val="00523A19"/>
    <w:rsid w:val="00523EDA"/>
    <w:rsid w:val="005244CD"/>
    <w:rsid w:val="0052546A"/>
    <w:rsid w:val="00525EBE"/>
    <w:rsid w:val="0053124B"/>
    <w:rsid w:val="0053345E"/>
    <w:rsid w:val="00534059"/>
    <w:rsid w:val="005354EE"/>
    <w:rsid w:val="005439A6"/>
    <w:rsid w:val="00543B8B"/>
    <w:rsid w:val="00544EC4"/>
    <w:rsid w:val="00545738"/>
    <w:rsid w:val="0054601C"/>
    <w:rsid w:val="005479AC"/>
    <w:rsid w:val="00550C05"/>
    <w:rsid w:val="00550DD8"/>
    <w:rsid w:val="0055339D"/>
    <w:rsid w:val="00553FDB"/>
    <w:rsid w:val="00554AEE"/>
    <w:rsid w:val="00556F1A"/>
    <w:rsid w:val="00557909"/>
    <w:rsid w:val="00560121"/>
    <w:rsid w:val="00561C3E"/>
    <w:rsid w:val="00563AAE"/>
    <w:rsid w:val="005647C0"/>
    <w:rsid w:val="00565011"/>
    <w:rsid w:val="005662A3"/>
    <w:rsid w:val="005663DE"/>
    <w:rsid w:val="00566692"/>
    <w:rsid w:val="00567F8C"/>
    <w:rsid w:val="00570C23"/>
    <w:rsid w:val="005719EC"/>
    <w:rsid w:val="00572D85"/>
    <w:rsid w:val="00572EAB"/>
    <w:rsid w:val="005730DB"/>
    <w:rsid w:val="00574E86"/>
    <w:rsid w:val="0058051C"/>
    <w:rsid w:val="00583117"/>
    <w:rsid w:val="005838DC"/>
    <w:rsid w:val="00585932"/>
    <w:rsid w:val="00585C68"/>
    <w:rsid w:val="005874F7"/>
    <w:rsid w:val="00587B6E"/>
    <w:rsid w:val="00592321"/>
    <w:rsid w:val="0059335F"/>
    <w:rsid w:val="00594027"/>
    <w:rsid w:val="005973B0"/>
    <w:rsid w:val="005975FA"/>
    <w:rsid w:val="00597867"/>
    <w:rsid w:val="005A089E"/>
    <w:rsid w:val="005A0FA4"/>
    <w:rsid w:val="005A17F4"/>
    <w:rsid w:val="005A1C5E"/>
    <w:rsid w:val="005A28D3"/>
    <w:rsid w:val="005A530E"/>
    <w:rsid w:val="005A60B4"/>
    <w:rsid w:val="005A60F0"/>
    <w:rsid w:val="005A7E0C"/>
    <w:rsid w:val="005A7F9F"/>
    <w:rsid w:val="005B0F3A"/>
    <w:rsid w:val="005B275D"/>
    <w:rsid w:val="005B2E7C"/>
    <w:rsid w:val="005B3238"/>
    <w:rsid w:val="005B58AE"/>
    <w:rsid w:val="005B7A04"/>
    <w:rsid w:val="005C04C6"/>
    <w:rsid w:val="005C0B21"/>
    <w:rsid w:val="005C124A"/>
    <w:rsid w:val="005C14DF"/>
    <w:rsid w:val="005C33AC"/>
    <w:rsid w:val="005C34DC"/>
    <w:rsid w:val="005C38D2"/>
    <w:rsid w:val="005C3D90"/>
    <w:rsid w:val="005C51CF"/>
    <w:rsid w:val="005C66A2"/>
    <w:rsid w:val="005C687C"/>
    <w:rsid w:val="005D19D2"/>
    <w:rsid w:val="005D1CB2"/>
    <w:rsid w:val="005D2C77"/>
    <w:rsid w:val="005D7CEF"/>
    <w:rsid w:val="005E0201"/>
    <w:rsid w:val="005E2689"/>
    <w:rsid w:val="005E2D37"/>
    <w:rsid w:val="005E3472"/>
    <w:rsid w:val="005E372D"/>
    <w:rsid w:val="005E4CEF"/>
    <w:rsid w:val="005E5250"/>
    <w:rsid w:val="005E7CAE"/>
    <w:rsid w:val="005F072F"/>
    <w:rsid w:val="005F11B8"/>
    <w:rsid w:val="005F2BC2"/>
    <w:rsid w:val="005F3707"/>
    <w:rsid w:val="005F4A62"/>
    <w:rsid w:val="005F549E"/>
    <w:rsid w:val="005F76AD"/>
    <w:rsid w:val="0060052B"/>
    <w:rsid w:val="00601C8C"/>
    <w:rsid w:val="00602A8E"/>
    <w:rsid w:val="006031C3"/>
    <w:rsid w:val="00603269"/>
    <w:rsid w:val="00604429"/>
    <w:rsid w:val="00605E33"/>
    <w:rsid w:val="00606B74"/>
    <w:rsid w:val="00611764"/>
    <w:rsid w:val="00613815"/>
    <w:rsid w:val="00613B3B"/>
    <w:rsid w:val="00613D4C"/>
    <w:rsid w:val="006148FE"/>
    <w:rsid w:val="00614A44"/>
    <w:rsid w:val="00615E96"/>
    <w:rsid w:val="006170AC"/>
    <w:rsid w:val="006175A2"/>
    <w:rsid w:val="00617AAB"/>
    <w:rsid w:val="00620252"/>
    <w:rsid w:val="0062046D"/>
    <w:rsid w:val="0062057F"/>
    <w:rsid w:val="006209A1"/>
    <w:rsid w:val="00622E17"/>
    <w:rsid w:val="00623BDA"/>
    <w:rsid w:val="00625289"/>
    <w:rsid w:val="00631ECD"/>
    <w:rsid w:val="00632B25"/>
    <w:rsid w:val="00632D2B"/>
    <w:rsid w:val="00632F42"/>
    <w:rsid w:val="006338A3"/>
    <w:rsid w:val="006347C2"/>
    <w:rsid w:val="00634A93"/>
    <w:rsid w:val="0063531D"/>
    <w:rsid w:val="00636244"/>
    <w:rsid w:val="00636570"/>
    <w:rsid w:val="00636B13"/>
    <w:rsid w:val="00636D90"/>
    <w:rsid w:val="00636DC6"/>
    <w:rsid w:val="0063757B"/>
    <w:rsid w:val="0064046D"/>
    <w:rsid w:val="00643932"/>
    <w:rsid w:val="00643C6C"/>
    <w:rsid w:val="00645BAF"/>
    <w:rsid w:val="0064620D"/>
    <w:rsid w:val="006473C4"/>
    <w:rsid w:val="0064752A"/>
    <w:rsid w:val="00651C48"/>
    <w:rsid w:val="00653C65"/>
    <w:rsid w:val="0065416B"/>
    <w:rsid w:val="00655D52"/>
    <w:rsid w:val="00655F07"/>
    <w:rsid w:val="006609B6"/>
    <w:rsid w:val="00660DAD"/>
    <w:rsid w:val="0066513F"/>
    <w:rsid w:val="00665531"/>
    <w:rsid w:val="00666831"/>
    <w:rsid w:val="006669E2"/>
    <w:rsid w:val="00666DA4"/>
    <w:rsid w:val="006679AB"/>
    <w:rsid w:val="00667CA7"/>
    <w:rsid w:val="00667E45"/>
    <w:rsid w:val="006714EE"/>
    <w:rsid w:val="0067757C"/>
    <w:rsid w:val="006778D7"/>
    <w:rsid w:val="006778E7"/>
    <w:rsid w:val="00680B73"/>
    <w:rsid w:val="0068384F"/>
    <w:rsid w:val="00683E66"/>
    <w:rsid w:val="0068444A"/>
    <w:rsid w:val="0068468C"/>
    <w:rsid w:val="00685025"/>
    <w:rsid w:val="0068537E"/>
    <w:rsid w:val="00685A09"/>
    <w:rsid w:val="006862BB"/>
    <w:rsid w:val="00686ED3"/>
    <w:rsid w:val="00687865"/>
    <w:rsid w:val="006934F1"/>
    <w:rsid w:val="00693D8B"/>
    <w:rsid w:val="006958D9"/>
    <w:rsid w:val="006964B5"/>
    <w:rsid w:val="006965B5"/>
    <w:rsid w:val="00696747"/>
    <w:rsid w:val="00697ACE"/>
    <w:rsid w:val="006A19F3"/>
    <w:rsid w:val="006A20B1"/>
    <w:rsid w:val="006B0912"/>
    <w:rsid w:val="006B1712"/>
    <w:rsid w:val="006B18CC"/>
    <w:rsid w:val="006B1DFE"/>
    <w:rsid w:val="006B2053"/>
    <w:rsid w:val="006B41D9"/>
    <w:rsid w:val="006C0011"/>
    <w:rsid w:val="006C01B7"/>
    <w:rsid w:val="006C0F6A"/>
    <w:rsid w:val="006C2DDC"/>
    <w:rsid w:val="006C3A1E"/>
    <w:rsid w:val="006C3B97"/>
    <w:rsid w:val="006C6051"/>
    <w:rsid w:val="006C62AE"/>
    <w:rsid w:val="006C6C2D"/>
    <w:rsid w:val="006C7062"/>
    <w:rsid w:val="006D205C"/>
    <w:rsid w:val="006D3745"/>
    <w:rsid w:val="006D3F1B"/>
    <w:rsid w:val="006D5EB8"/>
    <w:rsid w:val="006D62DF"/>
    <w:rsid w:val="006D66D8"/>
    <w:rsid w:val="006D6710"/>
    <w:rsid w:val="006D6E88"/>
    <w:rsid w:val="006E07A0"/>
    <w:rsid w:val="006E140C"/>
    <w:rsid w:val="006E1E37"/>
    <w:rsid w:val="006E3B4F"/>
    <w:rsid w:val="006E3D8A"/>
    <w:rsid w:val="006E408D"/>
    <w:rsid w:val="006E5D1F"/>
    <w:rsid w:val="006E7700"/>
    <w:rsid w:val="006E7E71"/>
    <w:rsid w:val="006F0BFD"/>
    <w:rsid w:val="006F0E0E"/>
    <w:rsid w:val="006F225E"/>
    <w:rsid w:val="006F44B6"/>
    <w:rsid w:val="006F7251"/>
    <w:rsid w:val="006F74FA"/>
    <w:rsid w:val="006F7C25"/>
    <w:rsid w:val="00700625"/>
    <w:rsid w:val="00700F3D"/>
    <w:rsid w:val="007019F5"/>
    <w:rsid w:val="00705B6A"/>
    <w:rsid w:val="00707631"/>
    <w:rsid w:val="007077C2"/>
    <w:rsid w:val="007104D0"/>
    <w:rsid w:val="00711CDF"/>
    <w:rsid w:val="00712038"/>
    <w:rsid w:val="00712F4A"/>
    <w:rsid w:val="00713406"/>
    <w:rsid w:val="00715875"/>
    <w:rsid w:val="00717AAA"/>
    <w:rsid w:val="00717C53"/>
    <w:rsid w:val="00717F2C"/>
    <w:rsid w:val="0072174A"/>
    <w:rsid w:val="00722C90"/>
    <w:rsid w:val="00723E82"/>
    <w:rsid w:val="00726279"/>
    <w:rsid w:val="00727058"/>
    <w:rsid w:val="007301D9"/>
    <w:rsid w:val="007306AC"/>
    <w:rsid w:val="007312E0"/>
    <w:rsid w:val="007339A0"/>
    <w:rsid w:val="00736217"/>
    <w:rsid w:val="00737D61"/>
    <w:rsid w:val="00740866"/>
    <w:rsid w:val="007408BA"/>
    <w:rsid w:val="0074282A"/>
    <w:rsid w:val="007445E9"/>
    <w:rsid w:val="00745BE7"/>
    <w:rsid w:val="00747AC7"/>
    <w:rsid w:val="00750905"/>
    <w:rsid w:val="00751038"/>
    <w:rsid w:val="00751C3A"/>
    <w:rsid w:val="00752178"/>
    <w:rsid w:val="00752D42"/>
    <w:rsid w:val="007542A4"/>
    <w:rsid w:val="00754803"/>
    <w:rsid w:val="00755826"/>
    <w:rsid w:val="0075685F"/>
    <w:rsid w:val="00760487"/>
    <w:rsid w:val="00760E83"/>
    <w:rsid w:val="00760FC1"/>
    <w:rsid w:val="007617D4"/>
    <w:rsid w:val="007628DA"/>
    <w:rsid w:val="0076645E"/>
    <w:rsid w:val="00767A14"/>
    <w:rsid w:val="00770A6C"/>
    <w:rsid w:val="007716EE"/>
    <w:rsid w:val="00772DD8"/>
    <w:rsid w:val="00773666"/>
    <w:rsid w:val="00777494"/>
    <w:rsid w:val="00780686"/>
    <w:rsid w:val="00780C70"/>
    <w:rsid w:val="00781059"/>
    <w:rsid w:val="007828C9"/>
    <w:rsid w:val="00784570"/>
    <w:rsid w:val="00787114"/>
    <w:rsid w:val="007900D5"/>
    <w:rsid w:val="00792830"/>
    <w:rsid w:val="00793305"/>
    <w:rsid w:val="00793674"/>
    <w:rsid w:val="00794F98"/>
    <w:rsid w:val="007952F7"/>
    <w:rsid w:val="00797453"/>
    <w:rsid w:val="007975CC"/>
    <w:rsid w:val="007A20C5"/>
    <w:rsid w:val="007A3880"/>
    <w:rsid w:val="007A3D30"/>
    <w:rsid w:val="007A4F07"/>
    <w:rsid w:val="007A5359"/>
    <w:rsid w:val="007A6CD2"/>
    <w:rsid w:val="007B174F"/>
    <w:rsid w:val="007B3F0C"/>
    <w:rsid w:val="007B4509"/>
    <w:rsid w:val="007B4578"/>
    <w:rsid w:val="007B4F76"/>
    <w:rsid w:val="007B5FDE"/>
    <w:rsid w:val="007C27D7"/>
    <w:rsid w:val="007C32D0"/>
    <w:rsid w:val="007C366E"/>
    <w:rsid w:val="007C3931"/>
    <w:rsid w:val="007C3D5E"/>
    <w:rsid w:val="007C42CA"/>
    <w:rsid w:val="007C6D8A"/>
    <w:rsid w:val="007D149B"/>
    <w:rsid w:val="007D2A16"/>
    <w:rsid w:val="007D3787"/>
    <w:rsid w:val="007D4496"/>
    <w:rsid w:val="007D55E3"/>
    <w:rsid w:val="007D713D"/>
    <w:rsid w:val="007D7140"/>
    <w:rsid w:val="007E1C98"/>
    <w:rsid w:val="007E2EDC"/>
    <w:rsid w:val="007E68F0"/>
    <w:rsid w:val="007E765B"/>
    <w:rsid w:val="007E7F49"/>
    <w:rsid w:val="007E7F79"/>
    <w:rsid w:val="007F03DB"/>
    <w:rsid w:val="007F148A"/>
    <w:rsid w:val="007F2DE1"/>
    <w:rsid w:val="007F3384"/>
    <w:rsid w:val="007F3F6C"/>
    <w:rsid w:val="007F4B19"/>
    <w:rsid w:val="007F63BD"/>
    <w:rsid w:val="007F6A2B"/>
    <w:rsid w:val="007F7420"/>
    <w:rsid w:val="008010C1"/>
    <w:rsid w:val="008011AF"/>
    <w:rsid w:val="0080133B"/>
    <w:rsid w:val="008013DD"/>
    <w:rsid w:val="00801973"/>
    <w:rsid w:val="00801CC4"/>
    <w:rsid w:val="008056B6"/>
    <w:rsid w:val="008065C7"/>
    <w:rsid w:val="00807382"/>
    <w:rsid w:val="00807E46"/>
    <w:rsid w:val="00811F1B"/>
    <w:rsid w:val="00812548"/>
    <w:rsid w:val="008128FA"/>
    <w:rsid w:val="00816D36"/>
    <w:rsid w:val="00820C9B"/>
    <w:rsid w:val="00821E39"/>
    <w:rsid w:val="008220BD"/>
    <w:rsid w:val="00824980"/>
    <w:rsid w:val="00825603"/>
    <w:rsid w:val="008258CC"/>
    <w:rsid w:val="00831779"/>
    <w:rsid w:val="008328E4"/>
    <w:rsid w:val="00832BBA"/>
    <w:rsid w:val="00833FAD"/>
    <w:rsid w:val="00834CC4"/>
    <w:rsid w:val="00835927"/>
    <w:rsid w:val="00835D87"/>
    <w:rsid w:val="0083628A"/>
    <w:rsid w:val="008364C2"/>
    <w:rsid w:val="00836B6D"/>
    <w:rsid w:val="00837B04"/>
    <w:rsid w:val="00840E9D"/>
    <w:rsid w:val="00840F43"/>
    <w:rsid w:val="00841066"/>
    <w:rsid w:val="00841CFA"/>
    <w:rsid w:val="00843775"/>
    <w:rsid w:val="00843A58"/>
    <w:rsid w:val="008444E6"/>
    <w:rsid w:val="00844B5D"/>
    <w:rsid w:val="00845AA1"/>
    <w:rsid w:val="008468E6"/>
    <w:rsid w:val="00854F42"/>
    <w:rsid w:val="00855B36"/>
    <w:rsid w:val="00855E33"/>
    <w:rsid w:val="00861289"/>
    <w:rsid w:val="00862210"/>
    <w:rsid w:val="00862FD0"/>
    <w:rsid w:val="00863361"/>
    <w:rsid w:val="00863400"/>
    <w:rsid w:val="00863F80"/>
    <w:rsid w:val="00865317"/>
    <w:rsid w:val="008708A6"/>
    <w:rsid w:val="008708C7"/>
    <w:rsid w:val="00872F10"/>
    <w:rsid w:val="00874677"/>
    <w:rsid w:val="00874C78"/>
    <w:rsid w:val="00876DAE"/>
    <w:rsid w:val="008771F4"/>
    <w:rsid w:val="008803B7"/>
    <w:rsid w:val="00880C6C"/>
    <w:rsid w:val="008815BD"/>
    <w:rsid w:val="00883524"/>
    <w:rsid w:val="008849B7"/>
    <w:rsid w:val="00884CE7"/>
    <w:rsid w:val="00884E0D"/>
    <w:rsid w:val="00884FB5"/>
    <w:rsid w:val="00886790"/>
    <w:rsid w:val="008914E5"/>
    <w:rsid w:val="0089268B"/>
    <w:rsid w:val="00892C8C"/>
    <w:rsid w:val="00892DBF"/>
    <w:rsid w:val="00892EE4"/>
    <w:rsid w:val="00895283"/>
    <w:rsid w:val="00895AD2"/>
    <w:rsid w:val="00896AE8"/>
    <w:rsid w:val="008A1D80"/>
    <w:rsid w:val="008A1F73"/>
    <w:rsid w:val="008A368A"/>
    <w:rsid w:val="008A3BAB"/>
    <w:rsid w:val="008A409B"/>
    <w:rsid w:val="008A52FA"/>
    <w:rsid w:val="008A654C"/>
    <w:rsid w:val="008A704F"/>
    <w:rsid w:val="008B08E0"/>
    <w:rsid w:val="008B1E0D"/>
    <w:rsid w:val="008B279A"/>
    <w:rsid w:val="008B7DF3"/>
    <w:rsid w:val="008C109C"/>
    <w:rsid w:val="008C1B10"/>
    <w:rsid w:val="008C411B"/>
    <w:rsid w:val="008C6250"/>
    <w:rsid w:val="008C6736"/>
    <w:rsid w:val="008C6B1A"/>
    <w:rsid w:val="008C6C06"/>
    <w:rsid w:val="008C75DA"/>
    <w:rsid w:val="008D151D"/>
    <w:rsid w:val="008D1D06"/>
    <w:rsid w:val="008D216F"/>
    <w:rsid w:val="008D2374"/>
    <w:rsid w:val="008D2EF9"/>
    <w:rsid w:val="008D41E3"/>
    <w:rsid w:val="008D5E4C"/>
    <w:rsid w:val="008D5EA5"/>
    <w:rsid w:val="008D686C"/>
    <w:rsid w:val="008D7334"/>
    <w:rsid w:val="008E22C9"/>
    <w:rsid w:val="008E2356"/>
    <w:rsid w:val="008E304D"/>
    <w:rsid w:val="008E32B0"/>
    <w:rsid w:val="008E49CE"/>
    <w:rsid w:val="008E4CE7"/>
    <w:rsid w:val="008E6137"/>
    <w:rsid w:val="008E6B79"/>
    <w:rsid w:val="008E75E5"/>
    <w:rsid w:val="008F05A6"/>
    <w:rsid w:val="008F05AA"/>
    <w:rsid w:val="008F346A"/>
    <w:rsid w:val="008F3D52"/>
    <w:rsid w:val="008F4654"/>
    <w:rsid w:val="008F59D7"/>
    <w:rsid w:val="008F6487"/>
    <w:rsid w:val="008F6717"/>
    <w:rsid w:val="008F6A2E"/>
    <w:rsid w:val="008F7DA4"/>
    <w:rsid w:val="008F7FBF"/>
    <w:rsid w:val="0090062B"/>
    <w:rsid w:val="00900634"/>
    <w:rsid w:val="009010C3"/>
    <w:rsid w:val="0090148D"/>
    <w:rsid w:val="00901F14"/>
    <w:rsid w:val="009048A1"/>
    <w:rsid w:val="00904D2D"/>
    <w:rsid w:val="00905513"/>
    <w:rsid w:val="00906099"/>
    <w:rsid w:val="00906158"/>
    <w:rsid w:val="00906975"/>
    <w:rsid w:val="00906E97"/>
    <w:rsid w:val="00906FE5"/>
    <w:rsid w:val="00910629"/>
    <w:rsid w:val="009107AA"/>
    <w:rsid w:val="009123A0"/>
    <w:rsid w:val="00913AD0"/>
    <w:rsid w:val="009140ED"/>
    <w:rsid w:val="009154F1"/>
    <w:rsid w:val="00915512"/>
    <w:rsid w:val="009167AF"/>
    <w:rsid w:val="00916C00"/>
    <w:rsid w:val="009177EC"/>
    <w:rsid w:val="0091791A"/>
    <w:rsid w:val="00917E02"/>
    <w:rsid w:val="0092012E"/>
    <w:rsid w:val="00922416"/>
    <w:rsid w:val="00924229"/>
    <w:rsid w:val="00924CAF"/>
    <w:rsid w:val="00925615"/>
    <w:rsid w:val="00926157"/>
    <w:rsid w:val="00926639"/>
    <w:rsid w:val="00930597"/>
    <w:rsid w:val="00935FBF"/>
    <w:rsid w:val="00935FE4"/>
    <w:rsid w:val="009414A5"/>
    <w:rsid w:val="00942632"/>
    <w:rsid w:val="00942AC5"/>
    <w:rsid w:val="009432C9"/>
    <w:rsid w:val="0094588A"/>
    <w:rsid w:val="00946E33"/>
    <w:rsid w:val="00947094"/>
    <w:rsid w:val="00947D02"/>
    <w:rsid w:val="00950E84"/>
    <w:rsid w:val="0095140F"/>
    <w:rsid w:val="009548A4"/>
    <w:rsid w:val="00957EA8"/>
    <w:rsid w:val="0096002F"/>
    <w:rsid w:val="0096077C"/>
    <w:rsid w:val="00960F9B"/>
    <w:rsid w:val="00962036"/>
    <w:rsid w:val="009620C6"/>
    <w:rsid w:val="00963014"/>
    <w:rsid w:val="00964AA2"/>
    <w:rsid w:val="0096526A"/>
    <w:rsid w:val="00965488"/>
    <w:rsid w:val="00965CAD"/>
    <w:rsid w:val="00966495"/>
    <w:rsid w:val="00966679"/>
    <w:rsid w:val="00971FF6"/>
    <w:rsid w:val="00972D77"/>
    <w:rsid w:val="00974A5D"/>
    <w:rsid w:val="00975D06"/>
    <w:rsid w:val="00977117"/>
    <w:rsid w:val="00977EA1"/>
    <w:rsid w:val="00982354"/>
    <w:rsid w:val="00982A4F"/>
    <w:rsid w:val="009837F6"/>
    <w:rsid w:val="009839C6"/>
    <w:rsid w:val="00984564"/>
    <w:rsid w:val="00985763"/>
    <w:rsid w:val="009878A4"/>
    <w:rsid w:val="0099108B"/>
    <w:rsid w:val="009935AC"/>
    <w:rsid w:val="00994113"/>
    <w:rsid w:val="00995ADE"/>
    <w:rsid w:val="009A0E7C"/>
    <w:rsid w:val="009A1974"/>
    <w:rsid w:val="009A250D"/>
    <w:rsid w:val="009A270A"/>
    <w:rsid w:val="009A474E"/>
    <w:rsid w:val="009A565D"/>
    <w:rsid w:val="009A5E8D"/>
    <w:rsid w:val="009B1142"/>
    <w:rsid w:val="009B1ABA"/>
    <w:rsid w:val="009B3A64"/>
    <w:rsid w:val="009B3DD3"/>
    <w:rsid w:val="009B45B2"/>
    <w:rsid w:val="009B4E01"/>
    <w:rsid w:val="009B511D"/>
    <w:rsid w:val="009B545D"/>
    <w:rsid w:val="009B78F8"/>
    <w:rsid w:val="009C0D31"/>
    <w:rsid w:val="009C17CE"/>
    <w:rsid w:val="009C33C7"/>
    <w:rsid w:val="009C3F7A"/>
    <w:rsid w:val="009C572C"/>
    <w:rsid w:val="009C63D7"/>
    <w:rsid w:val="009D2744"/>
    <w:rsid w:val="009D2921"/>
    <w:rsid w:val="009D343D"/>
    <w:rsid w:val="009D3768"/>
    <w:rsid w:val="009D47FE"/>
    <w:rsid w:val="009D4EBC"/>
    <w:rsid w:val="009D5128"/>
    <w:rsid w:val="009D5795"/>
    <w:rsid w:val="009D6B27"/>
    <w:rsid w:val="009E16E6"/>
    <w:rsid w:val="009E1AA3"/>
    <w:rsid w:val="009E1E96"/>
    <w:rsid w:val="009E2A86"/>
    <w:rsid w:val="009E316D"/>
    <w:rsid w:val="009E4E86"/>
    <w:rsid w:val="009E5679"/>
    <w:rsid w:val="009E61CB"/>
    <w:rsid w:val="009E6DBA"/>
    <w:rsid w:val="009E719B"/>
    <w:rsid w:val="009F216A"/>
    <w:rsid w:val="009F3B56"/>
    <w:rsid w:val="009F3DE9"/>
    <w:rsid w:val="009F405D"/>
    <w:rsid w:val="00A01178"/>
    <w:rsid w:val="00A03EDF"/>
    <w:rsid w:val="00A04BBC"/>
    <w:rsid w:val="00A04E44"/>
    <w:rsid w:val="00A0598E"/>
    <w:rsid w:val="00A059E4"/>
    <w:rsid w:val="00A05F52"/>
    <w:rsid w:val="00A06044"/>
    <w:rsid w:val="00A06506"/>
    <w:rsid w:val="00A10603"/>
    <w:rsid w:val="00A111F2"/>
    <w:rsid w:val="00A11459"/>
    <w:rsid w:val="00A11E61"/>
    <w:rsid w:val="00A12026"/>
    <w:rsid w:val="00A12437"/>
    <w:rsid w:val="00A1322C"/>
    <w:rsid w:val="00A162E9"/>
    <w:rsid w:val="00A1743A"/>
    <w:rsid w:val="00A213E3"/>
    <w:rsid w:val="00A21A18"/>
    <w:rsid w:val="00A22A2C"/>
    <w:rsid w:val="00A22B37"/>
    <w:rsid w:val="00A22F39"/>
    <w:rsid w:val="00A26C0D"/>
    <w:rsid w:val="00A308DA"/>
    <w:rsid w:val="00A328AB"/>
    <w:rsid w:val="00A32D4B"/>
    <w:rsid w:val="00A33130"/>
    <w:rsid w:val="00A33BF8"/>
    <w:rsid w:val="00A349C0"/>
    <w:rsid w:val="00A35A6A"/>
    <w:rsid w:val="00A360AB"/>
    <w:rsid w:val="00A36641"/>
    <w:rsid w:val="00A40E94"/>
    <w:rsid w:val="00A42C6A"/>
    <w:rsid w:val="00A447A3"/>
    <w:rsid w:val="00A459CD"/>
    <w:rsid w:val="00A50096"/>
    <w:rsid w:val="00A509CB"/>
    <w:rsid w:val="00A51A6C"/>
    <w:rsid w:val="00A52317"/>
    <w:rsid w:val="00A55521"/>
    <w:rsid w:val="00A55BAA"/>
    <w:rsid w:val="00A568B6"/>
    <w:rsid w:val="00A601A6"/>
    <w:rsid w:val="00A62301"/>
    <w:rsid w:val="00A62CC2"/>
    <w:rsid w:val="00A64EC1"/>
    <w:rsid w:val="00A66A95"/>
    <w:rsid w:val="00A6780F"/>
    <w:rsid w:val="00A67A54"/>
    <w:rsid w:val="00A70AD5"/>
    <w:rsid w:val="00A720DE"/>
    <w:rsid w:val="00A74EE9"/>
    <w:rsid w:val="00A768C7"/>
    <w:rsid w:val="00A77526"/>
    <w:rsid w:val="00A77E42"/>
    <w:rsid w:val="00A808C2"/>
    <w:rsid w:val="00A80EF6"/>
    <w:rsid w:val="00A81032"/>
    <w:rsid w:val="00A811D2"/>
    <w:rsid w:val="00A8149E"/>
    <w:rsid w:val="00A82EF5"/>
    <w:rsid w:val="00A85E83"/>
    <w:rsid w:val="00A86A5C"/>
    <w:rsid w:val="00A87141"/>
    <w:rsid w:val="00A872E0"/>
    <w:rsid w:val="00A87B2E"/>
    <w:rsid w:val="00A90871"/>
    <w:rsid w:val="00A96647"/>
    <w:rsid w:val="00A96FD7"/>
    <w:rsid w:val="00A97289"/>
    <w:rsid w:val="00AA12B8"/>
    <w:rsid w:val="00AA41A2"/>
    <w:rsid w:val="00AA7360"/>
    <w:rsid w:val="00AB1299"/>
    <w:rsid w:val="00AB189B"/>
    <w:rsid w:val="00AB20A4"/>
    <w:rsid w:val="00AB2190"/>
    <w:rsid w:val="00AB4D70"/>
    <w:rsid w:val="00AB5A00"/>
    <w:rsid w:val="00AB6A86"/>
    <w:rsid w:val="00AC0AB3"/>
    <w:rsid w:val="00AC0E33"/>
    <w:rsid w:val="00AC1B81"/>
    <w:rsid w:val="00AC22E3"/>
    <w:rsid w:val="00AC2C70"/>
    <w:rsid w:val="00AC4079"/>
    <w:rsid w:val="00AC431D"/>
    <w:rsid w:val="00AC542D"/>
    <w:rsid w:val="00AC5849"/>
    <w:rsid w:val="00AC6BF1"/>
    <w:rsid w:val="00AC7838"/>
    <w:rsid w:val="00AC7CDF"/>
    <w:rsid w:val="00AD126F"/>
    <w:rsid w:val="00AD18D9"/>
    <w:rsid w:val="00AD1C09"/>
    <w:rsid w:val="00AD1C83"/>
    <w:rsid w:val="00AD370E"/>
    <w:rsid w:val="00AD3CAD"/>
    <w:rsid w:val="00AD6192"/>
    <w:rsid w:val="00AD6919"/>
    <w:rsid w:val="00AD6C74"/>
    <w:rsid w:val="00AD70D5"/>
    <w:rsid w:val="00AD733D"/>
    <w:rsid w:val="00AD77F5"/>
    <w:rsid w:val="00AD7B0F"/>
    <w:rsid w:val="00AD7B88"/>
    <w:rsid w:val="00AE12ED"/>
    <w:rsid w:val="00AE1D5D"/>
    <w:rsid w:val="00AE308B"/>
    <w:rsid w:val="00AE32FC"/>
    <w:rsid w:val="00AE46BE"/>
    <w:rsid w:val="00AE52D8"/>
    <w:rsid w:val="00AE61D2"/>
    <w:rsid w:val="00AE6B08"/>
    <w:rsid w:val="00AF0F24"/>
    <w:rsid w:val="00AF28DD"/>
    <w:rsid w:val="00AF3201"/>
    <w:rsid w:val="00AF52DB"/>
    <w:rsid w:val="00AF6235"/>
    <w:rsid w:val="00AF678C"/>
    <w:rsid w:val="00AF7E6F"/>
    <w:rsid w:val="00B02923"/>
    <w:rsid w:val="00B02EB8"/>
    <w:rsid w:val="00B035DD"/>
    <w:rsid w:val="00B058A1"/>
    <w:rsid w:val="00B0780C"/>
    <w:rsid w:val="00B0790D"/>
    <w:rsid w:val="00B07EE5"/>
    <w:rsid w:val="00B11421"/>
    <w:rsid w:val="00B16DB4"/>
    <w:rsid w:val="00B17157"/>
    <w:rsid w:val="00B20030"/>
    <w:rsid w:val="00B20524"/>
    <w:rsid w:val="00B230B1"/>
    <w:rsid w:val="00B231A6"/>
    <w:rsid w:val="00B2408A"/>
    <w:rsid w:val="00B241EC"/>
    <w:rsid w:val="00B2471A"/>
    <w:rsid w:val="00B2525A"/>
    <w:rsid w:val="00B25D45"/>
    <w:rsid w:val="00B2770C"/>
    <w:rsid w:val="00B32843"/>
    <w:rsid w:val="00B3348E"/>
    <w:rsid w:val="00B3360D"/>
    <w:rsid w:val="00B3377F"/>
    <w:rsid w:val="00B34898"/>
    <w:rsid w:val="00B34CD6"/>
    <w:rsid w:val="00B3512B"/>
    <w:rsid w:val="00B37E23"/>
    <w:rsid w:val="00B4049F"/>
    <w:rsid w:val="00B40F77"/>
    <w:rsid w:val="00B4127A"/>
    <w:rsid w:val="00B41D5B"/>
    <w:rsid w:val="00B422CA"/>
    <w:rsid w:val="00B44F57"/>
    <w:rsid w:val="00B451B6"/>
    <w:rsid w:val="00B46E7E"/>
    <w:rsid w:val="00B506E2"/>
    <w:rsid w:val="00B50BDA"/>
    <w:rsid w:val="00B5324B"/>
    <w:rsid w:val="00B53BDF"/>
    <w:rsid w:val="00B5507E"/>
    <w:rsid w:val="00B577BD"/>
    <w:rsid w:val="00B57BAC"/>
    <w:rsid w:val="00B57F5D"/>
    <w:rsid w:val="00B603BF"/>
    <w:rsid w:val="00B6372C"/>
    <w:rsid w:val="00B6379D"/>
    <w:rsid w:val="00B64324"/>
    <w:rsid w:val="00B649E2"/>
    <w:rsid w:val="00B70E39"/>
    <w:rsid w:val="00B71194"/>
    <w:rsid w:val="00B71A01"/>
    <w:rsid w:val="00B747C4"/>
    <w:rsid w:val="00B763D6"/>
    <w:rsid w:val="00B81C7B"/>
    <w:rsid w:val="00B8270E"/>
    <w:rsid w:val="00B83211"/>
    <w:rsid w:val="00B85036"/>
    <w:rsid w:val="00B86361"/>
    <w:rsid w:val="00B86D94"/>
    <w:rsid w:val="00B8730A"/>
    <w:rsid w:val="00B93343"/>
    <w:rsid w:val="00B9386A"/>
    <w:rsid w:val="00B97314"/>
    <w:rsid w:val="00B974D2"/>
    <w:rsid w:val="00BA43FF"/>
    <w:rsid w:val="00BA4767"/>
    <w:rsid w:val="00BA4873"/>
    <w:rsid w:val="00BA4E63"/>
    <w:rsid w:val="00BA6C42"/>
    <w:rsid w:val="00BA7637"/>
    <w:rsid w:val="00BB0321"/>
    <w:rsid w:val="00BB0C2C"/>
    <w:rsid w:val="00BB0E7F"/>
    <w:rsid w:val="00BB19E5"/>
    <w:rsid w:val="00BB2091"/>
    <w:rsid w:val="00BB29DD"/>
    <w:rsid w:val="00BB4A4F"/>
    <w:rsid w:val="00BB5A44"/>
    <w:rsid w:val="00BB5D35"/>
    <w:rsid w:val="00BB5D5E"/>
    <w:rsid w:val="00BB5FBE"/>
    <w:rsid w:val="00BB669A"/>
    <w:rsid w:val="00BC1601"/>
    <w:rsid w:val="00BC2626"/>
    <w:rsid w:val="00BC30AA"/>
    <w:rsid w:val="00BC3158"/>
    <w:rsid w:val="00BC3A81"/>
    <w:rsid w:val="00BC4E85"/>
    <w:rsid w:val="00BD02F3"/>
    <w:rsid w:val="00BD0449"/>
    <w:rsid w:val="00BD047F"/>
    <w:rsid w:val="00BD2A96"/>
    <w:rsid w:val="00BD2CE8"/>
    <w:rsid w:val="00BD2F00"/>
    <w:rsid w:val="00BD3C0A"/>
    <w:rsid w:val="00BD48BA"/>
    <w:rsid w:val="00BD4DCD"/>
    <w:rsid w:val="00BD593A"/>
    <w:rsid w:val="00BD7957"/>
    <w:rsid w:val="00BE40E6"/>
    <w:rsid w:val="00BE4720"/>
    <w:rsid w:val="00BE7980"/>
    <w:rsid w:val="00BF1F5C"/>
    <w:rsid w:val="00BF3D2F"/>
    <w:rsid w:val="00BF4670"/>
    <w:rsid w:val="00C00181"/>
    <w:rsid w:val="00C01880"/>
    <w:rsid w:val="00C0252D"/>
    <w:rsid w:val="00C026A9"/>
    <w:rsid w:val="00C03C00"/>
    <w:rsid w:val="00C04388"/>
    <w:rsid w:val="00C04668"/>
    <w:rsid w:val="00C04925"/>
    <w:rsid w:val="00C04D63"/>
    <w:rsid w:val="00C058FF"/>
    <w:rsid w:val="00C06CDA"/>
    <w:rsid w:val="00C11DE7"/>
    <w:rsid w:val="00C125E2"/>
    <w:rsid w:val="00C13D3A"/>
    <w:rsid w:val="00C1453A"/>
    <w:rsid w:val="00C157EE"/>
    <w:rsid w:val="00C158F4"/>
    <w:rsid w:val="00C165CF"/>
    <w:rsid w:val="00C17177"/>
    <w:rsid w:val="00C17EF0"/>
    <w:rsid w:val="00C204CB"/>
    <w:rsid w:val="00C2132E"/>
    <w:rsid w:val="00C21CF4"/>
    <w:rsid w:val="00C22C52"/>
    <w:rsid w:val="00C23090"/>
    <w:rsid w:val="00C23371"/>
    <w:rsid w:val="00C25FD6"/>
    <w:rsid w:val="00C26B12"/>
    <w:rsid w:val="00C3022E"/>
    <w:rsid w:val="00C30D22"/>
    <w:rsid w:val="00C311E2"/>
    <w:rsid w:val="00C313CC"/>
    <w:rsid w:val="00C3174D"/>
    <w:rsid w:val="00C31FC0"/>
    <w:rsid w:val="00C31FF6"/>
    <w:rsid w:val="00C351A5"/>
    <w:rsid w:val="00C35540"/>
    <w:rsid w:val="00C35DBC"/>
    <w:rsid w:val="00C36BCE"/>
    <w:rsid w:val="00C36BDC"/>
    <w:rsid w:val="00C40E33"/>
    <w:rsid w:val="00C4139D"/>
    <w:rsid w:val="00C416FE"/>
    <w:rsid w:val="00C44D16"/>
    <w:rsid w:val="00C453F5"/>
    <w:rsid w:val="00C455FB"/>
    <w:rsid w:val="00C46A7F"/>
    <w:rsid w:val="00C50685"/>
    <w:rsid w:val="00C529CE"/>
    <w:rsid w:val="00C52ABD"/>
    <w:rsid w:val="00C5390A"/>
    <w:rsid w:val="00C53F61"/>
    <w:rsid w:val="00C567B6"/>
    <w:rsid w:val="00C61831"/>
    <w:rsid w:val="00C61E96"/>
    <w:rsid w:val="00C61F98"/>
    <w:rsid w:val="00C62FD2"/>
    <w:rsid w:val="00C64820"/>
    <w:rsid w:val="00C648CD"/>
    <w:rsid w:val="00C65598"/>
    <w:rsid w:val="00C6576D"/>
    <w:rsid w:val="00C65F5B"/>
    <w:rsid w:val="00C666C6"/>
    <w:rsid w:val="00C71005"/>
    <w:rsid w:val="00C7208A"/>
    <w:rsid w:val="00C75081"/>
    <w:rsid w:val="00C75744"/>
    <w:rsid w:val="00C75DFF"/>
    <w:rsid w:val="00C75E0A"/>
    <w:rsid w:val="00C76EA2"/>
    <w:rsid w:val="00C77023"/>
    <w:rsid w:val="00C80382"/>
    <w:rsid w:val="00C804AC"/>
    <w:rsid w:val="00C81329"/>
    <w:rsid w:val="00C84DD9"/>
    <w:rsid w:val="00C86572"/>
    <w:rsid w:val="00C86CD6"/>
    <w:rsid w:val="00C900D6"/>
    <w:rsid w:val="00C9086A"/>
    <w:rsid w:val="00C9154F"/>
    <w:rsid w:val="00C9177D"/>
    <w:rsid w:val="00C91FF1"/>
    <w:rsid w:val="00C9356E"/>
    <w:rsid w:val="00C93906"/>
    <w:rsid w:val="00C946DF"/>
    <w:rsid w:val="00C94C9E"/>
    <w:rsid w:val="00C96D03"/>
    <w:rsid w:val="00CA3684"/>
    <w:rsid w:val="00CA693D"/>
    <w:rsid w:val="00CA7071"/>
    <w:rsid w:val="00CA7D28"/>
    <w:rsid w:val="00CB239E"/>
    <w:rsid w:val="00CB369B"/>
    <w:rsid w:val="00CB385F"/>
    <w:rsid w:val="00CB5378"/>
    <w:rsid w:val="00CB6EE9"/>
    <w:rsid w:val="00CB7754"/>
    <w:rsid w:val="00CB7F51"/>
    <w:rsid w:val="00CB7FE3"/>
    <w:rsid w:val="00CC09D9"/>
    <w:rsid w:val="00CC2FA1"/>
    <w:rsid w:val="00CC33C1"/>
    <w:rsid w:val="00CC693C"/>
    <w:rsid w:val="00CC6C37"/>
    <w:rsid w:val="00CC73D1"/>
    <w:rsid w:val="00CC783C"/>
    <w:rsid w:val="00CD318F"/>
    <w:rsid w:val="00CD5875"/>
    <w:rsid w:val="00CD6BD2"/>
    <w:rsid w:val="00CE1F8C"/>
    <w:rsid w:val="00CE3E90"/>
    <w:rsid w:val="00CE43BF"/>
    <w:rsid w:val="00CE5743"/>
    <w:rsid w:val="00CE5B67"/>
    <w:rsid w:val="00CE6773"/>
    <w:rsid w:val="00CE6A1A"/>
    <w:rsid w:val="00CE740A"/>
    <w:rsid w:val="00CF0749"/>
    <w:rsid w:val="00CF0756"/>
    <w:rsid w:val="00CF1BC1"/>
    <w:rsid w:val="00CF3D84"/>
    <w:rsid w:val="00CF6FEA"/>
    <w:rsid w:val="00CF7AE9"/>
    <w:rsid w:val="00D014F0"/>
    <w:rsid w:val="00D01E9C"/>
    <w:rsid w:val="00D0227D"/>
    <w:rsid w:val="00D022E5"/>
    <w:rsid w:val="00D03499"/>
    <w:rsid w:val="00D03CF1"/>
    <w:rsid w:val="00D04CA6"/>
    <w:rsid w:val="00D06028"/>
    <w:rsid w:val="00D106D0"/>
    <w:rsid w:val="00D142D6"/>
    <w:rsid w:val="00D14840"/>
    <w:rsid w:val="00D1511F"/>
    <w:rsid w:val="00D152DF"/>
    <w:rsid w:val="00D17C12"/>
    <w:rsid w:val="00D218A5"/>
    <w:rsid w:val="00D21FFD"/>
    <w:rsid w:val="00D22347"/>
    <w:rsid w:val="00D25461"/>
    <w:rsid w:val="00D2555E"/>
    <w:rsid w:val="00D25BE6"/>
    <w:rsid w:val="00D274FF"/>
    <w:rsid w:val="00D27B2E"/>
    <w:rsid w:val="00D30344"/>
    <w:rsid w:val="00D307F0"/>
    <w:rsid w:val="00D30E59"/>
    <w:rsid w:val="00D32EBC"/>
    <w:rsid w:val="00D32F11"/>
    <w:rsid w:val="00D33D1D"/>
    <w:rsid w:val="00D3480E"/>
    <w:rsid w:val="00D354A0"/>
    <w:rsid w:val="00D3601C"/>
    <w:rsid w:val="00D364FA"/>
    <w:rsid w:val="00D3785B"/>
    <w:rsid w:val="00D40060"/>
    <w:rsid w:val="00D406C1"/>
    <w:rsid w:val="00D406F8"/>
    <w:rsid w:val="00D40ACE"/>
    <w:rsid w:val="00D428CE"/>
    <w:rsid w:val="00D429F9"/>
    <w:rsid w:val="00D429FC"/>
    <w:rsid w:val="00D44A6B"/>
    <w:rsid w:val="00D4583D"/>
    <w:rsid w:val="00D46465"/>
    <w:rsid w:val="00D47771"/>
    <w:rsid w:val="00D479B7"/>
    <w:rsid w:val="00D51689"/>
    <w:rsid w:val="00D51B59"/>
    <w:rsid w:val="00D520B1"/>
    <w:rsid w:val="00D52941"/>
    <w:rsid w:val="00D542F7"/>
    <w:rsid w:val="00D5637B"/>
    <w:rsid w:val="00D56C9D"/>
    <w:rsid w:val="00D57EEC"/>
    <w:rsid w:val="00D61DE6"/>
    <w:rsid w:val="00D624CD"/>
    <w:rsid w:val="00D6284E"/>
    <w:rsid w:val="00D62ABC"/>
    <w:rsid w:val="00D62C4A"/>
    <w:rsid w:val="00D62C7D"/>
    <w:rsid w:val="00D62FE4"/>
    <w:rsid w:val="00D64B55"/>
    <w:rsid w:val="00D6682F"/>
    <w:rsid w:val="00D66AA8"/>
    <w:rsid w:val="00D67903"/>
    <w:rsid w:val="00D70772"/>
    <w:rsid w:val="00D712DF"/>
    <w:rsid w:val="00D71516"/>
    <w:rsid w:val="00D72845"/>
    <w:rsid w:val="00D73D51"/>
    <w:rsid w:val="00D743DB"/>
    <w:rsid w:val="00D74960"/>
    <w:rsid w:val="00D74F5D"/>
    <w:rsid w:val="00D7584D"/>
    <w:rsid w:val="00D775EA"/>
    <w:rsid w:val="00D77863"/>
    <w:rsid w:val="00D812F8"/>
    <w:rsid w:val="00D83D8E"/>
    <w:rsid w:val="00D8456D"/>
    <w:rsid w:val="00D84B57"/>
    <w:rsid w:val="00D85C04"/>
    <w:rsid w:val="00D864E8"/>
    <w:rsid w:val="00D87341"/>
    <w:rsid w:val="00D8752C"/>
    <w:rsid w:val="00D876F8"/>
    <w:rsid w:val="00D910C3"/>
    <w:rsid w:val="00D91A3C"/>
    <w:rsid w:val="00D94234"/>
    <w:rsid w:val="00D94288"/>
    <w:rsid w:val="00D94AAF"/>
    <w:rsid w:val="00D95EC0"/>
    <w:rsid w:val="00D96925"/>
    <w:rsid w:val="00D96DE0"/>
    <w:rsid w:val="00D97205"/>
    <w:rsid w:val="00DA0928"/>
    <w:rsid w:val="00DA0C62"/>
    <w:rsid w:val="00DA23A6"/>
    <w:rsid w:val="00DA2664"/>
    <w:rsid w:val="00DA2988"/>
    <w:rsid w:val="00DA2D97"/>
    <w:rsid w:val="00DA3556"/>
    <w:rsid w:val="00DA39AB"/>
    <w:rsid w:val="00DA5DF2"/>
    <w:rsid w:val="00DA7FE6"/>
    <w:rsid w:val="00DB04A2"/>
    <w:rsid w:val="00DB09E6"/>
    <w:rsid w:val="00DB1C9C"/>
    <w:rsid w:val="00DB23A1"/>
    <w:rsid w:val="00DB3CDA"/>
    <w:rsid w:val="00DB42D0"/>
    <w:rsid w:val="00DB4897"/>
    <w:rsid w:val="00DB6EF1"/>
    <w:rsid w:val="00DB7080"/>
    <w:rsid w:val="00DB7341"/>
    <w:rsid w:val="00DC01EA"/>
    <w:rsid w:val="00DC23EE"/>
    <w:rsid w:val="00DC2C1C"/>
    <w:rsid w:val="00DC319F"/>
    <w:rsid w:val="00DC3BC7"/>
    <w:rsid w:val="00DC558E"/>
    <w:rsid w:val="00DD07DA"/>
    <w:rsid w:val="00DD09D7"/>
    <w:rsid w:val="00DD0AE1"/>
    <w:rsid w:val="00DD0FE8"/>
    <w:rsid w:val="00DD2103"/>
    <w:rsid w:val="00DD2CBA"/>
    <w:rsid w:val="00DD414A"/>
    <w:rsid w:val="00DD417E"/>
    <w:rsid w:val="00DE0128"/>
    <w:rsid w:val="00DE1F95"/>
    <w:rsid w:val="00DE5244"/>
    <w:rsid w:val="00DE5589"/>
    <w:rsid w:val="00DE6D2F"/>
    <w:rsid w:val="00DE7140"/>
    <w:rsid w:val="00DF22CA"/>
    <w:rsid w:val="00DF2D60"/>
    <w:rsid w:val="00DF3586"/>
    <w:rsid w:val="00DF6AD0"/>
    <w:rsid w:val="00DF7148"/>
    <w:rsid w:val="00DF7270"/>
    <w:rsid w:val="00DF7B9F"/>
    <w:rsid w:val="00DF7C73"/>
    <w:rsid w:val="00E03ABC"/>
    <w:rsid w:val="00E06254"/>
    <w:rsid w:val="00E10022"/>
    <w:rsid w:val="00E104BE"/>
    <w:rsid w:val="00E10C4A"/>
    <w:rsid w:val="00E1120E"/>
    <w:rsid w:val="00E11F7D"/>
    <w:rsid w:val="00E11FAA"/>
    <w:rsid w:val="00E12905"/>
    <w:rsid w:val="00E12D6D"/>
    <w:rsid w:val="00E14351"/>
    <w:rsid w:val="00E153EE"/>
    <w:rsid w:val="00E1732C"/>
    <w:rsid w:val="00E200AE"/>
    <w:rsid w:val="00E2535B"/>
    <w:rsid w:val="00E25BBF"/>
    <w:rsid w:val="00E261C2"/>
    <w:rsid w:val="00E27274"/>
    <w:rsid w:val="00E30463"/>
    <w:rsid w:val="00E30A2F"/>
    <w:rsid w:val="00E312FD"/>
    <w:rsid w:val="00E32851"/>
    <w:rsid w:val="00E341DF"/>
    <w:rsid w:val="00E345D8"/>
    <w:rsid w:val="00E36665"/>
    <w:rsid w:val="00E3789D"/>
    <w:rsid w:val="00E40CE7"/>
    <w:rsid w:val="00E40FEA"/>
    <w:rsid w:val="00E41ECD"/>
    <w:rsid w:val="00E420C8"/>
    <w:rsid w:val="00E42249"/>
    <w:rsid w:val="00E42FEC"/>
    <w:rsid w:val="00E464E2"/>
    <w:rsid w:val="00E50F56"/>
    <w:rsid w:val="00E51042"/>
    <w:rsid w:val="00E5323B"/>
    <w:rsid w:val="00E53AAE"/>
    <w:rsid w:val="00E53ED2"/>
    <w:rsid w:val="00E54029"/>
    <w:rsid w:val="00E54AE8"/>
    <w:rsid w:val="00E618D7"/>
    <w:rsid w:val="00E6204E"/>
    <w:rsid w:val="00E62228"/>
    <w:rsid w:val="00E62921"/>
    <w:rsid w:val="00E63766"/>
    <w:rsid w:val="00E6391E"/>
    <w:rsid w:val="00E65891"/>
    <w:rsid w:val="00E65893"/>
    <w:rsid w:val="00E66A2F"/>
    <w:rsid w:val="00E67C2C"/>
    <w:rsid w:val="00E703C5"/>
    <w:rsid w:val="00E70643"/>
    <w:rsid w:val="00E709AA"/>
    <w:rsid w:val="00E70EAA"/>
    <w:rsid w:val="00E71469"/>
    <w:rsid w:val="00E71DA0"/>
    <w:rsid w:val="00E72A8D"/>
    <w:rsid w:val="00E72B4D"/>
    <w:rsid w:val="00E73322"/>
    <w:rsid w:val="00E75058"/>
    <w:rsid w:val="00E75E52"/>
    <w:rsid w:val="00E765BC"/>
    <w:rsid w:val="00E76DA2"/>
    <w:rsid w:val="00E801C3"/>
    <w:rsid w:val="00E80E30"/>
    <w:rsid w:val="00E81896"/>
    <w:rsid w:val="00E83FE8"/>
    <w:rsid w:val="00E84455"/>
    <w:rsid w:val="00E8475E"/>
    <w:rsid w:val="00E86F65"/>
    <w:rsid w:val="00E877E1"/>
    <w:rsid w:val="00E90924"/>
    <w:rsid w:val="00E915AA"/>
    <w:rsid w:val="00E9239F"/>
    <w:rsid w:val="00E925B1"/>
    <w:rsid w:val="00E92AC1"/>
    <w:rsid w:val="00E9316B"/>
    <w:rsid w:val="00E933E5"/>
    <w:rsid w:val="00E936C2"/>
    <w:rsid w:val="00E939E2"/>
    <w:rsid w:val="00E93D08"/>
    <w:rsid w:val="00E940DC"/>
    <w:rsid w:val="00E94235"/>
    <w:rsid w:val="00E952FF"/>
    <w:rsid w:val="00E95DD6"/>
    <w:rsid w:val="00E965E9"/>
    <w:rsid w:val="00E968CF"/>
    <w:rsid w:val="00E96B22"/>
    <w:rsid w:val="00E96BD3"/>
    <w:rsid w:val="00E975FD"/>
    <w:rsid w:val="00EA0073"/>
    <w:rsid w:val="00EA0C33"/>
    <w:rsid w:val="00EA0D78"/>
    <w:rsid w:val="00EA217E"/>
    <w:rsid w:val="00EA25BD"/>
    <w:rsid w:val="00EA26FD"/>
    <w:rsid w:val="00EA2F1F"/>
    <w:rsid w:val="00EA40DB"/>
    <w:rsid w:val="00EA4941"/>
    <w:rsid w:val="00EA5621"/>
    <w:rsid w:val="00EA5F30"/>
    <w:rsid w:val="00EB1196"/>
    <w:rsid w:val="00EB1614"/>
    <w:rsid w:val="00EB1D87"/>
    <w:rsid w:val="00EB3180"/>
    <w:rsid w:val="00EB3719"/>
    <w:rsid w:val="00EB666E"/>
    <w:rsid w:val="00EC1D50"/>
    <w:rsid w:val="00EC281E"/>
    <w:rsid w:val="00EC4E39"/>
    <w:rsid w:val="00EC7993"/>
    <w:rsid w:val="00ED1063"/>
    <w:rsid w:val="00ED1AFE"/>
    <w:rsid w:val="00ED1FC8"/>
    <w:rsid w:val="00ED3711"/>
    <w:rsid w:val="00ED3E96"/>
    <w:rsid w:val="00ED467B"/>
    <w:rsid w:val="00ED60CF"/>
    <w:rsid w:val="00ED6D7E"/>
    <w:rsid w:val="00ED6F49"/>
    <w:rsid w:val="00ED7049"/>
    <w:rsid w:val="00ED733E"/>
    <w:rsid w:val="00ED7FC4"/>
    <w:rsid w:val="00EE1A49"/>
    <w:rsid w:val="00EE2E84"/>
    <w:rsid w:val="00EE2FED"/>
    <w:rsid w:val="00EE332C"/>
    <w:rsid w:val="00EE3729"/>
    <w:rsid w:val="00EE438D"/>
    <w:rsid w:val="00EE5CA3"/>
    <w:rsid w:val="00EE75B9"/>
    <w:rsid w:val="00EE7F4C"/>
    <w:rsid w:val="00EF0756"/>
    <w:rsid w:val="00EF18AB"/>
    <w:rsid w:val="00EF21FB"/>
    <w:rsid w:val="00EF4391"/>
    <w:rsid w:val="00EF4CBE"/>
    <w:rsid w:val="00EF5899"/>
    <w:rsid w:val="00EF76D6"/>
    <w:rsid w:val="00F00A80"/>
    <w:rsid w:val="00F015BE"/>
    <w:rsid w:val="00F02C94"/>
    <w:rsid w:val="00F0495D"/>
    <w:rsid w:val="00F07221"/>
    <w:rsid w:val="00F072B0"/>
    <w:rsid w:val="00F10BB5"/>
    <w:rsid w:val="00F1130E"/>
    <w:rsid w:val="00F126CE"/>
    <w:rsid w:val="00F13172"/>
    <w:rsid w:val="00F13CA8"/>
    <w:rsid w:val="00F15185"/>
    <w:rsid w:val="00F158B0"/>
    <w:rsid w:val="00F1643D"/>
    <w:rsid w:val="00F164AD"/>
    <w:rsid w:val="00F16D0D"/>
    <w:rsid w:val="00F177FA"/>
    <w:rsid w:val="00F210CC"/>
    <w:rsid w:val="00F2177A"/>
    <w:rsid w:val="00F21D6F"/>
    <w:rsid w:val="00F23183"/>
    <w:rsid w:val="00F2379F"/>
    <w:rsid w:val="00F24158"/>
    <w:rsid w:val="00F25B08"/>
    <w:rsid w:val="00F2634E"/>
    <w:rsid w:val="00F302A6"/>
    <w:rsid w:val="00F3043D"/>
    <w:rsid w:val="00F324EC"/>
    <w:rsid w:val="00F32D0D"/>
    <w:rsid w:val="00F34D06"/>
    <w:rsid w:val="00F359C3"/>
    <w:rsid w:val="00F35D91"/>
    <w:rsid w:val="00F35F0A"/>
    <w:rsid w:val="00F3667A"/>
    <w:rsid w:val="00F373FB"/>
    <w:rsid w:val="00F37420"/>
    <w:rsid w:val="00F37E75"/>
    <w:rsid w:val="00F41BDB"/>
    <w:rsid w:val="00F44268"/>
    <w:rsid w:val="00F445FA"/>
    <w:rsid w:val="00F46ACE"/>
    <w:rsid w:val="00F51023"/>
    <w:rsid w:val="00F53A69"/>
    <w:rsid w:val="00F56EE8"/>
    <w:rsid w:val="00F57B82"/>
    <w:rsid w:val="00F61942"/>
    <w:rsid w:val="00F63FD7"/>
    <w:rsid w:val="00F649FF"/>
    <w:rsid w:val="00F66111"/>
    <w:rsid w:val="00F66163"/>
    <w:rsid w:val="00F66677"/>
    <w:rsid w:val="00F67648"/>
    <w:rsid w:val="00F677D4"/>
    <w:rsid w:val="00F67EAD"/>
    <w:rsid w:val="00F70415"/>
    <w:rsid w:val="00F713A6"/>
    <w:rsid w:val="00F71F27"/>
    <w:rsid w:val="00F723D4"/>
    <w:rsid w:val="00F72CFD"/>
    <w:rsid w:val="00F743B8"/>
    <w:rsid w:val="00F758BD"/>
    <w:rsid w:val="00F765DF"/>
    <w:rsid w:val="00F775CE"/>
    <w:rsid w:val="00F80C4C"/>
    <w:rsid w:val="00F8308B"/>
    <w:rsid w:val="00F83F75"/>
    <w:rsid w:val="00F844EF"/>
    <w:rsid w:val="00F8528E"/>
    <w:rsid w:val="00F86C2E"/>
    <w:rsid w:val="00F92484"/>
    <w:rsid w:val="00F926B8"/>
    <w:rsid w:val="00F945E9"/>
    <w:rsid w:val="00F947E6"/>
    <w:rsid w:val="00F956AA"/>
    <w:rsid w:val="00F97F79"/>
    <w:rsid w:val="00FA02A7"/>
    <w:rsid w:val="00FA0946"/>
    <w:rsid w:val="00FA1355"/>
    <w:rsid w:val="00FA1B4F"/>
    <w:rsid w:val="00FA3229"/>
    <w:rsid w:val="00FA3D21"/>
    <w:rsid w:val="00FA4B88"/>
    <w:rsid w:val="00FA5423"/>
    <w:rsid w:val="00FA61E6"/>
    <w:rsid w:val="00FA6D7D"/>
    <w:rsid w:val="00FB01F4"/>
    <w:rsid w:val="00FB043B"/>
    <w:rsid w:val="00FB1E52"/>
    <w:rsid w:val="00FB1F78"/>
    <w:rsid w:val="00FB2B65"/>
    <w:rsid w:val="00FB4471"/>
    <w:rsid w:val="00FB465F"/>
    <w:rsid w:val="00FB5354"/>
    <w:rsid w:val="00FB5456"/>
    <w:rsid w:val="00FB7148"/>
    <w:rsid w:val="00FC3537"/>
    <w:rsid w:val="00FD3FAD"/>
    <w:rsid w:val="00FD516F"/>
    <w:rsid w:val="00FD5233"/>
    <w:rsid w:val="00FE01EB"/>
    <w:rsid w:val="00FE039C"/>
    <w:rsid w:val="00FE1706"/>
    <w:rsid w:val="00FE23ED"/>
    <w:rsid w:val="00FE37E0"/>
    <w:rsid w:val="00FE663F"/>
    <w:rsid w:val="00FE739B"/>
    <w:rsid w:val="00FE7C60"/>
    <w:rsid w:val="00FF02D2"/>
    <w:rsid w:val="00FF03FD"/>
    <w:rsid w:val="00FF16CA"/>
    <w:rsid w:val="00FF4E50"/>
    <w:rsid w:val="00FF5C96"/>
    <w:rsid w:val="00FF675F"/>
    <w:rsid w:val="00FF6A47"/>
    <w:rsid w:val="00FF6DCC"/>
    <w:rsid w:val="00FF6E96"/>
    <w:rsid w:val="00FF6F80"/>
    <w:rsid w:val="00FF7677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25EB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ECD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8E6137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137"/>
    <w:pPr>
      <w:keepNext/>
      <w:keepLines/>
      <w:numPr>
        <w:ilvl w:val="1"/>
        <w:numId w:val="3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E6137"/>
    <w:pPr>
      <w:numPr>
        <w:ilvl w:val="2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13CC"/>
    <w:pPr>
      <w:keepNext/>
      <w:keepLines/>
      <w:spacing w:before="40" w:after="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720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720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339A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7208A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C7208A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E6137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E6137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C76EA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404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404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0D404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04A"/>
  </w:style>
  <w:style w:type="paragraph" w:styleId="Footer">
    <w:name w:val="footer"/>
    <w:basedOn w:val="Normal"/>
    <w:link w:val="FooterChar"/>
    <w:uiPriority w:val="99"/>
    <w:unhideWhenUsed/>
    <w:rsid w:val="000D4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04A"/>
  </w:style>
  <w:style w:type="paragraph" w:styleId="BalloonText">
    <w:name w:val="Balloon Text"/>
    <w:basedOn w:val="Normal"/>
    <w:link w:val="BalloonTextChar"/>
    <w:uiPriority w:val="99"/>
    <w:semiHidden/>
    <w:unhideWhenUsed/>
    <w:rsid w:val="00BD2CE8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E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05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unhideWhenUsed/>
    <w:rsid w:val="008F7D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7DA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7D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A4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6137"/>
    <w:rPr>
      <w:rFonts w:ascii="Segoe UI Semibold" w:eastAsiaTheme="majorEastAsia" w:hAnsi="Segoe UI Semibold" w:cstheme="majorBidi"/>
      <w:color w:val="00827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0C62"/>
    <w:pPr>
      <w:outlineLvl w:val="9"/>
    </w:pPr>
    <w:rPr>
      <w:rFonts w:asciiTheme="majorHAnsi" w:hAnsiTheme="majorHAnsi"/>
    </w:rPr>
  </w:style>
  <w:style w:type="character" w:customStyle="1" w:styleId="Heading4Char">
    <w:name w:val="Heading 4 Char"/>
    <w:basedOn w:val="DefaultParagraphFont"/>
    <w:link w:val="Heading4"/>
    <w:uiPriority w:val="9"/>
    <w:rsid w:val="00C313CC"/>
    <w:rPr>
      <w:rFonts w:ascii="Segoe UI" w:eastAsiaTheme="majorEastAsia" w:hAnsi="Segoe UI" w:cstheme="majorBidi"/>
      <w:b/>
      <w:iCs/>
      <w:sz w:val="24"/>
    </w:rPr>
  </w:style>
  <w:style w:type="numbering" w:customStyle="1" w:styleId="NumberBulletStylesMS">
    <w:name w:val="Number Bullet Styles MS"/>
    <w:uiPriority w:val="99"/>
    <w:rsid w:val="005152A6"/>
    <w:pPr>
      <w:numPr>
        <w:numId w:val="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444E6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02EB8"/>
    <w:pPr>
      <w:spacing w:after="0" w:line="240" w:lineRule="auto"/>
    </w:pPr>
    <w:rPr>
      <w:rFonts w:ascii="Segoe Pro" w:hAnsi="Segoe Pro"/>
      <w:sz w:val="20"/>
    </w:rPr>
  </w:style>
  <w:style w:type="paragraph" w:styleId="Title">
    <w:name w:val="Title"/>
    <w:basedOn w:val="Normal"/>
    <w:next w:val="Normal"/>
    <w:link w:val="TitleChar"/>
    <w:autoRedefine/>
    <w:uiPriority w:val="10"/>
    <w:rsid w:val="00A96647"/>
    <w:pPr>
      <w:keepNext/>
      <w:keepLines/>
      <w:pageBreakBefore/>
      <w:spacing w:before="100" w:after="300" w:line="240" w:lineRule="auto"/>
      <w:ind w:left="720"/>
      <w:contextualSpacing/>
      <w:outlineLvl w:val="0"/>
    </w:pPr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rsid w:val="00A96647"/>
    <w:pPr>
      <w:numPr>
        <w:ilvl w:val="1"/>
      </w:numPr>
    </w:pPr>
    <w:rPr>
      <w:rFonts w:ascii="Segoe Pro" w:eastAsiaTheme="minorEastAsia" w:hAnsi="Segoe Pro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96647"/>
    <w:rPr>
      <w:rFonts w:ascii="Segoe Pro" w:eastAsiaTheme="minorEastAsia" w:hAnsi="Segoe Pro"/>
      <w:color w:val="5A5A5A" w:themeColor="text1" w:themeTint="A5"/>
      <w:spacing w:val="15"/>
    </w:rPr>
  </w:style>
  <w:style w:type="paragraph" w:customStyle="1" w:styleId="SOWTitle">
    <w:name w:val="SOW_Title"/>
    <w:basedOn w:val="Title"/>
    <w:link w:val="SOWTitleChar"/>
    <w:qFormat/>
    <w:rsid w:val="00A96647"/>
  </w:style>
  <w:style w:type="paragraph" w:styleId="ListParagraph">
    <w:name w:val="List Paragraph"/>
    <w:basedOn w:val="Normal"/>
    <w:link w:val="ListParagraphChar"/>
    <w:uiPriority w:val="34"/>
    <w:rsid w:val="00D8456D"/>
    <w:pPr>
      <w:ind w:left="720"/>
      <w:contextualSpacing/>
    </w:pPr>
  </w:style>
  <w:style w:type="character" w:customStyle="1" w:styleId="SOWTitleChar">
    <w:name w:val="SOW_Title Char"/>
    <w:basedOn w:val="Heading1Char"/>
    <w:link w:val="SOWTitle"/>
    <w:rsid w:val="00A96647"/>
    <w:rPr>
      <w:rFonts w:ascii="Segoe Pro" w:eastAsiaTheme="majorEastAsia" w:hAnsi="Segoe Pro" w:cstheme="minorHAnsi"/>
      <w:b/>
      <w:bCs/>
      <w:iCs/>
      <w:noProof/>
      <w:color w:val="FFFFFF" w:themeColor="background1"/>
      <w:spacing w:val="5"/>
      <w:kern w:val="28"/>
      <w:sz w:val="96"/>
      <w:szCs w:val="96"/>
    </w:rPr>
  </w:style>
  <w:style w:type="numbering" w:customStyle="1" w:styleId="Style1">
    <w:name w:val="Style1"/>
    <w:uiPriority w:val="99"/>
    <w:rsid w:val="005C14DF"/>
    <w:pPr>
      <w:numPr>
        <w:numId w:val="2"/>
      </w:numPr>
    </w:pPr>
  </w:style>
  <w:style w:type="table" w:customStyle="1" w:styleId="TableGrid1">
    <w:name w:val="Table Grid1"/>
    <w:basedOn w:val="TableNormal"/>
    <w:next w:val="TableGrid"/>
    <w:uiPriority w:val="39"/>
    <w:rsid w:val="00230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al">
    <w:name w:val="Instructional"/>
    <w:basedOn w:val="Normal"/>
    <w:next w:val="Normal"/>
    <w:link w:val="InstructionalChar"/>
    <w:qFormat/>
    <w:rsid w:val="009177EC"/>
    <w:rPr>
      <w:color w:val="FF00FF"/>
    </w:rPr>
  </w:style>
  <w:style w:type="paragraph" w:customStyle="1" w:styleId="Optional">
    <w:name w:val="Optional"/>
    <w:basedOn w:val="Normal"/>
    <w:next w:val="Normal"/>
    <w:link w:val="OptionalChar"/>
    <w:qFormat/>
    <w:rsid w:val="009177EC"/>
    <w:rPr>
      <w:color w:val="00B0F0"/>
    </w:rPr>
  </w:style>
  <w:style w:type="character" w:customStyle="1" w:styleId="InstructionalChar">
    <w:name w:val="Instructional Char"/>
    <w:basedOn w:val="DefaultParagraphFont"/>
    <w:link w:val="Instructional"/>
    <w:rsid w:val="009177EC"/>
    <w:rPr>
      <w:rFonts w:ascii="Segoe UI" w:hAnsi="Segoe UI"/>
      <w:color w:val="FF00FF"/>
      <w:sz w:val="20"/>
    </w:rPr>
  </w:style>
  <w:style w:type="character" w:customStyle="1" w:styleId="OptionalChar">
    <w:name w:val="Optional Char"/>
    <w:basedOn w:val="DefaultParagraphFont"/>
    <w:link w:val="Optional"/>
    <w:rsid w:val="009177EC"/>
    <w:rPr>
      <w:rFonts w:ascii="Segoe UI" w:hAnsi="Segoe UI"/>
      <w:color w:val="00B0F0"/>
      <w:sz w:val="20"/>
    </w:rPr>
  </w:style>
  <w:style w:type="paragraph" w:customStyle="1" w:styleId="TableText">
    <w:name w:val="Table Text"/>
    <w:basedOn w:val="Normal"/>
    <w:link w:val="TableTextChar"/>
    <w:qFormat/>
    <w:rsid w:val="00117AE2"/>
    <w:pPr>
      <w:spacing w:line="240" w:lineRule="auto"/>
    </w:pPr>
  </w:style>
  <w:style w:type="paragraph" w:styleId="ListBullet">
    <w:name w:val="List Bullet"/>
    <w:basedOn w:val="Normal"/>
    <w:uiPriority w:val="4"/>
    <w:rsid w:val="000D4E93"/>
    <w:pPr>
      <w:numPr>
        <w:numId w:val="4"/>
      </w:numPr>
      <w:spacing w:line="276" w:lineRule="auto"/>
      <w:ind w:left="720"/>
      <w:contextualSpacing/>
    </w:pPr>
    <w:rPr>
      <w:rFonts w:eastAsiaTheme="minorEastAsia"/>
      <w:sz w:val="22"/>
    </w:rPr>
  </w:style>
  <w:style w:type="paragraph" w:customStyle="1" w:styleId="Bulletlist">
    <w:name w:val="Bullet list"/>
    <w:basedOn w:val="ListParagraph"/>
    <w:link w:val="BulletlistChar"/>
    <w:qFormat/>
    <w:rsid w:val="00D307F0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307F0"/>
    <w:rPr>
      <w:rFonts w:ascii="Segoe UI" w:hAnsi="Segoe UI"/>
      <w:sz w:val="20"/>
    </w:rPr>
  </w:style>
  <w:style w:type="character" w:customStyle="1" w:styleId="BulletlistChar">
    <w:name w:val="Bullet list Char"/>
    <w:basedOn w:val="ListParagraphChar"/>
    <w:link w:val="Bulletlist"/>
    <w:rsid w:val="00D307F0"/>
    <w:rPr>
      <w:rFonts w:ascii="Segoe UI" w:hAnsi="Segoe UI"/>
      <w:sz w:val="20"/>
    </w:rPr>
  </w:style>
  <w:style w:type="numbering" w:customStyle="1" w:styleId="TableBullets">
    <w:name w:val="Table Bullets"/>
    <w:uiPriority w:val="99"/>
    <w:rsid w:val="00BB4A4F"/>
    <w:pPr>
      <w:numPr>
        <w:numId w:val="6"/>
      </w:numPr>
    </w:pPr>
  </w:style>
  <w:style w:type="paragraph" w:customStyle="1" w:styleId="TableBullet1MS">
    <w:name w:val="Table Bullet 1 MS"/>
    <w:basedOn w:val="TableText"/>
    <w:rsid w:val="00BB4A4F"/>
    <w:pPr>
      <w:numPr>
        <w:numId w:val="6"/>
      </w:numPr>
      <w:spacing w:before="0" w:after="0"/>
    </w:pPr>
  </w:style>
  <w:style w:type="paragraph" w:customStyle="1" w:styleId="TableBullet2MS">
    <w:name w:val="Table Bullet 2 MS"/>
    <w:basedOn w:val="TableText"/>
    <w:rsid w:val="00BB4A4F"/>
    <w:pPr>
      <w:numPr>
        <w:ilvl w:val="1"/>
        <w:numId w:val="6"/>
      </w:numPr>
      <w:spacing w:before="0" w:after="0"/>
    </w:pPr>
  </w:style>
  <w:style w:type="paragraph" w:customStyle="1" w:styleId="TableBullet1">
    <w:name w:val="Table Bullet 1"/>
    <w:basedOn w:val="Bulletlist"/>
    <w:qFormat/>
    <w:rsid w:val="00117AE2"/>
    <w:pPr>
      <w:spacing w:line="240" w:lineRule="auto"/>
    </w:pPr>
  </w:style>
  <w:style w:type="numbering" w:customStyle="1" w:styleId="BulletsTable">
    <w:name w:val="Bullets Table"/>
    <w:basedOn w:val="NoList"/>
    <w:rsid w:val="00CA693D"/>
  </w:style>
  <w:style w:type="paragraph" w:customStyle="1" w:styleId="NumBullet3">
    <w:name w:val="Num Bullet 3"/>
    <w:basedOn w:val="Normal"/>
    <w:uiPriority w:val="3"/>
    <w:rsid w:val="00CA693D"/>
    <w:pPr>
      <w:numPr>
        <w:numId w:val="7"/>
      </w:numPr>
      <w:spacing w:line="276" w:lineRule="auto"/>
      <w:ind w:left="1080"/>
      <w:contextualSpacing/>
    </w:pPr>
    <w:rPr>
      <w:rFonts w:eastAsiaTheme="minorEastAsia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5254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46A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2546A"/>
    <w:pPr>
      <w:spacing w:after="100"/>
      <w:ind w:left="400"/>
    </w:pPr>
  </w:style>
  <w:style w:type="paragraph" w:customStyle="1" w:styleId="BodyMS">
    <w:name w:val="Body MS"/>
    <w:rsid w:val="00971FF6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customStyle="1" w:styleId="Numberedlist">
    <w:name w:val="Numbered list"/>
    <w:basedOn w:val="Bulletlist"/>
    <w:link w:val="NumberedlistChar"/>
    <w:rsid w:val="006679AB"/>
    <w:pPr>
      <w:numPr>
        <w:numId w:val="8"/>
      </w:numPr>
    </w:pPr>
  </w:style>
  <w:style w:type="character" w:customStyle="1" w:styleId="NumberedlistChar">
    <w:name w:val="Numbered list Char"/>
    <w:basedOn w:val="BulletlistChar"/>
    <w:link w:val="Numberedlist"/>
    <w:rsid w:val="006679AB"/>
    <w:rPr>
      <w:rFonts w:ascii="Segoe UI" w:hAnsi="Segoe U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F21FB"/>
    <w:pPr>
      <w:spacing w:after="100"/>
      <w:ind w:left="800"/>
    </w:pPr>
  </w:style>
  <w:style w:type="paragraph" w:customStyle="1" w:styleId="Table-Header">
    <w:name w:val="Table - Header"/>
    <w:basedOn w:val="Normal"/>
    <w:link w:val="Table-HeaderChar"/>
    <w:qFormat/>
    <w:rsid w:val="0001741F"/>
    <w:pPr>
      <w:spacing w:line="240" w:lineRule="auto"/>
    </w:pPr>
    <w:rPr>
      <w:b/>
      <w:color w:val="FFFFFF" w:themeColor="background1"/>
    </w:rPr>
  </w:style>
  <w:style w:type="character" w:customStyle="1" w:styleId="Table-HeaderChar">
    <w:name w:val="Table - Header Char"/>
    <w:basedOn w:val="DefaultParagraphFont"/>
    <w:link w:val="Table-Header"/>
    <w:rsid w:val="0001741F"/>
    <w:rPr>
      <w:rFonts w:ascii="Segoe UI" w:hAnsi="Segoe UI"/>
      <w:b/>
      <w:color w:val="FFFFFF" w:themeColor="background1"/>
      <w:sz w:val="20"/>
    </w:rPr>
  </w:style>
  <w:style w:type="character" w:customStyle="1" w:styleId="highlightwordmagenta">
    <w:name w:val="highlightword_magenta"/>
    <w:basedOn w:val="DefaultParagraphFont"/>
    <w:rsid w:val="002967F9"/>
  </w:style>
  <w:style w:type="character" w:customStyle="1" w:styleId="highlightwordyellow">
    <w:name w:val="highlightword_yellow"/>
    <w:basedOn w:val="DefaultParagraphFont"/>
    <w:rsid w:val="002967F9"/>
  </w:style>
  <w:style w:type="character" w:styleId="Emphasis">
    <w:name w:val="Emphasis"/>
    <w:basedOn w:val="DefaultParagraphFont"/>
    <w:uiPriority w:val="20"/>
    <w:rsid w:val="002967F9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9A0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highlightword">
    <w:name w:val="highlightword"/>
    <w:basedOn w:val="DefaultParagraphFont"/>
    <w:rsid w:val="00306465"/>
  </w:style>
  <w:style w:type="paragraph" w:styleId="NormalWeb">
    <w:name w:val="Normal (Web)"/>
    <w:basedOn w:val="Normal"/>
    <w:uiPriority w:val="99"/>
    <w:semiHidden/>
    <w:unhideWhenUsed/>
    <w:rsid w:val="0030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nonumbers">
    <w:name w:val="Heading 1 (no numbers)"/>
    <w:basedOn w:val="Heading1"/>
    <w:link w:val="Heading1nonumbersChar"/>
    <w:qFormat/>
    <w:rsid w:val="00F947E6"/>
    <w:pPr>
      <w:numPr>
        <w:numId w:val="0"/>
      </w:numPr>
    </w:pPr>
  </w:style>
  <w:style w:type="paragraph" w:customStyle="1" w:styleId="Subject">
    <w:name w:val="Subject"/>
    <w:basedOn w:val="Heading1nonumbers"/>
    <w:link w:val="SubjectChar"/>
    <w:rsid w:val="00CF7AE9"/>
  </w:style>
  <w:style w:type="character" w:customStyle="1" w:styleId="Heading1nonumbersChar">
    <w:name w:val="Heading 1 (no numbers) Char"/>
    <w:basedOn w:val="Heading1Char"/>
    <w:link w:val="Heading1nonumbers"/>
    <w:rsid w:val="00F947E6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SubjectChar">
    <w:name w:val="Subject Char"/>
    <w:basedOn w:val="Heading1nonumbersChar"/>
    <w:link w:val="Subject"/>
    <w:rsid w:val="00CF7AE9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styleId="Mention">
    <w:name w:val="Mention"/>
    <w:basedOn w:val="DefaultParagraphFont"/>
    <w:uiPriority w:val="99"/>
    <w:unhideWhenUsed/>
    <w:rsid w:val="00E54029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835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835D87"/>
  </w:style>
  <w:style w:type="character" w:customStyle="1" w:styleId="eop">
    <w:name w:val="eop"/>
    <w:basedOn w:val="DefaultParagraphFont"/>
    <w:rsid w:val="00835D87"/>
  </w:style>
  <w:style w:type="character" w:customStyle="1" w:styleId="TableTextChar">
    <w:name w:val="Table Text Char"/>
    <w:basedOn w:val="DefaultParagraphFont"/>
    <w:link w:val="TableText"/>
    <w:uiPriority w:val="4"/>
    <w:locked/>
    <w:rsid w:val="00A111F2"/>
    <w:rPr>
      <w:rFonts w:ascii="Segoe UI" w:hAnsi="Segoe UI"/>
      <w:sz w:val="20"/>
    </w:rPr>
  </w:style>
  <w:style w:type="table" w:styleId="GridTable1Light">
    <w:name w:val="Grid Table 1 Light"/>
    <w:basedOn w:val="TableNormal"/>
    <w:uiPriority w:val="46"/>
    <w:rsid w:val="004F6E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unhideWhenUsed/>
    <w:rsid w:val="00F13C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1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7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5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134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75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6115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7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741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8956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706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509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08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53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9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8976">
                      <w:marLeft w:val="75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2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6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19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62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5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35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033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054089">
                                                  <w:blockQuote w:val="1"/>
                                                  <w:marLeft w:val="720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6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9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7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0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11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093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54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828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571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625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31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24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91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8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360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85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27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14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423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893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076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1E46EC6-57B4-4B7F-BC5C-4C518199A8E5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1CF11602-05C2-4784-A89A-3EB38E4BDAB1}">
      <dgm:prSet phldrT="[Text]" custT="1"/>
      <dgm:spPr>
        <a:solidFill>
          <a:srgbClr val="008272"/>
        </a:solidFill>
      </dgm:spPr>
      <dgm:t>
        <a:bodyPr/>
        <a:lstStyle/>
        <a:p>
          <a:pPr algn="l"/>
          <a:r>
            <a:rPr lang="en-US" sz="1000" dirty="0">
              <a:latin typeface="Segoe UI" panose="020B0502040204020203" pitchFamily="34" charset="0"/>
              <a:cs typeface="Segoe UI" panose="020B0502040204020203" pitchFamily="34" charset="0"/>
            </a:rPr>
            <a:t>Configuration</a:t>
          </a:r>
        </a:p>
        <a:p>
          <a:pPr algn="l"/>
          <a:r>
            <a:rPr lang="en-US" sz="900" dirty="0">
              <a:latin typeface="Segoe UI" panose="020B0502040204020203" pitchFamily="34" charset="0"/>
              <a:cs typeface="Segoe UI" panose="020B0502040204020203" pitchFamily="34" charset="0"/>
            </a:rPr>
            <a:t>1 week</a:t>
          </a:r>
        </a:p>
      </dgm:t>
    </dgm:pt>
    <dgm:pt modelId="{0C7898AE-956E-4299-B557-B8567BB9D6D7}" type="par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8D1416F-FDD7-4F2A-A128-D05D37B9C397}" type="sibTrans" cxnId="{7017B9DC-8069-4A67-8A9D-35BB5483DB47}">
      <dgm:prSet/>
      <dgm:spPr/>
      <dgm:t>
        <a:bodyPr/>
        <a:lstStyle/>
        <a:p>
          <a:pPr algn="l"/>
          <a:endParaRPr lang="en-US" sz="1000"/>
        </a:p>
      </dgm:t>
    </dgm:pt>
    <dgm:pt modelId="{CFA60E84-127B-466F-BEC7-48E962BB0C2F}">
      <dgm:prSet custT="1"/>
      <dgm:spPr>
        <a:solidFill>
          <a:srgbClr val="008272"/>
        </a:solidFill>
        <a:ln w="12700" cap="flat" cmpd="sng" algn="ctr">
          <a:solidFill>
            <a:prstClr val="white">
              <a:hueOff val="0"/>
              <a:satOff val="0"/>
              <a:lumOff val="0"/>
              <a:alphaOff val="0"/>
            </a:prstClr>
          </a:solidFill>
          <a:prstDash val="solid"/>
          <a:miter lim="800000"/>
        </a:ln>
        <a:effectLst/>
      </dgm:spPr>
      <dgm:t>
        <a:bodyPr spcFirstLastPara="0" vert="horz" wrap="square" lIns="96012" tIns="64008" rIns="32004" bIns="64008" numCol="1" spcCol="1270" anchor="ctr" anchorCtr="0"/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Data ingestion into Azure and Migration to Office 365</a:t>
          </a:r>
        </a:p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18 Months</a:t>
          </a:r>
        </a:p>
      </dgm:t>
    </dgm:pt>
    <dgm:pt modelId="{CE537291-1135-41B0-87CC-EB29A1570147}" type="parTrans" cxnId="{F08F2966-BF28-4D7D-8F2E-575744149B6C}">
      <dgm:prSet/>
      <dgm:spPr/>
      <dgm:t>
        <a:bodyPr/>
        <a:lstStyle/>
        <a:p>
          <a:endParaRPr lang="en-US" sz="1000"/>
        </a:p>
      </dgm:t>
    </dgm:pt>
    <dgm:pt modelId="{51A29289-F7B3-4F2E-926D-EDFC4D6F3E5B}" type="sibTrans" cxnId="{F08F2966-BF28-4D7D-8F2E-575744149B6C}">
      <dgm:prSet/>
      <dgm:spPr/>
      <dgm:t>
        <a:bodyPr/>
        <a:lstStyle/>
        <a:p>
          <a:endParaRPr lang="en-US" sz="1000"/>
        </a:p>
      </dgm:t>
    </dgm:pt>
    <dgm:pt modelId="{3F7B5799-7635-47FC-9C94-5E0EBC20D49C}" type="pres">
      <dgm:prSet presAssocID="{61E46EC6-57B4-4B7F-BC5C-4C518199A8E5}" presName="Name0" presStyleCnt="0">
        <dgm:presLayoutVars>
          <dgm:dir/>
          <dgm:resizeHandles val="exact"/>
        </dgm:presLayoutVars>
      </dgm:prSet>
      <dgm:spPr/>
    </dgm:pt>
    <dgm:pt modelId="{F9ACCFCF-6137-4304-A781-5056DC56EEDC}" type="pres">
      <dgm:prSet presAssocID="{1CF11602-05C2-4784-A89A-3EB38E4BDAB1}" presName="parTxOnly" presStyleLbl="node1" presStyleIdx="0" presStyleCnt="2">
        <dgm:presLayoutVars>
          <dgm:bulletEnabled val="1"/>
        </dgm:presLayoutVars>
      </dgm:prSet>
      <dgm:spPr/>
    </dgm:pt>
    <dgm:pt modelId="{3DD1044D-2311-46BD-9510-EF7F0027816F}" type="pres">
      <dgm:prSet presAssocID="{C8D1416F-FDD7-4F2A-A128-D05D37B9C397}" presName="parSpace" presStyleCnt="0"/>
      <dgm:spPr/>
    </dgm:pt>
    <dgm:pt modelId="{A12196D1-8F5A-49BC-8C1A-4ABE4DFEA6DB}" type="pres">
      <dgm:prSet presAssocID="{CFA60E84-127B-466F-BEC7-48E962BB0C2F}" presName="parTxOnly" presStyleLbl="node1" presStyleIdx="1" presStyleCnt="2">
        <dgm:presLayoutVars>
          <dgm:bulletEnabled val="1"/>
        </dgm:presLayoutVars>
      </dgm:prSet>
      <dgm:spPr>
        <a:xfrm>
          <a:off x="7740302" y="2189607"/>
          <a:ext cx="2418457" cy="967382"/>
        </a:xfrm>
        <a:prstGeom prst="chevron">
          <a:avLst/>
        </a:prstGeom>
      </dgm:spPr>
    </dgm:pt>
  </dgm:ptLst>
  <dgm:cxnLst>
    <dgm:cxn modelId="{F08F2966-BF28-4D7D-8F2E-575744149B6C}" srcId="{61E46EC6-57B4-4B7F-BC5C-4C518199A8E5}" destId="{CFA60E84-127B-466F-BEC7-48E962BB0C2F}" srcOrd="1" destOrd="0" parTransId="{CE537291-1135-41B0-87CC-EB29A1570147}" sibTransId="{51A29289-F7B3-4F2E-926D-EDFC4D6F3E5B}"/>
    <dgm:cxn modelId="{816FDC9A-FBD5-4BE9-969A-8F14F178757E}" type="presOf" srcId="{61E46EC6-57B4-4B7F-BC5C-4C518199A8E5}" destId="{3F7B5799-7635-47FC-9C94-5E0EBC20D49C}" srcOrd="0" destOrd="0" presId="urn:microsoft.com/office/officeart/2005/8/layout/hChevron3"/>
    <dgm:cxn modelId="{C0D223AB-9428-49DE-AFB4-1F8E74E5B695}" type="presOf" srcId="{1CF11602-05C2-4784-A89A-3EB38E4BDAB1}" destId="{F9ACCFCF-6137-4304-A781-5056DC56EEDC}" srcOrd="0" destOrd="0" presId="urn:microsoft.com/office/officeart/2005/8/layout/hChevron3"/>
    <dgm:cxn modelId="{7017B9DC-8069-4A67-8A9D-35BB5483DB47}" srcId="{61E46EC6-57B4-4B7F-BC5C-4C518199A8E5}" destId="{1CF11602-05C2-4784-A89A-3EB38E4BDAB1}" srcOrd="0" destOrd="0" parTransId="{0C7898AE-956E-4299-B557-B8567BB9D6D7}" sibTransId="{C8D1416F-FDD7-4F2A-A128-D05D37B9C397}"/>
    <dgm:cxn modelId="{9AA525ED-9399-4911-8B0B-621B5AEA14CF}" type="presOf" srcId="{CFA60E84-127B-466F-BEC7-48E962BB0C2F}" destId="{A12196D1-8F5A-49BC-8C1A-4ABE4DFEA6DB}" srcOrd="0" destOrd="0" presId="urn:microsoft.com/office/officeart/2005/8/layout/hChevron3"/>
    <dgm:cxn modelId="{0230FB4A-AB04-40EA-B34E-2B1962E03566}" type="presParOf" srcId="{3F7B5799-7635-47FC-9C94-5E0EBC20D49C}" destId="{F9ACCFCF-6137-4304-A781-5056DC56EEDC}" srcOrd="0" destOrd="0" presId="urn:microsoft.com/office/officeart/2005/8/layout/hChevron3"/>
    <dgm:cxn modelId="{AFFBA2F5-6C32-4008-951A-3C1DC70A721A}" type="presParOf" srcId="{3F7B5799-7635-47FC-9C94-5E0EBC20D49C}" destId="{3DD1044D-2311-46BD-9510-EF7F0027816F}" srcOrd="1" destOrd="0" presId="urn:microsoft.com/office/officeart/2005/8/layout/hChevron3"/>
    <dgm:cxn modelId="{F72B4134-7724-47BE-AF38-A69578E99932}" type="presParOf" srcId="{3F7B5799-7635-47FC-9C94-5E0EBC20D49C}" destId="{A12196D1-8F5A-49BC-8C1A-4ABE4DFEA6DB}" srcOrd="2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ACCFCF-6137-4304-A781-5056DC56EEDC}">
      <dsp:nvSpPr>
        <dsp:cNvPr id="0" name=""/>
        <dsp:cNvSpPr/>
      </dsp:nvSpPr>
      <dsp:spPr>
        <a:xfrm>
          <a:off x="4455" y="0"/>
          <a:ext cx="3163698" cy="571500"/>
        </a:xfrm>
        <a:prstGeom prst="homePlate">
          <a:avLst/>
        </a:prstGeom>
        <a:solidFill>
          <a:srgbClr val="00827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26670" rIns="13335" bIns="26670" numCol="1" spcCol="1270" anchor="ctr" anchorCtr="0">
          <a:noAutofit/>
        </a:bodyPr>
        <a:lstStyle/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latin typeface="Segoe UI" panose="020B0502040204020203" pitchFamily="34" charset="0"/>
              <a:cs typeface="Segoe UI" panose="020B0502040204020203" pitchFamily="34" charset="0"/>
            </a:rPr>
            <a:t>Configuration</a:t>
          </a:r>
        </a:p>
        <a:p>
          <a:pPr marL="0" lvl="0" indent="0" algn="l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latin typeface="Segoe UI" panose="020B0502040204020203" pitchFamily="34" charset="0"/>
              <a:cs typeface="Segoe UI" panose="020B0502040204020203" pitchFamily="34" charset="0"/>
            </a:rPr>
            <a:t>1 week</a:t>
          </a:r>
        </a:p>
      </dsp:txBody>
      <dsp:txXfrm>
        <a:off x="4455" y="0"/>
        <a:ext cx="3020823" cy="571500"/>
      </dsp:txXfrm>
    </dsp:sp>
    <dsp:sp modelId="{A12196D1-8F5A-49BC-8C1A-4ABE4DFEA6DB}">
      <dsp:nvSpPr>
        <dsp:cNvPr id="0" name=""/>
        <dsp:cNvSpPr/>
      </dsp:nvSpPr>
      <dsp:spPr>
        <a:xfrm>
          <a:off x="2535415" y="0"/>
          <a:ext cx="3163698" cy="571500"/>
        </a:xfrm>
        <a:prstGeom prst="chevron">
          <a:avLst/>
        </a:prstGeom>
        <a:solidFill>
          <a:srgbClr val="008272"/>
        </a:solidFill>
        <a:ln w="12700" cap="flat" cmpd="sng" algn="ctr">
          <a:solidFill>
            <a:prstClr val="white">
              <a:hueOff val="0"/>
              <a:satOff val="0"/>
              <a:lumOff val="0"/>
              <a:alphaOff val="0"/>
            </a:prst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6012" tIns="64008" rIns="32004" bIns="64008" numCol="1" spcCol="1270" anchor="ctr" anchorCtr="0">
          <a:noAutofit/>
        </a:bodyPr>
        <a:lstStyle/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Data ingestion into Azure and Migration to Office 365</a:t>
          </a:r>
        </a:p>
        <a:p>
          <a:pPr marL="0" lvl="0" indent="0" algn="l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 dirty="0">
              <a:solidFill>
                <a:prstClr val="white"/>
              </a:solidFill>
              <a:latin typeface="Segoe UI" panose="020B0502040204020203" pitchFamily="34" charset="0"/>
              <a:ea typeface="+mn-ea"/>
              <a:cs typeface="Segoe UI" panose="020B0502040204020203" pitchFamily="34" charset="0"/>
            </a:rPr>
            <a:t>18 Months</a:t>
          </a:r>
        </a:p>
      </dsp:txBody>
      <dsp:txXfrm>
        <a:off x="2821165" y="0"/>
        <a:ext cx="2592198" cy="5715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EC02E0258A27448A29FB0FC0148545" ma:contentTypeVersion="4" ma:contentTypeDescription="Create a new document." ma:contentTypeScope="" ma:versionID="edd0e92cf8ed7808b5801672f9d8b1ad">
  <xsd:schema xmlns:xsd="http://www.w3.org/2001/XMLSchema" xmlns:xs="http://www.w3.org/2001/XMLSchema" xmlns:p="http://schemas.microsoft.com/office/2006/metadata/properties" xmlns:ns2="c8831e79-45ca-49a6-932b-0c7b060f5ae7" targetNamespace="http://schemas.microsoft.com/office/2006/metadata/properties" ma:root="true" ma:fieldsID="f43d8950b4118adf17e0674d34fcc9df" ns2:_="">
    <xsd:import namespace="c8831e79-45ca-49a6-932b-0c7b060f5a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31e79-45ca-49a6-932b-0c7b060f5a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52378D-007F-4423-8204-BC4466B4F9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0609823-2770-42F1-8AE4-A020AEED68DF}"/>
</file>

<file path=customXml/itemProps3.xml><?xml version="1.0" encoding="utf-8"?>
<ds:datastoreItem xmlns:ds="http://schemas.openxmlformats.org/officeDocument/2006/customXml" ds:itemID="{2D8D7EBA-8BDC-4B26-AE15-60F2801CE628}"/>
</file>

<file path=customXml/itemProps4.xml><?xml version="1.0" encoding="utf-8"?>
<ds:datastoreItem xmlns:ds="http://schemas.openxmlformats.org/officeDocument/2006/customXml" ds:itemID="{442BCBA8-7BB3-41E2-BAF1-332506D2F0A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3310</Words>
  <Characters>18873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22139</CharactersWithSpaces>
  <SharedDoc>false</SharedDoc>
  <HLinks>
    <vt:vector size="102" baseType="variant">
      <vt:variant>
        <vt:i4>1835058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_Toc24667019</vt:lpwstr>
      </vt:variant>
      <vt:variant>
        <vt:i4>1900594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_Toc24667018</vt:lpwstr>
      </vt:variant>
      <vt:variant>
        <vt:i4>1179698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_Toc24667017</vt:lpwstr>
      </vt:variant>
      <vt:variant>
        <vt:i4>1245234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_Toc24667016</vt:lpwstr>
      </vt:variant>
      <vt:variant>
        <vt:i4>1048626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_Toc24667015</vt:lpwstr>
      </vt:variant>
      <vt:variant>
        <vt:i4>1114162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_Toc24667014</vt:lpwstr>
      </vt:variant>
      <vt:variant>
        <vt:i4>1441842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_Toc24667013</vt:lpwstr>
      </vt:variant>
      <vt:variant>
        <vt:i4>1507378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_Toc24667012</vt:lpwstr>
      </vt:variant>
      <vt:variant>
        <vt:i4>1310770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_Toc24667011</vt:lpwstr>
      </vt:variant>
      <vt:variant>
        <vt:i4>1376306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_Toc24667010</vt:lpwstr>
      </vt:variant>
      <vt:variant>
        <vt:i4>1835059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_Toc24667009</vt:lpwstr>
      </vt:variant>
      <vt:variant>
        <vt:i4>1900595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_Toc24667008</vt:lpwstr>
      </vt:variant>
      <vt:variant>
        <vt:i4>1179699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_Toc24667007</vt:lpwstr>
      </vt:variant>
      <vt:variant>
        <vt:i4>1245235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_Toc24667006</vt:lpwstr>
      </vt:variant>
      <vt:variant>
        <vt:i4>1048627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_Toc24667005</vt:lpwstr>
      </vt:variant>
      <vt:variant>
        <vt:i4>1114163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_Toc24667004</vt:lpwstr>
      </vt:variant>
      <vt:variant>
        <vt:i4>65644</vt:i4>
      </vt:variant>
      <vt:variant>
        <vt:i4>0</vt:i4>
      </vt:variant>
      <vt:variant>
        <vt:i4>0</vt:i4>
      </vt:variant>
      <vt:variant>
        <vt:i4>5</vt:i4>
      </vt:variant>
      <vt:variant>
        <vt:lpwstr>mailto:Pietman.Selzer@microsoft.com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2020-06-22T17:23:00Z</dcterms:created>
  <dcterms:modified xsi:type="dcterms:W3CDTF">2020-06-22T17:23:00Z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0x0101004CEC02E0258A27448A29FB0FC0148545</vt:lpwstr>
  </property>
</Properties>
</file>