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842D6" w14:textId="77777777" w:rsidR="00717F2C" w:rsidRPr="00475676" w:rsidRDefault="008E6137" w:rsidP="003E260B">
      <w:r w:rsidRPr="0047567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88456E" wp14:editId="2288456F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884597" w14:textId="77777777" w:rsidR="00207F01" w:rsidRDefault="00207F01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22884598" w14:textId="77777777" w:rsidR="00207F01" w:rsidRPr="0052546A" w:rsidRDefault="00207F01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884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22884597" w14:textId="77777777" w:rsidR="00207F01" w:rsidRDefault="00207F01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22884598" w14:textId="77777777" w:rsidR="00207F01" w:rsidRPr="0052546A" w:rsidRDefault="00207F01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8842D7" w14:textId="77777777" w:rsidR="00A86A5C" w:rsidRPr="00475676" w:rsidRDefault="00A86A5C" w:rsidP="003E260B"/>
    <w:p w14:paraId="228842D8" w14:textId="0B14C645" w:rsidR="0043613E" w:rsidRPr="00475676" w:rsidRDefault="0043613E" w:rsidP="00C62FD2">
      <w:pPr>
        <w:pStyle w:val="Instructional"/>
      </w:pPr>
    </w:p>
    <w:p w14:paraId="228842DA" w14:textId="5A58DD80" w:rsidR="0043613E" w:rsidRPr="00475676" w:rsidRDefault="00CF3866" w:rsidP="003E260B">
      <w:r w:rsidRPr="00475676">
        <w:rPr>
          <w:rFonts w:ascii="Segoe UI Semibold" w:hAnsi="Segoe UI Semibold" w:cs="Segoe UI Semibold"/>
          <w:color w:val="008272"/>
          <w:sz w:val="32"/>
        </w:rPr>
        <w:t>Cybersecurity Risk Review</w:t>
      </w:r>
    </w:p>
    <w:p w14:paraId="228842DB" w14:textId="77777777" w:rsidR="00717F2C" w:rsidRPr="00475676" w:rsidRDefault="00717F2C" w:rsidP="003E260B">
      <w:r w:rsidRPr="00475676">
        <w:t>Prepared for</w:t>
      </w:r>
    </w:p>
    <w:p w14:paraId="228842DC" w14:textId="30669ABD" w:rsidR="00717F2C" w:rsidRPr="00C31228" w:rsidRDefault="00717F2C" w:rsidP="00A8149E">
      <w:pPr>
        <w:pStyle w:val="Instructional"/>
        <w:rPr>
          <w:color w:val="auto"/>
        </w:rPr>
      </w:pPr>
    </w:p>
    <w:p w14:paraId="228842DD" w14:textId="77777777" w:rsidR="00B40F77" w:rsidRPr="00C31228" w:rsidRDefault="00B40F77" w:rsidP="003E260B"/>
    <w:p w14:paraId="228842DE" w14:textId="77777777" w:rsidR="007F148A" w:rsidRPr="00C31228" w:rsidRDefault="007F148A" w:rsidP="00C31228">
      <w:pPr>
        <w:spacing w:before="40" w:after="40"/>
      </w:pPr>
      <w:r w:rsidRPr="00C31228">
        <w:t>Prepared by</w:t>
      </w:r>
    </w:p>
    <w:p w14:paraId="40A86E61" w14:textId="77777777" w:rsidR="00C31228" w:rsidRPr="00475676" w:rsidRDefault="00C31228" w:rsidP="003E260B"/>
    <w:p w14:paraId="228842E1" w14:textId="1B50E818" w:rsidR="00717F2C" w:rsidRPr="00C31228" w:rsidRDefault="00717F2C" w:rsidP="003E260B">
      <w:r w:rsidRPr="00C31228">
        <w:t xml:space="preserve">Date: </w:t>
      </w:r>
      <w:r w:rsidR="00837E12" w:rsidRPr="00C31228">
        <w:fldChar w:fldCharType="begin"/>
      </w:r>
      <w:r w:rsidR="00837E12" w:rsidRPr="00C31228">
        <w:instrText xml:space="preserve"> DATE  \@ "MMMM d, yyyy"  \* MERGEFORMAT </w:instrText>
      </w:r>
      <w:r w:rsidR="00837E12" w:rsidRPr="00C31228">
        <w:fldChar w:fldCharType="separate"/>
      </w:r>
      <w:r w:rsidR="005C717F">
        <w:rPr>
          <w:noProof/>
        </w:rPr>
        <w:t>June 22, 2020</w:t>
      </w:r>
      <w:r w:rsidR="00837E12" w:rsidRPr="00C31228">
        <w:fldChar w:fldCharType="end"/>
      </w:r>
      <w:r w:rsidR="009C45D1">
        <w:t>19</w:t>
      </w:r>
    </w:p>
    <w:p w14:paraId="228842E2" w14:textId="04F9DFFF" w:rsidR="00717F2C" w:rsidRPr="00C31228" w:rsidRDefault="00717F2C" w:rsidP="003E260B">
      <w:pPr>
        <w:rPr>
          <w:rStyle w:val="InstructionalChar"/>
          <w:color w:val="auto"/>
        </w:rPr>
      </w:pPr>
      <w:r w:rsidRPr="00C31228">
        <w:t>Version</w:t>
      </w:r>
      <w:r w:rsidR="00FE01EB" w:rsidRPr="00C31228">
        <w:rPr>
          <w:rStyle w:val="InstructionalChar"/>
          <w:color w:val="auto"/>
        </w:rPr>
        <w:t xml:space="preserve">: </w:t>
      </w:r>
      <w:r w:rsidR="00721CDA" w:rsidRPr="00C31228">
        <w:rPr>
          <w:rStyle w:val="InstructionalChar"/>
          <w:color w:val="auto"/>
        </w:rPr>
        <w:t>2.0</w:t>
      </w:r>
    </w:p>
    <w:p w14:paraId="228842E3" w14:textId="77777777" w:rsidR="007F148A" w:rsidRPr="00475676" w:rsidRDefault="007F148A" w:rsidP="003E260B"/>
    <w:p w14:paraId="228842E4" w14:textId="77777777" w:rsidR="007F148A" w:rsidRPr="00475676" w:rsidRDefault="007F148A" w:rsidP="003E260B">
      <w:pPr>
        <w:sectPr w:rsidR="007F148A" w:rsidRPr="00475676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28842E5" w14:textId="77777777" w:rsidR="00C23371" w:rsidRPr="00475676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 w:rsidRPr="00475676">
            <w:t xml:space="preserve">Table of </w:t>
          </w:r>
          <w:r w:rsidR="006209A1" w:rsidRPr="00475676">
            <w:t>contents</w:t>
          </w:r>
        </w:p>
        <w:p w14:paraId="72497D6F" w14:textId="26F0EACA" w:rsidR="00AD706E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 w:rsidRPr="00475676">
            <w:fldChar w:fldCharType="begin"/>
          </w:r>
          <w:r w:rsidRPr="00475676">
            <w:instrText xml:space="preserve"> TOC \o "1-2" \h \z \u </w:instrText>
          </w:r>
          <w:r w:rsidRPr="00475676">
            <w:fldChar w:fldCharType="separate"/>
          </w:r>
          <w:hyperlink w:anchor="_Toc6832767" w:history="1">
            <w:r w:rsidR="00AD706E" w:rsidRPr="00060D91">
              <w:rPr>
                <w:rStyle w:val="Hyperlink"/>
                <w:noProof/>
              </w:rPr>
              <w:t>Introduction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_Toc6832767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085E0310" w14:textId="17FE368A" w:rsidR="00AD706E" w:rsidRDefault="005128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68" w:history="1">
            <w:r w:rsidR="00AD706E" w:rsidRPr="00060D91">
              <w:rPr>
                <w:rStyle w:val="Hyperlink"/>
                <w:noProof/>
              </w:rPr>
              <w:t>1.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Project objectives and scope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_Toc6832768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19A83A7B" w14:textId="5E5DE7EF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69" w:history="1">
            <w:r w:rsidR="00AD706E" w:rsidRPr="00060D91">
              <w:rPr>
                <w:rStyle w:val="Hyperlink"/>
                <w:noProof/>
              </w:rPr>
              <w:t>1.1.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Objectives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_Toc6832769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65D846F7" w14:textId="1FAA9021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0" w:history="1">
            <w:r w:rsidR="00AD706E" w:rsidRPr="00060D91">
              <w:rPr>
                <w:rStyle w:val="Hyperlink"/>
                <w:noProof/>
              </w:rPr>
              <w:t>1.2.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Areas in scope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_Toc6832770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35275A1B" w14:textId="3E2A4306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1" w:history="1">
            <w:r w:rsidR="00AD706E" w:rsidRPr="00060D91">
              <w:rPr>
                <w:rStyle w:val="Hyperlink"/>
                <w:noProof/>
              </w:rPr>
              <w:t>1.3.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Areas out of scope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_Toc6832771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6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41B8989F" w14:textId="4E81FE4A" w:rsidR="00AD706E" w:rsidRDefault="005128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2" w:history="1">
            <w:r w:rsidR="00AD706E" w:rsidRPr="00060D91">
              <w:rPr>
                <w:rStyle w:val="Hyperlink"/>
                <w:noProof/>
              </w:rPr>
              <w:t>2.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Project approach, timeline, and deliverable acceptance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_Toc6832772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7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61C3EB4B" w14:textId="1350D0EC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3" w:history="1">
            <w:r w:rsidR="00AD706E" w:rsidRPr="00060D91">
              <w:rPr>
                <w:rStyle w:val="Hyperlink"/>
                <w:noProof/>
              </w:rPr>
              <w:t>2.1.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Approach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_Toc6832773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7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34268CCA" w14:textId="542CE823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4" w:history="1">
            <w:r w:rsidR="00AD706E" w:rsidRPr="00060D91">
              <w:rPr>
                <w:rStyle w:val="Hyperlink"/>
                <w:noProof/>
              </w:rPr>
              <w:t>2.2.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Timeline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_Toc6832774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12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45F3F47A" w14:textId="3E6EDE9D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5" w:history="1">
            <w:r w:rsidR="00AD706E" w:rsidRPr="00060D91">
              <w:rPr>
                <w:rStyle w:val="Hyperlink"/>
                <w:noProof/>
              </w:rPr>
              <w:t>2.3.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Deliverable acceptance process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_Toc6832775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12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3AF6D705" w14:textId="7414C4D5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6" w:history="1">
            <w:r w:rsidR="00AD706E" w:rsidRPr="00060D91">
              <w:rPr>
                <w:rStyle w:val="Hyperlink"/>
                <w:noProof/>
              </w:rPr>
              <w:t>2.4.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Project governance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_Toc6832776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13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2AA3A778" w14:textId="4FF6C705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7" w:history="1">
            <w:r w:rsidR="00AD706E" w:rsidRPr="00060D91">
              <w:rPr>
                <w:rStyle w:val="Hyperlink"/>
                <w:noProof/>
              </w:rPr>
              <w:t>2.5.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Project completion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_Toc6832777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15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635C7976" w14:textId="2D6F72E1" w:rsidR="00AD706E" w:rsidRDefault="005128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8" w:history="1">
            <w:r w:rsidR="00AD706E" w:rsidRPr="00060D91">
              <w:rPr>
                <w:rStyle w:val="Hyperlink"/>
                <w:noProof/>
              </w:rPr>
              <w:t>3.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Project organization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_Toc6832778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15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6DACA005" w14:textId="7756217B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79" w:history="1">
            <w:r w:rsidR="00AD706E" w:rsidRPr="00060D91">
              <w:rPr>
                <w:rStyle w:val="Hyperlink"/>
                <w:noProof/>
              </w:rPr>
              <w:t>3.1.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Project roles and responsibilities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_Toc6832779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15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1283DF33" w14:textId="30E8AB09" w:rsidR="00AD706E" w:rsidRDefault="005128F0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80" w:history="1">
            <w:r w:rsidR="00AD706E" w:rsidRPr="00060D91">
              <w:rPr>
                <w:rStyle w:val="Hyperlink"/>
                <w:noProof/>
              </w:rPr>
              <w:t>4.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Customer responsibilities and project assumptions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_Toc6832780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17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681652E9" w14:textId="59485622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81" w:history="1">
            <w:r w:rsidR="00AD706E" w:rsidRPr="00060D91">
              <w:rPr>
                <w:rStyle w:val="Hyperlink"/>
                <w:noProof/>
              </w:rPr>
              <w:t>4.1.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Customer responsibilities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_Toc6832781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17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3B779501" w14:textId="299D3DB6" w:rsidR="00AD706E" w:rsidRDefault="005128F0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6832782" w:history="1">
            <w:r w:rsidR="00AD706E" w:rsidRPr="00060D91">
              <w:rPr>
                <w:rStyle w:val="Hyperlink"/>
                <w:noProof/>
              </w:rPr>
              <w:t>4.2.</w:t>
            </w:r>
            <w:r w:rsidR="00AD706E">
              <w:rPr>
                <w:rFonts w:asciiTheme="minorHAnsi" w:eastAsiaTheme="minorEastAsia" w:hAnsiTheme="minorHAnsi"/>
                <w:noProof/>
                <w:sz w:val="22"/>
                <w:lang w:eastAsia="zh-CN"/>
              </w:rPr>
              <w:tab/>
            </w:r>
            <w:r w:rsidR="00AD706E" w:rsidRPr="00060D91">
              <w:rPr>
                <w:rStyle w:val="Hyperlink"/>
                <w:noProof/>
              </w:rPr>
              <w:t>Project assumptions</w:t>
            </w:r>
            <w:r w:rsidR="00AD706E">
              <w:rPr>
                <w:noProof/>
                <w:webHidden/>
              </w:rPr>
              <w:tab/>
            </w:r>
            <w:r w:rsidR="00AD706E">
              <w:rPr>
                <w:noProof/>
                <w:webHidden/>
              </w:rPr>
              <w:fldChar w:fldCharType="begin"/>
            </w:r>
            <w:r w:rsidR="00AD706E">
              <w:rPr>
                <w:noProof/>
                <w:webHidden/>
              </w:rPr>
              <w:instrText xml:space="preserve"> PAGEREF _Toc6832782 \h </w:instrText>
            </w:r>
            <w:r w:rsidR="00AD706E">
              <w:rPr>
                <w:noProof/>
                <w:webHidden/>
              </w:rPr>
            </w:r>
            <w:r w:rsidR="00AD706E">
              <w:rPr>
                <w:noProof/>
                <w:webHidden/>
              </w:rPr>
              <w:fldChar w:fldCharType="separate"/>
            </w:r>
            <w:r w:rsidR="00034609">
              <w:rPr>
                <w:noProof/>
                <w:webHidden/>
              </w:rPr>
              <w:t>17</w:t>
            </w:r>
            <w:r w:rsidR="00AD706E">
              <w:rPr>
                <w:noProof/>
                <w:webHidden/>
              </w:rPr>
              <w:fldChar w:fldCharType="end"/>
            </w:r>
          </w:hyperlink>
        </w:p>
        <w:p w14:paraId="228842F7" w14:textId="741BBC4D" w:rsidR="00C23371" w:rsidRPr="00475676" w:rsidRDefault="00EF21FB">
          <w:r w:rsidRPr="00475676">
            <w:fldChar w:fldCharType="end"/>
          </w:r>
        </w:p>
      </w:sdtContent>
    </w:sdt>
    <w:p w14:paraId="228842F8" w14:textId="77777777" w:rsidR="00C81329" w:rsidRPr="00475676" w:rsidRDefault="00C81329"/>
    <w:p w14:paraId="228842F9" w14:textId="77777777" w:rsidR="007E7F79" w:rsidRPr="00475676" w:rsidRDefault="007E7F79">
      <w:pPr>
        <w:rPr>
          <w:highlight w:val="yellow"/>
        </w:rPr>
        <w:sectPr w:rsidR="007E7F79" w:rsidRPr="00475676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28842FA" w14:textId="3C1D2354" w:rsidR="0001741F" w:rsidRPr="00475676" w:rsidRDefault="0001741F" w:rsidP="0001741F">
      <w:bookmarkStart w:id="4" w:name="_Toc476167701"/>
      <w:bookmarkStart w:id="5" w:name="_Toc476168021"/>
      <w:r w:rsidRPr="00475676">
        <w:lastRenderedPageBreak/>
        <w:t xml:space="preserve">This Statement of Work (SOW) and any exhibits, appendices, schedules, and attachments to it are made pursuant to Work Order </w:t>
      </w:r>
      <w:r w:rsidR="00C40380" w:rsidRPr="00C40380">
        <w:rPr>
          <w:rStyle w:val="InstructionalChar"/>
          <w:color w:val="auto"/>
        </w:rPr>
        <w:t xml:space="preserve">6CZE1912-270079-320759 </w:t>
      </w:r>
      <w:r w:rsidRPr="00475676">
        <w:t>and describes the work to be performed (Services) by Mic</w:t>
      </w:r>
      <w:r w:rsidRPr="00A91A59">
        <w:t xml:space="preserve">rosoft (“us,” “we”) for  (“Customer,” “you,” “your”) relating to </w:t>
      </w:r>
      <w:r w:rsidR="00A91A59" w:rsidRPr="00A91A59">
        <w:rPr>
          <w:rStyle w:val="InstructionalChar"/>
          <w:color w:val="auto"/>
        </w:rPr>
        <w:t xml:space="preserve">Cybersecurity Risk Review </w:t>
      </w:r>
      <w:r w:rsidRPr="00475676">
        <w:t>(project).</w:t>
      </w:r>
    </w:p>
    <w:p w14:paraId="228842FB" w14:textId="166526F6" w:rsidR="0001741F" w:rsidRDefault="0001741F" w:rsidP="0001741F">
      <w:r w:rsidRPr="00475676">
        <w:t>This SOW and the associated Work Order expire 30 days after their publication date, unless signed by both parties</w:t>
      </w:r>
      <w:r w:rsidR="00721CDA">
        <w:t>,</w:t>
      </w:r>
      <w:r w:rsidRPr="00475676">
        <w:t xml:space="preserve"> </w:t>
      </w:r>
      <w:proofErr w:type="gramStart"/>
      <w:r w:rsidRPr="00475676">
        <w:t>or</w:t>
      </w:r>
      <w:proofErr w:type="gramEnd"/>
      <w:r w:rsidRPr="00475676">
        <w:t xml:space="preserve"> formally extended in writing by Microsoft.</w:t>
      </w:r>
    </w:p>
    <w:p w14:paraId="228842FC" w14:textId="77777777" w:rsidR="00C81329" w:rsidRPr="00475676" w:rsidRDefault="00C81329" w:rsidP="004737C4">
      <w:pPr>
        <w:pStyle w:val="Heading1nonumbers"/>
      </w:pPr>
      <w:bookmarkStart w:id="6" w:name="_Toc6832767"/>
      <w:r w:rsidRPr="00475676">
        <w:t>Introduction</w:t>
      </w:r>
      <w:bookmarkEnd w:id="4"/>
      <w:bookmarkEnd w:id="5"/>
      <w:bookmarkEnd w:id="6"/>
    </w:p>
    <w:bookmarkStart w:id="7" w:name="_Hlk5889648"/>
    <w:bookmarkStart w:id="8" w:name="_Toc476167702"/>
    <w:bookmarkStart w:id="9" w:name="_Toc476168022"/>
    <w:bookmarkStart w:id="10" w:name="_Ref477786305"/>
    <w:p w14:paraId="4BB0BAB1" w14:textId="0014B24E" w:rsidR="00E07E26" w:rsidRPr="00475676" w:rsidRDefault="00E07E26" w:rsidP="00E07E26">
      <w:r w:rsidRPr="00475676">
        <w:fldChar w:fldCharType="begin"/>
      </w:r>
      <w:r w:rsidRPr="00475676">
        <w:instrText xml:space="preserve"> DOCPROPERTY  "Offering Name"  \* MERGEFORMAT </w:instrText>
      </w:r>
      <w:r w:rsidRPr="00475676">
        <w:fldChar w:fldCharType="separate"/>
      </w:r>
      <w:r w:rsidRPr="00475676">
        <w:t xml:space="preserve">Cybersecurity Risk Review </w:t>
      </w:r>
      <w:r w:rsidRPr="00475676">
        <w:fldChar w:fldCharType="end"/>
      </w:r>
      <w:r w:rsidRPr="00475676">
        <w:t xml:space="preserve">is </w:t>
      </w:r>
      <w:bookmarkEnd w:id="7"/>
      <w:r w:rsidRPr="00475676">
        <w:t>an assessment that organizations can use to evaluate their current security environments related to technical, organizational, and operational controls.</w:t>
      </w:r>
    </w:p>
    <w:p w14:paraId="1423B275" w14:textId="5337507B" w:rsidR="00283DB0" w:rsidRPr="00B86360" w:rsidRDefault="00A10B8D" w:rsidP="005B57E0">
      <w:pPr>
        <w:pStyle w:val="Optional"/>
        <w:rPr>
          <w:color w:val="auto"/>
        </w:rPr>
      </w:pPr>
      <w:r w:rsidRPr="00B86360">
        <w:rPr>
          <w:color w:val="auto"/>
        </w:rPr>
        <w:fldChar w:fldCharType="begin"/>
      </w:r>
      <w:r w:rsidRPr="00B86360">
        <w:rPr>
          <w:color w:val="auto"/>
        </w:rPr>
        <w:instrText>DOCPROPERTY  "Offering Name"  \* MERGEFORMAT</w:instrText>
      </w:r>
      <w:r w:rsidRPr="00B86360">
        <w:rPr>
          <w:color w:val="auto"/>
        </w:rPr>
        <w:fldChar w:fldCharType="separate"/>
      </w:r>
      <w:r w:rsidR="00E07E26" w:rsidRPr="00B86360">
        <w:rPr>
          <w:color w:val="auto"/>
        </w:rPr>
        <w:t xml:space="preserve">Cybersecurity Risk Review </w:t>
      </w:r>
      <w:r w:rsidRPr="00B86360">
        <w:rPr>
          <w:color w:val="auto"/>
        </w:rPr>
        <w:fldChar w:fldCharType="end"/>
      </w:r>
      <w:r w:rsidR="00E07E26" w:rsidRPr="00B86360">
        <w:rPr>
          <w:color w:val="auto"/>
        </w:rPr>
        <w:t xml:space="preserve">will use current Microsoft recommendations and align to industry standards and frameworks such as </w:t>
      </w:r>
      <w:bookmarkStart w:id="11" w:name="_Hlk492297804"/>
      <w:r w:rsidR="00E07E26" w:rsidRPr="00B86360">
        <w:rPr>
          <w:color w:val="auto"/>
        </w:rPr>
        <w:t>ISO</w:t>
      </w:r>
      <w:r w:rsidR="00D81458" w:rsidRPr="00B86360">
        <w:rPr>
          <w:color w:val="auto"/>
        </w:rPr>
        <w:t>/</w:t>
      </w:r>
      <w:r w:rsidR="00E07E26" w:rsidRPr="00B86360">
        <w:rPr>
          <w:color w:val="auto"/>
        </w:rPr>
        <w:t>IEC (International Organization for Standardization</w:t>
      </w:r>
      <w:r w:rsidR="00D34F21" w:rsidRPr="00B86360">
        <w:rPr>
          <w:color w:val="auto"/>
        </w:rPr>
        <w:t>/</w:t>
      </w:r>
      <w:r w:rsidR="00E07E26" w:rsidRPr="00B86360">
        <w:rPr>
          <w:color w:val="auto"/>
        </w:rPr>
        <w:t>International Electrotechnical Commission) 27001:2013, 27002:2013</w:t>
      </w:r>
      <w:r w:rsidR="006A7991" w:rsidRPr="00B86360">
        <w:rPr>
          <w:color w:val="auto"/>
        </w:rPr>
        <w:t>,</w:t>
      </w:r>
      <w:r w:rsidR="00E07E26" w:rsidRPr="00B86360">
        <w:rPr>
          <w:color w:val="auto"/>
        </w:rPr>
        <w:t xml:space="preserve"> and 27017:2015 standards</w:t>
      </w:r>
      <w:bookmarkEnd w:id="11"/>
      <w:r w:rsidR="00E07E26" w:rsidRPr="00B86360">
        <w:rPr>
          <w:color w:val="auto"/>
        </w:rPr>
        <w:t>, and National Institute of Standards and Technology Cybersecurity Framework.</w:t>
      </w:r>
    </w:p>
    <w:p w14:paraId="228842FE" w14:textId="77777777" w:rsidR="00C81329" w:rsidRPr="00475676" w:rsidRDefault="00C81329" w:rsidP="00C84DD9">
      <w:pPr>
        <w:pStyle w:val="Heading1"/>
      </w:pPr>
      <w:bookmarkStart w:id="12" w:name="_Toc6832768"/>
      <w:r w:rsidRPr="00475676">
        <w:t xml:space="preserve">Project </w:t>
      </w:r>
      <w:r w:rsidR="00D8456D" w:rsidRPr="00475676">
        <w:t>objective</w:t>
      </w:r>
      <w:r w:rsidR="00267D79" w:rsidRPr="00475676">
        <w:t>s</w:t>
      </w:r>
      <w:r w:rsidR="00D8456D" w:rsidRPr="00475676">
        <w:t xml:space="preserve"> and scope</w:t>
      </w:r>
      <w:bookmarkEnd w:id="8"/>
      <w:bookmarkEnd w:id="9"/>
      <w:bookmarkEnd w:id="10"/>
      <w:bookmarkEnd w:id="12"/>
    </w:p>
    <w:p w14:paraId="228842FF" w14:textId="77777777" w:rsidR="005A1C5E" w:rsidRPr="00475676" w:rsidRDefault="005A1C5E" w:rsidP="00C84DD9">
      <w:pPr>
        <w:pStyle w:val="Heading2"/>
      </w:pPr>
      <w:bookmarkStart w:id="13" w:name="_Toc476167703"/>
      <w:bookmarkStart w:id="14" w:name="_Toc476168023"/>
      <w:bookmarkStart w:id="15" w:name="_Toc6832769"/>
      <w:r w:rsidRPr="00475676">
        <w:t>Objectives</w:t>
      </w:r>
      <w:bookmarkEnd w:id="13"/>
      <w:bookmarkEnd w:id="14"/>
      <w:bookmarkEnd w:id="15"/>
    </w:p>
    <w:p w14:paraId="386A5266" w14:textId="77777777" w:rsidR="00377937" w:rsidRPr="00475676" w:rsidRDefault="00377937" w:rsidP="00377937">
      <w:bookmarkStart w:id="16" w:name="_Toc476167704"/>
      <w:bookmarkStart w:id="17" w:name="_Toc476168024"/>
      <w:bookmarkStart w:id="18" w:name="_Ref477786310"/>
      <w:r w:rsidRPr="00475676">
        <w:t>The objectives of this engagement are defined as follows:</w:t>
      </w:r>
    </w:p>
    <w:p w14:paraId="61E7E600" w14:textId="53EEA011" w:rsidR="00377937" w:rsidRPr="00475676" w:rsidRDefault="00751260" w:rsidP="00666704">
      <w:pPr>
        <w:pStyle w:val="Bulletlist"/>
      </w:pPr>
      <w:r>
        <w:t>A</w:t>
      </w:r>
      <w:r w:rsidR="00377937" w:rsidRPr="00475676">
        <w:t>ssess current organizational and technical security practices and identify any potential security gaps that could expose the Customer</w:t>
      </w:r>
      <w:r w:rsidR="00543467" w:rsidRPr="00475676">
        <w:t xml:space="preserve"> </w:t>
      </w:r>
      <w:r w:rsidR="00377937" w:rsidRPr="00475676">
        <w:t>information assets to risk</w:t>
      </w:r>
      <w:r>
        <w:t>.</w:t>
      </w:r>
    </w:p>
    <w:p w14:paraId="45805D1D" w14:textId="010F6ABA" w:rsidR="002C51B3" w:rsidRPr="00475676" w:rsidRDefault="00551C90" w:rsidP="00666704">
      <w:pPr>
        <w:pStyle w:val="Bulletlist"/>
      </w:pPr>
      <w:r>
        <w:t>P</w:t>
      </w:r>
      <w:r w:rsidR="00377937" w:rsidRPr="00475676">
        <w:t>roduce an assessment report that documents security gaps</w:t>
      </w:r>
      <w:r>
        <w:t>.</w:t>
      </w:r>
    </w:p>
    <w:p w14:paraId="055F8FBD" w14:textId="415467DC" w:rsidR="00377937" w:rsidRPr="00475676" w:rsidRDefault="00551C90" w:rsidP="00666704">
      <w:pPr>
        <w:pStyle w:val="Bulletlist"/>
      </w:pPr>
      <w:r>
        <w:t>P</w:t>
      </w:r>
      <w:r w:rsidR="00377937" w:rsidRPr="00475676">
        <w:t xml:space="preserve">roduce a roadmap to help the Customer improve </w:t>
      </w:r>
      <w:r>
        <w:t xml:space="preserve">its </w:t>
      </w:r>
      <w:r w:rsidR="00377937" w:rsidRPr="00475676">
        <w:t>security posture in the assessed areas</w:t>
      </w:r>
      <w:r>
        <w:t>.</w:t>
      </w:r>
    </w:p>
    <w:p w14:paraId="3E19F16B" w14:textId="744061C8" w:rsidR="00377937" w:rsidRPr="00475676" w:rsidRDefault="00551C90" w:rsidP="00666704">
      <w:pPr>
        <w:pStyle w:val="Bulletlist"/>
      </w:pPr>
      <w:r>
        <w:t>P</w:t>
      </w:r>
      <w:r w:rsidR="00377937" w:rsidRPr="00475676">
        <w:t xml:space="preserve">rovide recommendations on how to remediate findings based on recommended industry practices, Microsoft recommendations, and security policies approved and documented by </w:t>
      </w:r>
      <w:r w:rsidR="00543467" w:rsidRPr="00475676">
        <w:t>the Customer</w:t>
      </w:r>
      <w:r>
        <w:t>.</w:t>
      </w:r>
    </w:p>
    <w:p w14:paraId="22884301" w14:textId="77777777" w:rsidR="00D8456D" w:rsidRPr="00475676" w:rsidRDefault="004C2A6F" w:rsidP="00C84DD9">
      <w:pPr>
        <w:pStyle w:val="Heading2"/>
      </w:pPr>
      <w:bookmarkStart w:id="19" w:name="_Toc6832770"/>
      <w:r w:rsidRPr="00475676">
        <w:t xml:space="preserve">Areas </w:t>
      </w:r>
      <w:r w:rsidR="00D8456D" w:rsidRPr="00475676">
        <w:t>in scope</w:t>
      </w:r>
      <w:bookmarkEnd w:id="16"/>
      <w:bookmarkEnd w:id="17"/>
      <w:bookmarkEnd w:id="18"/>
      <w:bookmarkEnd w:id="19"/>
    </w:p>
    <w:p w14:paraId="22884302" w14:textId="77777777" w:rsidR="00390A88" w:rsidRPr="00475676" w:rsidRDefault="00390A88" w:rsidP="00C84DD9">
      <w:pPr>
        <w:pStyle w:val="Heading3"/>
      </w:pPr>
      <w:bookmarkStart w:id="20" w:name="_Toc476168025"/>
      <w:r w:rsidRPr="00475676">
        <w:t>General project scope</w:t>
      </w:r>
      <w:bookmarkEnd w:id="20"/>
    </w:p>
    <w:p w14:paraId="22884304" w14:textId="77777777" w:rsidR="005A1C5E" w:rsidRPr="00475676" w:rsidRDefault="005A1C5E" w:rsidP="00E618D7">
      <w:r w:rsidRPr="00475676">
        <w:t xml:space="preserve">Microsoft will provide </w:t>
      </w:r>
      <w:r w:rsidR="0001741F" w:rsidRPr="00475676">
        <w:t>S</w:t>
      </w:r>
      <w:r w:rsidR="00BE40E6" w:rsidRPr="00475676">
        <w:t xml:space="preserve">ervices </w:t>
      </w:r>
      <w:r w:rsidRPr="00475676">
        <w:t>in support of the following scope</w:t>
      </w:r>
      <w:r w:rsidR="00BE40E6" w:rsidRPr="00475676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622"/>
        <w:gridCol w:w="3960"/>
        <w:gridCol w:w="3777"/>
      </w:tblGrid>
      <w:tr w:rsidR="00390A88" w:rsidRPr="00475676" w14:paraId="22884308" w14:textId="77777777" w:rsidTr="00666704">
        <w:trPr>
          <w:trHeight w:val="360"/>
          <w:tblHeader/>
        </w:trPr>
        <w:tc>
          <w:tcPr>
            <w:tcW w:w="1622" w:type="dxa"/>
            <w:shd w:val="clear" w:color="auto" w:fill="008272"/>
          </w:tcPr>
          <w:p w14:paraId="22884305" w14:textId="77777777" w:rsidR="00390A88" w:rsidRPr="00475676" w:rsidRDefault="00884E0D" w:rsidP="00057271">
            <w:pPr>
              <w:pStyle w:val="Table-Header"/>
            </w:pPr>
            <w:r w:rsidRPr="00475676">
              <w:t>Area</w:t>
            </w:r>
          </w:p>
        </w:tc>
        <w:tc>
          <w:tcPr>
            <w:tcW w:w="3960" w:type="dxa"/>
            <w:shd w:val="clear" w:color="auto" w:fill="008272"/>
          </w:tcPr>
          <w:p w14:paraId="22884306" w14:textId="31DEF959" w:rsidR="00390A88" w:rsidRPr="00475676" w:rsidRDefault="00390A88" w:rsidP="00057271">
            <w:pPr>
              <w:pStyle w:val="Table-Header"/>
            </w:pPr>
            <w:r w:rsidRPr="00475676">
              <w:t>Description</w:t>
            </w:r>
          </w:p>
        </w:tc>
        <w:tc>
          <w:tcPr>
            <w:tcW w:w="3777" w:type="dxa"/>
            <w:shd w:val="clear" w:color="auto" w:fill="008272"/>
          </w:tcPr>
          <w:p w14:paraId="22884307" w14:textId="77777777" w:rsidR="00390A88" w:rsidRPr="00475676" w:rsidRDefault="00390A88" w:rsidP="00057271">
            <w:pPr>
              <w:pStyle w:val="Table-Header"/>
            </w:pPr>
            <w:r w:rsidRPr="00475676">
              <w:t>Assumptions</w:t>
            </w:r>
          </w:p>
        </w:tc>
      </w:tr>
      <w:tr w:rsidR="00F173CB" w:rsidRPr="00475676" w14:paraId="22884310" w14:textId="77777777" w:rsidTr="00666704">
        <w:trPr>
          <w:trHeight w:val="432"/>
        </w:trPr>
        <w:tc>
          <w:tcPr>
            <w:tcW w:w="1622" w:type="dxa"/>
            <w:shd w:val="clear" w:color="auto" w:fill="auto"/>
          </w:tcPr>
          <w:p w14:paraId="2288430D" w14:textId="299A0A92" w:rsidR="00F173CB" w:rsidRPr="005F707E" w:rsidRDefault="00F173CB" w:rsidP="00F173CB">
            <w:pPr>
              <w:pStyle w:val="Optional"/>
              <w:rPr>
                <w:color w:val="auto"/>
              </w:rPr>
            </w:pPr>
            <w:r w:rsidRPr="005F707E">
              <w:rPr>
                <w:color w:val="auto"/>
              </w:rPr>
              <w:t xml:space="preserve">Educational </w:t>
            </w:r>
            <w:r w:rsidR="00B058D9" w:rsidRPr="005F707E">
              <w:rPr>
                <w:color w:val="auto"/>
              </w:rPr>
              <w:t>w</w:t>
            </w:r>
            <w:r w:rsidRPr="005F707E">
              <w:rPr>
                <w:color w:val="auto"/>
              </w:rPr>
              <w:t>orkshop (IT)</w:t>
            </w:r>
          </w:p>
        </w:tc>
        <w:tc>
          <w:tcPr>
            <w:tcW w:w="3960" w:type="dxa"/>
            <w:shd w:val="clear" w:color="auto" w:fill="FFFFFF" w:themeFill="background1"/>
          </w:tcPr>
          <w:p w14:paraId="21FC7A4F" w14:textId="0F5DD56F" w:rsidR="00F173CB" w:rsidRPr="005F707E" w:rsidRDefault="00F173CB" w:rsidP="00F173CB">
            <w:pPr>
              <w:pStyle w:val="Optional"/>
              <w:rPr>
                <w:color w:val="auto"/>
              </w:rPr>
            </w:pPr>
            <w:r w:rsidRPr="005F707E">
              <w:rPr>
                <w:color w:val="auto"/>
              </w:rPr>
              <w:t>Microsoft will conduct 1 education workshop</w:t>
            </w:r>
            <w:r w:rsidR="00A45165" w:rsidRPr="005F707E">
              <w:rPr>
                <w:color w:val="auto"/>
              </w:rPr>
              <w:t xml:space="preserve">, </w:t>
            </w:r>
            <w:r w:rsidRPr="005F707E">
              <w:rPr>
                <w:color w:val="auto"/>
              </w:rPr>
              <w:t xml:space="preserve">time-boxed </w:t>
            </w:r>
            <w:r w:rsidR="00A45165" w:rsidRPr="005F707E">
              <w:rPr>
                <w:color w:val="auto"/>
              </w:rPr>
              <w:t>to</w:t>
            </w:r>
            <w:r w:rsidRPr="005F707E">
              <w:rPr>
                <w:color w:val="auto"/>
              </w:rPr>
              <w:t xml:space="preserve"> 2 hours.</w:t>
            </w:r>
          </w:p>
          <w:p w14:paraId="6DECDEDF" w14:textId="1098D719" w:rsidR="00F173CB" w:rsidRPr="005F707E" w:rsidRDefault="00F173CB" w:rsidP="00666704">
            <w:pPr>
              <w:pStyle w:val="Optional"/>
              <w:numPr>
                <w:ilvl w:val="0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Information </w:t>
            </w:r>
            <w:r w:rsidR="00A45165" w:rsidRPr="005F707E">
              <w:rPr>
                <w:color w:val="auto"/>
              </w:rPr>
              <w:t>s</w:t>
            </w:r>
            <w:r w:rsidRPr="005F707E">
              <w:rPr>
                <w:color w:val="auto"/>
              </w:rPr>
              <w:t xml:space="preserve">ecurity </w:t>
            </w:r>
            <w:r w:rsidR="00A45165" w:rsidRPr="005F707E">
              <w:rPr>
                <w:color w:val="auto"/>
              </w:rPr>
              <w:t>m</w:t>
            </w:r>
            <w:r w:rsidRPr="005F707E">
              <w:rPr>
                <w:color w:val="auto"/>
              </w:rPr>
              <w:t>anagement</w:t>
            </w:r>
          </w:p>
          <w:p w14:paraId="332EF75D" w14:textId="4B490F99" w:rsidR="00F173CB" w:rsidRPr="005F707E" w:rsidRDefault="00F173CB" w:rsidP="00666704">
            <w:pPr>
              <w:pStyle w:val="Optional"/>
              <w:numPr>
                <w:ilvl w:val="0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>Relevant ISO</w:t>
            </w:r>
            <w:r w:rsidR="00D81458" w:rsidRPr="005F707E">
              <w:rPr>
                <w:color w:val="auto"/>
              </w:rPr>
              <w:t>/</w:t>
            </w:r>
            <w:r w:rsidRPr="005F707E">
              <w:rPr>
                <w:color w:val="auto"/>
              </w:rPr>
              <w:t xml:space="preserve">IEC 27000 </w:t>
            </w:r>
            <w:r w:rsidR="00B63178" w:rsidRPr="005F707E">
              <w:rPr>
                <w:color w:val="auto"/>
              </w:rPr>
              <w:t>s</w:t>
            </w:r>
            <w:r w:rsidRPr="005F707E">
              <w:rPr>
                <w:color w:val="auto"/>
              </w:rPr>
              <w:t>tandards:</w:t>
            </w:r>
          </w:p>
          <w:p w14:paraId="2BD4896C" w14:textId="77777777" w:rsidR="00F173CB" w:rsidRPr="005F707E" w:rsidRDefault="00F173CB" w:rsidP="00666704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ISO/IEC 27001:2013 Information technology - Security techniques - Information security </w:t>
            </w:r>
            <w:r w:rsidRPr="005F707E">
              <w:rPr>
                <w:color w:val="auto"/>
              </w:rPr>
              <w:lastRenderedPageBreak/>
              <w:t>management systems - Requirements</w:t>
            </w:r>
          </w:p>
          <w:p w14:paraId="13A8B786" w14:textId="4B7E6C23" w:rsidR="00F173CB" w:rsidRPr="005F707E" w:rsidRDefault="00F173CB" w:rsidP="00666704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>ISO/IEC 27002:2013 Information technology - Security techniques - Code of practice for information security controls</w:t>
            </w:r>
          </w:p>
          <w:p w14:paraId="4A954780" w14:textId="77777777" w:rsidR="00F173CB" w:rsidRPr="005F707E" w:rsidRDefault="00F173CB" w:rsidP="00666704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>ISO/IEC 27017:2015 Information technology - Security techniques - Code of practice for information security controls based on ISO/IEC 27002 for cloud services</w:t>
            </w:r>
          </w:p>
          <w:p w14:paraId="719E0073" w14:textId="77777777" w:rsidR="00F173CB" w:rsidRPr="005F707E" w:rsidRDefault="00F173CB" w:rsidP="00666704">
            <w:pPr>
              <w:pStyle w:val="TableBullet1"/>
              <w:rPr>
                <w:rFonts w:ascii="Segoe UI Semilight" w:hAnsi="Segoe UI Semilight"/>
              </w:rPr>
            </w:pPr>
            <w:r w:rsidRPr="005F707E">
              <w:t xml:space="preserve">Assessment scope </w:t>
            </w:r>
            <w:r w:rsidR="00D34F21" w:rsidRPr="005F707E">
              <w:t>and</w:t>
            </w:r>
            <w:r w:rsidRPr="005F707E">
              <w:t xml:space="preserve"> details</w:t>
            </w:r>
            <w:r w:rsidR="0088581F" w:rsidRPr="005F707E">
              <w:t>:</w:t>
            </w:r>
          </w:p>
          <w:p w14:paraId="44ED5CC2" w14:textId="2EFC8EBD" w:rsidR="00AE09E3" w:rsidRPr="005F707E" w:rsidRDefault="00AE09E3" w:rsidP="00DB09F1">
            <w:pPr>
              <w:pStyle w:val="TableBullet1"/>
              <w:numPr>
                <w:ilvl w:val="1"/>
                <w:numId w:val="37"/>
              </w:numPr>
              <w:rPr>
                <w:rFonts w:ascii="Segoe UI Semilight" w:hAnsi="Segoe UI Semilight"/>
              </w:rPr>
            </w:pPr>
            <w:r w:rsidRPr="005F707E">
              <w:t>Overview</w:t>
            </w:r>
            <w:r w:rsidR="00077C0E" w:rsidRPr="005F707E">
              <w:t xml:space="preserve"> of the assessment scope</w:t>
            </w:r>
          </w:p>
          <w:p w14:paraId="2288430E" w14:textId="72014B84" w:rsidR="00DB09F1" w:rsidRPr="005F707E" w:rsidRDefault="00DB09F1" w:rsidP="00EE338B">
            <w:pPr>
              <w:pStyle w:val="TableBullet1"/>
              <w:numPr>
                <w:ilvl w:val="1"/>
                <w:numId w:val="37"/>
              </w:numPr>
              <w:rPr>
                <w:rFonts w:ascii="Segoe UI Semilight" w:hAnsi="Segoe UI Semilight"/>
              </w:rPr>
            </w:pPr>
            <w:r w:rsidRPr="005F707E">
              <w:t xml:space="preserve">Detailed description of the domains </w:t>
            </w:r>
          </w:p>
        </w:tc>
        <w:tc>
          <w:tcPr>
            <w:tcW w:w="3777" w:type="dxa"/>
            <w:shd w:val="clear" w:color="auto" w:fill="FFFFFF" w:themeFill="background1"/>
          </w:tcPr>
          <w:p w14:paraId="2288430F" w14:textId="20E3157B" w:rsidR="00F173CB" w:rsidRPr="00475676" w:rsidRDefault="00F173CB" w:rsidP="00F173CB">
            <w:pPr>
              <w:pStyle w:val="Optional"/>
              <w:rPr>
                <w:rFonts w:ascii="Segoe UI Semilight" w:hAnsi="Segoe UI Semilight"/>
              </w:rPr>
            </w:pPr>
            <w:r w:rsidRPr="005F707E">
              <w:rPr>
                <w:color w:val="auto"/>
              </w:rPr>
              <w:lastRenderedPageBreak/>
              <w:t xml:space="preserve">The </w:t>
            </w:r>
            <w:r w:rsidR="00BF3482" w:rsidRPr="005F707E">
              <w:rPr>
                <w:color w:val="auto"/>
              </w:rPr>
              <w:t>C</w:t>
            </w:r>
            <w:r w:rsidRPr="005F707E">
              <w:rPr>
                <w:color w:val="auto"/>
              </w:rPr>
              <w:t>ustomer has made the appropriate personnel available to gain value from the workshop and has provided an appropriate facility or room that can be used to host the meeting.</w:t>
            </w:r>
          </w:p>
        </w:tc>
      </w:tr>
      <w:tr w:rsidR="00F173CB" w:rsidRPr="00475676" w14:paraId="64DA562A" w14:textId="77777777" w:rsidTr="00666704">
        <w:trPr>
          <w:trHeight w:val="432"/>
        </w:trPr>
        <w:tc>
          <w:tcPr>
            <w:tcW w:w="1622" w:type="dxa"/>
            <w:shd w:val="clear" w:color="auto" w:fill="auto"/>
          </w:tcPr>
          <w:p w14:paraId="2C61CFBF" w14:textId="2728766E" w:rsidR="00F173CB" w:rsidRPr="005F707E" w:rsidRDefault="00F173CB" w:rsidP="00ED3365">
            <w:pPr>
              <w:pStyle w:val="Optional"/>
              <w:rPr>
                <w:color w:val="auto"/>
              </w:rPr>
            </w:pPr>
            <w:r w:rsidRPr="005F707E">
              <w:rPr>
                <w:color w:val="auto"/>
              </w:rPr>
              <w:t xml:space="preserve">Interview (IT) </w:t>
            </w:r>
          </w:p>
        </w:tc>
        <w:tc>
          <w:tcPr>
            <w:tcW w:w="3960" w:type="dxa"/>
            <w:shd w:val="clear" w:color="auto" w:fill="FFFFFF" w:themeFill="background1"/>
          </w:tcPr>
          <w:p w14:paraId="56542663" w14:textId="01F32137" w:rsidR="00F173CB" w:rsidRPr="005F707E" w:rsidRDefault="00F173CB" w:rsidP="00FE7A9A">
            <w:pPr>
              <w:pStyle w:val="Optional"/>
              <w:rPr>
                <w:color w:val="auto"/>
              </w:rPr>
            </w:pPr>
            <w:r w:rsidRPr="005F707E">
              <w:rPr>
                <w:color w:val="auto"/>
              </w:rPr>
              <w:t xml:space="preserve">Interviews with key stakeholders to assess </w:t>
            </w:r>
            <w:r w:rsidR="00B26175" w:rsidRPr="005F707E">
              <w:rPr>
                <w:color w:val="auto"/>
              </w:rPr>
              <w:t xml:space="preserve">the </w:t>
            </w:r>
            <w:r w:rsidRPr="005F707E">
              <w:rPr>
                <w:color w:val="auto"/>
              </w:rPr>
              <w:t xml:space="preserve">security posture </w:t>
            </w:r>
            <w:r w:rsidR="00B26175" w:rsidRPr="005F707E">
              <w:rPr>
                <w:color w:val="auto"/>
              </w:rPr>
              <w:t xml:space="preserve">as </w:t>
            </w:r>
            <w:r w:rsidRPr="005F707E">
              <w:rPr>
                <w:color w:val="auto"/>
              </w:rPr>
              <w:t>compared to recommended practices</w:t>
            </w:r>
          </w:p>
          <w:p w14:paraId="7551884A" w14:textId="1601CA90" w:rsidR="00F173CB" w:rsidRPr="005F707E" w:rsidRDefault="00F173CB" w:rsidP="00FE7A9A">
            <w:pPr>
              <w:pStyle w:val="Optional"/>
              <w:rPr>
                <w:color w:val="auto"/>
              </w:rPr>
            </w:pPr>
            <w:r w:rsidRPr="005F707E">
              <w:rPr>
                <w:rStyle w:val="InstructionalChar"/>
                <w:color w:val="auto"/>
              </w:rPr>
              <w:t>16</w:t>
            </w:r>
            <w:r w:rsidRPr="005F707E">
              <w:rPr>
                <w:color w:val="auto"/>
              </w:rPr>
              <w:t xml:space="preserve"> meetings</w:t>
            </w:r>
            <w:r w:rsidR="00B26175" w:rsidRPr="005F707E">
              <w:rPr>
                <w:color w:val="auto"/>
              </w:rPr>
              <w:t xml:space="preserve"> or </w:t>
            </w:r>
            <w:r w:rsidRPr="005F707E">
              <w:rPr>
                <w:color w:val="auto"/>
              </w:rPr>
              <w:t>interviews (up to 2 hours each) covering:</w:t>
            </w:r>
          </w:p>
          <w:p w14:paraId="53E68767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Information security policy</w:t>
            </w:r>
          </w:p>
          <w:p w14:paraId="4DE55275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Organization of information security</w:t>
            </w:r>
          </w:p>
          <w:p w14:paraId="71993CC0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Human resource security</w:t>
            </w:r>
          </w:p>
          <w:p w14:paraId="1EBC8152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Asset management</w:t>
            </w:r>
          </w:p>
          <w:p w14:paraId="40B9EC19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Access control</w:t>
            </w:r>
          </w:p>
          <w:p w14:paraId="37A35599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Cryptography</w:t>
            </w:r>
          </w:p>
          <w:p w14:paraId="1017923F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Physical and environmental security</w:t>
            </w:r>
          </w:p>
          <w:p w14:paraId="73522F2F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Operations security</w:t>
            </w:r>
          </w:p>
          <w:p w14:paraId="32E91609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Communications security</w:t>
            </w:r>
          </w:p>
          <w:p w14:paraId="32FF29C4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System acquisition, development, and maintenance</w:t>
            </w:r>
          </w:p>
          <w:p w14:paraId="01F21D86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Supplier relationships</w:t>
            </w:r>
          </w:p>
          <w:p w14:paraId="40633E93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Information security incident management</w:t>
            </w:r>
          </w:p>
          <w:p w14:paraId="3A645D47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lastRenderedPageBreak/>
              <w:t>Information security aspects of business continuity management</w:t>
            </w:r>
          </w:p>
          <w:p w14:paraId="375B4F66" w14:textId="77777777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Compliance</w:t>
            </w:r>
          </w:p>
          <w:p w14:paraId="52A6EBAA" w14:textId="22E805F0" w:rsidR="005970B8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Cloud</w:t>
            </w:r>
          </w:p>
          <w:p w14:paraId="3F6B93B9" w14:textId="72B10146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>Privacy</w:t>
            </w:r>
          </w:p>
        </w:tc>
        <w:tc>
          <w:tcPr>
            <w:tcW w:w="3777" w:type="dxa"/>
            <w:shd w:val="clear" w:color="auto" w:fill="FFFFFF" w:themeFill="background1"/>
          </w:tcPr>
          <w:p w14:paraId="0B8AD47E" w14:textId="3C82D1D1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lastRenderedPageBreak/>
              <w:t xml:space="preserve">The </w:t>
            </w:r>
            <w:r w:rsidR="00BF3482" w:rsidRPr="005F707E">
              <w:rPr>
                <w:color w:val="auto"/>
              </w:rPr>
              <w:t>C</w:t>
            </w:r>
            <w:r w:rsidRPr="005F707E">
              <w:rPr>
                <w:color w:val="auto"/>
              </w:rPr>
              <w:t xml:space="preserve">ustomer has </w:t>
            </w:r>
            <w:r w:rsidR="00415F48" w:rsidRPr="005F707E">
              <w:rPr>
                <w:color w:val="auto"/>
              </w:rPr>
              <w:t xml:space="preserve">equipped </w:t>
            </w:r>
            <w:r w:rsidRPr="005F707E">
              <w:rPr>
                <w:color w:val="auto"/>
              </w:rPr>
              <w:t xml:space="preserve">personnel to accurately answer the interview questions available to the assessors (refer to </w:t>
            </w:r>
            <w:r w:rsidR="009E4565" w:rsidRPr="005F707E">
              <w:rPr>
                <w:color w:val="auto"/>
              </w:rPr>
              <w:t>the e</w:t>
            </w:r>
            <w:r w:rsidRPr="005F707E">
              <w:rPr>
                <w:color w:val="auto"/>
              </w:rPr>
              <w:t xml:space="preserve">ngagement </w:t>
            </w:r>
            <w:r w:rsidR="009E4565" w:rsidRPr="005F707E">
              <w:rPr>
                <w:color w:val="auto"/>
              </w:rPr>
              <w:t>p</w:t>
            </w:r>
            <w:r w:rsidRPr="005F707E">
              <w:rPr>
                <w:color w:val="auto"/>
              </w:rPr>
              <w:t xml:space="preserve">reparation </w:t>
            </w:r>
            <w:r w:rsidR="009E4565" w:rsidRPr="005F707E">
              <w:rPr>
                <w:color w:val="auto"/>
              </w:rPr>
              <w:t>g</w:t>
            </w:r>
            <w:r w:rsidRPr="005F707E">
              <w:rPr>
                <w:color w:val="auto"/>
              </w:rPr>
              <w:t xml:space="preserve">uide document for </w:t>
            </w:r>
            <w:r w:rsidR="0025598A" w:rsidRPr="005F707E">
              <w:rPr>
                <w:color w:val="auto"/>
              </w:rPr>
              <w:t xml:space="preserve">the </w:t>
            </w:r>
            <w:r w:rsidRPr="005F707E">
              <w:rPr>
                <w:color w:val="auto"/>
              </w:rPr>
              <w:t>interview</w:t>
            </w:r>
            <w:r w:rsidR="009E4565" w:rsidRPr="005F707E">
              <w:rPr>
                <w:color w:val="auto"/>
              </w:rPr>
              <w:t xml:space="preserve"> or </w:t>
            </w:r>
            <w:r w:rsidRPr="005F707E">
              <w:rPr>
                <w:color w:val="auto"/>
              </w:rPr>
              <w:t>meeting stakeholder list)</w:t>
            </w:r>
            <w:r w:rsidR="009E4565" w:rsidRPr="005F707E">
              <w:rPr>
                <w:color w:val="auto"/>
              </w:rPr>
              <w:t>.</w:t>
            </w:r>
          </w:p>
          <w:p w14:paraId="68069533" w14:textId="5F0064C9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 xml:space="preserve">Pre-engagement scheduling has been completed by the </w:t>
            </w:r>
            <w:r w:rsidR="00BF3482" w:rsidRPr="005F707E">
              <w:rPr>
                <w:color w:val="auto"/>
              </w:rPr>
              <w:t>C</w:t>
            </w:r>
            <w:r w:rsidRPr="005F707E">
              <w:rPr>
                <w:color w:val="auto"/>
              </w:rPr>
              <w:t>ustomer.</w:t>
            </w:r>
          </w:p>
          <w:p w14:paraId="5F96C4E7" w14:textId="0FDB2CF0" w:rsidR="00F173CB" w:rsidRPr="005F707E" w:rsidRDefault="00F173CB" w:rsidP="005E1B5E">
            <w:pPr>
              <w:pStyle w:val="Optional"/>
              <w:numPr>
                <w:ilvl w:val="0"/>
                <w:numId w:val="15"/>
              </w:numPr>
              <w:ind w:left="360"/>
              <w:rPr>
                <w:color w:val="auto"/>
              </w:rPr>
            </w:pPr>
            <w:r w:rsidRPr="005F707E">
              <w:rPr>
                <w:color w:val="auto"/>
              </w:rPr>
              <w:t xml:space="preserve">The </w:t>
            </w:r>
            <w:r w:rsidR="00BF3482" w:rsidRPr="005F707E">
              <w:rPr>
                <w:color w:val="auto"/>
              </w:rPr>
              <w:t>C</w:t>
            </w:r>
            <w:r w:rsidRPr="005F707E">
              <w:rPr>
                <w:color w:val="auto"/>
              </w:rPr>
              <w:t>ustomer has securely shared any relevant documentation that can be reviewed by the consultant prior to arriving onsite (such as, but not limited to):</w:t>
            </w:r>
          </w:p>
          <w:p w14:paraId="360CCA07" w14:textId="5DB9A4D4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Information </w:t>
            </w:r>
            <w:r w:rsidR="007D3687" w:rsidRPr="005F707E">
              <w:rPr>
                <w:color w:val="auto"/>
              </w:rPr>
              <w:t>s</w:t>
            </w:r>
            <w:r w:rsidRPr="005F707E">
              <w:rPr>
                <w:color w:val="auto"/>
              </w:rPr>
              <w:t xml:space="preserve">ecurity </w:t>
            </w:r>
            <w:r w:rsidR="007D3687" w:rsidRPr="005F707E">
              <w:rPr>
                <w:color w:val="auto"/>
              </w:rPr>
              <w:t>p</w:t>
            </w:r>
            <w:r w:rsidRPr="005F707E">
              <w:rPr>
                <w:color w:val="auto"/>
              </w:rPr>
              <w:t>olicy</w:t>
            </w:r>
          </w:p>
          <w:p w14:paraId="23AF4EE7" w14:textId="192FD874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Organization </w:t>
            </w:r>
            <w:r w:rsidR="007D3687" w:rsidRPr="005F707E">
              <w:rPr>
                <w:color w:val="auto"/>
              </w:rPr>
              <w:t>c</w:t>
            </w:r>
            <w:r w:rsidRPr="005F707E">
              <w:rPr>
                <w:color w:val="auto"/>
              </w:rPr>
              <w:t>harts</w:t>
            </w:r>
          </w:p>
          <w:p w14:paraId="1772BE06" w14:textId="5A52036D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>H</w:t>
            </w:r>
            <w:r w:rsidR="005459B8" w:rsidRPr="005F707E">
              <w:rPr>
                <w:color w:val="auto"/>
              </w:rPr>
              <w:t xml:space="preserve">uman </w:t>
            </w:r>
            <w:r w:rsidR="007D3687" w:rsidRPr="005F707E">
              <w:rPr>
                <w:color w:val="auto"/>
              </w:rPr>
              <w:t>r</w:t>
            </w:r>
            <w:r w:rsidR="005459B8" w:rsidRPr="005F707E">
              <w:rPr>
                <w:color w:val="auto"/>
              </w:rPr>
              <w:t>esources</w:t>
            </w:r>
            <w:r w:rsidRPr="005F707E">
              <w:rPr>
                <w:color w:val="auto"/>
              </w:rPr>
              <w:t xml:space="preserve"> re-hire</w:t>
            </w:r>
            <w:r w:rsidR="007D3687" w:rsidRPr="005F707E">
              <w:rPr>
                <w:color w:val="auto"/>
              </w:rPr>
              <w:t xml:space="preserve"> and </w:t>
            </w:r>
            <w:r w:rsidRPr="005F707E">
              <w:rPr>
                <w:color w:val="auto"/>
              </w:rPr>
              <w:t>termination policies</w:t>
            </w:r>
          </w:p>
          <w:p w14:paraId="27F0B84F" w14:textId="577642EC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Asset </w:t>
            </w:r>
            <w:r w:rsidR="007D3687" w:rsidRPr="005F707E">
              <w:rPr>
                <w:color w:val="auto"/>
              </w:rPr>
              <w:t>m</w:t>
            </w:r>
            <w:r w:rsidRPr="005F707E">
              <w:rPr>
                <w:color w:val="auto"/>
              </w:rPr>
              <w:t>anagement plan</w:t>
            </w:r>
            <w:r w:rsidR="007D3687" w:rsidRPr="005F707E">
              <w:rPr>
                <w:color w:val="auto"/>
              </w:rPr>
              <w:t xml:space="preserve"> and </w:t>
            </w:r>
            <w:r w:rsidRPr="005F707E">
              <w:rPr>
                <w:color w:val="auto"/>
              </w:rPr>
              <w:t>procedures</w:t>
            </w:r>
          </w:p>
          <w:p w14:paraId="58DB7727" w14:textId="0D3CC065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Access </w:t>
            </w:r>
            <w:r w:rsidR="007D3687" w:rsidRPr="005F707E">
              <w:rPr>
                <w:color w:val="auto"/>
              </w:rPr>
              <w:t>c</w:t>
            </w:r>
            <w:r w:rsidRPr="005F707E">
              <w:rPr>
                <w:color w:val="auto"/>
              </w:rPr>
              <w:t xml:space="preserve">ontrol </w:t>
            </w:r>
            <w:r w:rsidR="007D3687" w:rsidRPr="005F707E">
              <w:rPr>
                <w:color w:val="auto"/>
              </w:rPr>
              <w:t>p</w:t>
            </w:r>
            <w:r w:rsidRPr="005F707E">
              <w:rPr>
                <w:color w:val="auto"/>
              </w:rPr>
              <w:t>olicy</w:t>
            </w:r>
          </w:p>
          <w:p w14:paraId="767705CE" w14:textId="104F15CA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lastRenderedPageBreak/>
              <w:t xml:space="preserve">Cryptography </w:t>
            </w:r>
            <w:r w:rsidR="007D3687" w:rsidRPr="005F707E">
              <w:rPr>
                <w:color w:val="auto"/>
              </w:rPr>
              <w:t>p</w:t>
            </w:r>
            <w:r w:rsidRPr="005F707E">
              <w:rPr>
                <w:color w:val="auto"/>
              </w:rPr>
              <w:t>olicy</w:t>
            </w:r>
          </w:p>
          <w:p w14:paraId="4F26AC97" w14:textId="0E6119FE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Physical </w:t>
            </w:r>
            <w:r w:rsidR="007D3687" w:rsidRPr="005F707E">
              <w:rPr>
                <w:color w:val="auto"/>
              </w:rPr>
              <w:t>s</w:t>
            </w:r>
            <w:r w:rsidRPr="005F707E">
              <w:rPr>
                <w:color w:val="auto"/>
              </w:rPr>
              <w:t xml:space="preserve">ecurity </w:t>
            </w:r>
            <w:r w:rsidR="007D3687" w:rsidRPr="005F707E">
              <w:rPr>
                <w:color w:val="auto"/>
              </w:rPr>
              <w:t>p</w:t>
            </w:r>
            <w:r w:rsidRPr="005F707E">
              <w:rPr>
                <w:color w:val="auto"/>
              </w:rPr>
              <w:t>rocesses</w:t>
            </w:r>
            <w:r w:rsidR="007D3687" w:rsidRPr="005F707E">
              <w:rPr>
                <w:color w:val="auto"/>
              </w:rPr>
              <w:t xml:space="preserve"> and p</w:t>
            </w:r>
            <w:r w:rsidRPr="005F707E">
              <w:rPr>
                <w:color w:val="auto"/>
              </w:rPr>
              <w:t>rocedures</w:t>
            </w:r>
          </w:p>
          <w:p w14:paraId="19B80755" w14:textId="6D26231C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Software </w:t>
            </w:r>
            <w:r w:rsidR="007D3687" w:rsidRPr="005F707E">
              <w:rPr>
                <w:color w:val="auto"/>
              </w:rPr>
              <w:t>d</w:t>
            </w:r>
            <w:r w:rsidRPr="005F707E">
              <w:rPr>
                <w:color w:val="auto"/>
              </w:rPr>
              <w:t xml:space="preserve">evelopment </w:t>
            </w:r>
            <w:r w:rsidR="007D3687" w:rsidRPr="005F707E">
              <w:rPr>
                <w:color w:val="auto"/>
              </w:rPr>
              <w:t>l</w:t>
            </w:r>
            <w:r w:rsidRPr="005F707E">
              <w:rPr>
                <w:color w:val="auto"/>
              </w:rPr>
              <w:t>ife</w:t>
            </w:r>
            <w:r w:rsidR="00960169" w:rsidRPr="005F707E">
              <w:rPr>
                <w:color w:val="auto"/>
              </w:rPr>
              <w:t xml:space="preserve"> </w:t>
            </w:r>
            <w:r w:rsidRPr="005F707E">
              <w:rPr>
                <w:color w:val="auto"/>
              </w:rPr>
              <w:t>cycle procedures</w:t>
            </w:r>
          </w:p>
          <w:p w14:paraId="43FDFFA0" w14:textId="42CE7B3B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Management of </w:t>
            </w:r>
            <w:r w:rsidR="00C16EA4" w:rsidRPr="005F707E">
              <w:rPr>
                <w:color w:val="auto"/>
              </w:rPr>
              <w:t>s</w:t>
            </w:r>
            <w:r w:rsidRPr="005F707E">
              <w:rPr>
                <w:color w:val="auto"/>
              </w:rPr>
              <w:t xml:space="preserve">upplier </w:t>
            </w:r>
            <w:r w:rsidR="00C16EA4" w:rsidRPr="005F707E">
              <w:rPr>
                <w:color w:val="auto"/>
              </w:rPr>
              <w:t>r</w:t>
            </w:r>
            <w:r w:rsidRPr="005F707E">
              <w:rPr>
                <w:color w:val="auto"/>
              </w:rPr>
              <w:t xml:space="preserve">elationships </w:t>
            </w:r>
            <w:r w:rsidR="00C16EA4" w:rsidRPr="005F707E">
              <w:rPr>
                <w:color w:val="auto"/>
              </w:rPr>
              <w:t>p</w:t>
            </w:r>
            <w:r w:rsidRPr="005F707E">
              <w:rPr>
                <w:color w:val="auto"/>
              </w:rPr>
              <w:t>rocedures</w:t>
            </w:r>
          </w:p>
          <w:p w14:paraId="1D0F0909" w14:textId="72E7048D" w:rsidR="00F173CB" w:rsidRPr="005F707E" w:rsidRDefault="00F173CB" w:rsidP="005E1B5E">
            <w:pPr>
              <w:pStyle w:val="Optional"/>
              <w:numPr>
                <w:ilvl w:val="1"/>
                <w:numId w:val="14"/>
              </w:numPr>
              <w:rPr>
                <w:color w:val="auto"/>
              </w:rPr>
            </w:pPr>
            <w:r w:rsidRPr="005F707E">
              <w:rPr>
                <w:color w:val="auto"/>
              </w:rPr>
              <w:t xml:space="preserve">Incident </w:t>
            </w:r>
            <w:r w:rsidR="00C16EA4" w:rsidRPr="005F707E">
              <w:rPr>
                <w:color w:val="auto"/>
              </w:rPr>
              <w:t>r</w:t>
            </w:r>
            <w:r w:rsidRPr="005F707E">
              <w:rPr>
                <w:color w:val="auto"/>
              </w:rPr>
              <w:t>esponse plan</w:t>
            </w:r>
          </w:p>
        </w:tc>
      </w:tr>
      <w:tr w:rsidR="00F173CB" w:rsidRPr="00475676" w14:paraId="3F2A6BCC" w14:textId="77777777" w:rsidTr="00666704">
        <w:trPr>
          <w:trHeight w:val="432"/>
        </w:trPr>
        <w:tc>
          <w:tcPr>
            <w:tcW w:w="1622" w:type="dxa"/>
            <w:shd w:val="clear" w:color="auto" w:fill="auto"/>
          </w:tcPr>
          <w:p w14:paraId="6293C3BD" w14:textId="59763A77" w:rsidR="00F173CB" w:rsidRPr="00475676" w:rsidRDefault="00F173CB" w:rsidP="002A4D19">
            <w:pPr>
              <w:pStyle w:val="TableText"/>
            </w:pPr>
            <w:r w:rsidRPr="00475676">
              <w:lastRenderedPageBreak/>
              <w:t>Review</w:t>
            </w:r>
          </w:p>
        </w:tc>
        <w:tc>
          <w:tcPr>
            <w:tcW w:w="3960" w:type="dxa"/>
            <w:shd w:val="clear" w:color="auto" w:fill="FFFFFF" w:themeFill="background1"/>
          </w:tcPr>
          <w:p w14:paraId="59C90286" w14:textId="2D21C751" w:rsidR="00F173CB" w:rsidRPr="00475676" w:rsidRDefault="00F173CB" w:rsidP="005E1B5E">
            <w:pPr>
              <w:pStyle w:val="TableText"/>
            </w:pPr>
            <w:r w:rsidRPr="00475676">
              <w:t xml:space="preserve">A review of the assessment results with the </w:t>
            </w:r>
            <w:r w:rsidR="00BF3482">
              <w:t>C</w:t>
            </w:r>
            <w:r w:rsidRPr="00475676">
              <w:t>ustomer</w:t>
            </w:r>
            <w:r w:rsidR="004C4718" w:rsidRPr="00475676">
              <w:t xml:space="preserve"> </w:t>
            </w:r>
            <w:r w:rsidR="00937C82">
              <w:t>(</w:t>
            </w:r>
            <w:r w:rsidR="004C4718" w:rsidRPr="00475676">
              <w:t xml:space="preserve">up to </w:t>
            </w:r>
            <w:r w:rsidR="00F94154" w:rsidRPr="00475676">
              <w:t>10</w:t>
            </w:r>
            <w:r w:rsidR="004C4718" w:rsidRPr="00475676">
              <w:t xml:space="preserve"> hours</w:t>
            </w:r>
            <w:r w:rsidR="00937C82">
              <w:t>)</w:t>
            </w:r>
          </w:p>
        </w:tc>
        <w:tc>
          <w:tcPr>
            <w:tcW w:w="3777" w:type="dxa"/>
            <w:shd w:val="clear" w:color="auto" w:fill="FFFFFF" w:themeFill="background1"/>
          </w:tcPr>
          <w:p w14:paraId="0F72B8DB" w14:textId="53387804" w:rsidR="00F173CB" w:rsidRPr="00475676" w:rsidRDefault="00F173CB" w:rsidP="005E1B5E">
            <w:pPr>
              <w:pStyle w:val="TableText"/>
            </w:pPr>
            <w:r w:rsidRPr="00475676">
              <w:t xml:space="preserve">The </w:t>
            </w:r>
            <w:r w:rsidR="00BF3482">
              <w:t>C</w:t>
            </w:r>
            <w:r w:rsidRPr="00475676">
              <w:t xml:space="preserve">ustomer has </w:t>
            </w:r>
            <w:r w:rsidR="00415F48">
              <w:t xml:space="preserve">equipped </w:t>
            </w:r>
            <w:r w:rsidRPr="00475676">
              <w:t>the personnel to accurately review the assessment results available to the assessor.</w:t>
            </w:r>
          </w:p>
        </w:tc>
      </w:tr>
      <w:tr w:rsidR="00F173CB" w:rsidRPr="00475676" w14:paraId="4074E6A1" w14:textId="77777777" w:rsidTr="00666704">
        <w:trPr>
          <w:trHeight w:val="432"/>
        </w:trPr>
        <w:tc>
          <w:tcPr>
            <w:tcW w:w="1622" w:type="dxa"/>
            <w:shd w:val="clear" w:color="auto" w:fill="auto"/>
          </w:tcPr>
          <w:p w14:paraId="53AFA7FF" w14:textId="08E33C15" w:rsidR="00F173CB" w:rsidRPr="00475676" w:rsidRDefault="00F173CB" w:rsidP="002A4D19">
            <w:pPr>
              <w:pStyle w:val="TableText"/>
            </w:pPr>
            <w:r w:rsidRPr="00475676">
              <w:t xml:space="preserve">Roadmap </w:t>
            </w:r>
            <w:r w:rsidR="00551C90">
              <w:t>d</w:t>
            </w:r>
            <w:r w:rsidRPr="00475676">
              <w:t xml:space="preserve">evelopment </w:t>
            </w:r>
            <w:r w:rsidR="00551C90">
              <w:t>w</w:t>
            </w:r>
            <w:r w:rsidRPr="00475676">
              <w:t>orkshop</w:t>
            </w:r>
          </w:p>
        </w:tc>
        <w:tc>
          <w:tcPr>
            <w:tcW w:w="3960" w:type="dxa"/>
            <w:shd w:val="clear" w:color="auto" w:fill="FFFFFF" w:themeFill="background1"/>
          </w:tcPr>
          <w:p w14:paraId="14CCB556" w14:textId="0F5CEB99" w:rsidR="00F173CB" w:rsidRPr="00475676" w:rsidRDefault="00F173CB" w:rsidP="005E1B5E">
            <w:pPr>
              <w:pStyle w:val="TableText"/>
            </w:pPr>
            <w:r w:rsidRPr="00475676">
              <w:t xml:space="preserve">A workshop held to create a remediation roadmap tailored to the </w:t>
            </w:r>
            <w:r w:rsidR="00BF3482">
              <w:t>C</w:t>
            </w:r>
            <w:r w:rsidRPr="00475676">
              <w:t>ustomer’s needs, situation, and capacity</w:t>
            </w:r>
            <w:r w:rsidR="004C4718" w:rsidRPr="00475676">
              <w:t xml:space="preserve"> </w:t>
            </w:r>
            <w:r w:rsidR="00D64C22">
              <w:t>(</w:t>
            </w:r>
            <w:r w:rsidR="004C4718" w:rsidRPr="00475676">
              <w:t xml:space="preserve">up to </w:t>
            </w:r>
            <w:r w:rsidR="00F94154" w:rsidRPr="00475676">
              <w:t>10</w:t>
            </w:r>
            <w:r w:rsidR="004C4718" w:rsidRPr="00475676">
              <w:t xml:space="preserve"> hours</w:t>
            </w:r>
            <w:r w:rsidR="00D64C22">
              <w:t>)</w:t>
            </w:r>
          </w:p>
        </w:tc>
        <w:tc>
          <w:tcPr>
            <w:tcW w:w="3777" w:type="dxa"/>
            <w:shd w:val="clear" w:color="auto" w:fill="FFFFFF" w:themeFill="background1"/>
          </w:tcPr>
          <w:p w14:paraId="2EBDAEA0" w14:textId="61502042" w:rsidR="00F173CB" w:rsidRPr="00475676" w:rsidRDefault="00F173CB" w:rsidP="005E1B5E">
            <w:pPr>
              <w:pStyle w:val="TableBullet1"/>
            </w:pPr>
            <w:r w:rsidRPr="00475676">
              <w:t xml:space="preserve">The </w:t>
            </w:r>
            <w:r w:rsidR="00BF3482">
              <w:t>C</w:t>
            </w:r>
            <w:r w:rsidRPr="00475676">
              <w:t>ustomer has verified the availability of personnel who have the decision-making authority to create the remediation roadmap.</w:t>
            </w:r>
          </w:p>
          <w:p w14:paraId="0C55539A" w14:textId="0A59AF78" w:rsidR="00F173CB" w:rsidRPr="00475676" w:rsidRDefault="00F173CB" w:rsidP="005E1B5E">
            <w:pPr>
              <w:pStyle w:val="TableBullet1"/>
            </w:pPr>
            <w:r w:rsidRPr="00475676">
              <w:t xml:space="preserve">The Microsoft delivery team will be on </w:t>
            </w:r>
            <w:r w:rsidR="00F94154" w:rsidRPr="00475676">
              <w:t>site but</w:t>
            </w:r>
            <w:r w:rsidR="005E63C0" w:rsidRPr="00475676">
              <w:t xml:space="preserve"> can be </w:t>
            </w:r>
            <w:r w:rsidR="004277FD" w:rsidRPr="00475676">
              <w:t>adjusted to a</w:t>
            </w:r>
            <w:r w:rsidR="005E63C0" w:rsidRPr="00475676">
              <w:t xml:space="preserve"> remote</w:t>
            </w:r>
            <w:r w:rsidR="004277FD" w:rsidRPr="00475676">
              <w:t xml:space="preserve"> site</w:t>
            </w:r>
            <w:r w:rsidR="005E63C0" w:rsidRPr="00475676">
              <w:t xml:space="preserve"> based on </w:t>
            </w:r>
            <w:r w:rsidR="00937C82">
              <w:t xml:space="preserve">the </w:t>
            </w:r>
            <w:r w:rsidR="00BF3482">
              <w:t>C</w:t>
            </w:r>
            <w:r w:rsidR="005E63C0" w:rsidRPr="00475676">
              <w:t>ustomer’s preference</w:t>
            </w:r>
            <w:r w:rsidRPr="00475676">
              <w:t>.</w:t>
            </w:r>
          </w:p>
        </w:tc>
      </w:tr>
    </w:tbl>
    <w:p w14:paraId="228843E4" w14:textId="77777777" w:rsidR="009D4EBC" w:rsidRPr="00475676" w:rsidRDefault="004C2A6F" w:rsidP="00C84DD9">
      <w:pPr>
        <w:pStyle w:val="Heading2"/>
      </w:pPr>
      <w:bookmarkStart w:id="21" w:name="_Toc476167705"/>
      <w:bookmarkStart w:id="22" w:name="_Toc476168032"/>
      <w:bookmarkStart w:id="23" w:name="_Toc6832771"/>
      <w:r w:rsidRPr="00475676">
        <w:t>Areas out of scope</w:t>
      </w:r>
      <w:bookmarkEnd w:id="21"/>
      <w:bookmarkEnd w:id="22"/>
      <w:bookmarkEnd w:id="23"/>
    </w:p>
    <w:p w14:paraId="228843E6" w14:textId="11024E49" w:rsidR="004C2A6F" w:rsidRPr="00475676" w:rsidRDefault="004C2A6F" w:rsidP="004C2A6F">
      <w:r w:rsidRPr="00475676">
        <w:t xml:space="preserve">Any area not explicitly included in </w:t>
      </w:r>
      <w:r w:rsidR="00407A8B" w:rsidRPr="00475676">
        <w:t xml:space="preserve">the </w:t>
      </w:r>
      <w:r w:rsidR="001F322E" w:rsidRPr="00475676">
        <w:t xml:space="preserve">areas in scope </w:t>
      </w:r>
      <w:r w:rsidR="00407A8B" w:rsidRPr="00475676">
        <w:t xml:space="preserve">section </w:t>
      </w:r>
      <w:r w:rsidRPr="00475676">
        <w:t xml:space="preserve">is out of scope for </w:t>
      </w:r>
      <w:r w:rsidR="00623BDA" w:rsidRPr="00475676">
        <w:t xml:space="preserve">Microsoft during </w:t>
      </w:r>
      <w:r w:rsidRPr="00475676">
        <w:t xml:space="preserve">this </w:t>
      </w:r>
      <w:r w:rsidR="00DB3CDA" w:rsidRPr="00475676">
        <w:t>project</w:t>
      </w:r>
      <w:r w:rsidRPr="00475676">
        <w:t xml:space="preserve">. </w:t>
      </w:r>
      <w:r w:rsidR="00AC542D" w:rsidRPr="00475676">
        <w:t xml:space="preserve">Areas </w:t>
      </w:r>
      <w:r w:rsidR="00F177FA" w:rsidRPr="00475676">
        <w:t xml:space="preserve">out of scope for this project </w:t>
      </w:r>
      <w:r w:rsidR="00B4049F" w:rsidRPr="00475676">
        <w:t xml:space="preserve">are listed </w:t>
      </w:r>
      <w:r w:rsidR="00AC542D" w:rsidRPr="00475676">
        <w:t>i</w:t>
      </w:r>
      <w:r w:rsidR="00B4049F" w:rsidRPr="00475676">
        <w:t>n</w:t>
      </w:r>
      <w:r w:rsidR="00AC542D" w:rsidRPr="00475676">
        <w:t xml:space="preserve"> the following</w:t>
      </w:r>
      <w:r w:rsidR="00B4049F" w:rsidRPr="00475676">
        <w:t xml:space="preserve"> table.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52"/>
        <w:gridCol w:w="7119"/>
      </w:tblGrid>
      <w:tr w:rsidR="004C2A6F" w:rsidRPr="00475676" w14:paraId="228843E9" w14:textId="77777777" w:rsidTr="005E1B5E">
        <w:trPr>
          <w:trHeight w:val="360"/>
          <w:tblHeader/>
        </w:trPr>
        <w:tc>
          <w:tcPr>
            <w:tcW w:w="2252" w:type="dxa"/>
            <w:shd w:val="clear" w:color="auto" w:fill="008272"/>
          </w:tcPr>
          <w:p w14:paraId="228843E7" w14:textId="77777777" w:rsidR="004C2A6F" w:rsidRPr="00475676" w:rsidRDefault="004C2A6F" w:rsidP="00B44F57">
            <w:pPr>
              <w:pStyle w:val="Table-Header"/>
            </w:pPr>
            <w:r w:rsidRPr="00475676">
              <w:t>Area</w:t>
            </w:r>
          </w:p>
        </w:tc>
        <w:tc>
          <w:tcPr>
            <w:tcW w:w="7119" w:type="dxa"/>
            <w:shd w:val="clear" w:color="auto" w:fill="008272"/>
          </w:tcPr>
          <w:p w14:paraId="228843E8" w14:textId="77777777" w:rsidR="004C2A6F" w:rsidRPr="00475676" w:rsidRDefault="004C2A6F" w:rsidP="00B44F57">
            <w:pPr>
              <w:pStyle w:val="Table-Header"/>
            </w:pPr>
            <w:r w:rsidRPr="00475676">
              <w:t>Description</w:t>
            </w:r>
          </w:p>
        </w:tc>
      </w:tr>
      <w:tr w:rsidR="00CA128E" w:rsidRPr="00475676" w14:paraId="0BB120F9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1F29B998" w14:textId="79E15165" w:rsidR="00CA128E" w:rsidRPr="00475676" w:rsidRDefault="00CA128E" w:rsidP="00CA128E">
            <w:pPr>
              <w:pStyle w:val="TableText"/>
            </w:pPr>
            <w:r w:rsidRPr="00475676">
              <w:t>Device analysis</w:t>
            </w:r>
          </w:p>
        </w:tc>
        <w:tc>
          <w:tcPr>
            <w:tcW w:w="7119" w:type="dxa"/>
            <w:shd w:val="clear" w:color="auto" w:fill="FFFFFF" w:themeFill="background1"/>
          </w:tcPr>
          <w:p w14:paraId="1EC1CBB8" w14:textId="2289BC17" w:rsidR="00CA128E" w:rsidRPr="00475676" w:rsidRDefault="00CB6F44" w:rsidP="00CA128E">
            <w:pPr>
              <w:pStyle w:val="TableText"/>
            </w:pPr>
            <w:r>
              <w:t>R</w:t>
            </w:r>
            <w:r w:rsidR="00CA128E" w:rsidRPr="00475676">
              <w:t xml:space="preserve">isk analysis of </w:t>
            </w:r>
            <w:proofErr w:type="gramStart"/>
            <w:r w:rsidR="00CA128E" w:rsidRPr="00475676">
              <w:t>particular devices</w:t>
            </w:r>
            <w:proofErr w:type="gramEnd"/>
            <w:r w:rsidR="00CA128E" w:rsidRPr="00475676">
              <w:t xml:space="preserve"> such as the one used in </w:t>
            </w:r>
            <w:r w:rsidR="00E2169E">
              <w:rPr>
                <w:rFonts w:cs="Segoe UI"/>
                <w:szCs w:val="20"/>
              </w:rPr>
              <w:t>Partner Learning Center</w:t>
            </w:r>
            <w:r>
              <w:t xml:space="preserve"> and </w:t>
            </w:r>
            <w:r w:rsidR="00440F3C" w:rsidRPr="00440F3C">
              <w:t>Supervisory Control and Data Acquisition</w:t>
            </w:r>
            <w:r w:rsidR="00CA128E" w:rsidRPr="00475676">
              <w:t xml:space="preserve"> is not in scope.</w:t>
            </w:r>
          </w:p>
        </w:tc>
      </w:tr>
      <w:tr w:rsidR="00E06544" w:rsidRPr="00475676" w14:paraId="1A6268E9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7E6D7A49" w14:textId="03F602C7" w:rsidR="00E06544" w:rsidRPr="00475676" w:rsidRDefault="00E06544" w:rsidP="00207F01">
            <w:pPr>
              <w:pStyle w:val="TableText"/>
            </w:pPr>
            <w:r w:rsidRPr="00475676">
              <w:t>P</w:t>
            </w:r>
            <w:r w:rsidR="003B71AF" w:rsidRPr="00475676">
              <w:t>hysical network</w:t>
            </w:r>
          </w:p>
        </w:tc>
        <w:tc>
          <w:tcPr>
            <w:tcW w:w="7119" w:type="dxa"/>
            <w:shd w:val="clear" w:color="auto" w:fill="FFFFFF" w:themeFill="background1"/>
          </w:tcPr>
          <w:p w14:paraId="48F92DE4" w14:textId="04945EA1" w:rsidR="00E06544" w:rsidRPr="00475676" w:rsidRDefault="00CB6F44" w:rsidP="00207F01">
            <w:pPr>
              <w:pStyle w:val="TableText"/>
            </w:pPr>
            <w:r>
              <w:t>R</w:t>
            </w:r>
            <w:r w:rsidR="003B71AF" w:rsidRPr="00475676">
              <w:t xml:space="preserve">eview and design of </w:t>
            </w:r>
            <w:r>
              <w:t xml:space="preserve">a </w:t>
            </w:r>
            <w:r w:rsidR="003B71AF" w:rsidRPr="00475676">
              <w:t>physical network</w:t>
            </w:r>
            <w:r w:rsidR="00653F6B" w:rsidRPr="00475676">
              <w:t xml:space="preserve"> and</w:t>
            </w:r>
            <w:r w:rsidR="003B71AF" w:rsidRPr="00475676">
              <w:t xml:space="preserve"> configurations are not in scope.</w:t>
            </w:r>
          </w:p>
        </w:tc>
      </w:tr>
      <w:tr w:rsidR="00CA128E" w:rsidRPr="00475676" w14:paraId="7FD478E3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1A000D17" w14:textId="1BCFCE71" w:rsidR="00CA128E" w:rsidRPr="00475676" w:rsidRDefault="00CA128E" w:rsidP="00CA128E">
            <w:pPr>
              <w:pStyle w:val="TableText"/>
            </w:pPr>
            <w:r w:rsidRPr="00475676">
              <w:t>Formal audit</w:t>
            </w:r>
          </w:p>
        </w:tc>
        <w:tc>
          <w:tcPr>
            <w:tcW w:w="7119" w:type="dxa"/>
            <w:shd w:val="clear" w:color="auto" w:fill="FFFFFF" w:themeFill="background1"/>
          </w:tcPr>
          <w:p w14:paraId="0F02F743" w14:textId="0E2F7635" w:rsidR="00CA128E" w:rsidRPr="00475676" w:rsidRDefault="00CA128E" w:rsidP="00CA128E">
            <w:pPr>
              <w:pStyle w:val="TableText"/>
            </w:pPr>
            <w:r w:rsidRPr="00475676">
              <w:t>The engagement is not a formal audit of the organization to meet a standard, framework, certification, or attestation.</w:t>
            </w:r>
          </w:p>
        </w:tc>
      </w:tr>
      <w:tr w:rsidR="00CA128E" w:rsidRPr="00475676" w14:paraId="5C45F09A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0A23751B" w14:textId="4DD688B9" w:rsidR="00CA128E" w:rsidRPr="00475676" w:rsidRDefault="00CA128E" w:rsidP="00CA128E">
            <w:pPr>
              <w:pStyle w:val="TableText"/>
            </w:pPr>
            <w:r w:rsidRPr="00475676">
              <w:t>Compliance assessment</w:t>
            </w:r>
          </w:p>
        </w:tc>
        <w:tc>
          <w:tcPr>
            <w:tcW w:w="7119" w:type="dxa"/>
            <w:shd w:val="clear" w:color="auto" w:fill="FFFFFF" w:themeFill="background1"/>
          </w:tcPr>
          <w:p w14:paraId="0D504A7A" w14:textId="3A480743" w:rsidR="00CA128E" w:rsidRPr="00475676" w:rsidRDefault="00CA128E" w:rsidP="00CA128E">
            <w:pPr>
              <w:pStyle w:val="TableText"/>
            </w:pPr>
            <w:r w:rsidRPr="00475676">
              <w:t>The engagement is not a compliance assessment with any standard or framework. It uses frameworks solely as a guide to help organizations address line items within these frameworks.</w:t>
            </w:r>
          </w:p>
        </w:tc>
      </w:tr>
      <w:tr w:rsidR="00CA128E" w:rsidRPr="00475676" w14:paraId="7EF0FA95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5F24EA9" w14:textId="784B57F3" w:rsidR="00CA128E" w:rsidRPr="00475676" w:rsidRDefault="00CA128E" w:rsidP="00CA128E">
            <w:pPr>
              <w:pStyle w:val="TableText"/>
            </w:pPr>
            <w:r w:rsidRPr="00475676">
              <w:t>Remediation efforts</w:t>
            </w:r>
          </w:p>
        </w:tc>
        <w:tc>
          <w:tcPr>
            <w:tcW w:w="7119" w:type="dxa"/>
            <w:shd w:val="clear" w:color="auto" w:fill="FFFFFF" w:themeFill="background1"/>
          </w:tcPr>
          <w:p w14:paraId="5BC06509" w14:textId="2A4F8721" w:rsidR="00CA128E" w:rsidRPr="00475676" w:rsidRDefault="00381871" w:rsidP="00CA128E">
            <w:pPr>
              <w:pStyle w:val="TableText"/>
            </w:pPr>
            <w:r>
              <w:t>Remediation efforts or actions are not in scope.</w:t>
            </w:r>
          </w:p>
        </w:tc>
      </w:tr>
      <w:tr w:rsidR="00CA128E" w:rsidRPr="00475676" w14:paraId="228843EC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EA" w14:textId="77777777" w:rsidR="00CA128E" w:rsidRPr="00475676" w:rsidRDefault="00CA128E" w:rsidP="00CA128E">
            <w:pPr>
              <w:pStyle w:val="TableText"/>
              <w:rPr>
                <w:rFonts w:cs="Segoe UI"/>
              </w:rPr>
            </w:pPr>
            <w:r w:rsidRPr="00475676">
              <w:lastRenderedPageBreak/>
              <w:t>Product licenses and subscriptions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3EB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 xml:space="preserve">Product licenses (Microsoft or non-Microsoft) and cloud service subscriptions are not included. </w:t>
            </w:r>
          </w:p>
        </w:tc>
      </w:tr>
      <w:tr w:rsidR="00CA128E" w:rsidRPr="00475676" w14:paraId="228843EF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ED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Hardware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3EE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Microsoft will not provide hardware for this project.</w:t>
            </w:r>
          </w:p>
        </w:tc>
      </w:tr>
      <w:tr w:rsidR="00CA128E" w:rsidRPr="00475676" w14:paraId="228843F2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F0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Integration with third-party software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3F1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Microsoft will not be responsible for integration with third-party software.</w:t>
            </w:r>
          </w:p>
        </w:tc>
      </w:tr>
      <w:tr w:rsidR="00CA128E" w:rsidRPr="00475676" w14:paraId="228843F5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F3" w14:textId="77777777" w:rsidR="00CA128E" w:rsidRPr="00A04B80" w:rsidRDefault="00CA128E" w:rsidP="00CA128E">
            <w:pPr>
              <w:pStyle w:val="Optional"/>
              <w:rPr>
                <w:color w:val="auto"/>
              </w:rPr>
            </w:pPr>
            <w:r w:rsidRPr="00A04B80">
              <w:rPr>
                <w:color w:val="auto"/>
              </w:rPr>
              <w:t>Data migration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3F4" w14:textId="77777777" w:rsidR="00CA128E" w:rsidRPr="00A04B80" w:rsidRDefault="00CA128E" w:rsidP="00CA128E">
            <w:pPr>
              <w:pStyle w:val="Optional"/>
              <w:rPr>
                <w:color w:val="auto"/>
              </w:rPr>
            </w:pPr>
            <w:r w:rsidRPr="00A04B80">
              <w:rPr>
                <w:color w:val="auto"/>
              </w:rPr>
              <w:t>Data migration activities are not in scope for this project.</w:t>
            </w:r>
          </w:p>
        </w:tc>
      </w:tr>
      <w:tr w:rsidR="00CA128E" w:rsidRPr="00475676" w14:paraId="228843F8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F6" w14:textId="77777777" w:rsidR="00CA128E" w:rsidRPr="00A04B80" w:rsidRDefault="00CA128E" w:rsidP="00CA128E">
            <w:pPr>
              <w:pStyle w:val="Optional"/>
              <w:rPr>
                <w:color w:val="auto"/>
              </w:rPr>
            </w:pPr>
            <w:r w:rsidRPr="00A04B80">
              <w:rPr>
                <w:color w:val="auto"/>
              </w:rPr>
              <w:t>System integration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3F7" w14:textId="77777777" w:rsidR="00CA128E" w:rsidRPr="00A04B80" w:rsidRDefault="00CA128E" w:rsidP="00CA128E">
            <w:pPr>
              <w:pStyle w:val="Optional"/>
              <w:rPr>
                <w:color w:val="auto"/>
              </w:rPr>
            </w:pPr>
            <w:r w:rsidRPr="00A04B80">
              <w:rPr>
                <w:color w:val="auto"/>
              </w:rPr>
              <w:t>System integration and interfaces are not in scope for this project.</w:t>
            </w:r>
          </w:p>
        </w:tc>
      </w:tr>
      <w:tr w:rsidR="00CA128E" w:rsidRPr="00475676" w14:paraId="228843FB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F9" w14:textId="3A6A8A70" w:rsidR="00CA128E" w:rsidRPr="00475676" w:rsidRDefault="00CA128E" w:rsidP="00CA128E">
            <w:pPr>
              <w:pStyle w:val="TableText"/>
            </w:pPr>
            <w:r w:rsidRPr="00475676">
              <w:t>Product bugs and upgrades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3FA" w14:textId="77777777" w:rsidR="00CA128E" w:rsidRPr="00475676" w:rsidRDefault="00CA128E" w:rsidP="00CA128E">
            <w:pPr>
              <w:pStyle w:val="TableText"/>
            </w:pPr>
            <w:r w:rsidRPr="00475676">
              <w:t>Product upgrades, bugs, and design change requests for Microsoft products are not in scope for this project.</w:t>
            </w:r>
          </w:p>
        </w:tc>
      </w:tr>
      <w:tr w:rsidR="00CA128E" w:rsidRPr="00475676" w14:paraId="228843FE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FC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Source code review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3FD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The Customer will not provide Microsoft with access to non-Microsoft source code or source code information. For any non-Microsoft code, Microsoft Services will be limited to the analysis of binary data, such as a process dump or network monitor trace.</w:t>
            </w:r>
          </w:p>
        </w:tc>
      </w:tr>
      <w:tr w:rsidR="00CA128E" w:rsidRPr="00475676" w14:paraId="22884401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3FF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Process reengineering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400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Designing functional business components of the solution is not included.</w:t>
            </w:r>
          </w:p>
        </w:tc>
      </w:tr>
      <w:tr w:rsidR="00CA128E" w:rsidRPr="00475676" w14:paraId="22884404" w14:textId="77777777" w:rsidTr="005E1B5E">
        <w:trPr>
          <w:trHeight w:val="432"/>
        </w:trPr>
        <w:tc>
          <w:tcPr>
            <w:tcW w:w="2252" w:type="dxa"/>
            <w:shd w:val="clear" w:color="auto" w:fill="auto"/>
          </w:tcPr>
          <w:p w14:paraId="22884402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Organizational change management</w:t>
            </w:r>
          </w:p>
        </w:tc>
        <w:tc>
          <w:tcPr>
            <w:tcW w:w="7119" w:type="dxa"/>
            <w:shd w:val="clear" w:color="auto" w:fill="FFFFFF" w:themeFill="background1"/>
          </w:tcPr>
          <w:p w14:paraId="22884403" w14:textId="77777777" w:rsidR="00CA128E" w:rsidRPr="00475676" w:rsidRDefault="00CA128E" w:rsidP="00CA128E">
            <w:pPr>
              <w:pStyle w:val="TableText"/>
              <w:rPr>
                <w:rFonts w:cs="Segoe UI"/>
                <w:szCs w:val="18"/>
              </w:rPr>
            </w:pPr>
            <w:r w:rsidRPr="00475676">
              <w:t>Designing—or redesigning—the Customer’s functional organization is not included.</w:t>
            </w:r>
          </w:p>
        </w:tc>
      </w:tr>
    </w:tbl>
    <w:p w14:paraId="22884405" w14:textId="77777777" w:rsidR="00942632" w:rsidRPr="00475676" w:rsidRDefault="00942632" w:rsidP="00C84DD9">
      <w:pPr>
        <w:pStyle w:val="Heading1"/>
      </w:pPr>
      <w:bookmarkStart w:id="24" w:name="_Toc476167706"/>
      <w:bookmarkStart w:id="25" w:name="_Toc476168033"/>
      <w:bookmarkStart w:id="26" w:name="_Toc6832772"/>
      <w:r w:rsidRPr="00475676">
        <w:t>Project approach, timeline</w:t>
      </w:r>
      <w:r w:rsidR="006209A1" w:rsidRPr="00475676">
        <w:t>,</w:t>
      </w:r>
      <w:r w:rsidRPr="00475676">
        <w:t xml:space="preserve"> and deliverable acceptance</w:t>
      </w:r>
      <w:bookmarkEnd w:id="24"/>
      <w:bookmarkEnd w:id="25"/>
      <w:bookmarkEnd w:id="26"/>
    </w:p>
    <w:p w14:paraId="22884406" w14:textId="77777777" w:rsidR="00942632" w:rsidRPr="00475676" w:rsidRDefault="00942632" w:rsidP="00C84DD9">
      <w:pPr>
        <w:pStyle w:val="Heading2"/>
      </w:pPr>
      <w:bookmarkStart w:id="27" w:name="_Toc476167707"/>
      <w:bookmarkStart w:id="28" w:name="_Toc476168034"/>
      <w:bookmarkStart w:id="29" w:name="_Ref477870375"/>
      <w:bookmarkStart w:id="30" w:name="_Ref477873467"/>
      <w:bookmarkStart w:id="31" w:name="_Ref477936654"/>
      <w:bookmarkStart w:id="32" w:name="_Ref477936937"/>
      <w:bookmarkStart w:id="33" w:name="_Toc6832773"/>
      <w:r w:rsidRPr="00475676">
        <w:t>Approach</w:t>
      </w:r>
      <w:bookmarkEnd w:id="27"/>
      <w:bookmarkEnd w:id="28"/>
      <w:bookmarkEnd w:id="29"/>
      <w:bookmarkEnd w:id="30"/>
      <w:bookmarkEnd w:id="31"/>
      <w:bookmarkEnd w:id="32"/>
      <w:bookmarkEnd w:id="33"/>
    </w:p>
    <w:p w14:paraId="4C55DF03" w14:textId="4FE928F5" w:rsidR="004E13BF" w:rsidRPr="00475676" w:rsidRDefault="00E51CE4" w:rsidP="00E51CE4">
      <w:r w:rsidRPr="00475676">
        <w:t xml:space="preserve">The project will be structured as shown in the following figure. If a deliverable requires formal review and acceptance (a process described in the </w:t>
      </w:r>
      <w:r w:rsidRPr="00475676">
        <w:fldChar w:fldCharType="begin"/>
      </w:r>
      <w:r w:rsidRPr="00475676">
        <w:instrText xml:space="preserve"> REF _Ref477932041 \h </w:instrText>
      </w:r>
      <w:r w:rsidRPr="00475676">
        <w:fldChar w:fldCharType="separate"/>
      </w:r>
      <w:r w:rsidRPr="00475676">
        <w:t>Deliverable acceptance process</w:t>
      </w:r>
      <w:r w:rsidRPr="00475676">
        <w:fldChar w:fldCharType="end"/>
      </w:r>
      <w:r w:rsidRPr="00475676">
        <w:t xml:space="preserve"> section), this is indicated in the following sections.</w:t>
      </w:r>
    </w:p>
    <w:p w14:paraId="6E65502C" w14:textId="6D86FAB9" w:rsidR="00E51CE4" w:rsidRPr="00475676" w:rsidRDefault="00F93447" w:rsidP="0032686E">
      <w:r w:rsidRPr="00475676">
        <w:rPr>
          <w:noProof/>
        </w:rPr>
        <w:drawing>
          <wp:inline distT="0" distB="0" distL="0" distR="0" wp14:anchorId="5FA91345" wp14:editId="37DD6D1F">
            <wp:extent cx="5765720" cy="19812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6" cy="198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B098F4" w14:textId="39EC2765" w:rsidR="00676302" w:rsidRPr="00475676" w:rsidRDefault="00676302" w:rsidP="0032686E"/>
    <w:p w14:paraId="2288440B" w14:textId="77777777" w:rsidR="00B5507E" w:rsidRPr="00475676" w:rsidRDefault="00B5507E" w:rsidP="00C84DD9">
      <w:pPr>
        <w:pStyle w:val="Heading3"/>
      </w:pPr>
      <w:bookmarkStart w:id="34" w:name="_Toc476168035"/>
      <w:r w:rsidRPr="00475676">
        <w:lastRenderedPageBreak/>
        <w:t>Engagement initiation</w:t>
      </w:r>
      <w:bookmarkEnd w:id="34"/>
    </w:p>
    <w:p w14:paraId="2288440C" w14:textId="77777777" w:rsidR="00B5507E" w:rsidRPr="00475676" w:rsidRDefault="001D714E" w:rsidP="00B5507E">
      <w:r w:rsidRPr="00475676">
        <w:t>Before beginning</w:t>
      </w:r>
      <w:r w:rsidR="00B603BF" w:rsidRPr="00475676">
        <w:t xml:space="preserve"> the project, the following pre</w:t>
      </w:r>
      <w:r w:rsidR="00E40CE7" w:rsidRPr="00475676">
        <w:t>requisites</w:t>
      </w:r>
      <w:r w:rsidR="00B603BF" w:rsidRPr="00475676">
        <w:t xml:space="preserve"> must be completed</w:t>
      </w:r>
      <w:r w:rsidR="00E12D6D" w:rsidRPr="00475676">
        <w:t>.</w:t>
      </w:r>
    </w:p>
    <w:tbl>
      <w:tblPr>
        <w:tblStyle w:val="TableGrid1"/>
        <w:tblW w:w="936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2"/>
        <w:gridCol w:w="6750"/>
      </w:tblGrid>
      <w:tr w:rsidR="00B5507E" w:rsidRPr="00475676" w14:paraId="2288440F" w14:textId="77777777" w:rsidTr="005E1B5E">
        <w:trPr>
          <w:trHeight w:val="360"/>
          <w:tblHeader/>
        </w:trPr>
        <w:tc>
          <w:tcPr>
            <w:tcW w:w="2612" w:type="dxa"/>
            <w:shd w:val="clear" w:color="auto" w:fill="008272"/>
          </w:tcPr>
          <w:p w14:paraId="2288440D" w14:textId="77777777" w:rsidR="00B5507E" w:rsidRPr="00475676" w:rsidRDefault="00B5507E" w:rsidP="00031658">
            <w:pPr>
              <w:pStyle w:val="Table-Header"/>
            </w:pPr>
            <w:r w:rsidRPr="00475676">
              <w:t>Category</w:t>
            </w:r>
          </w:p>
        </w:tc>
        <w:tc>
          <w:tcPr>
            <w:tcW w:w="6750" w:type="dxa"/>
            <w:shd w:val="clear" w:color="auto" w:fill="008272"/>
          </w:tcPr>
          <w:p w14:paraId="2288440E" w14:textId="77777777" w:rsidR="00B5507E" w:rsidRPr="00475676" w:rsidRDefault="00B5507E" w:rsidP="00031658">
            <w:pPr>
              <w:pStyle w:val="Table-Header"/>
            </w:pPr>
            <w:r w:rsidRPr="00475676">
              <w:t>Description</w:t>
            </w:r>
          </w:p>
        </w:tc>
      </w:tr>
      <w:tr w:rsidR="00B5507E" w:rsidRPr="00475676" w14:paraId="22884415" w14:textId="77777777" w:rsidTr="005E1B5E">
        <w:trPr>
          <w:trHeight w:val="422"/>
        </w:trPr>
        <w:tc>
          <w:tcPr>
            <w:tcW w:w="2612" w:type="dxa"/>
            <w:shd w:val="clear" w:color="auto" w:fill="auto"/>
          </w:tcPr>
          <w:p w14:paraId="22884410" w14:textId="77777777" w:rsidR="00B5507E" w:rsidRPr="00475676" w:rsidRDefault="00B5507E" w:rsidP="00117AE2">
            <w:pPr>
              <w:pStyle w:val="TableText"/>
            </w:pPr>
            <w:r w:rsidRPr="00475676">
              <w:rPr>
                <w:b/>
              </w:rPr>
              <w:t>Microsoft activities</w:t>
            </w:r>
            <w:r w:rsidR="00117AE2" w:rsidRPr="00475676">
              <w:br/>
            </w:r>
            <w:r w:rsidRPr="00475676">
              <w:t>The activities to be performed by Microsoft</w:t>
            </w:r>
          </w:p>
        </w:tc>
        <w:tc>
          <w:tcPr>
            <w:tcW w:w="6750" w:type="dxa"/>
            <w:shd w:val="clear" w:color="auto" w:fill="FFFFFF" w:themeFill="background1"/>
          </w:tcPr>
          <w:p w14:paraId="22884411" w14:textId="59CCC325" w:rsidR="00183788" w:rsidRPr="002A4D19" w:rsidRDefault="00183788" w:rsidP="005E1B5E">
            <w:pPr>
              <w:pStyle w:val="TableBullet1"/>
            </w:pPr>
            <w:r w:rsidRPr="002A4D19">
              <w:t xml:space="preserve">Conduct </w:t>
            </w:r>
            <w:r w:rsidR="00E12D6D" w:rsidRPr="002A4D19">
              <w:t xml:space="preserve">a </w:t>
            </w:r>
            <w:r w:rsidRPr="002A4D19">
              <w:t xml:space="preserve">preinitiation call </w:t>
            </w:r>
            <w:proofErr w:type="gramStart"/>
            <w:r w:rsidR="00E12D6D" w:rsidRPr="002A4D19">
              <w:t xml:space="preserve">in order </w:t>
            </w:r>
            <w:r w:rsidRPr="002A4D19">
              <w:t>to</w:t>
            </w:r>
            <w:proofErr w:type="gramEnd"/>
            <w:r w:rsidRPr="002A4D19">
              <w:t xml:space="preserve"> initiate team formation and </w:t>
            </w:r>
            <w:r w:rsidR="00E12D6D" w:rsidRPr="002A4D19">
              <w:t xml:space="preserve">communicate </w:t>
            </w:r>
            <w:r w:rsidRPr="002A4D19">
              <w:t>expectations.</w:t>
            </w:r>
          </w:p>
          <w:p w14:paraId="22884412" w14:textId="77777777" w:rsidR="00183788" w:rsidRPr="002A4D19" w:rsidRDefault="00183788" w:rsidP="005E1B5E">
            <w:pPr>
              <w:pStyle w:val="TableBullet1"/>
            </w:pPr>
            <w:r w:rsidRPr="002A4D19">
              <w:t xml:space="preserve">Document the project launch prerequisites </w:t>
            </w:r>
            <w:r w:rsidR="00CE43BF" w:rsidRPr="002A4D19">
              <w:t>using</w:t>
            </w:r>
            <w:r w:rsidR="00E12D6D" w:rsidRPr="002A4D19">
              <w:t xml:space="preserve"> </w:t>
            </w:r>
            <w:r w:rsidR="00CE43BF" w:rsidRPr="002A4D19">
              <w:t>input from this</w:t>
            </w:r>
            <w:r w:rsidRPr="002A4D19">
              <w:t xml:space="preserve"> SOW.</w:t>
            </w:r>
          </w:p>
          <w:p w14:paraId="22884413" w14:textId="3782B789" w:rsidR="00183788" w:rsidRPr="002A4D19" w:rsidRDefault="00183788" w:rsidP="005E1B5E">
            <w:pPr>
              <w:pStyle w:val="TableBullet1"/>
            </w:pPr>
            <w:r w:rsidRPr="002A4D19">
              <w:t xml:space="preserve">Track </w:t>
            </w:r>
            <w:r w:rsidR="00E12D6D" w:rsidRPr="002A4D19">
              <w:t xml:space="preserve">the </w:t>
            </w:r>
            <w:r w:rsidRPr="002A4D19">
              <w:t>status of launch pre</w:t>
            </w:r>
            <w:r w:rsidR="00E40CE7" w:rsidRPr="002A4D19">
              <w:t>requisites</w:t>
            </w:r>
            <w:r w:rsidRPr="002A4D19">
              <w:t xml:space="preserve"> and adjust</w:t>
            </w:r>
            <w:r w:rsidR="008E6B79" w:rsidRPr="002A4D19">
              <w:t xml:space="preserve"> </w:t>
            </w:r>
            <w:r w:rsidR="00E12D6D" w:rsidRPr="002A4D19">
              <w:t xml:space="preserve">the </w:t>
            </w:r>
            <w:r w:rsidR="00EF1749">
              <w:t>E</w:t>
            </w:r>
            <w:r w:rsidR="008E6B79" w:rsidRPr="002A4D19">
              <w:t>ngagement</w:t>
            </w:r>
            <w:r w:rsidRPr="002A4D19">
              <w:t xml:space="preserve"> initiation phase start date accordingly.</w:t>
            </w:r>
          </w:p>
          <w:p w14:paraId="22884414" w14:textId="5449C426" w:rsidR="00B5507E" w:rsidRPr="002A4D19" w:rsidRDefault="00183788" w:rsidP="005E1B5E">
            <w:pPr>
              <w:pStyle w:val="TableBullet1"/>
            </w:pPr>
            <w:r w:rsidRPr="002A4D19">
              <w:t xml:space="preserve">Conduct </w:t>
            </w:r>
            <w:r w:rsidR="00E12D6D" w:rsidRPr="002A4D19">
              <w:t xml:space="preserve">a </w:t>
            </w:r>
            <w:r w:rsidRPr="002A4D19">
              <w:t>detailed walk</w:t>
            </w:r>
            <w:r w:rsidR="00094616">
              <w:t>-</w:t>
            </w:r>
            <w:r w:rsidRPr="002A4D19">
              <w:t xml:space="preserve">through of </w:t>
            </w:r>
            <w:r w:rsidR="00E12D6D" w:rsidRPr="002A4D19">
              <w:t xml:space="preserve">the </w:t>
            </w:r>
            <w:r w:rsidRPr="002A4D19">
              <w:t xml:space="preserve">SOW with </w:t>
            </w:r>
            <w:r w:rsidR="00112EB1" w:rsidRPr="002A4D19">
              <w:t xml:space="preserve">the </w:t>
            </w:r>
            <w:r w:rsidR="00BF3482" w:rsidRPr="002A4D19">
              <w:t>C</w:t>
            </w:r>
            <w:r w:rsidRPr="002A4D19">
              <w:t xml:space="preserve">ustomer </w:t>
            </w:r>
            <w:proofErr w:type="gramStart"/>
            <w:r w:rsidR="00E12D6D" w:rsidRPr="002A4D19">
              <w:t xml:space="preserve">in order </w:t>
            </w:r>
            <w:r w:rsidRPr="002A4D19">
              <w:t>to</w:t>
            </w:r>
            <w:proofErr w:type="gramEnd"/>
            <w:r w:rsidRPr="002A4D19">
              <w:t xml:space="preserve"> agree on </w:t>
            </w:r>
            <w:r w:rsidR="00E12D6D" w:rsidRPr="002A4D19">
              <w:t xml:space="preserve">an </w:t>
            </w:r>
            <w:r w:rsidRPr="002A4D19">
              <w:t>initial project schedule and approach</w:t>
            </w:r>
            <w:r w:rsidR="000F230A" w:rsidRPr="002A4D19">
              <w:t>.</w:t>
            </w:r>
          </w:p>
        </w:tc>
      </w:tr>
      <w:tr w:rsidR="00B5507E" w:rsidRPr="00475676" w14:paraId="2288441B" w14:textId="77777777" w:rsidTr="005E1B5E">
        <w:trPr>
          <w:trHeight w:val="422"/>
        </w:trPr>
        <w:tc>
          <w:tcPr>
            <w:tcW w:w="2612" w:type="dxa"/>
            <w:shd w:val="clear" w:color="auto" w:fill="auto"/>
          </w:tcPr>
          <w:p w14:paraId="22884416" w14:textId="77777777" w:rsidR="00B5507E" w:rsidRPr="00475676" w:rsidRDefault="00B5507E" w:rsidP="00117AE2">
            <w:pPr>
              <w:pStyle w:val="TableText"/>
            </w:pPr>
            <w:r w:rsidRPr="00475676">
              <w:rPr>
                <w:b/>
              </w:rPr>
              <w:t>Customer activities</w:t>
            </w:r>
            <w:r w:rsidR="00117AE2" w:rsidRPr="00475676">
              <w:br/>
            </w:r>
            <w:r w:rsidRPr="00475676">
              <w:t xml:space="preserve">The activities to be performed by </w:t>
            </w:r>
            <w:r w:rsidR="00112EB1" w:rsidRPr="00475676">
              <w:t xml:space="preserve">the </w:t>
            </w:r>
            <w:r w:rsidR="00057271" w:rsidRPr="00475676">
              <w:t>C</w:t>
            </w:r>
            <w:r w:rsidR="00E12D6D" w:rsidRPr="00475676">
              <w:t>ustomer</w:t>
            </w:r>
          </w:p>
        </w:tc>
        <w:tc>
          <w:tcPr>
            <w:tcW w:w="6750" w:type="dxa"/>
            <w:shd w:val="clear" w:color="auto" w:fill="FFFFFF" w:themeFill="background1"/>
          </w:tcPr>
          <w:p w14:paraId="7AECA47F" w14:textId="53D2112E" w:rsidR="00360B22" w:rsidRPr="002A4D19" w:rsidRDefault="00360B22" w:rsidP="005E1B5E">
            <w:pPr>
              <w:pStyle w:val="TableBullet1"/>
            </w:pPr>
            <w:r w:rsidRPr="002A4D19">
              <w:t xml:space="preserve">Complete the </w:t>
            </w:r>
            <w:r w:rsidR="00094616">
              <w:t>e</w:t>
            </w:r>
            <w:r w:rsidRPr="005E1B5E">
              <w:t xml:space="preserve">ngagement </w:t>
            </w:r>
            <w:r w:rsidR="00094616">
              <w:t>p</w:t>
            </w:r>
            <w:r w:rsidRPr="005E1B5E">
              <w:t xml:space="preserve">reparation </w:t>
            </w:r>
            <w:r w:rsidR="00094616">
              <w:t>g</w:t>
            </w:r>
            <w:r w:rsidRPr="005E1B5E">
              <w:t>uide</w:t>
            </w:r>
            <w:r w:rsidRPr="002A4D19">
              <w:t xml:space="preserve"> document and send </w:t>
            </w:r>
            <w:r w:rsidR="00094616">
              <w:t xml:space="preserve">it </w:t>
            </w:r>
            <w:r w:rsidRPr="002A4D19">
              <w:t xml:space="preserve">to Microsoft 1 week before the </w:t>
            </w:r>
            <w:r w:rsidR="00D15C0E" w:rsidRPr="002A4D19">
              <w:t>kickoff</w:t>
            </w:r>
            <w:r w:rsidRPr="002A4D19">
              <w:t xml:space="preserve"> meeting.</w:t>
            </w:r>
          </w:p>
          <w:p w14:paraId="359CD569" w14:textId="77777777" w:rsidR="00360B22" w:rsidRPr="002A4D19" w:rsidRDefault="00183788" w:rsidP="005E1B5E">
            <w:pPr>
              <w:pStyle w:val="TableBullet1"/>
            </w:pPr>
            <w:r w:rsidRPr="002A4D19">
              <w:t xml:space="preserve">Attend and participate in </w:t>
            </w:r>
            <w:r w:rsidR="00E12D6D" w:rsidRPr="002A4D19">
              <w:t xml:space="preserve">the </w:t>
            </w:r>
            <w:r w:rsidRPr="002A4D19">
              <w:t>preinitiation call.</w:t>
            </w:r>
          </w:p>
          <w:p w14:paraId="604E453A" w14:textId="76467ADE" w:rsidR="00360B22" w:rsidRPr="002A4D19" w:rsidRDefault="00183788" w:rsidP="005E1B5E">
            <w:pPr>
              <w:pStyle w:val="TableBullet1"/>
            </w:pPr>
            <w:r w:rsidRPr="002A4D19">
              <w:t xml:space="preserve">Assign </w:t>
            </w:r>
            <w:r w:rsidR="00E12D6D" w:rsidRPr="002A4D19">
              <w:t>project initiation and launch prerequisites</w:t>
            </w:r>
            <w:r w:rsidR="00173661" w:rsidRPr="002A4D19">
              <w:t xml:space="preserve"> </w:t>
            </w:r>
            <w:r w:rsidR="00E12D6D" w:rsidRPr="002A4D19">
              <w:t>responsibilities</w:t>
            </w:r>
            <w:r w:rsidRPr="002A4D19">
              <w:t xml:space="preserve"> to accountable </w:t>
            </w:r>
            <w:r w:rsidR="00BF3482" w:rsidRPr="002A4D19">
              <w:t>C</w:t>
            </w:r>
            <w:r w:rsidRPr="002A4D19">
              <w:t>ustomer leadership and establish target completion dates.</w:t>
            </w:r>
          </w:p>
          <w:p w14:paraId="0995DBC8" w14:textId="77777777" w:rsidR="00360B22" w:rsidRPr="002A4D19" w:rsidRDefault="00183788" w:rsidP="005E1B5E">
            <w:pPr>
              <w:pStyle w:val="TableBullet1"/>
            </w:pPr>
            <w:r w:rsidRPr="002A4D19">
              <w:t xml:space="preserve">Complete </w:t>
            </w:r>
            <w:r w:rsidR="00173661" w:rsidRPr="002A4D19">
              <w:t xml:space="preserve">the </w:t>
            </w:r>
            <w:r w:rsidRPr="002A4D19">
              <w:t>project initiation and launch pre</w:t>
            </w:r>
            <w:r w:rsidR="00E40CE7" w:rsidRPr="002A4D19">
              <w:t>requisites</w:t>
            </w:r>
            <w:r w:rsidR="000F230A" w:rsidRPr="002A4D19">
              <w:t>.</w:t>
            </w:r>
          </w:p>
          <w:p w14:paraId="2288441A" w14:textId="2EA05842" w:rsidR="008E6B79" w:rsidRPr="002A4D19" w:rsidRDefault="008E6B79" w:rsidP="005E1B5E">
            <w:pPr>
              <w:pStyle w:val="TableBullet1"/>
            </w:pPr>
            <w:r w:rsidRPr="002A4D19">
              <w:t xml:space="preserve">Staff the project with the required </w:t>
            </w:r>
            <w:r w:rsidR="00BF3482" w:rsidRPr="002A4D19">
              <w:t>C</w:t>
            </w:r>
            <w:r w:rsidRPr="002A4D19">
              <w:t>ustomer resources in the time</w:t>
            </w:r>
            <w:r w:rsidR="00173661" w:rsidRPr="002A4D19">
              <w:t xml:space="preserve"> </w:t>
            </w:r>
            <w:r w:rsidRPr="002A4D19">
              <w:t xml:space="preserve">frames </w:t>
            </w:r>
            <w:r w:rsidR="00E12D6D" w:rsidRPr="002A4D19">
              <w:t xml:space="preserve">that were </w:t>
            </w:r>
            <w:r w:rsidRPr="002A4D19">
              <w:t>agreed</w:t>
            </w:r>
            <w:r w:rsidR="00E12D6D" w:rsidRPr="002A4D19">
              <w:t xml:space="preserve"> upon</w:t>
            </w:r>
            <w:r w:rsidRPr="002A4D19">
              <w:t xml:space="preserve"> in the preinitiation call.</w:t>
            </w:r>
          </w:p>
        </w:tc>
      </w:tr>
    </w:tbl>
    <w:p w14:paraId="2288441C" w14:textId="221C729E" w:rsidR="00DC319F" w:rsidRPr="00475676" w:rsidRDefault="00A034D0" w:rsidP="00C84DD9">
      <w:pPr>
        <w:pStyle w:val="Heading3"/>
      </w:pPr>
      <w:r w:rsidRPr="00475676">
        <w:t>Education</w:t>
      </w:r>
    </w:p>
    <w:p w14:paraId="76F73961" w14:textId="6693AD8E" w:rsidR="001F2A7E" w:rsidRPr="00475676" w:rsidRDefault="001F2A7E" w:rsidP="001F2A7E">
      <w:r w:rsidRPr="00475676">
        <w:t xml:space="preserve">During the Education phase, the team (Microsoft and the Customer) will kick off the engagement and conduct </w:t>
      </w:r>
      <w:r w:rsidR="00C0136C">
        <w:t xml:space="preserve">the </w:t>
      </w:r>
      <w:r w:rsidRPr="00475676">
        <w:t>education workshop to level-set everyone involved on the methodology and approach for the engagement.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985"/>
        <w:gridCol w:w="6370"/>
      </w:tblGrid>
      <w:tr w:rsidR="00D864E8" w:rsidRPr="00475676" w14:paraId="22884422" w14:textId="77777777" w:rsidTr="000276B5">
        <w:trPr>
          <w:trHeight w:val="542"/>
          <w:tblHeader/>
        </w:trPr>
        <w:tc>
          <w:tcPr>
            <w:tcW w:w="0" w:type="auto"/>
            <w:shd w:val="clear" w:color="auto" w:fill="008272"/>
          </w:tcPr>
          <w:p w14:paraId="22884420" w14:textId="77777777" w:rsidR="00D864E8" w:rsidRPr="00475676" w:rsidRDefault="00D864E8" w:rsidP="00B44F57">
            <w:pPr>
              <w:pStyle w:val="Table-Header"/>
            </w:pPr>
            <w:r w:rsidRPr="00475676">
              <w:t>Category</w:t>
            </w:r>
          </w:p>
        </w:tc>
        <w:tc>
          <w:tcPr>
            <w:tcW w:w="0" w:type="auto"/>
            <w:shd w:val="clear" w:color="auto" w:fill="008272"/>
          </w:tcPr>
          <w:p w14:paraId="22884421" w14:textId="77777777" w:rsidR="00D864E8" w:rsidRPr="00475676" w:rsidRDefault="00D864E8" w:rsidP="00B44F57">
            <w:pPr>
              <w:pStyle w:val="Table-Header"/>
            </w:pPr>
            <w:r w:rsidRPr="00475676">
              <w:t>Description</w:t>
            </w:r>
          </w:p>
        </w:tc>
      </w:tr>
      <w:tr w:rsidR="00D864E8" w:rsidRPr="00475676" w14:paraId="22884425" w14:textId="77777777" w:rsidTr="000276B5">
        <w:trPr>
          <w:trHeight w:val="422"/>
        </w:trPr>
        <w:tc>
          <w:tcPr>
            <w:tcW w:w="0" w:type="auto"/>
            <w:shd w:val="clear" w:color="auto" w:fill="auto"/>
          </w:tcPr>
          <w:p w14:paraId="22884423" w14:textId="77777777" w:rsidR="00D864E8" w:rsidRPr="00475676" w:rsidRDefault="00D864E8" w:rsidP="00117AE2">
            <w:pPr>
              <w:pStyle w:val="TableText"/>
            </w:pPr>
            <w:r w:rsidRPr="00475676">
              <w:rPr>
                <w:b/>
              </w:rPr>
              <w:t>Microsoft activities</w:t>
            </w:r>
            <w:r w:rsidR="00117AE2" w:rsidRPr="00475676">
              <w:rPr>
                <w:b/>
              </w:rPr>
              <w:br/>
            </w:r>
            <w:r w:rsidRPr="00475676">
              <w:t>The activities to be performed by Microsoft</w:t>
            </w:r>
          </w:p>
        </w:tc>
        <w:tc>
          <w:tcPr>
            <w:tcW w:w="0" w:type="auto"/>
            <w:shd w:val="clear" w:color="auto" w:fill="FFFFFF" w:themeFill="background1"/>
          </w:tcPr>
          <w:p w14:paraId="1D70926D" w14:textId="2FF51A1A" w:rsidR="001F2A7E" w:rsidRPr="00475676" w:rsidRDefault="001F2A7E" w:rsidP="005E1B5E">
            <w:pPr>
              <w:pStyle w:val="TableBullet1"/>
            </w:pPr>
            <w:r w:rsidRPr="00475676">
              <w:t>Lead a kickoff meeting</w:t>
            </w:r>
            <w:r w:rsidR="00C0136C">
              <w:t>.</w:t>
            </w:r>
          </w:p>
          <w:p w14:paraId="22884424" w14:textId="721C7642" w:rsidR="001F2A7E" w:rsidRPr="00475676" w:rsidRDefault="001F2A7E" w:rsidP="00A04B80">
            <w:pPr>
              <w:pStyle w:val="TableBullet1"/>
            </w:pPr>
            <w:r w:rsidRPr="00475676">
              <w:t>Lead an education worksho</w:t>
            </w:r>
            <w:r w:rsidR="006C2CFA" w:rsidRPr="00475676">
              <w:t>p</w:t>
            </w:r>
            <w:r w:rsidR="00C0136C">
              <w:t>.</w:t>
            </w:r>
          </w:p>
        </w:tc>
      </w:tr>
      <w:tr w:rsidR="00D864E8" w:rsidRPr="00475676" w14:paraId="22884428" w14:textId="77777777" w:rsidTr="000276B5">
        <w:trPr>
          <w:trHeight w:val="422"/>
        </w:trPr>
        <w:tc>
          <w:tcPr>
            <w:tcW w:w="0" w:type="auto"/>
            <w:shd w:val="clear" w:color="auto" w:fill="auto"/>
          </w:tcPr>
          <w:p w14:paraId="22884426" w14:textId="77777777" w:rsidR="00D864E8" w:rsidRPr="00475676" w:rsidRDefault="00D864E8" w:rsidP="00117AE2">
            <w:pPr>
              <w:pStyle w:val="TableText"/>
            </w:pPr>
            <w:r w:rsidRPr="00475676">
              <w:rPr>
                <w:b/>
              </w:rPr>
              <w:t>Customer activities</w:t>
            </w:r>
            <w:r w:rsidR="00117AE2" w:rsidRPr="00475676">
              <w:rPr>
                <w:b/>
              </w:rPr>
              <w:br/>
            </w:r>
            <w:r w:rsidRPr="00475676">
              <w:t xml:space="preserve">The activities to be performed by </w:t>
            </w:r>
            <w:r w:rsidR="00112EB1" w:rsidRPr="00475676">
              <w:t xml:space="preserve">the </w:t>
            </w:r>
            <w:r w:rsidR="00057271" w:rsidRPr="00475676">
              <w:t>C</w:t>
            </w:r>
            <w:r w:rsidR="00173661" w:rsidRPr="00475676">
              <w:t>ustomer</w:t>
            </w:r>
          </w:p>
        </w:tc>
        <w:tc>
          <w:tcPr>
            <w:tcW w:w="0" w:type="auto"/>
            <w:shd w:val="clear" w:color="auto" w:fill="FFFFFF" w:themeFill="background1"/>
          </w:tcPr>
          <w:p w14:paraId="22884427" w14:textId="29AD725E" w:rsidR="00982A97" w:rsidRPr="00475676" w:rsidRDefault="001F2A7E" w:rsidP="00A04B80">
            <w:pPr>
              <w:pStyle w:val="TableBullet1"/>
            </w:pPr>
            <w:r w:rsidRPr="00475676">
              <w:t>Host the kickoff meeting and the education workshop</w:t>
            </w:r>
            <w:r w:rsidR="00C0136C">
              <w:t>.</w:t>
            </w:r>
          </w:p>
        </w:tc>
      </w:tr>
      <w:tr w:rsidR="00D864E8" w:rsidRPr="00475676" w14:paraId="2288442B" w14:textId="77777777" w:rsidTr="000276B5">
        <w:trPr>
          <w:trHeight w:val="422"/>
        </w:trPr>
        <w:tc>
          <w:tcPr>
            <w:tcW w:w="0" w:type="auto"/>
            <w:shd w:val="clear" w:color="auto" w:fill="auto"/>
          </w:tcPr>
          <w:p w14:paraId="22884429" w14:textId="2535BF50" w:rsidR="00D864E8" w:rsidRPr="00475676" w:rsidRDefault="00C50685" w:rsidP="00117AE2">
            <w:pPr>
              <w:pStyle w:val="TableText"/>
            </w:pPr>
            <w:r w:rsidRPr="00475676">
              <w:rPr>
                <w:b/>
              </w:rPr>
              <w:t>Key a</w:t>
            </w:r>
            <w:r w:rsidR="00D864E8" w:rsidRPr="00475676">
              <w:rPr>
                <w:b/>
              </w:rPr>
              <w:t>ssumptions</w:t>
            </w:r>
          </w:p>
        </w:tc>
        <w:tc>
          <w:tcPr>
            <w:tcW w:w="0" w:type="auto"/>
            <w:shd w:val="clear" w:color="auto" w:fill="FFFFFF" w:themeFill="background1"/>
          </w:tcPr>
          <w:p w14:paraId="54FB2F2B" w14:textId="73F04DEE" w:rsidR="007009FF" w:rsidRPr="00475676" w:rsidRDefault="007009FF" w:rsidP="005E1B5E">
            <w:pPr>
              <w:pStyle w:val="TableBullet1"/>
            </w:pPr>
            <w:r w:rsidRPr="00475676">
              <w:t>The Customer will have completed all items in the</w:t>
            </w:r>
            <w:r w:rsidRPr="002A4D19">
              <w:t xml:space="preserve"> </w:t>
            </w:r>
            <w:r w:rsidR="00082B7B">
              <w:t>e</w:t>
            </w:r>
            <w:r w:rsidRPr="005E1B5E">
              <w:t xml:space="preserve">ngagement </w:t>
            </w:r>
            <w:r w:rsidR="00082B7B">
              <w:t>p</w:t>
            </w:r>
            <w:r w:rsidRPr="005E1B5E">
              <w:t xml:space="preserve">reparation </w:t>
            </w:r>
            <w:r w:rsidR="00082B7B">
              <w:t>g</w:t>
            </w:r>
            <w:r w:rsidRPr="005E1B5E">
              <w:t>uide</w:t>
            </w:r>
            <w:r w:rsidRPr="00475676">
              <w:t xml:space="preserve"> document prior to the kickoff</w:t>
            </w:r>
            <w:r w:rsidR="00082B7B">
              <w:t>.</w:t>
            </w:r>
          </w:p>
          <w:p w14:paraId="2288442A" w14:textId="64D13A08" w:rsidR="007009FF" w:rsidRPr="00475676" w:rsidRDefault="007009FF" w:rsidP="00A04B80">
            <w:pPr>
              <w:pStyle w:val="TableBullet1"/>
            </w:pPr>
            <w:r w:rsidRPr="00475676">
              <w:t>The Customer will verify that the appropriate personnel are present and dedicated to these tasks.</w:t>
            </w:r>
          </w:p>
        </w:tc>
      </w:tr>
    </w:tbl>
    <w:p w14:paraId="2288443E" w14:textId="3D13B265" w:rsidR="00B46E7E" w:rsidRPr="00475676" w:rsidRDefault="00075A90" w:rsidP="00C84DD9">
      <w:pPr>
        <w:pStyle w:val="Heading3"/>
      </w:pPr>
      <w:r w:rsidRPr="00475676">
        <w:lastRenderedPageBreak/>
        <w:t>Assessment</w:t>
      </w:r>
    </w:p>
    <w:p w14:paraId="5F547E78" w14:textId="77777777" w:rsidR="00075A90" w:rsidRPr="00475676" w:rsidRDefault="00075A90" w:rsidP="00075A90">
      <w:r w:rsidRPr="00475676">
        <w:t>During the Assessment phase, the Microsoft team members will conduct the core interviews needed to gather data for the deliverables.</w:t>
      </w:r>
    </w:p>
    <w:tbl>
      <w:tblPr>
        <w:tblStyle w:val="TableGrid1"/>
        <w:tblW w:w="936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02"/>
        <w:gridCol w:w="6660"/>
      </w:tblGrid>
      <w:tr w:rsidR="00B46E7E" w:rsidRPr="00475676" w14:paraId="22884444" w14:textId="77777777" w:rsidTr="00435973">
        <w:trPr>
          <w:trHeight w:val="542"/>
          <w:tblHeader/>
        </w:trPr>
        <w:tc>
          <w:tcPr>
            <w:tcW w:w="2702" w:type="dxa"/>
            <w:shd w:val="clear" w:color="auto" w:fill="008272"/>
          </w:tcPr>
          <w:p w14:paraId="22884442" w14:textId="77777777" w:rsidR="00B46E7E" w:rsidRPr="00475676" w:rsidRDefault="00B46E7E" w:rsidP="00031658">
            <w:pPr>
              <w:pStyle w:val="Table-Header"/>
            </w:pPr>
            <w:r w:rsidRPr="00475676">
              <w:t>Category</w:t>
            </w:r>
          </w:p>
        </w:tc>
        <w:tc>
          <w:tcPr>
            <w:tcW w:w="6660" w:type="dxa"/>
            <w:tcBorders>
              <w:bottom w:val="single" w:sz="2" w:space="0" w:color="FFFFFF" w:themeColor="background1" w:themeTint="00" w:themeShade="7F"/>
            </w:tcBorders>
            <w:shd w:val="clear" w:color="auto" w:fill="008272"/>
          </w:tcPr>
          <w:p w14:paraId="22884443" w14:textId="77777777" w:rsidR="00B46E7E" w:rsidRPr="00475676" w:rsidRDefault="00B46E7E" w:rsidP="00031658">
            <w:pPr>
              <w:pStyle w:val="Table-Header"/>
            </w:pPr>
            <w:r w:rsidRPr="00475676">
              <w:t>Description</w:t>
            </w:r>
          </w:p>
        </w:tc>
      </w:tr>
      <w:tr w:rsidR="00B46E7E" w:rsidRPr="00475676" w14:paraId="22884447" w14:textId="77777777" w:rsidTr="00435973">
        <w:trPr>
          <w:trHeight w:val="422"/>
        </w:trPr>
        <w:tc>
          <w:tcPr>
            <w:tcW w:w="2702" w:type="dxa"/>
            <w:shd w:val="clear" w:color="auto" w:fill="auto"/>
          </w:tcPr>
          <w:p w14:paraId="22884445" w14:textId="77777777" w:rsidR="00B46E7E" w:rsidRPr="00475676" w:rsidRDefault="00B46E7E" w:rsidP="00117AE2">
            <w:pPr>
              <w:pStyle w:val="TableText"/>
            </w:pPr>
            <w:r w:rsidRPr="00475676">
              <w:rPr>
                <w:b/>
              </w:rPr>
              <w:t>Microsoft activities</w:t>
            </w:r>
            <w:r w:rsidR="00117AE2" w:rsidRPr="00475676">
              <w:rPr>
                <w:b/>
              </w:rPr>
              <w:br/>
            </w:r>
            <w:r w:rsidRPr="00475676">
              <w:t>The activities to be performed by Microsoft</w:t>
            </w:r>
          </w:p>
        </w:tc>
        <w:tc>
          <w:tcPr>
            <w:tcW w:w="66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BB4640" w14:textId="2258510C" w:rsidR="00075A90" w:rsidRPr="009A2A58" w:rsidRDefault="00075A90" w:rsidP="00F21B01">
            <w:pPr>
              <w:pStyle w:val="Optional"/>
              <w:rPr>
                <w:color w:val="auto"/>
              </w:rPr>
            </w:pPr>
            <w:r w:rsidRPr="009A2A58">
              <w:rPr>
                <w:color w:val="auto"/>
              </w:rPr>
              <w:t>Conduct and lead assessment interviews. There will be 16 interviews in total, 1 for each assessment domain. Each interview is time-boxed for a maximum of up to 2 hours. The assessment domains are:</w:t>
            </w:r>
          </w:p>
          <w:p w14:paraId="5B82EF59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Information security policy</w:t>
            </w:r>
          </w:p>
          <w:p w14:paraId="49250AF7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Organization of information security</w:t>
            </w:r>
          </w:p>
          <w:p w14:paraId="2D227335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Human resource security</w:t>
            </w:r>
          </w:p>
          <w:p w14:paraId="1DAA8B0D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Asset management</w:t>
            </w:r>
          </w:p>
          <w:p w14:paraId="32A5408C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Access control</w:t>
            </w:r>
          </w:p>
          <w:p w14:paraId="08AA1800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Cryptography</w:t>
            </w:r>
          </w:p>
          <w:p w14:paraId="00676303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Physical and environmental security</w:t>
            </w:r>
          </w:p>
          <w:p w14:paraId="194E279C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Operations security</w:t>
            </w:r>
          </w:p>
          <w:p w14:paraId="66524404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Communications security</w:t>
            </w:r>
          </w:p>
          <w:p w14:paraId="7D084C6F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System acquisition, development, and maintenance</w:t>
            </w:r>
          </w:p>
          <w:p w14:paraId="426941D3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Supplier relationships</w:t>
            </w:r>
          </w:p>
          <w:p w14:paraId="5B0F0D19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Information security incident management</w:t>
            </w:r>
          </w:p>
          <w:p w14:paraId="6B7662ED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Information security aspects of business continuity management</w:t>
            </w:r>
          </w:p>
          <w:p w14:paraId="37BE1F0D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Compliance</w:t>
            </w:r>
          </w:p>
          <w:p w14:paraId="16BC04E0" w14:textId="77777777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Cloud</w:t>
            </w:r>
          </w:p>
          <w:p w14:paraId="28998DA9" w14:textId="0519C74C" w:rsidR="00075A90" w:rsidRPr="009A2A58" w:rsidRDefault="00075A90" w:rsidP="005E1B5E">
            <w:pPr>
              <w:pStyle w:val="Optional"/>
              <w:numPr>
                <w:ilvl w:val="0"/>
                <w:numId w:val="29"/>
              </w:numPr>
              <w:ind w:left="360"/>
              <w:rPr>
                <w:color w:val="auto"/>
              </w:rPr>
            </w:pPr>
            <w:r w:rsidRPr="009A2A58">
              <w:rPr>
                <w:color w:val="auto"/>
              </w:rPr>
              <w:t>Privacy</w:t>
            </w:r>
          </w:p>
          <w:p w14:paraId="22884446" w14:textId="6CD6E8A9" w:rsidR="00140EA2" w:rsidRPr="009A2A58" w:rsidRDefault="00B60B6F" w:rsidP="005E1B5E">
            <w:pPr>
              <w:pStyle w:val="TableText"/>
            </w:pPr>
            <w:r w:rsidRPr="009A2A58">
              <w:t xml:space="preserve">Analyze and generate a draft report in </w:t>
            </w:r>
            <w:r w:rsidR="004E231D" w:rsidRPr="009A2A58">
              <w:t xml:space="preserve">Microsoft </w:t>
            </w:r>
            <w:r w:rsidRPr="009A2A58">
              <w:t>Word format</w:t>
            </w:r>
            <w:r w:rsidR="00012916" w:rsidRPr="009A2A58">
              <w:t>.</w:t>
            </w:r>
          </w:p>
        </w:tc>
      </w:tr>
      <w:tr w:rsidR="00B46E7E" w:rsidRPr="00475676" w14:paraId="2288444A" w14:textId="77777777" w:rsidTr="00435973">
        <w:trPr>
          <w:trHeight w:val="422"/>
        </w:trPr>
        <w:tc>
          <w:tcPr>
            <w:tcW w:w="2702" w:type="dxa"/>
            <w:shd w:val="clear" w:color="auto" w:fill="auto"/>
          </w:tcPr>
          <w:p w14:paraId="22884448" w14:textId="77777777" w:rsidR="00B46E7E" w:rsidRPr="00475676" w:rsidRDefault="00B46E7E" w:rsidP="00117AE2">
            <w:pPr>
              <w:pStyle w:val="TableText"/>
            </w:pPr>
            <w:r w:rsidRPr="00475676">
              <w:rPr>
                <w:b/>
              </w:rPr>
              <w:t>Customer activities</w:t>
            </w:r>
            <w:r w:rsidR="00117AE2" w:rsidRPr="00475676">
              <w:br/>
            </w:r>
            <w:r w:rsidRPr="00475676">
              <w:t xml:space="preserve">The activities to be performed by </w:t>
            </w:r>
            <w:r w:rsidR="00112EB1" w:rsidRPr="00475676">
              <w:t xml:space="preserve">the </w:t>
            </w:r>
            <w:r w:rsidR="00057271" w:rsidRPr="00475676">
              <w:t>C</w:t>
            </w:r>
            <w:r w:rsidR="006965B5" w:rsidRPr="00475676">
              <w:t>ustomer</w:t>
            </w:r>
          </w:p>
        </w:tc>
        <w:tc>
          <w:tcPr>
            <w:tcW w:w="666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2884449" w14:textId="48545ADE" w:rsidR="00B46E7E" w:rsidRPr="00475676" w:rsidRDefault="008D71E4" w:rsidP="005E1B5E">
            <w:pPr>
              <w:pStyle w:val="TableText"/>
            </w:pPr>
            <w:r>
              <w:t xml:space="preserve">The </w:t>
            </w:r>
            <w:r w:rsidR="00C20C67" w:rsidRPr="00475676">
              <w:t xml:space="preserve">Customer will identify personnel who can participate in the assessment interviews and provide answers to </w:t>
            </w:r>
            <w:r w:rsidR="001E2DBB" w:rsidRPr="00475676">
              <w:t>the assessment</w:t>
            </w:r>
            <w:r w:rsidR="00C20C67" w:rsidRPr="00475676">
              <w:t xml:space="preserve"> domains</w:t>
            </w:r>
            <w:r w:rsidR="00D06696">
              <w:t>.</w:t>
            </w:r>
          </w:p>
        </w:tc>
      </w:tr>
      <w:tr w:rsidR="00B46E7E" w:rsidRPr="00475676" w14:paraId="2288444E" w14:textId="77777777" w:rsidTr="00435973">
        <w:trPr>
          <w:trHeight w:val="422"/>
        </w:trPr>
        <w:tc>
          <w:tcPr>
            <w:tcW w:w="2702" w:type="dxa"/>
            <w:shd w:val="clear" w:color="auto" w:fill="auto"/>
          </w:tcPr>
          <w:p w14:paraId="2288444C" w14:textId="3888C87C" w:rsidR="00B46E7E" w:rsidRPr="00475676" w:rsidRDefault="00B46E7E" w:rsidP="002A4D19">
            <w:pPr>
              <w:pStyle w:val="TableText"/>
            </w:pPr>
            <w:r w:rsidRPr="00475676">
              <w:rPr>
                <w:b/>
              </w:rPr>
              <w:t>Key assumptions</w:t>
            </w:r>
          </w:p>
        </w:tc>
        <w:tc>
          <w:tcPr>
            <w:tcW w:w="6660" w:type="dxa"/>
            <w:shd w:val="clear" w:color="auto" w:fill="FFFFFF" w:themeFill="background1"/>
          </w:tcPr>
          <w:p w14:paraId="2288444D" w14:textId="67327A94" w:rsidR="00B46E7E" w:rsidRPr="00475676" w:rsidRDefault="00DE4163" w:rsidP="005E1B5E">
            <w:pPr>
              <w:pStyle w:val="TableText"/>
            </w:pPr>
            <w:r>
              <w:t>As scheduled, k</w:t>
            </w:r>
            <w:r w:rsidR="002D53BC" w:rsidRPr="00475676">
              <w:t xml:space="preserve">ey personnel identified by the Customer during the </w:t>
            </w:r>
            <w:r w:rsidR="00D06696">
              <w:t>P</w:t>
            </w:r>
            <w:r w:rsidR="002D53BC" w:rsidRPr="00475676">
              <w:t xml:space="preserve">re-engagement phase </w:t>
            </w:r>
            <w:r w:rsidR="00D06696">
              <w:t xml:space="preserve">will be </w:t>
            </w:r>
            <w:r w:rsidR="002D53BC" w:rsidRPr="00475676">
              <w:t>available for these interviews.</w:t>
            </w:r>
          </w:p>
        </w:tc>
      </w:tr>
    </w:tbl>
    <w:p w14:paraId="22884450" w14:textId="77777777" w:rsidR="00BC4E85" w:rsidRPr="00475676" w:rsidRDefault="00BC4E85" w:rsidP="00BC4E85">
      <w:pPr>
        <w:pStyle w:val="Heading4"/>
      </w:pPr>
      <w:bookmarkStart w:id="35" w:name="_Toc476168038"/>
      <w:r w:rsidRPr="00475676">
        <w:lastRenderedPageBreak/>
        <w:t>Deliverables</w:t>
      </w: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861"/>
        <w:gridCol w:w="4672"/>
        <w:gridCol w:w="1292"/>
        <w:gridCol w:w="1535"/>
      </w:tblGrid>
      <w:tr w:rsidR="00603899" w:rsidRPr="00475676" w14:paraId="22884455" w14:textId="77777777" w:rsidTr="00DC285F">
        <w:trPr>
          <w:trHeight w:val="373"/>
          <w:tblHeader/>
        </w:trPr>
        <w:tc>
          <w:tcPr>
            <w:tcW w:w="2002" w:type="dxa"/>
            <w:shd w:val="clear" w:color="auto" w:fill="008272"/>
          </w:tcPr>
          <w:p w14:paraId="22884451" w14:textId="77777777" w:rsidR="00BC4E85" w:rsidRPr="00475676" w:rsidRDefault="00BC4E85" w:rsidP="002E1E13">
            <w:pPr>
              <w:pStyle w:val="Table-Header"/>
            </w:pPr>
            <w:r w:rsidRPr="00475676">
              <w:t>Name</w:t>
            </w:r>
          </w:p>
        </w:tc>
        <w:tc>
          <w:tcPr>
            <w:tcW w:w="5558" w:type="dxa"/>
            <w:shd w:val="clear" w:color="auto" w:fill="008272"/>
          </w:tcPr>
          <w:p w14:paraId="22884452" w14:textId="77777777" w:rsidR="00BC4E85" w:rsidRPr="00475676" w:rsidRDefault="00BC4E85" w:rsidP="002E1E13">
            <w:pPr>
              <w:pStyle w:val="Table-Header"/>
            </w:pPr>
            <w:r w:rsidRPr="00475676">
              <w:t>Description</w:t>
            </w:r>
          </w:p>
        </w:tc>
        <w:tc>
          <w:tcPr>
            <w:tcW w:w="265" w:type="dxa"/>
            <w:shd w:val="clear" w:color="auto" w:fill="008272"/>
          </w:tcPr>
          <w:p w14:paraId="22884453" w14:textId="77777777" w:rsidR="00BC4E85" w:rsidRPr="00475676" w:rsidRDefault="00BC4E85" w:rsidP="002E1E13">
            <w:pPr>
              <w:pStyle w:val="Table-Header"/>
            </w:pPr>
            <w:r w:rsidRPr="00475676">
              <w:t>Acceptance required?</w:t>
            </w:r>
          </w:p>
        </w:tc>
        <w:tc>
          <w:tcPr>
            <w:tcW w:w="1535" w:type="dxa"/>
            <w:shd w:val="clear" w:color="auto" w:fill="008272"/>
          </w:tcPr>
          <w:p w14:paraId="22884454" w14:textId="77777777" w:rsidR="00BC4E85" w:rsidRPr="00475676" w:rsidRDefault="00BC4E85" w:rsidP="002E1E13">
            <w:pPr>
              <w:pStyle w:val="Table-Header"/>
            </w:pPr>
            <w:r w:rsidRPr="00475676">
              <w:t>Responsibility</w:t>
            </w:r>
          </w:p>
        </w:tc>
      </w:tr>
      <w:tr w:rsidR="00603899" w:rsidRPr="00475676" w14:paraId="2288445A" w14:textId="77777777" w:rsidTr="00DC285F">
        <w:trPr>
          <w:trHeight w:val="431"/>
        </w:trPr>
        <w:tc>
          <w:tcPr>
            <w:tcW w:w="2002" w:type="dxa"/>
            <w:shd w:val="clear" w:color="auto" w:fill="FFFFFF" w:themeFill="background1"/>
          </w:tcPr>
          <w:p w14:paraId="22884456" w14:textId="0FE16036" w:rsidR="00BC4E85" w:rsidRPr="00475676" w:rsidRDefault="4896E3F4" w:rsidP="002E1E13">
            <w:pPr>
              <w:pStyle w:val="TableText"/>
            </w:pPr>
            <w:r w:rsidRPr="00475676">
              <w:t xml:space="preserve">Findings </w:t>
            </w:r>
            <w:r>
              <w:t>l</w:t>
            </w:r>
            <w:r w:rsidRPr="00475676">
              <w:t>ist</w:t>
            </w:r>
          </w:p>
        </w:tc>
        <w:tc>
          <w:tcPr>
            <w:tcW w:w="5558" w:type="dxa"/>
            <w:shd w:val="clear" w:color="auto" w:fill="FFFFFF" w:themeFill="background1"/>
          </w:tcPr>
          <w:p w14:paraId="22884457" w14:textId="3C25F78A" w:rsidR="00BC4E85" w:rsidRPr="00475676" w:rsidRDefault="182C25BC" w:rsidP="002E1E13">
            <w:pPr>
              <w:pStyle w:val="TableText"/>
            </w:pPr>
            <w:r w:rsidRPr="00475676">
              <w:t>A Microsoft Excel spreadsheet that lists review findings across the assessed domains, their priority, and recommendations</w:t>
            </w:r>
          </w:p>
        </w:tc>
        <w:tc>
          <w:tcPr>
            <w:tcW w:w="265" w:type="dxa"/>
            <w:shd w:val="clear" w:color="auto" w:fill="FFFFFF" w:themeFill="background1"/>
          </w:tcPr>
          <w:p w14:paraId="22884458" w14:textId="5C319368" w:rsidR="00BC4E85" w:rsidRPr="00475676" w:rsidRDefault="0022525B" w:rsidP="002E1E13">
            <w:pPr>
              <w:pStyle w:val="TableText"/>
            </w:pPr>
            <w:r w:rsidRPr="00475676">
              <w:t>No</w:t>
            </w:r>
          </w:p>
        </w:tc>
        <w:tc>
          <w:tcPr>
            <w:tcW w:w="1535" w:type="dxa"/>
            <w:shd w:val="clear" w:color="auto" w:fill="FFFFFF" w:themeFill="background1"/>
          </w:tcPr>
          <w:p w14:paraId="22884459" w14:textId="39028E8E" w:rsidR="00BC4E85" w:rsidRPr="00475676" w:rsidRDefault="0022525B" w:rsidP="002E1E13">
            <w:pPr>
              <w:pStyle w:val="TableText"/>
            </w:pPr>
            <w:r w:rsidRPr="00475676">
              <w:t>Microsoft</w:t>
            </w:r>
          </w:p>
        </w:tc>
      </w:tr>
      <w:tr w:rsidR="00603899" w:rsidRPr="00475676" w14:paraId="2288445F" w14:textId="77777777" w:rsidTr="00DC285F">
        <w:trPr>
          <w:trHeight w:val="431"/>
        </w:trPr>
        <w:tc>
          <w:tcPr>
            <w:tcW w:w="2002" w:type="dxa"/>
            <w:shd w:val="clear" w:color="auto" w:fill="FFFFFF" w:themeFill="background1"/>
          </w:tcPr>
          <w:p w14:paraId="2288445B" w14:textId="176A91D6" w:rsidR="00BC4E85" w:rsidRPr="00475676" w:rsidRDefault="001E1120" w:rsidP="002E1E13">
            <w:pPr>
              <w:pStyle w:val="TableText"/>
            </w:pPr>
            <w:r w:rsidRPr="00475676">
              <w:t xml:space="preserve">Draft </w:t>
            </w:r>
            <w:r w:rsidR="0022525B" w:rsidRPr="00475676">
              <w:t xml:space="preserve">Cybersecurity Risk Review </w:t>
            </w:r>
            <w:r w:rsidR="00655045">
              <w:t>r</w:t>
            </w:r>
            <w:r w:rsidR="0022525B" w:rsidRPr="00475676">
              <w:t>eport</w:t>
            </w:r>
          </w:p>
        </w:tc>
        <w:tc>
          <w:tcPr>
            <w:tcW w:w="5558" w:type="dxa"/>
            <w:shd w:val="clear" w:color="auto" w:fill="FFFFFF" w:themeFill="background1"/>
          </w:tcPr>
          <w:p w14:paraId="2288445C" w14:textId="1CF4967B" w:rsidR="00BC4E85" w:rsidRPr="00475676" w:rsidRDefault="00F25BED" w:rsidP="002E1E13">
            <w:pPr>
              <w:pStyle w:val="TableText"/>
            </w:pPr>
            <w:r w:rsidRPr="00475676">
              <w:t xml:space="preserve">A Word document that details the areas of analysis, findings, and a roadmap in which actions are suggested for the short-term, mid-term, and long-term </w:t>
            </w:r>
            <w:r w:rsidR="008D71E4">
              <w:t xml:space="preserve">time </w:t>
            </w:r>
            <w:r w:rsidRPr="00475676">
              <w:t>periods</w:t>
            </w:r>
          </w:p>
        </w:tc>
        <w:tc>
          <w:tcPr>
            <w:tcW w:w="265" w:type="dxa"/>
            <w:shd w:val="clear" w:color="auto" w:fill="FFFFFF" w:themeFill="background1"/>
          </w:tcPr>
          <w:p w14:paraId="2288445D" w14:textId="77AC66EB" w:rsidR="00BC4E85" w:rsidRPr="00475676" w:rsidRDefault="001E1120" w:rsidP="002E1E13">
            <w:pPr>
              <w:pStyle w:val="TableText"/>
            </w:pPr>
            <w:r w:rsidRPr="00475676">
              <w:t>No</w:t>
            </w:r>
          </w:p>
        </w:tc>
        <w:tc>
          <w:tcPr>
            <w:tcW w:w="1535" w:type="dxa"/>
            <w:shd w:val="clear" w:color="auto" w:fill="FFFFFF" w:themeFill="background1"/>
          </w:tcPr>
          <w:p w14:paraId="2288445E" w14:textId="04BC9BBA" w:rsidR="00BC4E85" w:rsidRPr="00475676" w:rsidRDefault="00F25BED" w:rsidP="002E1E13">
            <w:pPr>
              <w:pStyle w:val="TableText"/>
            </w:pPr>
            <w:r w:rsidRPr="00475676">
              <w:t>Microsoft</w:t>
            </w:r>
          </w:p>
        </w:tc>
      </w:tr>
    </w:tbl>
    <w:bookmarkEnd w:id="35"/>
    <w:p w14:paraId="22884461" w14:textId="7666ECA8" w:rsidR="009B1142" w:rsidRPr="00475676" w:rsidRDefault="00F25BED" w:rsidP="00C84DD9">
      <w:pPr>
        <w:pStyle w:val="Heading3"/>
      </w:pPr>
      <w:r w:rsidRPr="00475676">
        <w:t>Review</w:t>
      </w:r>
    </w:p>
    <w:p w14:paraId="34D242D9" w14:textId="01ACE6B0" w:rsidR="00113F6E" w:rsidRPr="00475676" w:rsidRDefault="00113F6E" w:rsidP="00113F6E">
      <w:r w:rsidRPr="00475676">
        <w:t xml:space="preserve">During this final phase, the team will review </w:t>
      </w:r>
      <w:r w:rsidR="005E1764">
        <w:t xml:space="preserve">the assessment </w:t>
      </w:r>
      <w:r w:rsidRPr="00475676">
        <w:t>results with the Customer</w:t>
      </w:r>
      <w:r w:rsidR="005E1764">
        <w:t xml:space="preserve"> and </w:t>
      </w:r>
      <w:r w:rsidRPr="00475676">
        <w:t>conduct a remediation roadmap workshop.</w:t>
      </w:r>
    </w:p>
    <w:tbl>
      <w:tblPr>
        <w:tblStyle w:val="TableGrid1"/>
        <w:tblW w:w="936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02"/>
        <w:gridCol w:w="6660"/>
      </w:tblGrid>
      <w:tr w:rsidR="009B1142" w:rsidRPr="00475676" w14:paraId="22884464" w14:textId="77777777" w:rsidTr="00DC285F">
        <w:trPr>
          <w:trHeight w:val="542"/>
          <w:tblHeader/>
        </w:trPr>
        <w:tc>
          <w:tcPr>
            <w:tcW w:w="9362" w:type="dxa"/>
            <w:gridSpan w:val="2"/>
            <w:shd w:val="clear" w:color="auto" w:fill="008272"/>
          </w:tcPr>
          <w:p w14:paraId="22884463" w14:textId="77777777" w:rsidR="009B1142" w:rsidRPr="00475676" w:rsidRDefault="00151DD2" w:rsidP="00B44F57">
            <w:pPr>
              <w:rPr>
                <w:rFonts w:ascii="Segoe UI Semilight" w:hAnsi="Segoe UI Semilight" w:cs="Segoe UI"/>
                <w:color w:val="FFFFFF" w:themeColor="background1"/>
                <w:sz w:val="22"/>
                <w:szCs w:val="18"/>
              </w:rPr>
            </w:pPr>
            <w:r w:rsidRPr="00475676">
              <w:rPr>
                <w:rFonts w:ascii="Segoe UI Semilight" w:hAnsi="Segoe UI Semilight" w:cs="Segoe UI"/>
                <w:noProof/>
                <w:color w:val="FFFFFF" w:themeColor="background1"/>
                <w:sz w:val="22"/>
                <w:szCs w:val="18"/>
              </w:rPr>
              <w:drawing>
                <wp:inline distT="0" distB="0" distL="0" distR="0" wp14:anchorId="22884576" wp14:editId="22884577">
                  <wp:extent cx="1915795" cy="221602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365" cy="2327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142" w:rsidRPr="00475676" w14:paraId="22884467" w14:textId="77777777" w:rsidTr="00DC285F">
        <w:trPr>
          <w:trHeight w:val="542"/>
          <w:tblHeader/>
        </w:trPr>
        <w:tc>
          <w:tcPr>
            <w:tcW w:w="2702" w:type="dxa"/>
            <w:shd w:val="clear" w:color="auto" w:fill="008272"/>
          </w:tcPr>
          <w:p w14:paraId="22884465" w14:textId="77777777" w:rsidR="009B1142" w:rsidRPr="00475676" w:rsidRDefault="009B1142" w:rsidP="00031658">
            <w:pPr>
              <w:pStyle w:val="Table-Header"/>
            </w:pPr>
            <w:r w:rsidRPr="00475676">
              <w:t>Category</w:t>
            </w:r>
          </w:p>
        </w:tc>
        <w:tc>
          <w:tcPr>
            <w:tcW w:w="6660" w:type="dxa"/>
            <w:shd w:val="clear" w:color="auto" w:fill="008272"/>
          </w:tcPr>
          <w:p w14:paraId="22884466" w14:textId="77777777" w:rsidR="009B1142" w:rsidRPr="00475676" w:rsidRDefault="009B1142" w:rsidP="00031658">
            <w:pPr>
              <w:pStyle w:val="Table-Header"/>
            </w:pPr>
            <w:r w:rsidRPr="00475676">
              <w:t>Description</w:t>
            </w:r>
          </w:p>
        </w:tc>
      </w:tr>
      <w:tr w:rsidR="009B1142" w:rsidRPr="00475676" w14:paraId="2288446A" w14:textId="77777777" w:rsidTr="00DC285F">
        <w:trPr>
          <w:trHeight w:val="422"/>
        </w:trPr>
        <w:tc>
          <w:tcPr>
            <w:tcW w:w="2702" w:type="dxa"/>
            <w:shd w:val="clear" w:color="auto" w:fill="auto"/>
          </w:tcPr>
          <w:p w14:paraId="22884468" w14:textId="77777777" w:rsidR="009B1142" w:rsidRPr="00475676" w:rsidRDefault="009B1142" w:rsidP="0013452E">
            <w:pPr>
              <w:pStyle w:val="TableText"/>
            </w:pPr>
            <w:r w:rsidRPr="00475676">
              <w:rPr>
                <w:b/>
              </w:rPr>
              <w:t>Microsoft activities</w:t>
            </w:r>
            <w:r w:rsidR="00117AE2" w:rsidRPr="00475676">
              <w:rPr>
                <w:b/>
              </w:rPr>
              <w:br/>
            </w:r>
            <w:r w:rsidRPr="00475676">
              <w:t>The activities to be performed by Microsoft</w:t>
            </w:r>
          </w:p>
        </w:tc>
        <w:tc>
          <w:tcPr>
            <w:tcW w:w="6660" w:type="dxa"/>
            <w:shd w:val="clear" w:color="auto" w:fill="FFFFFF" w:themeFill="background1"/>
          </w:tcPr>
          <w:p w14:paraId="0C68019A" w14:textId="3944FB63" w:rsidR="001E1120" w:rsidRPr="00475676" w:rsidRDefault="001E1120" w:rsidP="00DC285F">
            <w:pPr>
              <w:pStyle w:val="TableBullet1"/>
            </w:pPr>
            <w:r w:rsidRPr="00475676">
              <w:t>Conduct an assessment review with the Customer</w:t>
            </w:r>
            <w:r w:rsidR="00A70B99">
              <w:t xml:space="preserve">, including </w:t>
            </w:r>
            <w:r w:rsidR="004E231D">
              <w:t xml:space="preserve">a </w:t>
            </w:r>
            <w:r w:rsidRPr="00475676">
              <w:t xml:space="preserve">review </w:t>
            </w:r>
            <w:r w:rsidR="004E231D">
              <w:t xml:space="preserve">of </w:t>
            </w:r>
            <w:r w:rsidRPr="00475676">
              <w:t>the contents of the Word report that was delivered in the previous phase</w:t>
            </w:r>
            <w:r w:rsidR="00A70B99">
              <w:t>.</w:t>
            </w:r>
          </w:p>
          <w:p w14:paraId="31204FD1" w14:textId="770D756C" w:rsidR="00113F6E" w:rsidRPr="00475676" w:rsidRDefault="00113F6E" w:rsidP="00DC285F">
            <w:pPr>
              <w:pStyle w:val="TableBullet1"/>
            </w:pPr>
            <w:r w:rsidRPr="00475676">
              <w:t>Present the remediation roadmap</w:t>
            </w:r>
            <w:r w:rsidR="00A70B99">
              <w:t>.</w:t>
            </w:r>
            <w:r w:rsidRPr="00475676">
              <w:t xml:space="preserve"> </w:t>
            </w:r>
            <w:r w:rsidR="00A70B99">
              <w:t>T</w:t>
            </w:r>
            <w:r w:rsidRPr="00475676">
              <w:t>he Microsoft team will conduct a presentation which includes:</w:t>
            </w:r>
          </w:p>
          <w:p w14:paraId="3FA2C8BC" w14:textId="32C1E959" w:rsidR="00113F6E" w:rsidRPr="00475676" w:rsidRDefault="00113F6E" w:rsidP="00DC285F">
            <w:pPr>
              <w:pStyle w:val="TableBullet1"/>
              <w:numPr>
                <w:ilvl w:val="1"/>
                <w:numId w:val="37"/>
              </w:numPr>
            </w:pPr>
            <w:r w:rsidRPr="00475676">
              <w:t>A review of the project goals and objectives</w:t>
            </w:r>
            <w:r w:rsidR="00655045">
              <w:t>.</w:t>
            </w:r>
          </w:p>
          <w:p w14:paraId="17900D04" w14:textId="120C7988" w:rsidR="00140EA2" w:rsidRPr="00475676" w:rsidRDefault="00113F6E" w:rsidP="00DC285F">
            <w:pPr>
              <w:pStyle w:val="TableBullet1"/>
              <w:numPr>
                <w:ilvl w:val="1"/>
                <w:numId w:val="37"/>
              </w:numPr>
            </w:pPr>
            <w:r w:rsidRPr="00475676">
              <w:t>An overview of the risk review process and analysis framework</w:t>
            </w:r>
            <w:r w:rsidR="00655045">
              <w:t>.</w:t>
            </w:r>
          </w:p>
          <w:p w14:paraId="22884469" w14:textId="40ED138E" w:rsidR="009B1142" w:rsidRPr="00475676" w:rsidRDefault="00113F6E" w:rsidP="00DC285F">
            <w:pPr>
              <w:pStyle w:val="TableBullet1"/>
              <w:numPr>
                <w:ilvl w:val="1"/>
                <w:numId w:val="37"/>
              </w:numPr>
            </w:pPr>
            <w:r w:rsidRPr="00475676">
              <w:t>The roadmap of recommendations</w:t>
            </w:r>
            <w:r w:rsidR="00655045">
              <w:t>.</w:t>
            </w:r>
          </w:p>
        </w:tc>
      </w:tr>
      <w:tr w:rsidR="009B1142" w:rsidRPr="00475676" w14:paraId="2288446D" w14:textId="77777777" w:rsidTr="00DC285F">
        <w:trPr>
          <w:trHeight w:val="422"/>
        </w:trPr>
        <w:tc>
          <w:tcPr>
            <w:tcW w:w="2702" w:type="dxa"/>
            <w:shd w:val="clear" w:color="auto" w:fill="auto"/>
          </w:tcPr>
          <w:p w14:paraId="2288446B" w14:textId="77777777" w:rsidR="009B1142" w:rsidRPr="00475676" w:rsidRDefault="009B1142" w:rsidP="0013452E">
            <w:pPr>
              <w:pStyle w:val="TableText"/>
            </w:pPr>
            <w:r w:rsidRPr="00475676">
              <w:rPr>
                <w:b/>
              </w:rPr>
              <w:t>Customer activities</w:t>
            </w:r>
            <w:r w:rsidR="00117AE2" w:rsidRPr="00475676">
              <w:rPr>
                <w:b/>
              </w:rPr>
              <w:br/>
            </w:r>
            <w:r w:rsidRPr="00475676">
              <w:t xml:space="preserve">The activities to be performed by </w:t>
            </w:r>
            <w:r w:rsidR="00112EB1" w:rsidRPr="00475676">
              <w:t xml:space="preserve">the </w:t>
            </w:r>
            <w:r w:rsidRPr="00475676">
              <w:t>Customer</w:t>
            </w:r>
          </w:p>
        </w:tc>
        <w:tc>
          <w:tcPr>
            <w:tcW w:w="6660" w:type="dxa"/>
            <w:shd w:val="clear" w:color="auto" w:fill="FFFFFF" w:themeFill="background1"/>
          </w:tcPr>
          <w:p w14:paraId="2288446C" w14:textId="0733EC3D" w:rsidR="009B1142" w:rsidRPr="00475676" w:rsidRDefault="00113F6E" w:rsidP="00DC285F">
            <w:pPr>
              <w:pStyle w:val="TableText"/>
            </w:pPr>
            <w:r w:rsidRPr="00475676">
              <w:t>Attend the assessment review and remediation roadmap workshop.</w:t>
            </w:r>
          </w:p>
        </w:tc>
      </w:tr>
      <w:tr w:rsidR="009B1142" w:rsidRPr="00475676" w14:paraId="22884470" w14:textId="77777777" w:rsidTr="00DC285F">
        <w:trPr>
          <w:trHeight w:val="422"/>
        </w:trPr>
        <w:tc>
          <w:tcPr>
            <w:tcW w:w="2702" w:type="dxa"/>
            <w:shd w:val="clear" w:color="auto" w:fill="auto"/>
          </w:tcPr>
          <w:p w14:paraId="2288446E" w14:textId="77777777" w:rsidR="009B1142" w:rsidRPr="00475676" w:rsidRDefault="009B1142" w:rsidP="0013452E">
            <w:pPr>
              <w:pStyle w:val="TableText"/>
            </w:pPr>
            <w:r w:rsidRPr="00475676">
              <w:rPr>
                <w:b/>
              </w:rPr>
              <w:t>Key assumptions</w:t>
            </w:r>
          </w:p>
        </w:tc>
        <w:tc>
          <w:tcPr>
            <w:tcW w:w="6660" w:type="dxa"/>
            <w:shd w:val="clear" w:color="auto" w:fill="FFFFFF" w:themeFill="background1"/>
          </w:tcPr>
          <w:p w14:paraId="2288446F" w14:textId="6AB3624C" w:rsidR="009B1142" w:rsidRPr="00475676" w:rsidRDefault="003C1A49" w:rsidP="00DC285F">
            <w:pPr>
              <w:pStyle w:val="TableText"/>
            </w:pPr>
            <w:r w:rsidRPr="00475676">
              <w:t xml:space="preserve">Key personnel identified by the Customer during the </w:t>
            </w:r>
            <w:r w:rsidR="00655045">
              <w:t>P</w:t>
            </w:r>
            <w:r w:rsidRPr="00475676">
              <w:t xml:space="preserve">re-engagement phase </w:t>
            </w:r>
            <w:r w:rsidR="00655045">
              <w:t>will be</w:t>
            </w:r>
            <w:r w:rsidRPr="00475676">
              <w:t xml:space="preserve"> available for the</w:t>
            </w:r>
            <w:r w:rsidR="003139A1" w:rsidRPr="00475676">
              <w:t xml:space="preserve"> assessment</w:t>
            </w:r>
            <w:r w:rsidRPr="00475676">
              <w:t xml:space="preserve"> </w:t>
            </w:r>
            <w:r w:rsidR="003139A1" w:rsidRPr="00475676">
              <w:t>review and remedia</w:t>
            </w:r>
            <w:r w:rsidR="005C7243" w:rsidRPr="00475676">
              <w:t>tion roadmap workshop.</w:t>
            </w:r>
          </w:p>
        </w:tc>
      </w:tr>
    </w:tbl>
    <w:p w14:paraId="22884472" w14:textId="77777777" w:rsidR="00BC4E85" w:rsidRPr="00475676" w:rsidRDefault="00BC4E85" w:rsidP="00BC4E85">
      <w:pPr>
        <w:pStyle w:val="Heading4"/>
      </w:pPr>
      <w:bookmarkStart w:id="36" w:name="_Toc476168039"/>
      <w:r w:rsidRPr="00475676">
        <w:lastRenderedPageBreak/>
        <w:t>Deliverables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932"/>
        <w:gridCol w:w="4591"/>
        <w:gridCol w:w="1292"/>
        <w:gridCol w:w="1535"/>
      </w:tblGrid>
      <w:tr w:rsidR="000276B5" w:rsidRPr="00475676" w14:paraId="22884477" w14:textId="77777777" w:rsidTr="00DC285F">
        <w:trPr>
          <w:trHeight w:val="360"/>
          <w:tblHeader/>
        </w:trPr>
        <w:tc>
          <w:tcPr>
            <w:tcW w:w="1033" w:type="pct"/>
            <w:shd w:val="clear" w:color="auto" w:fill="008272"/>
          </w:tcPr>
          <w:p w14:paraId="22884473" w14:textId="77777777" w:rsidR="00BC4E85" w:rsidRPr="00475676" w:rsidRDefault="2FBA3059" w:rsidP="002E1E13">
            <w:pPr>
              <w:pStyle w:val="Table-Header"/>
            </w:pPr>
            <w:r w:rsidRPr="00475676">
              <w:t>Name</w:t>
            </w:r>
          </w:p>
        </w:tc>
        <w:tc>
          <w:tcPr>
            <w:tcW w:w="2455" w:type="pct"/>
            <w:shd w:val="clear" w:color="auto" w:fill="008272"/>
          </w:tcPr>
          <w:p w14:paraId="22884474" w14:textId="77777777" w:rsidR="00BC4E85" w:rsidRPr="00475676" w:rsidRDefault="00BC4E85" w:rsidP="002E1E13">
            <w:pPr>
              <w:pStyle w:val="Table-Header"/>
            </w:pPr>
            <w:r w:rsidRPr="00475676">
              <w:t>Description</w:t>
            </w:r>
          </w:p>
        </w:tc>
        <w:tc>
          <w:tcPr>
            <w:tcW w:w="691" w:type="pct"/>
            <w:shd w:val="clear" w:color="auto" w:fill="008272"/>
          </w:tcPr>
          <w:p w14:paraId="22884475" w14:textId="77777777" w:rsidR="00BC4E85" w:rsidRPr="00475676" w:rsidRDefault="00BC4E85" w:rsidP="002E1E13">
            <w:pPr>
              <w:pStyle w:val="Table-Header"/>
            </w:pPr>
            <w:r w:rsidRPr="00475676">
              <w:t>Acceptance required?</w:t>
            </w:r>
          </w:p>
        </w:tc>
        <w:tc>
          <w:tcPr>
            <w:tcW w:w="821" w:type="pct"/>
            <w:shd w:val="clear" w:color="auto" w:fill="008272"/>
          </w:tcPr>
          <w:p w14:paraId="22884476" w14:textId="77777777" w:rsidR="00BC4E85" w:rsidRPr="00475676" w:rsidRDefault="00BC4E85" w:rsidP="002E1E13">
            <w:pPr>
              <w:pStyle w:val="Table-Header"/>
            </w:pPr>
            <w:r w:rsidRPr="00475676">
              <w:t>Responsibility</w:t>
            </w:r>
          </w:p>
        </w:tc>
      </w:tr>
      <w:tr w:rsidR="001E1120" w:rsidRPr="00475676" w14:paraId="45E6EAF3" w14:textId="77777777" w:rsidTr="00DC285F">
        <w:trPr>
          <w:trHeight w:val="431"/>
        </w:trPr>
        <w:tc>
          <w:tcPr>
            <w:tcW w:w="1033" w:type="pct"/>
            <w:shd w:val="clear" w:color="auto" w:fill="FFFFFF" w:themeFill="background1"/>
          </w:tcPr>
          <w:p w14:paraId="2E4D5360" w14:textId="3011E6A9" w:rsidR="001E1120" w:rsidRPr="00475676" w:rsidRDefault="001E1120" w:rsidP="00A8263A">
            <w:pPr>
              <w:pStyle w:val="TableText"/>
            </w:pPr>
            <w:r w:rsidRPr="00475676">
              <w:t xml:space="preserve">Final Cybersecurity Risk Review </w:t>
            </w:r>
            <w:r w:rsidR="00561498">
              <w:t>r</w:t>
            </w:r>
            <w:r w:rsidRPr="00475676">
              <w:t>eport</w:t>
            </w:r>
          </w:p>
        </w:tc>
        <w:tc>
          <w:tcPr>
            <w:tcW w:w="2455" w:type="pct"/>
            <w:shd w:val="clear" w:color="auto" w:fill="FFFFFF" w:themeFill="background1"/>
          </w:tcPr>
          <w:p w14:paraId="678447EA" w14:textId="5ED97F84" w:rsidR="001E1120" w:rsidRPr="00475676" w:rsidRDefault="001E1120" w:rsidP="00A8263A">
            <w:pPr>
              <w:pStyle w:val="TableText"/>
            </w:pPr>
            <w:r w:rsidRPr="00475676">
              <w:t xml:space="preserve">A Word document that details the areas of analysis, findings, and a roadmap in which actions are suggested for the short-term, mid-term, and long-term </w:t>
            </w:r>
            <w:r w:rsidR="002316AA">
              <w:t xml:space="preserve">time </w:t>
            </w:r>
            <w:r w:rsidRPr="00475676">
              <w:t>periods</w:t>
            </w:r>
          </w:p>
        </w:tc>
        <w:tc>
          <w:tcPr>
            <w:tcW w:w="691" w:type="pct"/>
            <w:shd w:val="clear" w:color="auto" w:fill="FFFFFF" w:themeFill="background1"/>
          </w:tcPr>
          <w:p w14:paraId="58C7C522" w14:textId="1D090D49" w:rsidR="001E1120" w:rsidRPr="00475676" w:rsidRDefault="001E1120" w:rsidP="00A8263A">
            <w:pPr>
              <w:pStyle w:val="TableText"/>
            </w:pPr>
            <w:r w:rsidRPr="00475676">
              <w:t>Yes</w:t>
            </w:r>
          </w:p>
        </w:tc>
        <w:tc>
          <w:tcPr>
            <w:tcW w:w="821" w:type="pct"/>
            <w:shd w:val="clear" w:color="auto" w:fill="FFFFFF" w:themeFill="background1"/>
          </w:tcPr>
          <w:p w14:paraId="02E27D20" w14:textId="77777777" w:rsidR="001E1120" w:rsidRPr="00475676" w:rsidRDefault="001E1120" w:rsidP="00A8263A">
            <w:pPr>
              <w:pStyle w:val="TableText"/>
            </w:pPr>
            <w:r w:rsidRPr="00475676">
              <w:t>Microsoft</w:t>
            </w:r>
          </w:p>
        </w:tc>
      </w:tr>
      <w:tr w:rsidR="000276B5" w:rsidRPr="00475676" w14:paraId="2288447C" w14:textId="77777777" w:rsidTr="00DC285F">
        <w:trPr>
          <w:trHeight w:val="416"/>
        </w:trPr>
        <w:tc>
          <w:tcPr>
            <w:tcW w:w="1033" w:type="pct"/>
            <w:shd w:val="clear" w:color="auto" w:fill="FFFFFF" w:themeFill="background1"/>
          </w:tcPr>
          <w:p w14:paraId="22884478" w14:textId="74E0402E" w:rsidR="00BC4E85" w:rsidRPr="00475676" w:rsidRDefault="007B7E62" w:rsidP="002E1E13">
            <w:pPr>
              <w:pStyle w:val="TableText"/>
            </w:pPr>
            <w:r w:rsidRPr="00475676">
              <w:t xml:space="preserve">Cybersecurity Risk Review </w:t>
            </w:r>
            <w:r w:rsidR="00561498">
              <w:t>r</w:t>
            </w:r>
            <w:r w:rsidRPr="00475676">
              <w:t xml:space="preserve">ecommendations </w:t>
            </w:r>
            <w:r w:rsidR="00561498">
              <w:t>r</w:t>
            </w:r>
            <w:r w:rsidRPr="00475676">
              <w:t>oadmap</w:t>
            </w:r>
          </w:p>
        </w:tc>
        <w:tc>
          <w:tcPr>
            <w:tcW w:w="2455" w:type="pct"/>
            <w:shd w:val="clear" w:color="auto" w:fill="FFFFFF" w:themeFill="background1"/>
          </w:tcPr>
          <w:p w14:paraId="22884479" w14:textId="5DDE52DE" w:rsidR="00BC4E85" w:rsidRPr="00475676" w:rsidRDefault="007B7E62" w:rsidP="002E1E13">
            <w:pPr>
              <w:pStyle w:val="TableText"/>
            </w:pPr>
            <w:r w:rsidRPr="00475676">
              <w:t>A Microsoft PowerPoint presentation that summarizes key findings for each assessed domain and recommends a remediation roadmap</w:t>
            </w:r>
          </w:p>
        </w:tc>
        <w:tc>
          <w:tcPr>
            <w:tcW w:w="691" w:type="pct"/>
            <w:shd w:val="clear" w:color="auto" w:fill="FFFFFF" w:themeFill="background1"/>
          </w:tcPr>
          <w:p w14:paraId="2288447A" w14:textId="48F57C5E" w:rsidR="00BC4E85" w:rsidRPr="00475676" w:rsidRDefault="007B7E62" w:rsidP="002E1E13">
            <w:pPr>
              <w:pStyle w:val="TableText"/>
            </w:pPr>
            <w:r w:rsidRPr="00475676">
              <w:t>No</w:t>
            </w:r>
          </w:p>
        </w:tc>
        <w:tc>
          <w:tcPr>
            <w:tcW w:w="821" w:type="pct"/>
            <w:shd w:val="clear" w:color="auto" w:fill="FFFFFF" w:themeFill="background1"/>
          </w:tcPr>
          <w:p w14:paraId="2288447B" w14:textId="0EB8C39C" w:rsidR="00BC4E85" w:rsidRPr="00475676" w:rsidRDefault="007B7E62" w:rsidP="002E1E13">
            <w:pPr>
              <w:pStyle w:val="TableText"/>
            </w:pPr>
            <w:r w:rsidRPr="00475676">
              <w:t>Microsoft and Customer stakeholder</w:t>
            </w:r>
          </w:p>
        </w:tc>
      </w:tr>
    </w:tbl>
    <w:p w14:paraId="228844C7" w14:textId="4D82AF13" w:rsidR="009B1142" w:rsidRPr="00475676" w:rsidRDefault="00C416FE" w:rsidP="00C84DD9">
      <w:pPr>
        <w:pStyle w:val="Heading2"/>
      </w:pPr>
      <w:bookmarkStart w:id="37" w:name="_Toc476167708"/>
      <w:bookmarkStart w:id="38" w:name="_Toc476168041"/>
      <w:bookmarkStart w:id="39" w:name="_Toc6832774"/>
      <w:bookmarkEnd w:id="36"/>
      <w:r w:rsidRPr="00475676">
        <w:t>Timeline</w:t>
      </w:r>
      <w:bookmarkEnd w:id="37"/>
      <w:bookmarkEnd w:id="38"/>
      <w:bookmarkEnd w:id="39"/>
    </w:p>
    <w:p w14:paraId="228844C8" w14:textId="53104178" w:rsidR="00C416FE" w:rsidRPr="00475676" w:rsidRDefault="00DA7FE6" w:rsidP="00C416FE">
      <w:r w:rsidRPr="00475676">
        <w:t>During project planning</w:t>
      </w:r>
      <w:r w:rsidR="006965B5" w:rsidRPr="00475676">
        <w:t>,</w:t>
      </w:r>
      <w:r w:rsidR="00C416FE" w:rsidRPr="00475676">
        <w:t xml:space="preserve"> a detailed </w:t>
      </w:r>
      <w:r w:rsidR="006965B5" w:rsidRPr="00475676">
        <w:t xml:space="preserve">project </w:t>
      </w:r>
      <w:r w:rsidR="00C416FE" w:rsidRPr="00475676">
        <w:t xml:space="preserve">timeline </w:t>
      </w:r>
      <w:r w:rsidR="008D2374" w:rsidRPr="00475676">
        <w:t>will be developed. A</w:t>
      </w:r>
      <w:r w:rsidR="007F3384" w:rsidRPr="00475676">
        <w:t xml:space="preserve">ll dates and durations are </w:t>
      </w:r>
      <w:r w:rsidR="004E5105" w:rsidRPr="00475676">
        <w:t xml:space="preserve">relative to the project start date and are </w:t>
      </w:r>
      <w:r w:rsidR="00057271" w:rsidRPr="00475676">
        <w:t>estimates only.</w:t>
      </w:r>
    </w:p>
    <w:p w14:paraId="049CDD6D" w14:textId="2C4EFB48" w:rsidR="005C7243" w:rsidRPr="00475676" w:rsidRDefault="00FE1CC0">
      <w:r w:rsidRPr="00475676">
        <w:rPr>
          <w:noProof/>
        </w:rPr>
        <w:drawing>
          <wp:inline distT="0" distB="0" distL="0" distR="0" wp14:anchorId="6D6447EB" wp14:editId="50570E74">
            <wp:extent cx="5703570" cy="829944"/>
            <wp:effectExtent l="19050" t="0" r="3048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28844CB" w14:textId="77777777" w:rsidR="00C44D16" w:rsidRPr="00475676" w:rsidRDefault="00C44D16" w:rsidP="00C84DD9">
      <w:pPr>
        <w:pStyle w:val="Heading2"/>
      </w:pPr>
      <w:bookmarkStart w:id="40" w:name="_Toc476167709"/>
      <w:bookmarkStart w:id="41" w:name="_Toc476168042"/>
      <w:bookmarkStart w:id="42" w:name="_Ref477932041"/>
      <w:bookmarkStart w:id="43" w:name="_Toc6832775"/>
      <w:r w:rsidRPr="00475676">
        <w:t>Deliverable acceptance process</w:t>
      </w:r>
      <w:bookmarkEnd w:id="40"/>
      <w:bookmarkEnd w:id="41"/>
      <w:bookmarkEnd w:id="42"/>
      <w:bookmarkEnd w:id="43"/>
    </w:p>
    <w:p w14:paraId="228844CC" w14:textId="2BE01D53" w:rsidR="00C44D16" w:rsidRPr="00475676" w:rsidRDefault="00C44D16" w:rsidP="00C44D16">
      <w:r w:rsidRPr="00475676">
        <w:t>During the project</w:t>
      </w:r>
      <w:r w:rsidR="00E40CE7" w:rsidRPr="00475676">
        <w:t>,</w:t>
      </w:r>
      <w:r w:rsidRPr="00475676">
        <w:t xml:space="preserve"> </w:t>
      </w:r>
      <w:r w:rsidR="00840E9D" w:rsidRPr="00475676">
        <w:t>Microsoft</w:t>
      </w:r>
      <w:r w:rsidRPr="00475676">
        <w:t xml:space="preserve"> will submit certain deliverables </w:t>
      </w:r>
      <w:r w:rsidR="00D44A6B" w:rsidRPr="00475676">
        <w:t xml:space="preserve">(listed in the </w:t>
      </w:r>
      <w:r w:rsidR="00550DD8" w:rsidRPr="00475676">
        <w:fldChar w:fldCharType="begin"/>
      </w:r>
      <w:r w:rsidR="00550DD8" w:rsidRPr="00475676">
        <w:instrText xml:space="preserve"> REF _Ref477873467 \h </w:instrText>
      </w:r>
      <w:r w:rsidR="00550DD8" w:rsidRPr="00475676">
        <w:fldChar w:fldCharType="separate"/>
      </w:r>
      <w:r w:rsidR="00812548" w:rsidRPr="00475676">
        <w:t>Approach</w:t>
      </w:r>
      <w:r w:rsidR="00550DD8" w:rsidRPr="00475676">
        <w:fldChar w:fldCharType="end"/>
      </w:r>
      <w:r w:rsidR="00ED7049" w:rsidRPr="00475676">
        <w:t xml:space="preserve"> </w:t>
      </w:r>
      <w:r w:rsidR="00D44A6B" w:rsidRPr="00475676">
        <w:t xml:space="preserve">section as deliverables with </w:t>
      </w:r>
      <w:r w:rsidR="00ED7049" w:rsidRPr="00475676">
        <w:t>“</w:t>
      </w:r>
      <w:r w:rsidR="006965B5" w:rsidRPr="00475676">
        <w:t xml:space="preserve">Acceptance </w:t>
      </w:r>
      <w:r w:rsidR="00ED7049" w:rsidRPr="00475676">
        <w:t>required</w:t>
      </w:r>
      <w:r w:rsidR="006965B5" w:rsidRPr="00475676">
        <w:t>?</w:t>
      </w:r>
      <w:r w:rsidR="00ED7049" w:rsidRPr="00475676">
        <w:t xml:space="preserve">” </w:t>
      </w:r>
      <w:r w:rsidR="00D44A6B" w:rsidRPr="00475676">
        <w:t xml:space="preserve">equal </w:t>
      </w:r>
      <w:r w:rsidR="006965B5" w:rsidRPr="00475676">
        <w:t xml:space="preserve">to </w:t>
      </w:r>
      <w:r w:rsidR="00ED7049" w:rsidRPr="00475676">
        <w:t>“</w:t>
      </w:r>
      <w:r w:rsidR="006965B5" w:rsidRPr="00475676">
        <w:t>Y</w:t>
      </w:r>
      <w:r w:rsidR="00ED7049" w:rsidRPr="00475676">
        <w:t>es”</w:t>
      </w:r>
      <w:r w:rsidR="00D44A6B" w:rsidRPr="00475676">
        <w:t xml:space="preserve">) </w:t>
      </w:r>
      <w:r w:rsidRPr="00475676">
        <w:t xml:space="preserve">for </w:t>
      </w:r>
      <w:r w:rsidR="00840E9D" w:rsidRPr="00475676">
        <w:t xml:space="preserve">the </w:t>
      </w:r>
      <w:r w:rsidR="00BF3482">
        <w:t>C</w:t>
      </w:r>
      <w:r w:rsidR="00BC30AA" w:rsidRPr="00475676">
        <w:t>ustomer’s review and approval.</w:t>
      </w:r>
    </w:p>
    <w:p w14:paraId="228844CD" w14:textId="71BF628C" w:rsidR="00840E9D" w:rsidRPr="00475676" w:rsidRDefault="00840E9D" w:rsidP="00C44D16">
      <w:r w:rsidRPr="00475676">
        <w:t xml:space="preserve">Within </w:t>
      </w:r>
      <w:r w:rsidR="00E40CE7" w:rsidRPr="00475676">
        <w:t>three</w:t>
      </w:r>
      <w:r w:rsidRPr="00475676">
        <w:t xml:space="preserve"> business days </w:t>
      </w:r>
      <w:r w:rsidR="006965B5" w:rsidRPr="00475676">
        <w:t xml:space="preserve">of </w:t>
      </w:r>
      <w:r w:rsidRPr="00475676">
        <w:t xml:space="preserve">the date of submittal, the </w:t>
      </w:r>
      <w:r w:rsidR="00BF3482">
        <w:t>C</w:t>
      </w:r>
      <w:r w:rsidRPr="00475676">
        <w:t>ustomer is required to:</w:t>
      </w:r>
    </w:p>
    <w:p w14:paraId="228844CE" w14:textId="77777777" w:rsidR="006965B5" w:rsidRPr="00475676" w:rsidRDefault="00840E9D" w:rsidP="00840E9D">
      <w:pPr>
        <w:pStyle w:val="Bulletlist"/>
      </w:pPr>
      <w:r w:rsidRPr="00475676">
        <w:rPr>
          <w:b/>
        </w:rPr>
        <w:t>Accept the deliverable</w:t>
      </w:r>
      <w:r w:rsidRPr="00475676">
        <w:t xml:space="preserve"> by signing, dating</w:t>
      </w:r>
      <w:r w:rsidR="006965B5" w:rsidRPr="00475676">
        <w:t>,</w:t>
      </w:r>
      <w:r w:rsidRPr="00475676">
        <w:t xml:space="preserve"> and returning </w:t>
      </w:r>
      <w:r w:rsidR="006965B5" w:rsidRPr="00475676">
        <w:t xml:space="preserve">a service deliverable acceptance </w:t>
      </w:r>
      <w:r w:rsidR="00D44A6B" w:rsidRPr="00475676">
        <w:t>form</w:t>
      </w:r>
      <w:r w:rsidR="006965B5" w:rsidRPr="00475676">
        <w:t>, which can</w:t>
      </w:r>
      <w:r w:rsidR="00D44A6B" w:rsidRPr="00475676">
        <w:t xml:space="preserve"> be sent </w:t>
      </w:r>
      <w:r w:rsidR="006965B5" w:rsidRPr="00475676">
        <w:t xml:space="preserve">by </w:t>
      </w:r>
      <w:r w:rsidR="00D44A6B" w:rsidRPr="00475676">
        <w:t>email</w:t>
      </w:r>
      <w:r w:rsidR="006965B5" w:rsidRPr="00475676">
        <w:t>,</w:t>
      </w:r>
      <w:r w:rsidR="00474631" w:rsidRPr="00475676">
        <w:t xml:space="preserve"> </w:t>
      </w:r>
      <w:r w:rsidR="00D44A6B" w:rsidRPr="00475676">
        <w:t>o</w:t>
      </w:r>
      <w:r w:rsidRPr="00475676">
        <w:t xml:space="preserve">r by using </w:t>
      </w:r>
      <w:r w:rsidR="006965B5" w:rsidRPr="00475676">
        <w:t xml:space="preserve">(or partially using) </w:t>
      </w:r>
      <w:r w:rsidRPr="00475676">
        <w:t>the deliverable</w:t>
      </w:r>
    </w:p>
    <w:p w14:paraId="228844CF" w14:textId="78982232" w:rsidR="00840E9D" w:rsidRPr="00475676" w:rsidRDefault="006965B5" w:rsidP="00140C9E">
      <w:pPr>
        <w:ind w:firstLine="360"/>
      </w:pPr>
      <w:r w:rsidRPr="00475676">
        <w:t>Or</w:t>
      </w:r>
    </w:p>
    <w:p w14:paraId="228844D0" w14:textId="3CC6E4EB" w:rsidR="00840E9D" w:rsidRPr="00475676" w:rsidRDefault="00840E9D" w:rsidP="00840E9D">
      <w:pPr>
        <w:pStyle w:val="Bulletlist"/>
      </w:pPr>
      <w:r w:rsidRPr="00475676">
        <w:rPr>
          <w:b/>
        </w:rPr>
        <w:t>Reject the deliverable</w:t>
      </w:r>
      <w:r w:rsidRPr="00475676">
        <w:t xml:space="preserve"> by notifying Microsoft in writing</w:t>
      </w:r>
      <w:r w:rsidR="006965B5" w:rsidRPr="00475676">
        <w:t xml:space="preserve">; the </w:t>
      </w:r>
      <w:r w:rsidR="00BF3482">
        <w:t>C</w:t>
      </w:r>
      <w:r w:rsidR="006965B5" w:rsidRPr="00475676">
        <w:t xml:space="preserve">ustomer must include </w:t>
      </w:r>
      <w:r w:rsidRPr="00475676">
        <w:t>a complete list of reasons for rejection</w:t>
      </w:r>
      <w:r w:rsidR="006965B5" w:rsidRPr="00475676">
        <w:t>.</w:t>
      </w:r>
    </w:p>
    <w:p w14:paraId="228844D2" w14:textId="16643360" w:rsidR="000D761C" w:rsidRPr="009A2A58" w:rsidRDefault="000D761C" w:rsidP="000D761C">
      <w:pPr>
        <w:pStyle w:val="Optional"/>
        <w:rPr>
          <w:color w:val="auto"/>
        </w:rPr>
      </w:pPr>
      <w:r w:rsidRPr="009A2A58">
        <w:rPr>
          <w:color w:val="auto"/>
        </w:rPr>
        <w:t xml:space="preserve">Review and acceptance of the solution or custom source code is based on completion and acceptance of </w:t>
      </w:r>
      <w:r w:rsidR="005459B8" w:rsidRPr="009A2A58">
        <w:rPr>
          <w:color w:val="auto"/>
        </w:rPr>
        <w:t>user acceptance testing</w:t>
      </w:r>
      <w:r w:rsidR="004F4BCE" w:rsidRPr="009A2A58">
        <w:rPr>
          <w:color w:val="auto"/>
        </w:rPr>
        <w:t xml:space="preserve"> as described in the </w:t>
      </w:r>
      <w:r w:rsidR="0031303E" w:rsidRPr="009A2A58">
        <w:rPr>
          <w:color w:val="0070C0"/>
        </w:rPr>
        <w:fldChar w:fldCharType="begin"/>
      </w:r>
      <w:r w:rsidR="0031303E" w:rsidRPr="009A2A58">
        <w:rPr>
          <w:color w:val="0070C0"/>
        </w:rPr>
        <w:instrText xml:space="preserve"> REF _Ref477932815 \h </w:instrText>
      </w:r>
      <w:r w:rsidR="0031303E" w:rsidRPr="009A2A58">
        <w:rPr>
          <w:color w:val="0070C0"/>
        </w:rPr>
      </w:r>
      <w:r w:rsidR="0031303E" w:rsidRPr="009A2A58">
        <w:rPr>
          <w:color w:val="0070C0"/>
        </w:rPr>
        <w:fldChar w:fldCharType="separate"/>
      </w:r>
      <w:r w:rsidR="00812548" w:rsidRPr="009A2A58">
        <w:rPr>
          <w:color w:val="0070C0"/>
        </w:rPr>
        <w:t>Testing and defect remediation</w:t>
      </w:r>
      <w:r w:rsidR="0031303E" w:rsidRPr="009A2A58">
        <w:rPr>
          <w:color w:val="0070C0"/>
        </w:rPr>
        <w:fldChar w:fldCharType="end"/>
      </w:r>
      <w:r w:rsidR="004F4BCE" w:rsidRPr="009A2A58">
        <w:rPr>
          <w:color w:val="auto"/>
        </w:rPr>
        <w:t xml:space="preserve"> section.</w:t>
      </w:r>
    </w:p>
    <w:p w14:paraId="228844D3" w14:textId="67E10FBF" w:rsidR="00840E9D" w:rsidRPr="00475676" w:rsidRDefault="00840E9D" w:rsidP="00DC285F">
      <w:r w:rsidRPr="00475676">
        <w:t xml:space="preserve">Deliverables shall be deemed accepted unless the </w:t>
      </w:r>
      <w:r w:rsidR="00C4139D" w:rsidRPr="00475676">
        <w:t xml:space="preserve">written </w:t>
      </w:r>
      <w:r w:rsidRPr="00475676">
        <w:t>rejection notification is r</w:t>
      </w:r>
      <w:r w:rsidR="00D44A6B" w:rsidRPr="00475676">
        <w:t>eceived by Microsoft</w:t>
      </w:r>
      <w:r w:rsidR="00D70772" w:rsidRPr="00475676">
        <w:t xml:space="preserve"> in the timeframe specified</w:t>
      </w:r>
      <w:r w:rsidR="00D44A6B" w:rsidRPr="00475676">
        <w:t>.</w:t>
      </w:r>
    </w:p>
    <w:p w14:paraId="228844D4" w14:textId="77777777" w:rsidR="00840E9D" w:rsidRPr="00475676" w:rsidRDefault="00840E9D" w:rsidP="00DC285F">
      <w:r w:rsidRPr="00475676">
        <w:t>If a reje</w:t>
      </w:r>
      <w:r w:rsidR="00BE7980" w:rsidRPr="00475676">
        <w:t xml:space="preserve">ction notification is received, Microsoft will correct problems with a deliverable that </w:t>
      </w:r>
      <w:r w:rsidR="001820B5" w:rsidRPr="00475676">
        <w:t xml:space="preserve">are </w:t>
      </w:r>
      <w:r w:rsidR="00BE7980" w:rsidRPr="00475676">
        <w:t>in scope for the project (and documented in this S</w:t>
      </w:r>
      <w:r w:rsidR="00E40CE7" w:rsidRPr="00475676">
        <w:t>OW</w:t>
      </w:r>
      <w:r w:rsidR="00BE7980" w:rsidRPr="00475676">
        <w:t>), after which the deliverable is deemed accepted.</w:t>
      </w:r>
    </w:p>
    <w:p w14:paraId="228844D5" w14:textId="014B2614" w:rsidR="00BE7980" w:rsidRPr="00475676" w:rsidRDefault="0031303E" w:rsidP="00DC285F">
      <w:r w:rsidRPr="00475676">
        <w:lastRenderedPageBreak/>
        <w:t xml:space="preserve">Problems </w:t>
      </w:r>
      <w:r w:rsidR="00BE7980" w:rsidRPr="00475676">
        <w:t>that are outside the scope of this S</w:t>
      </w:r>
      <w:r w:rsidR="00E40CE7" w:rsidRPr="00475676">
        <w:t>OW</w:t>
      </w:r>
      <w:r w:rsidR="00BE7980" w:rsidRPr="00475676">
        <w:t xml:space="preserve">, and feedback provided after a deliverable has been accepted will be addressed as a change request, managed as described in the </w:t>
      </w:r>
      <w:r w:rsidR="00160775" w:rsidRPr="00475676">
        <w:fldChar w:fldCharType="begin"/>
      </w:r>
      <w:r w:rsidR="00160775" w:rsidRPr="00475676">
        <w:instrText xml:space="preserve"> REF _Ref477932885 \h </w:instrText>
      </w:r>
      <w:r w:rsidR="00673D8C">
        <w:instrText xml:space="preserve"> \* MERGEFORMAT </w:instrText>
      </w:r>
      <w:r w:rsidR="00160775" w:rsidRPr="00475676">
        <w:fldChar w:fldCharType="separate"/>
      </w:r>
      <w:r w:rsidR="00812548" w:rsidRPr="00475676">
        <w:t>Change management process</w:t>
      </w:r>
      <w:r w:rsidR="00160775" w:rsidRPr="00475676">
        <w:fldChar w:fldCharType="end"/>
      </w:r>
      <w:r w:rsidR="00BE7980" w:rsidRPr="00475676">
        <w:t xml:space="preserve"> section.</w:t>
      </w:r>
    </w:p>
    <w:p w14:paraId="228844D6" w14:textId="77777777" w:rsidR="00364836" w:rsidRPr="00475676" w:rsidRDefault="00364836" w:rsidP="00C84DD9">
      <w:pPr>
        <w:pStyle w:val="Heading2"/>
      </w:pPr>
      <w:bookmarkStart w:id="44" w:name="_Toc476167710"/>
      <w:bookmarkStart w:id="45" w:name="_Toc476168043"/>
      <w:bookmarkStart w:id="46" w:name="_Toc6832776"/>
      <w:r w:rsidRPr="00475676">
        <w:t>Project governance</w:t>
      </w:r>
      <w:bookmarkEnd w:id="44"/>
      <w:bookmarkEnd w:id="45"/>
      <w:bookmarkEnd w:id="46"/>
    </w:p>
    <w:p w14:paraId="228844D7" w14:textId="77777777" w:rsidR="00364836" w:rsidRPr="00475676" w:rsidRDefault="00364836" w:rsidP="00364836">
      <w:r w:rsidRPr="00475676">
        <w:t>The governance structure and processes the team will adhere to for the project are described in the following section</w:t>
      </w:r>
      <w:r w:rsidR="00D70772" w:rsidRPr="00475676">
        <w:t>s</w:t>
      </w:r>
      <w:r w:rsidRPr="00475676">
        <w:t>:</w:t>
      </w:r>
    </w:p>
    <w:p w14:paraId="228844D8" w14:textId="77777777" w:rsidR="00BB669A" w:rsidRPr="00475676" w:rsidRDefault="00BB669A" w:rsidP="00C84DD9">
      <w:pPr>
        <w:pStyle w:val="Heading3"/>
      </w:pPr>
      <w:bookmarkStart w:id="47" w:name="_Toc476168044"/>
      <w:r w:rsidRPr="00475676">
        <w:t>Project communication</w:t>
      </w:r>
      <w:bookmarkEnd w:id="47"/>
    </w:p>
    <w:p w14:paraId="228844D9" w14:textId="77777777" w:rsidR="00BB669A" w:rsidRPr="00475676" w:rsidRDefault="00BB669A" w:rsidP="00BB669A">
      <w:r w:rsidRPr="00475676">
        <w:t>The following will be used to communicate during the project</w:t>
      </w:r>
      <w:r w:rsidR="008F6487" w:rsidRPr="00475676">
        <w:t>:</w:t>
      </w:r>
    </w:p>
    <w:p w14:paraId="228844DA" w14:textId="724160CF" w:rsidR="00104AB3" w:rsidRPr="00475676" w:rsidRDefault="00104AB3" w:rsidP="00BB669A">
      <w:pPr>
        <w:pStyle w:val="Bulletlist"/>
      </w:pPr>
      <w:r w:rsidRPr="00475676">
        <w:rPr>
          <w:b/>
        </w:rPr>
        <w:t xml:space="preserve">Communication </w:t>
      </w:r>
      <w:r w:rsidR="00111EBA" w:rsidRPr="00475676">
        <w:rPr>
          <w:b/>
        </w:rPr>
        <w:t>p</w:t>
      </w:r>
      <w:r w:rsidRPr="00475676">
        <w:rPr>
          <w:b/>
        </w:rPr>
        <w:t>lan</w:t>
      </w:r>
      <w:r w:rsidR="006C6051" w:rsidRPr="00475676">
        <w:t xml:space="preserve">: </w:t>
      </w:r>
      <w:r w:rsidR="00160775" w:rsidRPr="00475676">
        <w:t xml:space="preserve">this document will </w:t>
      </w:r>
      <w:r w:rsidRPr="00475676">
        <w:t>describe the frequency, audience</w:t>
      </w:r>
      <w:r w:rsidR="00160775" w:rsidRPr="00475676">
        <w:t>,</w:t>
      </w:r>
      <w:r w:rsidRPr="00475676">
        <w:t xml:space="preserve"> and content </w:t>
      </w:r>
      <w:r w:rsidR="00160775" w:rsidRPr="00475676">
        <w:t xml:space="preserve">of </w:t>
      </w:r>
      <w:r w:rsidRPr="00475676">
        <w:t xml:space="preserve">communication </w:t>
      </w:r>
      <w:r w:rsidR="00160775" w:rsidRPr="00475676">
        <w:t xml:space="preserve">with </w:t>
      </w:r>
      <w:r w:rsidRPr="00475676">
        <w:t>the team and stakeholders.</w:t>
      </w:r>
      <w:r w:rsidR="00160775" w:rsidRPr="00475676">
        <w:t xml:space="preserve"> It will be developed by Microsoft and the </w:t>
      </w:r>
      <w:r w:rsidR="00BF3482">
        <w:t>C</w:t>
      </w:r>
      <w:r w:rsidR="00160775" w:rsidRPr="00475676">
        <w:t xml:space="preserve">ustomer </w:t>
      </w:r>
      <w:r w:rsidR="00760487" w:rsidRPr="00475676">
        <w:t>as part of project planning</w:t>
      </w:r>
      <w:r w:rsidR="00160775" w:rsidRPr="00475676">
        <w:t>.</w:t>
      </w:r>
    </w:p>
    <w:p w14:paraId="228844DB" w14:textId="77777777" w:rsidR="00BB669A" w:rsidRPr="00475676" w:rsidRDefault="00BB669A" w:rsidP="00BB669A">
      <w:pPr>
        <w:pStyle w:val="Bulletlist"/>
      </w:pPr>
      <w:r w:rsidRPr="00475676">
        <w:rPr>
          <w:b/>
        </w:rPr>
        <w:t>Status reports</w:t>
      </w:r>
      <w:r w:rsidR="006C6051" w:rsidRPr="00475676">
        <w:t xml:space="preserve">: </w:t>
      </w:r>
      <w:r w:rsidR="00160775" w:rsidRPr="00475676">
        <w:t xml:space="preserve">the </w:t>
      </w:r>
      <w:r w:rsidRPr="00475676">
        <w:t>Microsoft team will prepare and issue regular status report</w:t>
      </w:r>
      <w:r w:rsidR="00160775" w:rsidRPr="00475676">
        <w:t>s</w:t>
      </w:r>
      <w:r w:rsidRPr="00475676">
        <w:t xml:space="preserve"> to project stakeholders</w:t>
      </w:r>
      <w:r w:rsidR="00111EBA" w:rsidRPr="00475676">
        <w:t xml:space="preserve"> </w:t>
      </w:r>
      <w:r w:rsidR="00D70772" w:rsidRPr="00475676">
        <w:t>per</w:t>
      </w:r>
      <w:r w:rsidR="00160775" w:rsidRPr="00475676">
        <w:t xml:space="preserve"> </w:t>
      </w:r>
      <w:r w:rsidR="00111EBA" w:rsidRPr="00475676">
        <w:t>the frequency defined in the communication plan.</w:t>
      </w:r>
    </w:p>
    <w:p w14:paraId="228844DC" w14:textId="77777777" w:rsidR="00104AB3" w:rsidRPr="00475676" w:rsidRDefault="00BB669A" w:rsidP="00104AB3">
      <w:pPr>
        <w:pStyle w:val="Bulletlist"/>
      </w:pPr>
      <w:r w:rsidRPr="00475676">
        <w:rPr>
          <w:b/>
        </w:rPr>
        <w:t>Status meetings</w:t>
      </w:r>
      <w:r w:rsidR="006C6051" w:rsidRPr="00475676">
        <w:t xml:space="preserve">: </w:t>
      </w:r>
      <w:r w:rsidR="00160775" w:rsidRPr="00475676">
        <w:t xml:space="preserve">the </w:t>
      </w:r>
      <w:r w:rsidRPr="00475676">
        <w:t xml:space="preserve">Microsoft team will schedule regular </w:t>
      </w:r>
      <w:r w:rsidR="00104AB3" w:rsidRPr="00475676">
        <w:t>status</w:t>
      </w:r>
      <w:r w:rsidRPr="00475676">
        <w:t xml:space="preserve"> meetings to review the overall project status, the acceptance of deliverables</w:t>
      </w:r>
      <w:r w:rsidR="00160775" w:rsidRPr="00475676">
        <w:t>,</w:t>
      </w:r>
      <w:r w:rsidRPr="00475676">
        <w:t xml:space="preserve"> and review </w:t>
      </w:r>
      <w:r w:rsidR="00104AB3" w:rsidRPr="00475676">
        <w:t xml:space="preserve">open </w:t>
      </w:r>
      <w:r w:rsidR="00160775" w:rsidRPr="00475676">
        <w:t xml:space="preserve">problems </w:t>
      </w:r>
      <w:r w:rsidR="00E54AE8" w:rsidRPr="00475676">
        <w:t>and risks</w:t>
      </w:r>
      <w:r w:rsidR="00104AB3" w:rsidRPr="00475676">
        <w:t>.</w:t>
      </w:r>
    </w:p>
    <w:p w14:paraId="228844DD" w14:textId="77777777" w:rsidR="00E54AE8" w:rsidRPr="00475676" w:rsidRDefault="00E54AE8" w:rsidP="00C84DD9">
      <w:pPr>
        <w:pStyle w:val="Heading3"/>
      </w:pPr>
      <w:bookmarkStart w:id="48" w:name="_Toc476168045"/>
      <w:r w:rsidRPr="00475676">
        <w:t>Risk and issue management</w:t>
      </w:r>
      <w:bookmarkEnd w:id="48"/>
    </w:p>
    <w:p w14:paraId="228844DE" w14:textId="77777777" w:rsidR="00E54AE8" w:rsidRPr="00475676" w:rsidRDefault="00E54AE8" w:rsidP="00E54AE8">
      <w:r w:rsidRPr="00475676">
        <w:t xml:space="preserve">The following general procedure will be used to manage active project issues and </w:t>
      </w:r>
      <w:r w:rsidR="00043018" w:rsidRPr="00475676">
        <w:t xml:space="preserve">risks </w:t>
      </w:r>
      <w:r w:rsidRPr="00475676">
        <w:t>during the project:</w:t>
      </w:r>
    </w:p>
    <w:p w14:paraId="228844DF" w14:textId="77777777" w:rsidR="00E54AE8" w:rsidRPr="00475676" w:rsidRDefault="00E54AE8" w:rsidP="00E54AE8">
      <w:pPr>
        <w:pStyle w:val="Bulletlist"/>
      </w:pPr>
      <w:r w:rsidRPr="00475676">
        <w:rPr>
          <w:b/>
        </w:rPr>
        <w:t>Identify</w:t>
      </w:r>
      <w:r w:rsidR="006C6051" w:rsidRPr="00475676">
        <w:t xml:space="preserve">: </w:t>
      </w:r>
      <w:r w:rsidR="00550DD8" w:rsidRPr="00475676">
        <w:t xml:space="preserve">identify </w:t>
      </w:r>
      <w:r w:rsidRPr="00475676">
        <w:t xml:space="preserve">and document project issues (current problems) and risks (potential problems that </w:t>
      </w:r>
      <w:r w:rsidR="001C00BA" w:rsidRPr="00475676">
        <w:t>could</w:t>
      </w:r>
      <w:r w:rsidR="00160775" w:rsidRPr="00475676">
        <w:t xml:space="preserve"> </w:t>
      </w:r>
      <w:r w:rsidR="006D6E88" w:rsidRPr="00475676">
        <w:t>affect</w:t>
      </w:r>
      <w:r w:rsidRPr="00475676">
        <w:t xml:space="preserve"> the project)</w:t>
      </w:r>
      <w:r w:rsidR="006D6E88" w:rsidRPr="00475676">
        <w:t>.</w:t>
      </w:r>
    </w:p>
    <w:p w14:paraId="228844E0" w14:textId="1957337B" w:rsidR="00E54AE8" w:rsidRPr="00475676" w:rsidRDefault="00E54AE8" w:rsidP="00E54AE8">
      <w:pPr>
        <w:pStyle w:val="Bulletlist"/>
      </w:pPr>
      <w:r w:rsidRPr="00475676">
        <w:rPr>
          <w:b/>
        </w:rPr>
        <w:t xml:space="preserve">Analyze and </w:t>
      </w:r>
      <w:r w:rsidR="00F31CF2" w:rsidRPr="00475676">
        <w:rPr>
          <w:b/>
        </w:rPr>
        <w:t>prioritize</w:t>
      </w:r>
      <w:r w:rsidR="006C6051" w:rsidRPr="00475676">
        <w:t xml:space="preserve"> </w:t>
      </w:r>
      <w:r w:rsidR="00160775" w:rsidRPr="00475676">
        <w:t xml:space="preserve">assess </w:t>
      </w:r>
      <w:r w:rsidR="004F4BCE" w:rsidRPr="00475676">
        <w:t xml:space="preserve">the </w:t>
      </w:r>
      <w:r w:rsidR="00160775" w:rsidRPr="00475676">
        <w:t xml:space="preserve">potential </w:t>
      </w:r>
      <w:r w:rsidR="004F4BCE" w:rsidRPr="00475676">
        <w:t xml:space="preserve">impact and determine the highest </w:t>
      </w:r>
      <w:r w:rsidR="006D6E88" w:rsidRPr="00475676">
        <w:t>priority</w:t>
      </w:r>
      <w:r w:rsidR="004F4BCE" w:rsidRPr="00475676">
        <w:t xml:space="preserve"> risks and </w:t>
      </w:r>
      <w:r w:rsidR="00160775" w:rsidRPr="00475676">
        <w:t xml:space="preserve">problems </w:t>
      </w:r>
      <w:r w:rsidR="004F4BCE" w:rsidRPr="00475676">
        <w:t xml:space="preserve">that will be </w:t>
      </w:r>
      <w:r w:rsidR="006D6E88" w:rsidRPr="00475676">
        <w:t>actively managed.</w:t>
      </w:r>
    </w:p>
    <w:p w14:paraId="228844E1" w14:textId="6DE0387B" w:rsidR="00E54AE8" w:rsidRPr="00475676" w:rsidRDefault="006C6051" w:rsidP="00E54AE8">
      <w:pPr>
        <w:pStyle w:val="Bulletlist"/>
      </w:pPr>
      <w:r w:rsidRPr="00475676">
        <w:rPr>
          <w:b/>
        </w:rPr>
        <w:t>Plan and schedule</w:t>
      </w:r>
      <w:r w:rsidRPr="00475676">
        <w:t xml:space="preserve">: </w:t>
      </w:r>
      <w:r w:rsidR="00160775" w:rsidRPr="00475676">
        <w:t xml:space="preserve">determine </w:t>
      </w:r>
      <w:r w:rsidR="00E54AE8" w:rsidRPr="00475676">
        <w:t xml:space="preserve">the strategy for managing priority risks and </w:t>
      </w:r>
      <w:r w:rsidR="00D64A8C" w:rsidRPr="00475676">
        <w:t>issues and</w:t>
      </w:r>
      <w:r w:rsidR="00160775" w:rsidRPr="00475676">
        <w:t xml:space="preserve"> </w:t>
      </w:r>
      <w:r w:rsidR="00E54AE8" w:rsidRPr="00475676">
        <w:t xml:space="preserve">identify </w:t>
      </w:r>
      <w:r w:rsidR="00160775" w:rsidRPr="00475676">
        <w:t>a resource who can</w:t>
      </w:r>
      <w:r w:rsidR="00E54AE8" w:rsidRPr="00475676">
        <w:t xml:space="preserve"> </w:t>
      </w:r>
      <w:r w:rsidR="00160775" w:rsidRPr="00475676">
        <w:t xml:space="preserve">take responsibility for </w:t>
      </w:r>
      <w:r w:rsidR="00E54AE8" w:rsidRPr="00475676">
        <w:t>mitigation and remediation.</w:t>
      </w:r>
    </w:p>
    <w:p w14:paraId="228844E2" w14:textId="77777777" w:rsidR="00E54AE8" w:rsidRPr="00475676" w:rsidRDefault="006C6051" w:rsidP="00E54AE8">
      <w:pPr>
        <w:pStyle w:val="Bulletlist"/>
      </w:pPr>
      <w:r w:rsidRPr="00475676">
        <w:rPr>
          <w:b/>
        </w:rPr>
        <w:t>Track and report</w:t>
      </w:r>
      <w:r w:rsidRPr="00475676">
        <w:t xml:space="preserve">: </w:t>
      </w:r>
      <w:r w:rsidR="00160775" w:rsidRPr="00475676">
        <w:t xml:space="preserve">monitor </w:t>
      </w:r>
      <w:r w:rsidR="00E54AE8" w:rsidRPr="00475676">
        <w:t>and report</w:t>
      </w:r>
      <w:r w:rsidR="006D6E88" w:rsidRPr="00475676">
        <w:t xml:space="preserve"> the status of risks and </w:t>
      </w:r>
      <w:r w:rsidR="00160775" w:rsidRPr="00475676">
        <w:t>problems</w:t>
      </w:r>
      <w:r w:rsidR="006D6E88" w:rsidRPr="00475676">
        <w:t>.</w:t>
      </w:r>
    </w:p>
    <w:p w14:paraId="228844E3" w14:textId="77777777" w:rsidR="00C4139D" w:rsidRPr="00475676" w:rsidRDefault="00C4139D" w:rsidP="00E54AE8">
      <w:pPr>
        <w:pStyle w:val="Bulletlist"/>
      </w:pPr>
      <w:r w:rsidRPr="00475676">
        <w:rPr>
          <w:b/>
        </w:rPr>
        <w:t>Escalate</w:t>
      </w:r>
      <w:r w:rsidR="006C6051" w:rsidRPr="00475676">
        <w:t xml:space="preserve">: </w:t>
      </w:r>
      <w:r w:rsidR="00160775" w:rsidRPr="00475676">
        <w:t xml:space="preserve">escalate to project sponsors the </w:t>
      </w:r>
      <w:r w:rsidR="004F4BCE" w:rsidRPr="00475676">
        <w:t xml:space="preserve">high impact </w:t>
      </w:r>
      <w:r w:rsidR="00160775" w:rsidRPr="00475676">
        <w:t xml:space="preserve">problems </w:t>
      </w:r>
      <w:r w:rsidR="004F4BCE" w:rsidRPr="00475676">
        <w:t xml:space="preserve">and risks </w:t>
      </w:r>
      <w:r w:rsidR="00160775" w:rsidRPr="00475676">
        <w:t xml:space="preserve">that </w:t>
      </w:r>
      <w:r w:rsidRPr="00475676">
        <w:t xml:space="preserve">the team </w:t>
      </w:r>
      <w:r w:rsidR="00160775" w:rsidRPr="00475676">
        <w:t xml:space="preserve">is </w:t>
      </w:r>
      <w:r w:rsidR="004F4BCE" w:rsidRPr="00475676">
        <w:t>unable to resolve</w:t>
      </w:r>
      <w:r w:rsidRPr="00475676">
        <w:t>.</w:t>
      </w:r>
    </w:p>
    <w:p w14:paraId="228844E4" w14:textId="77777777" w:rsidR="00E54AE8" w:rsidRPr="00475676" w:rsidRDefault="006C6051" w:rsidP="00E54AE8">
      <w:pPr>
        <w:pStyle w:val="Bulletlist"/>
      </w:pPr>
      <w:r w:rsidRPr="00475676">
        <w:rPr>
          <w:b/>
        </w:rPr>
        <w:t>Control</w:t>
      </w:r>
      <w:r w:rsidRPr="00475676">
        <w:t xml:space="preserve">: </w:t>
      </w:r>
      <w:r w:rsidR="00160775" w:rsidRPr="00475676">
        <w:t xml:space="preserve">review </w:t>
      </w:r>
      <w:r w:rsidR="00E54AE8" w:rsidRPr="00475676">
        <w:t>the effectiveness of r</w:t>
      </w:r>
      <w:r w:rsidR="006D6E88" w:rsidRPr="00475676">
        <w:t>isk and issue management action</w:t>
      </w:r>
      <w:r w:rsidR="004F4BCE" w:rsidRPr="00475676">
        <w:t>s</w:t>
      </w:r>
      <w:r w:rsidR="006D6E88" w:rsidRPr="00475676">
        <w:t>.</w:t>
      </w:r>
    </w:p>
    <w:p w14:paraId="228844E6" w14:textId="77777777" w:rsidR="00E54AE8" w:rsidRPr="00475676" w:rsidRDefault="00E54AE8" w:rsidP="00DC285F">
      <w:r w:rsidRPr="00475676">
        <w:t>Active issues and risks will be regularly monitored during the project.</w:t>
      </w:r>
    </w:p>
    <w:p w14:paraId="228844E7" w14:textId="77777777" w:rsidR="002952F0" w:rsidRPr="00475676" w:rsidRDefault="002952F0" w:rsidP="00C84DD9">
      <w:pPr>
        <w:pStyle w:val="Heading3"/>
      </w:pPr>
      <w:bookmarkStart w:id="49" w:name="_Toc476168046"/>
      <w:bookmarkStart w:id="50" w:name="_Ref477866682"/>
      <w:bookmarkStart w:id="51" w:name="_Ref477932885"/>
      <w:bookmarkStart w:id="52" w:name="_Ref477934302"/>
      <w:r w:rsidRPr="00475676">
        <w:t>Change management process</w:t>
      </w:r>
      <w:bookmarkEnd w:id="49"/>
      <w:bookmarkEnd w:id="50"/>
      <w:bookmarkEnd w:id="51"/>
      <w:bookmarkEnd w:id="52"/>
    </w:p>
    <w:p w14:paraId="228844E8" w14:textId="77777777" w:rsidR="003E1B4E" w:rsidRPr="00475676" w:rsidRDefault="003E1B4E" w:rsidP="003E1B4E">
      <w:r w:rsidRPr="00475676">
        <w:t>Dur</w:t>
      </w:r>
      <w:r w:rsidR="006D6E88" w:rsidRPr="00475676">
        <w:t>i</w:t>
      </w:r>
      <w:r w:rsidR="004F4BCE" w:rsidRPr="00475676">
        <w:t xml:space="preserve">ng the project, either party </w:t>
      </w:r>
      <w:proofErr w:type="gramStart"/>
      <w:r w:rsidR="00160775" w:rsidRPr="00475676">
        <w:t>is able to</w:t>
      </w:r>
      <w:proofErr w:type="gramEnd"/>
      <w:r w:rsidR="00160775" w:rsidRPr="00475676">
        <w:t xml:space="preserve"> </w:t>
      </w:r>
      <w:r w:rsidR="00884E0D" w:rsidRPr="00475676">
        <w:t xml:space="preserve">request modifications to the </w:t>
      </w:r>
      <w:r w:rsidR="00140C9E" w:rsidRPr="00475676">
        <w:t>S</w:t>
      </w:r>
      <w:r w:rsidR="00F97F79" w:rsidRPr="00475676">
        <w:t>ervices described in this</w:t>
      </w:r>
      <w:r w:rsidRPr="00475676">
        <w:t xml:space="preserve"> S</w:t>
      </w:r>
      <w:r w:rsidR="00E40CE7" w:rsidRPr="00475676">
        <w:t>OW</w:t>
      </w:r>
      <w:r w:rsidRPr="00475676">
        <w:t xml:space="preserve">. </w:t>
      </w:r>
      <w:r w:rsidR="004723A1" w:rsidRPr="00475676">
        <w:t xml:space="preserve">These changes only take effect when the proposed change is agreed </w:t>
      </w:r>
      <w:r w:rsidR="00160775" w:rsidRPr="00475676">
        <w:t xml:space="preserve">upon </w:t>
      </w:r>
      <w:r w:rsidR="004723A1" w:rsidRPr="00475676">
        <w:t>by both parties.</w:t>
      </w:r>
      <w:r w:rsidR="00140C9E" w:rsidRPr="00475676">
        <w:t xml:space="preserve"> The change management process steps are:</w:t>
      </w:r>
    </w:p>
    <w:p w14:paraId="228844E9" w14:textId="77777777" w:rsidR="003E1B4E" w:rsidRPr="00475676" w:rsidRDefault="00246AC9" w:rsidP="004723A1">
      <w:pPr>
        <w:pStyle w:val="Bulletlist"/>
      </w:pPr>
      <w:r w:rsidRPr="00475676">
        <w:rPr>
          <w:b/>
        </w:rPr>
        <w:t xml:space="preserve">The change </w:t>
      </w:r>
      <w:r w:rsidR="0025535A" w:rsidRPr="00475676">
        <w:rPr>
          <w:b/>
        </w:rPr>
        <w:t>is documented</w:t>
      </w:r>
      <w:r w:rsidR="006C6051" w:rsidRPr="00475676">
        <w:t xml:space="preserve">: </w:t>
      </w:r>
      <w:r w:rsidRPr="00475676">
        <w:t xml:space="preserve">all </w:t>
      </w:r>
      <w:r w:rsidR="003E1B4E" w:rsidRPr="00475676">
        <w:t>change requests will be documented</w:t>
      </w:r>
      <w:r w:rsidR="004723A1" w:rsidRPr="00475676">
        <w:t xml:space="preserve"> by Microsoft </w:t>
      </w:r>
      <w:r w:rsidR="003E1B4E" w:rsidRPr="00475676">
        <w:t xml:space="preserve">in a Microsoft </w:t>
      </w:r>
      <w:r w:rsidRPr="00475676">
        <w:t xml:space="preserve">change request form </w:t>
      </w:r>
      <w:r w:rsidR="003E1B4E" w:rsidRPr="00475676">
        <w:t xml:space="preserve">and submitted to the </w:t>
      </w:r>
      <w:r w:rsidR="00140C9E" w:rsidRPr="00475676">
        <w:t>C</w:t>
      </w:r>
      <w:r w:rsidR="003E1B4E" w:rsidRPr="00475676">
        <w:t xml:space="preserve">ustomer. The </w:t>
      </w:r>
      <w:r w:rsidRPr="00475676">
        <w:t xml:space="preserve">change request form </w:t>
      </w:r>
      <w:r w:rsidR="003E1B4E" w:rsidRPr="00475676">
        <w:t>includes</w:t>
      </w:r>
      <w:r w:rsidRPr="00475676">
        <w:t>:</w:t>
      </w:r>
    </w:p>
    <w:p w14:paraId="228844EA" w14:textId="77777777" w:rsidR="003E1B4E" w:rsidRPr="00475676" w:rsidRDefault="00246AC9" w:rsidP="00983C47">
      <w:pPr>
        <w:pStyle w:val="Bulletlist"/>
        <w:numPr>
          <w:ilvl w:val="1"/>
          <w:numId w:val="5"/>
        </w:numPr>
      </w:pPr>
      <w:r w:rsidRPr="00475676">
        <w:t xml:space="preserve">A description </w:t>
      </w:r>
      <w:r w:rsidR="003E1B4E" w:rsidRPr="00475676">
        <w:t>of the change</w:t>
      </w:r>
      <w:r w:rsidRPr="00475676">
        <w:t>.</w:t>
      </w:r>
    </w:p>
    <w:p w14:paraId="228844EB" w14:textId="11C7A28D" w:rsidR="003E1B4E" w:rsidRPr="00475676" w:rsidRDefault="00246AC9" w:rsidP="00983C47">
      <w:pPr>
        <w:pStyle w:val="Bulletlist"/>
        <w:numPr>
          <w:ilvl w:val="1"/>
          <w:numId w:val="5"/>
        </w:numPr>
      </w:pPr>
      <w:r w:rsidRPr="00475676">
        <w:t xml:space="preserve">The estimated effect </w:t>
      </w:r>
      <w:r w:rsidR="003E1B4E" w:rsidRPr="00475676">
        <w:t xml:space="preserve">of </w:t>
      </w:r>
      <w:r w:rsidRPr="00475676">
        <w:t>implementing the change.</w:t>
      </w:r>
    </w:p>
    <w:p w14:paraId="228844EC" w14:textId="77777777" w:rsidR="004723A1" w:rsidRPr="00475676" w:rsidRDefault="00246AC9" w:rsidP="004723A1">
      <w:pPr>
        <w:pStyle w:val="Bulletlist"/>
      </w:pPr>
      <w:r w:rsidRPr="00475676">
        <w:rPr>
          <w:b/>
        </w:rPr>
        <w:t>The c</w:t>
      </w:r>
      <w:r w:rsidR="0025535A" w:rsidRPr="00475676">
        <w:rPr>
          <w:b/>
        </w:rPr>
        <w:t xml:space="preserve">hange </w:t>
      </w:r>
      <w:r w:rsidR="00112EB1" w:rsidRPr="00475676">
        <w:rPr>
          <w:b/>
        </w:rPr>
        <w:t>is submitted</w:t>
      </w:r>
      <w:r w:rsidR="006C6051" w:rsidRPr="00475676">
        <w:t xml:space="preserve">: </w:t>
      </w:r>
      <w:r w:rsidRPr="00475676">
        <w:t xml:space="preserve">the change request form will be </w:t>
      </w:r>
      <w:r w:rsidR="004723A1" w:rsidRPr="00475676">
        <w:t xml:space="preserve">provided to the </w:t>
      </w:r>
      <w:r w:rsidR="00140C9E" w:rsidRPr="00475676">
        <w:t>C</w:t>
      </w:r>
      <w:r w:rsidR="004723A1" w:rsidRPr="00475676">
        <w:t>ustomer</w:t>
      </w:r>
      <w:r w:rsidR="00A26C0D" w:rsidRPr="00475676">
        <w:t>.</w:t>
      </w:r>
    </w:p>
    <w:p w14:paraId="228844ED" w14:textId="77777777" w:rsidR="004723A1" w:rsidRPr="00475676" w:rsidRDefault="00246AC9" w:rsidP="004723A1">
      <w:pPr>
        <w:pStyle w:val="Bulletlist"/>
      </w:pPr>
      <w:r w:rsidRPr="00475676">
        <w:rPr>
          <w:b/>
        </w:rPr>
        <w:lastRenderedPageBreak/>
        <w:t>The c</w:t>
      </w:r>
      <w:r w:rsidR="0025535A" w:rsidRPr="00475676">
        <w:rPr>
          <w:b/>
        </w:rPr>
        <w:t>hange is accepted or rejected</w:t>
      </w:r>
      <w:r w:rsidR="006C6051" w:rsidRPr="00475676">
        <w:t xml:space="preserve">: </w:t>
      </w:r>
      <w:proofErr w:type="gramStart"/>
      <w:r w:rsidRPr="00475676">
        <w:t>the</w:t>
      </w:r>
      <w:proofErr w:type="gramEnd"/>
      <w:r w:rsidRPr="00475676">
        <w:t xml:space="preserve"> </w:t>
      </w:r>
      <w:r w:rsidR="00140C9E" w:rsidRPr="00475676">
        <w:t>C</w:t>
      </w:r>
      <w:r w:rsidR="00C4139D" w:rsidRPr="00475676">
        <w:t>ustomer has three</w:t>
      </w:r>
      <w:r w:rsidR="004723A1" w:rsidRPr="00475676">
        <w:t xml:space="preserve"> business days to confirm </w:t>
      </w:r>
      <w:r w:rsidRPr="00475676">
        <w:t xml:space="preserve">the following </w:t>
      </w:r>
      <w:r w:rsidR="004723A1" w:rsidRPr="00475676">
        <w:t>to Microsoft</w:t>
      </w:r>
      <w:r w:rsidR="00A26C0D" w:rsidRPr="00475676">
        <w:t>:</w:t>
      </w:r>
    </w:p>
    <w:p w14:paraId="228844EE" w14:textId="77777777" w:rsidR="004723A1" w:rsidRPr="00475676" w:rsidRDefault="004723A1" w:rsidP="00983C47">
      <w:pPr>
        <w:pStyle w:val="Bulletlist"/>
        <w:numPr>
          <w:ilvl w:val="1"/>
          <w:numId w:val="5"/>
        </w:numPr>
      </w:pPr>
      <w:r w:rsidRPr="00475676">
        <w:t>Acceptance</w:t>
      </w:r>
      <w:r w:rsidR="00515713" w:rsidRPr="00475676">
        <w:t>—</w:t>
      </w:r>
      <w:r w:rsidR="00246AC9" w:rsidRPr="00475676">
        <w:t xml:space="preserve">the </w:t>
      </w:r>
      <w:r w:rsidR="00140C9E" w:rsidRPr="00475676">
        <w:t>C</w:t>
      </w:r>
      <w:r w:rsidRPr="00475676">
        <w:t xml:space="preserve">ustomer </w:t>
      </w:r>
      <w:r w:rsidR="0025535A" w:rsidRPr="00475676">
        <w:t>must</w:t>
      </w:r>
      <w:r w:rsidRPr="00475676">
        <w:t xml:space="preserve"> sign and return </w:t>
      </w:r>
      <w:r w:rsidR="00ED7049" w:rsidRPr="00475676">
        <w:t xml:space="preserve">change request </w:t>
      </w:r>
      <w:r w:rsidR="00246AC9" w:rsidRPr="00475676">
        <w:t>form.</w:t>
      </w:r>
    </w:p>
    <w:p w14:paraId="228844EF" w14:textId="77777777" w:rsidR="004723A1" w:rsidRPr="00475676" w:rsidRDefault="004723A1" w:rsidP="00983C47">
      <w:pPr>
        <w:pStyle w:val="Bulletlist"/>
        <w:numPr>
          <w:ilvl w:val="1"/>
          <w:numId w:val="5"/>
        </w:numPr>
      </w:pPr>
      <w:r w:rsidRPr="00475676">
        <w:t>Rejection</w:t>
      </w:r>
      <w:r w:rsidR="00246AC9" w:rsidRPr="00475676">
        <w:t>—i</w:t>
      </w:r>
      <w:r w:rsidR="00112EB1" w:rsidRPr="00475676">
        <w:t xml:space="preserve">f the </w:t>
      </w:r>
      <w:r w:rsidR="00140C9E" w:rsidRPr="00475676">
        <w:t>C</w:t>
      </w:r>
      <w:r w:rsidR="0025535A" w:rsidRPr="00475676">
        <w:t xml:space="preserve">ustomer does not want to </w:t>
      </w:r>
      <w:r w:rsidR="00043018" w:rsidRPr="00475676">
        <w:t xml:space="preserve">proceed </w:t>
      </w:r>
      <w:r w:rsidR="0025535A" w:rsidRPr="00475676">
        <w:t xml:space="preserve">with the change or does not provide an approval within </w:t>
      </w:r>
      <w:r w:rsidR="00C4139D" w:rsidRPr="00475676">
        <w:t>three</w:t>
      </w:r>
      <w:r w:rsidR="0025535A" w:rsidRPr="00475676">
        <w:t xml:space="preserve"> business days, no changes will be performed.</w:t>
      </w:r>
    </w:p>
    <w:p w14:paraId="22884502" w14:textId="77777777" w:rsidR="00892C8C" w:rsidRPr="00475676" w:rsidRDefault="00892C8C" w:rsidP="00892C8C">
      <w:pPr>
        <w:pStyle w:val="Heading3"/>
      </w:pPr>
      <w:bookmarkStart w:id="53" w:name="_Toc476168048"/>
      <w:r w:rsidRPr="00475676">
        <w:t>Escalation path</w:t>
      </w:r>
      <w:bookmarkEnd w:id="53"/>
    </w:p>
    <w:p w14:paraId="22884504" w14:textId="51FB7462" w:rsidR="00892C8C" w:rsidRPr="00475676" w:rsidRDefault="00892C8C" w:rsidP="00892C8C">
      <w:r w:rsidRPr="00475676">
        <w:t xml:space="preserve">The Microsoft </w:t>
      </w:r>
      <w:r w:rsidR="00246AC9" w:rsidRPr="00475676">
        <w:t xml:space="preserve">project manager </w:t>
      </w:r>
      <w:r w:rsidRPr="00475676">
        <w:t xml:space="preserve">will work closely with the </w:t>
      </w:r>
      <w:r w:rsidR="00BF3482">
        <w:t>C</w:t>
      </w:r>
      <w:r w:rsidRPr="00475676">
        <w:t xml:space="preserve">ustomer </w:t>
      </w:r>
      <w:r w:rsidR="00A26C0D" w:rsidRPr="00475676">
        <w:t>project manager</w:t>
      </w:r>
      <w:r w:rsidRPr="00475676">
        <w:t xml:space="preserve">, </w:t>
      </w:r>
      <w:r w:rsidR="00A26C0D" w:rsidRPr="00475676">
        <w:t>sponsor</w:t>
      </w:r>
      <w:r w:rsidRPr="00475676">
        <w:t xml:space="preserve">, and other designees to manage </w:t>
      </w:r>
      <w:r w:rsidR="0072174A" w:rsidRPr="00475676">
        <w:t>p</w:t>
      </w:r>
      <w:r w:rsidRPr="00475676">
        <w:t xml:space="preserve">roject issues, risks, and </w:t>
      </w:r>
      <w:r w:rsidR="00A26C0D" w:rsidRPr="00475676">
        <w:t>c</w:t>
      </w:r>
      <w:r w:rsidRPr="00475676">
        <w:t xml:space="preserve">hange </w:t>
      </w:r>
      <w:r w:rsidR="00A26C0D" w:rsidRPr="00475676">
        <w:t>r</w:t>
      </w:r>
      <w:r w:rsidRPr="00475676">
        <w:t xml:space="preserve">equests as described </w:t>
      </w:r>
      <w:r w:rsidR="00246AC9" w:rsidRPr="00475676">
        <w:t>previously</w:t>
      </w:r>
      <w:r w:rsidRPr="00475676">
        <w:t xml:space="preserve">. </w:t>
      </w:r>
      <w:r w:rsidR="00335083" w:rsidRPr="00475676">
        <w:t xml:space="preserve">The </w:t>
      </w:r>
      <w:r w:rsidR="00BF3482">
        <w:t>C</w:t>
      </w:r>
      <w:r w:rsidR="00335083" w:rsidRPr="00475676">
        <w:t xml:space="preserve">ustomer will </w:t>
      </w:r>
      <w:r w:rsidR="00E40CE7" w:rsidRPr="00475676">
        <w:t xml:space="preserve">provide </w:t>
      </w:r>
      <w:r w:rsidR="00335083" w:rsidRPr="00475676">
        <w:t xml:space="preserve">reasonable access to the </w:t>
      </w:r>
      <w:r w:rsidR="005055CC" w:rsidRPr="00475676">
        <w:t xml:space="preserve">sponsor or </w:t>
      </w:r>
      <w:r w:rsidR="00335083" w:rsidRPr="00475676">
        <w:t>sponsors</w:t>
      </w:r>
      <w:r w:rsidR="00E40CE7" w:rsidRPr="00475676">
        <w:t xml:space="preserve"> </w:t>
      </w:r>
      <w:proofErr w:type="gramStart"/>
      <w:r w:rsidR="00E40CE7" w:rsidRPr="00475676">
        <w:t>in order</w:t>
      </w:r>
      <w:r w:rsidR="00335083" w:rsidRPr="00475676">
        <w:t xml:space="preserve"> </w:t>
      </w:r>
      <w:r w:rsidRPr="00475676">
        <w:t>to</w:t>
      </w:r>
      <w:proofErr w:type="gramEnd"/>
      <w:r w:rsidRPr="00475676">
        <w:t xml:space="preserve"> expedite resolution.</w:t>
      </w:r>
      <w:r w:rsidR="00335083" w:rsidRPr="00475676">
        <w:t xml:space="preserve"> The standard escalation path</w:t>
      </w:r>
      <w:r w:rsidRPr="00475676">
        <w:t xml:space="preserve"> for review</w:t>
      </w:r>
      <w:r w:rsidR="005055CC" w:rsidRPr="00475676">
        <w:t>,</w:t>
      </w:r>
      <w:r w:rsidRPr="00475676">
        <w:t xml:space="preserve"> approval</w:t>
      </w:r>
      <w:r w:rsidR="005055CC" w:rsidRPr="00475676">
        <w:t>,</w:t>
      </w:r>
      <w:r w:rsidRPr="00475676">
        <w:t xml:space="preserve"> or dispute resolution is as follows:</w:t>
      </w:r>
    </w:p>
    <w:p w14:paraId="22884505" w14:textId="77777777" w:rsidR="00892C8C" w:rsidRPr="00475676" w:rsidRDefault="00892C8C" w:rsidP="00892C8C">
      <w:pPr>
        <w:pStyle w:val="Bulletlist"/>
      </w:pPr>
      <w:r w:rsidRPr="00475676">
        <w:t xml:space="preserve">Project </w:t>
      </w:r>
      <w:r w:rsidR="006C6051" w:rsidRPr="00475676">
        <w:t>t</w:t>
      </w:r>
      <w:r w:rsidRPr="00475676">
        <w:t xml:space="preserve">eam member (Microsoft or </w:t>
      </w:r>
      <w:r w:rsidR="00112EB1" w:rsidRPr="00475676">
        <w:t xml:space="preserve">the </w:t>
      </w:r>
      <w:r w:rsidR="00140C9E" w:rsidRPr="00475676">
        <w:t>C</w:t>
      </w:r>
      <w:r w:rsidRPr="00475676">
        <w:t>ustomer)</w:t>
      </w:r>
    </w:p>
    <w:p w14:paraId="22884506" w14:textId="77777777" w:rsidR="00892C8C" w:rsidRPr="00475676" w:rsidRDefault="006C6051" w:rsidP="00892C8C">
      <w:pPr>
        <w:pStyle w:val="Bulletlist"/>
      </w:pPr>
      <w:r w:rsidRPr="00475676">
        <w:t>Project</w:t>
      </w:r>
      <w:r w:rsidR="00892C8C" w:rsidRPr="00475676">
        <w:t xml:space="preserve"> </w:t>
      </w:r>
      <w:r w:rsidR="005055CC" w:rsidRPr="00475676">
        <w:t xml:space="preserve">manager </w:t>
      </w:r>
      <w:r w:rsidR="00892C8C" w:rsidRPr="00475676">
        <w:t xml:space="preserve">(Microsoft and </w:t>
      </w:r>
      <w:r w:rsidR="00112EB1" w:rsidRPr="00475676">
        <w:t xml:space="preserve">the </w:t>
      </w:r>
      <w:r w:rsidR="00140C9E" w:rsidRPr="00475676">
        <w:t>C</w:t>
      </w:r>
      <w:r w:rsidR="00892C8C" w:rsidRPr="00475676">
        <w:t>ustomer)</w:t>
      </w:r>
    </w:p>
    <w:p w14:paraId="22884507" w14:textId="77777777" w:rsidR="00892C8C" w:rsidRPr="00475676" w:rsidRDefault="00892C8C" w:rsidP="00892C8C">
      <w:pPr>
        <w:pStyle w:val="Bulletlist"/>
      </w:pPr>
      <w:r w:rsidRPr="00475676">
        <w:t xml:space="preserve">Microsoft </w:t>
      </w:r>
      <w:r w:rsidR="006C6051" w:rsidRPr="00475676">
        <w:t>delivery manager</w:t>
      </w:r>
    </w:p>
    <w:p w14:paraId="22884508" w14:textId="77777777" w:rsidR="00892C8C" w:rsidRPr="00475676" w:rsidRDefault="00892C8C" w:rsidP="00892C8C">
      <w:pPr>
        <w:pStyle w:val="Bulletlist"/>
      </w:pPr>
      <w:r w:rsidRPr="00475676">
        <w:t xml:space="preserve">Microsoft and </w:t>
      </w:r>
      <w:r w:rsidR="00112EB1" w:rsidRPr="00475676">
        <w:t xml:space="preserve">the </w:t>
      </w:r>
      <w:r w:rsidR="00140C9E" w:rsidRPr="00475676">
        <w:t>C</w:t>
      </w:r>
      <w:r w:rsidRPr="00475676">
        <w:t xml:space="preserve">ustomer </w:t>
      </w:r>
      <w:r w:rsidR="006C6051" w:rsidRPr="00475676">
        <w:t>project sponsor</w:t>
      </w:r>
    </w:p>
    <w:p w14:paraId="2288450A" w14:textId="77777777" w:rsidR="00AB4D70" w:rsidRPr="00475676" w:rsidRDefault="00AB4D70" w:rsidP="00C84DD9">
      <w:pPr>
        <w:pStyle w:val="Heading2"/>
      </w:pPr>
      <w:bookmarkStart w:id="54" w:name="_Toc476167711"/>
      <w:bookmarkStart w:id="55" w:name="_Toc476168049"/>
      <w:bookmarkStart w:id="56" w:name="_Toc6832777"/>
      <w:r w:rsidRPr="00475676">
        <w:t>Project completion</w:t>
      </w:r>
      <w:bookmarkEnd w:id="54"/>
      <w:bookmarkEnd w:id="55"/>
      <w:bookmarkEnd w:id="56"/>
    </w:p>
    <w:p w14:paraId="22884519" w14:textId="77777777" w:rsidR="00152B24" w:rsidRPr="009A2A58" w:rsidRDefault="00152B24" w:rsidP="00AC1B81">
      <w:pPr>
        <w:pStyle w:val="Optional"/>
        <w:rPr>
          <w:color w:val="auto"/>
        </w:rPr>
      </w:pPr>
      <w:r w:rsidRPr="009A2A58">
        <w:rPr>
          <w:color w:val="auto"/>
        </w:rPr>
        <w:t xml:space="preserve">The project will be considered complete when </w:t>
      </w:r>
      <w:r w:rsidR="00AD3CAD" w:rsidRPr="009A2A58">
        <w:rPr>
          <w:color w:val="auto"/>
        </w:rPr>
        <w:t xml:space="preserve">at least one </w:t>
      </w:r>
      <w:r w:rsidRPr="009A2A58">
        <w:rPr>
          <w:color w:val="auto"/>
        </w:rPr>
        <w:t xml:space="preserve">of the following conditions </w:t>
      </w:r>
      <w:r w:rsidR="00AD3CAD" w:rsidRPr="009A2A58">
        <w:rPr>
          <w:color w:val="auto"/>
        </w:rPr>
        <w:t xml:space="preserve">is </w:t>
      </w:r>
      <w:r w:rsidRPr="009A2A58">
        <w:rPr>
          <w:color w:val="auto"/>
        </w:rPr>
        <w:t>met:</w:t>
      </w:r>
    </w:p>
    <w:p w14:paraId="2288451A" w14:textId="77777777" w:rsidR="00152B24" w:rsidRPr="009A2A58" w:rsidRDefault="00152B24" w:rsidP="00152B24">
      <w:pPr>
        <w:pStyle w:val="Bulletlist"/>
      </w:pPr>
      <w:r w:rsidRPr="009A2A58">
        <w:t xml:space="preserve">All Microsoft deliverables that require acceptance </w:t>
      </w:r>
      <w:r w:rsidR="00AD3CAD" w:rsidRPr="009A2A58">
        <w:t xml:space="preserve">have been </w:t>
      </w:r>
      <w:r w:rsidRPr="009A2A58">
        <w:t>delivered and accepted (or deemed accepted)</w:t>
      </w:r>
      <w:r w:rsidR="00AD3CAD" w:rsidRPr="009A2A58">
        <w:t>.</w:t>
      </w:r>
    </w:p>
    <w:p w14:paraId="2288451B" w14:textId="77777777" w:rsidR="00152B24" w:rsidRPr="009A2A58" w:rsidRDefault="00152B24" w:rsidP="00152B24">
      <w:pPr>
        <w:pStyle w:val="Bulletlist"/>
      </w:pPr>
      <w:r w:rsidRPr="009A2A58">
        <w:t xml:space="preserve">The Work Order </w:t>
      </w:r>
      <w:r w:rsidR="00AD3CAD" w:rsidRPr="009A2A58">
        <w:t xml:space="preserve">has been </w:t>
      </w:r>
      <w:r w:rsidRPr="009A2A58">
        <w:t>terminated</w:t>
      </w:r>
      <w:r w:rsidR="00043018" w:rsidRPr="009A2A58">
        <w:t>.</w:t>
      </w:r>
    </w:p>
    <w:p w14:paraId="2288451C" w14:textId="77777777" w:rsidR="00152B24" w:rsidRPr="00475676" w:rsidRDefault="00152B24" w:rsidP="00C84DD9">
      <w:pPr>
        <w:pStyle w:val="Heading1"/>
      </w:pPr>
      <w:bookmarkStart w:id="57" w:name="_Toc476167712"/>
      <w:bookmarkStart w:id="58" w:name="_Toc476168050"/>
      <w:bookmarkStart w:id="59" w:name="_Toc6832778"/>
      <w:r w:rsidRPr="00475676">
        <w:t>Project organization</w:t>
      </w:r>
      <w:bookmarkEnd w:id="57"/>
      <w:bookmarkEnd w:id="58"/>
      <w:bookmarkEnd w:id="59"/>
    </w:p>
    <w:p w14:paraId="2288451E" w14:textId="77777777" w:rsidR="00C84DD9" w:rsidRPr="00475676" w:rsidRDefault="00C84DD9" w:rsidP="005C66A2">
      <w:pPr>
        <w:pStyle w:val="Heading2"/>
      </w:pPr>
      <w:bookmarkStart w:id="60" w:name="_Toc476167713"/>
      <w:bookmarkStart w:id="61" w:name="_Toc476168051"/>
      <w:bookmarkStart w:id="62" w:name="_Toc6832779"/>
      <w:r w:rsidRPr="00475676">
        <w:t>Project roles and responsibilities</w:t>
      </w:r>
      <w:bookmarkEnd w:id="60"/>
      <w:bookmarkEnd w:id="61"/>
      <w:bookmarkEnd w:id="62"/>
    </w:p>
    <w:p w14:paraId="22884520" w14:textId="77777777" w:rsidR="00C84DD9" w:rsidRPr="00475676" w:rsidRDefault="00C84DD9" w:rsidP="00C84DD9">
      <w:r w:rsidRPr="00475676">
        <w:t>The key project roles and the responsibilities are as follows</w:t>
      </w:r>
      <w:r w:rsidR="00AD3CAD" w:rsidRPr="00475676">
        <w:t>.</w:t>
      </w:r>
    </w:p>
    <w:p w14:paraId="22884521" w14:textId="77777777" w:rsidR="0013452E" w:rsidRPr="00475676" w:rsidRDefault="0013452E" w:rsidP="0013452E">
      <w:pPr>
        <w:pStyle w:val="Heading4"/>
      </w:pPr>
      <w:r w:rsidRPr="00475676"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:rsidRPr="00475676" w14:paraId="22884524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22884522" w14:textId="77777777" w:rsidR="0013452E" w:rsidRPr="00475676" w:rsidRDefault="0013452E" w:rsidP="00031658">
            <w:pPr>
              <w:pStyle w:val="Table-Header"/>
            </w:pPr>
            <w:r w:rsidRPr="00475676">
              <w:t>Role</w:t>
            </w:r>
          </w:p>
        </w:tc>
        <w:tc>
          <w:tcPr>
            <w:tcW w:w="7200" w:type="dxa"/>
            <w:shd w:val="clear" w:color="auto" w:fill="008272"/>
          </w:tcPr>
          <w:p w14:paraId="22884523" w14:textId="77777777" w:rsidR="0013452E" w:rsidRPr="00475676" w:rsidRDefault="0013452E" w:rsidP="00031658">
            <w:pPr>
              <w:pStyle w:val="Table-Header"/>
            </w:pPr>
            <w:r w:rsidRPr="00475676">
              <w:t>Responsibilities</w:t>
            </w:r>
          </w:p>
        </w:tc>
      </w:tr>
      <w:tr w:rsidR="0013452E" w:rsidRPr="00475676" w14:paraId="22884529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22884525" w14:textId="77777777" w:rsidR="0013452E" w:rsidRPr="00475676" w:rsidRDefault="0013452E" w:rsidP="0013452E">
            <w:pPr>
              <w:pStyle w:val="TableText"/>
            </w:pPr>
            <w:r w:rsidRPr="00475676">
              <w:t>Project sponsor</w:t>
            </w:r>
          </w:p>
        </w:tc>
        <w:tc>
          <w:tcPr>
            <w:tcW w:w="7200" w:type="dxa"/>
            <w:shd w:val="clear" w:color="auto" w:fill="FFFFFF" w:themeFill="background1"/>
          </w:tcPr>
          <w:p w14:paraId="22884526" w14:textId="3FADD0A5" w:rsidR="00410DC2" w:rsidRPr="00475676" w:rsidRDefault="0013452E" w:rsidP="00DC285F">
            <w:pPr>
              <w:pStyle w:val="TableBullet1"/>
              <w:rPr>
                <w:rStyle w:val="InstructionalChar"/>
                <w:color w:val="auto"/>
              </w:rPr>
            </w:pPr>
            <w:r w:rsidRPr="00475676">
              <w:rPr>
                <w:rStyle w:val="BulletlistChar"/>
              </w:rPr>
              <w:t>Provide the</w:t>
            </w:r>
            <w:r w:rsidRPr="00475676">
              <w:t xml:space="preserve"> estimated project </w:t>
            </w:r>
            <w:r w:rsidRPr="00A60ECD">
              <w:t xml:space="preserve">commitment: </w:t>
            </w:r>
            <w:r w:rsidR="00A60ECD" w:rsidRPr="00A60ECD">
              <w:rPr>
                <w:rStyle w:val="InstructionalChar"/>
                <w:color w:val="auto"/>
              </w:rPr>
              <w:t>0.5hour per week</w:t>
            </w:r>
          </w:p>
          <w:p w14:paraId="22884527" w14:textId="77777777" w:rsidR="00410DC2" w:rsidRPr="00475676" w:rsidRDefault="0013452E" w:rsidP="00DC285F">
            <w:pPr>
              <w:pStyle w:val="TableBullet1"/>
              <w:rPr>
                <w:szCs w:val="18"/>
              </w:rPr>
            </w:pPr>
            <w:r w:rsidRPr="00475676">
              <w:t>Make key project decisions.</w:t>
            </w:r>
          </w:p>
          <w:p w14:paraId="22884528" w14:textId="77777777" w:rsidR="0013452E" w:rsidRPr="00475676" w:rsidRDefault="0013452E" w:rsidP="00DC285F">
            <w:pPr>
              <w:pStyle w:val="TableBullet1"/>
              <w:rPr>
                <w:szCs w:val="18"/>
              </w:rPr>
            </w:pPr>
            <w:r w:rsidRPr="00475676">
              <w:t>Serve as a point of escalation to support clearing project roadblocks.</w:t>
            </w:r>
          </w:p>
        </w:tc>
      </w:tr>
      <w:tr w:rsidR="0013452E" w:rsidRPr="00475676" w14:paraId="22884531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2288452A" w14:textId="77777777" w:rsidR="0013452E" w:rsidRPr="00475676" w:rsidRDefault="0013452E" w:rsidP="0013452E">
            <w:pPr>
              <w:pStyle w:val="TableText"/>
              <w:rPr>
                <w:szCs w:val="18"/>
              </w:rPr>
            </w:pPr>
            <w:r w:rsidRPr="00475676"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FFFFFF" w:themeFill="background1"/>
          </w:tcPr>
          <w:p w14:paraId="2288452B" w14:textId="21C0FF73" w:rsidR="0013452E" w:rsidRPr="00475676" w:rsidRDefault="0013452E" w:rsidP="00DC285F">
            <w:pPr>
              <w:pStyle w:val="TableBullet1"/>
              <w:rPr>
                <w:rStyle w:val="InstructionalChar"/>
              </w:rPr>
            </w:pPr>
            <w:r w:rsidRPr="00475676">
              <w:t xml:space="preserve">Provide the estimated project </w:t>
            </w:r>
            <w:r w:rsidRPr="00A60ECD">
              <w:t xml:space="preserve">commitment: </w:t>
            </w:r>
            <w:r w:rsidR="00A60ECD" w:rsidRPr="00A60ECD">
              <w:rPr>
                <w:rStyle w:val="InstructionalChar"/>
                <w:color w:val="auto"/>
              </w:rPr>
              <w:t>1 hour per week</w:t>
            </w:r>
          </w:p>
          <w:p w14:paraId="2288452C" w14:textId="39851F4D" w:rsidR="0013452E" w:rsidRPr="00475676" w:rsidRDefault="0013452E" w:rsidP="00DC285F">
            <w:pPr>
              <w:pStyle w:val="TableBullet1"/>
            </w:pPr>
            <w:r w:rsidRPr="00475676">
              <w:t xml:space="preserve">Serve as </w:t>
            </w:r>
            <w:r w:rsidR="00CD1994">
              <w:t xml:space="preserve">the </w:t>
            </w:r>
            <w:r w:rsidRPr="00475676">
              <w:t>primary point of contact for the Microsoft team</w:t>
            </w:r>
          </w:p>
          <w:p w14:paraId="2288452D" w14:textId="77777777" w:rsidR="0013452E" w:rsidRPr="00475676" w:rsidRDefault="0013452E" w:rsidP="00DC285F">
            <w:pPr>
              <w:pStyle w:val="TableBullet1"/>
            </w:pPr>
            <w:r w:rsidRPr="00475676">
              <w:t>Manage the overall project.</w:t>
            </w:r>
          </w:p>
          <w:p w14:paraId="2288452E" w14:textId="77777777" w:rsidR="0013452E" w:rsidRPr="00475676" w:rsidRDefault="0013452E" w:rsidP="00DC285F">
            <w:pPr>
              <w:pStyle w:val="TableBullet1"/>
            </w:pPr>
            <w:r w:rsidRPr="00475676">
              <w:t>Deliver the project on schedule.</w:t>
            </w:r>
          </w:p>
          <w:p w14:paraId="2288452F" w14:textId="2977D7E0" w:rsidR="0013452E" w:rsidRPr="00475676" w:rsidRDefault="0013452E" w:rsidP="00DC285F">
            <w:pPr>
              <w:pStyle w:val="TableBullet1"/>
            </w:pPr>
            <w:r w:rsidRPr="00475676">
              <w:t xml:space="preserve">Take responsibility for </w:t>
            </w:r>
            <w:r w:rsidR="00BF3482">
              <w:t>C</w:t>
            </w:r>
            <w:r w:rsidRPr="00475676">
              <w:t>ustomer resource allocation, risk management, and project priorities.</w:t>
            </w:r>
          </w:p>
          <w:p w14:paraId="22884530" w14:textId="77777777" w:rsidR="0013452E" w:rsidRPr="00475676" w:rsidRDefault="0013452E" w:rsidP="00DC285F">
            <w:pPr>
              <w:pStyle w:val="TableBullet1"/>
            </w:pPr>
            <w:r w:rsidRPr="00475676">
              <w:t>Communicate with executive stakeholders.</w:t>
            </w:r>
          </w:p>
        </w:tc>
      </w:tr>
      <w:tr w:rsidR="0013452E" w:rsidRPr="00475676" w14:paraId="2288453A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22884537" w14:textId="4FBB3832" w:rsidR="0013452E" w:rsidRPr="00475676" w:rsidRDefault="002113E7" w:rsidP="0013452E">
            <w:pPr>
              <w:pStyle w:val="TableText"/>
              <w:rPr>
                <w:szCs w:val="18"/>
              </w:rPr>
            </w:pPr>
            <w:r w:rsidRPr="00475676">
              <w:rPr>
                <w:szCs w:val="18"/>
              </w:rPr>
              <w:lastRenderedPageBreak/>
              <w:t xml:space="preserve">Subject </w:t>
            </w:r>
            <w:r w:rsidR="00B058D9">
              <w:rPr>
                <w:szCs w:val="18"/>
              </w:rPr>
              <w:t>m</w:t>
            </w:r>
            <w:r w:rsidRPr="00475676">
              <w:rPr>
                <w:szCs w:val="18"/>
              </w:rPr>
              <w:t xml:space="preserve">atter </w:t>
            </w:r>
            <w:r w:rsidR="00B058D9">
              <w:rPr>
                <w:szCs w:val="18"/>
              </w:rPr>
              <w:t>s</w:t>
            </w:r>
            <w:r w:rsidRPr="00475676">
              <w:rPr>
                <w:szCs w:val="18"/>
              </w:rPr>
              <w:t>pecialists</w:t>
            </w:r>
          </w:p>
        </w:tc>
        <w:tc>
          <w:tcPr>
            <w:tcW w:w="7200" w:type="dxa"/>
            <w:shd w:val="clear" w:color="auto" w:fill="FFFFFF" w:themeFill="background1"/>
          </w:tcPr>
          <w:p w14:paraId="5CD34E7D" w14:textId="74472FB4" w:rsidR="002113E7" w:rsidRPr="00475676" w:rsidRDefault="002113E7" w:rsidP="00DC285F">
            <w:pPr>
              <w:pStyle w:val="TableBullet1"/>
            </w:pPr>
            <w:r w:rsidRPr="00475676">
              <w:t xml:space="preserve">Provide the estimated project commitment: </w:t>
            </w:r>
            <w:r w:rsidR="00A60ECD">
              <w:t>16 hours per week</w:t>
            </w:r>
          </w:p>
          <w:p w14:paraId="22884539" w14:textId="0BC2BF32" w:rsidR="0013452E" w:rsidRPr="00475676" w:rsidRDefault="002462C9" w:rsidP="00DC285F">
            <w:pPr>
              <w:pStyle w:val="TableBullet1"/>
              <w:rPr>
                <w:szCs w:val="18"/>
              </w:rPr>
            </w:pPr>
            <w:r>
              <w:t>Take authority</w:t>
            </w:r>
            <w:r w:rsidR="002113E7" w:rsidRPr="00475676">
              <w:t xml:space="preserve"> over the </w:t>
            </w:r>
            <w:r w:rsidR="00E4150E" w:rsidRPr="00475676">
              <w:t xml:space="preserve">assessment </w:t>
            </w:r>
            <w:r w:rsidR="002113E7" w:rsidRPr="00475676">
              <w:t xml:space="preserve">domains </w:t>
            </w:r>
            <w:r w:rsidR="00E4150E" w:rsidRPr="00475676">
              <w:t xml:space="preserve">that </w:t>
            </w:r>
            <w:r w:rsidR="002113E7" w:rsidRPr="00475676">
              <w:t xml:space="preserve">are defined in the </w:t>
            </w:r>
            <w:r>
              <w:t>e</w:t>
            </w:r>
            <w:r w:rsidR="002113E7" w:rsidRPr="00DC285F">
              <w:t xml:space="preserve">ngagement </w:t>
            </w:r>
            <w:r>
              <w:t>p</w:t>
            </w:r>
            <w:r w:rsidR="002113E7" w:rsidRPr="00DC285F">
              <w:t xml:space="preserve">reparation </w:t>
            </w:r>
            <w:r>
              <w:t>g</w:t>
            </w:r>
            <w:r w:rsidR="002113E7" w:rsidRPr="00DC285F">
              <w:t>uide</w:t>
            </w:r>
            <w:r>
              <w:t>.</w:t>
            </w:r>
          </w:p>
        </w:tc>
      </w:tr>
    </w:tbl>
    <w:p w14:paraId="2288453B" w14:textId="77777777" w:rsidR="00C84DD9" w:rsidRPr="00475676" w:rsidRDefault="0013452E" w:rsidP="0013452E">
      <w:pPr>
        <w:pStyle w:val="Heading4"/>
      </w:pPr>
      <w:r w:rsidRPr="00475676"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86"/>
      </w:tblGrid>
      <w:tr w:rsidR="0013452E" w:rsidRPr="00475676" w14:paraId="2288453E" w14:textId="77777777" w:rsidTr="00DC285F">
        <w:trPr>
          <w:trHeight w:val="360"/>
          <w:tblHeader/>
        </w:trPr>
        <w:tc>
          <w:tcPr>
            <w:tcW w:w="2174" w:type="dxa"/>
            <w:shd w:val="clear" w:color="auto" w:fill="008272"/>
          </w:tcPr>
          <w:p w14:paraId="2288453C" w14:textId="77777777" w:rsidR="0013452E" w:rsidRPr="00475676" w:rsidRDefault="0013452E" w:rsidP="00031658">
            <w:pPr>
              <w:pStyle w:val="Table-Header"/>
            </w:pPr>
            <w:r w:rsidRPr="00475676">
              <w:t>Role</w:t>
            </w:r>
          </w:p>
        </w:tc>
        <w:tc>
          <w:tcPr>
            <w:tcW w:w="7186" w:type="dxa"/>
            <w:shd w:val="clear" w:color="auto" w:fill="008272"/>
          </w:tcPr>
          <w:p w14:paraId="2288453D" w14:textId="77777777" w:rsidR="0013452E" w:rsidRPr="00475676" w:rsidRDefault="0013452E" w:rsidP="00031658">
            <w:pPr>
              <w:pStyle w:val="Table-Header"/>
            </w:pPr>
            <w:r w:rsidRPr="00475676">
              <w:t>Responsibilities</w:t>
            </w:r>
          </w:p>
        </w:tc>
      </w:tr>
      <w:tr w:rsidR="0013452E" w:rsidRPr="00475676" w14:paraId="22884542" w14:textId="77777777" w:rsidTr="00DC285F">
        <w:trPr>
          <w:trHeight w:val="441"/>
        </w:trPr>
        <w:tc>
          <w:tcPr>
            <w:tcW w:w="2174" w:type="dxa"/>
            <w:shd w:val="clear" w:color="auto" w:fill="auto"/>
          </w:tcPr>
          <w:p w14:paraId="2288453F" w14:textId="77777777" w:rsidR="0013452E" w:rsidRPr="00475676" w:rsidRDefault="0013452E" w:rsidP="0013452E">
            <w:pPr>
              <w:pStyle w:val="TableText"/>
            </w:pPr>
            <w:r w:rsidRPr="00475676">
              <w:t>Delivery manager</w:t>
            </w:r>
          </w:p>
        </w:tc>
        <w:tc>
          <w:tcPr>
            <w:tcW w:w="7186" w:type="dxa"/>
            <w:shd w:val="clear" w:color="auto" w:fill="FFFFFF" w:themeFill="background1"/>
          </w:tcPr>
          <w:p w14:paraId="22884540" w14:textId="77777777" w:rsidR="0013452E" w:rsidRPr="002A4D19" w:rsidRDefault="0013452E" w:rsidP="00DC285F">
            <w:pPr>
              <w:pStyle w:val="TableBullet1"/>
            </w:pPr>
            <w:r w:rsidRPr="002A4D19">
              <w:t>Manage and coordinate the overall Microsoft project.</w:t>
            </w:r>
          </w:p>
          <w:p w14:paraId="22884541" w14:textId="77777777" w:rsidR="0013452E" w:rsidRPr="002A4D19" w:rsidRDefault="0013452E" w:rsidP="00DC285F">
            <w:pPr>
              <w:pStyle w:val="TableBullet1"/>
            </w:pPr>
            <w:r w:rsidRPr="002A4D19">
              <w:t>Serve as a single point of contact for escalations, billing issues, personnel matters, and contract extensions.</w:t>
            </w:r>
          </w:p>
        </w:tc>
      </w:tr>
      <w:tr w:rsidR="0013452E" w:rsidRPr="00475676" w14:paraId="22884547" w14:textId="77777777" w:rsidTr="00DC285F">
        <w:trPr>
          <w:trHeight w:val="441"/>
        </w:trPr>
        <w:tc>
          <w:tcPr>
            <w:tcW w:w="2174" w:type="dxa"/>
            <w:shd w:val="clear" w:color="auto" w:fill="auto"/>
          </w:tcPr>
          <w:p w14:paraId="22884543" w14:textId="77777777" w:rsidR="0013452E" w:rsidRPr="00475676" w:rsidRDefault="0013452E" w:rsidP="0013452E">
            <w:pPr>
              <w:pStyle w:val="TableText"/>
            </w:pPr>
            <w:r w:rsidRPr="00475676">
              <w:t>Microsoft project manager</w:t>
            </w:r>
          </w:p>
        </w:tc>
        <w:tc>
          <w:tcPr>
            <w:tcW w:w="7186" w:type="dxa"/>
            <w:shd w:val="clear" w:color="auto" w:fill="FFFFFF" w:themeFill="background1"/>
          </w:tcPr>
          <w:p w14:paraId="22884544" w14:textId="77777777" w:rsidR="0013452E" w:rsidRPr="002A4D19" w:rsidRDefault="0013452E" w:rsidP="00DC285F">
            <w:pPr>
              <w:pStyle w:val="TableBullet1"/>
            </w:pPr>
            <w:r w:rsidRPr="002A4D19">
              <w:t>Manage and coordinate Microsoft project delivery.</w:t>
            </w:r>
          </w:p>
          <w:p w14:paraId="22884545" w14:textId="77777777" w:rsidR="0013452E" w:rsidRPr="002A4D19" w:rsidRDefault="0013452E" w:rsidP="00DC285F">
            <w:pPr>
              <w:pStyle w:val="TableBullet1"/>
            </w:pPr>
            <w:r w:rsidRPr="002A4D19">
              <w:t>Take responsibility for issue and risk management, change management, project priorities, status communications, and status meetings.</w:t>
            </w:r>
          </w:p>
          <w:p w14:paraId="22884546" w14:textId="2B9855A5" w:rsidR="0013452E" w:rsidRPr="002A4D19" w:rsidRDefault="0013452E" w:rsidP="00DC285F">
            <w:pPr>
              <w:pStyle w:val="TableBullet1"/>
            </w:pPr>
            <w:r w:rsidRPr="002A4D19">
              <w:t>Coordinate Microsoft and Microsoft</w:t>
            </w:r>
            <w:r w:rsidRPr="002A4D19" w:rsidDel="00C35540">
              <w:t xml:space="preserve"> </w:t>
            </w:r>
            <w:r w:rsidRPr="002A4D19">
              <w:t xml:space="preserve">subcontractor resources but not </w:t>
            </w:r>
            <w:r w:rsidR="00BF3482" w:rsidRPr="002A4D19">
              <w:t>C</w:t>
            </w:r>
            <w:r w:rsidRPr="002A4D19">
              <w:t>ustomer resources.</w:t>
            </w:r>
          </w:p>
        </w:tc>
      </w:tr>
      <w:tr w:rsidR="00F34DA2" w:rsidRPr="00475676" w14:paraId="6FF6148F" w14:textId="77777777" w:rsidTr="00DC285F">
        <w:trPr>
          <w:trHeight w:val="441"/>
        </w:trPr>
        <w:tc>
          <w:tcPr>
            <w:tcW w:w="2174" w:type="dxa"/>
            <w:shd w:val="clear" w:color="auto" w:fill="auto"/>
          </w:tcPr>
          <w:p w14:paraId="45CE773F" w14:textId="566F6BF2" w:rsidR="00F34DA2" w:rsidRPr="00475676" w:rsidRDefault="00F34DA2" w:rsidP="00B91A81">
            <w:pPr>
              <w:pStyle w:val="TableText"/>
            </w:pPr>
            <w:r w:rsidRPr="00475676">
              <w:t xml:space="preserve">Cybersecurity </w:t>
            </w:r>
            <w:r w:rsidR="00B058D9">
              <w:t>a</w:t>
            </w:r>
            <w:r w:rsidRPr="00475676">
              <w:t>rchitect</w:t>
            </w:r>
          </w:p>
        </w:tc>
        <w:tc>
          <w:tcPr>
            <w:tcW w:w="7186" w:type="dxa"/>
            <w:shd w:val="clear" w:color="auto" w:fill="FFFFFF" w:themeFill="background1"/>
          </w:tcPr>
          <w:p w14:paraId="4930CB5A" w14:textId="37CB1B25" w:rsidR="00F34DA2" w:rsidRPr="00475676" w:rsidRDefault="00CC4F96" w:rsidP="00DC285F">
            <w:pPr>
              <w:pStyle w:val="TableText"/>
              <w:rPr>
                <w:szCs w:val="18"/>
              </w:rPr>
            </w:pPr>
            <w:r w:rsidRPr="00475676">
              <w:t xml:space="preserve">Provide overall engagement oversight to </w:t>
            </w:r>
            <w:r w:rsidR="00491A73">
              <w:t>help make sure</w:t>
            </w:r>
            <w:r w:rsidR="00491A73" w:rsidRPr="00475676">
              <w:t xml:space="preserve"> </w:t>
            </w:r>
            <w:r w:rsidRPr="00475676">
              <w:t>the solution methodology is followed, review all engagement deliverables, and identif</w:t>
            </w:r>
            <w:r w:rsidR="001342F9">
              <w:t>y</w:t>
            </w:r>
            <w:r w:rsidRPr="00475676">
              <w:t xml:space="preserve"> and manage risk.</w:t>
            </w:r>
          </w:p>
        </w:tc>
      </w:tr>
      <w:tr w:rsidR="0013452E" w:rsidRPr="00475676" w14:paraId="2288454B" w14:textId="77777777" w:rsidTr="00DC285F">
        <w:trPr>
          <w:trHeight w:val="441"/>
        </w:trPr>
        <w:tc>
          <w:tcPr>
            <w:tcW w:w="2174" w:type="dxa"/>
            <w:shd w:val="clear" w:color="auto" w:fill="auto"/>
          </w:tcPr>
          <w:p w14:paraId="22884548" w14:textId="09901085" w:rsidR="0013452E" w:rsidRPr="00475676" w:rsidRDefault="001A7D8D" w:rsidP="0013452E">
            <w:pPr>
              <w:pStyle w:val="TableText"/>
            </w:pPr>
            <w:r w:rsidRPr="00475676">
              <w:t xml:space="preserve">Senior </w:t>
            </w:r>
            <w:r w:rsidR="001342F9">
              <w:t>c</w:t>
            </w:r>
            <w:r w:rsidRPr="00475676">
              <w:t>onsultant</w:t>
            </w:r>
          </w:p>
        </w:tc>
        <w:tc>
          <w:tcPr>
            <w:tcW w:w="7186" w:type="dxa"/>
            <w:shd w:val="clear" w:color="auto" w:fill="FFFFFF" w:themeFill="background1"/>
          </w:tcPr>
          <w:p w14:paraId="2288454A" w14:textId="48C4AA97" w:rsidR="0013452E" w:rsidRPr="00475676" w:rsidRDefault="00512E38" w:rsidP="00DC285F">
            <w:pPr>
              <w:pStyle w:val="TableText"/>
              <w:rPr>
                <w:szCs w:val="18"/>
              </w:rPr>
            </w:pPr>
            <w:r>
              <w:t>Take r</w:t>
            </w:r>
            <w:r w:rsidR="00CC4F96" w:rsidRPr="00475676">
              <w:t>esponsib</w:t>
            </w:r>
            <w:r>
              <w:t>ility</w:t>
            </w:r>
            <w:r w:rsidR="00CC4F96" w:rsidRPr="00475676">
              <w:t xml:space="preserve"> for </w:t>
            </w:r>
            <w:r>
              <w:t xml:space="preserve">the </w:t>
            </w:r>
            <w:r w:rsidR="00CC4F96" w:rsidRPr="00475676">
              <w:t xml:space="preserve">delivery of all engagement components, including workshops, interviews, and </w:t>
            </w:r>
            <w:r>
              <w:t xml:space="preserve">the </w:t>
            </w:r>
            <w:r w:rsidR="00CC4F96" w:rsidRPr="00475676">
              <w:t>creation of all engagement deliverables.</w:t>
            </w:r>
          </w:p>
        </w:tc>
      </w:tr>
    </w:tbl>
    <w:p w14:paraId="2288454C" w14:textId="77777777" w:rsidR="0089268B" w:rsidRPr="00475676" w:rsidRDefault="0089268B" w:rsidP="0089268B">
      <w:pPr>
        <w:pStyle w:val="Heading1"/>
      </w:pPr>
      <w:bookmarkStart w:id="63" w:name="_Toc476167714"/>
      <w:bookmarkStart w:id="64" w:name="_Toc476168052"/>
      <w:bookmarkStart w:id="65" w:name="_Toc6832780"/>
      <w:r w:rsidRPr="00475676">
        <w:t>Customer responsibilities and project assumptions</w:t>
      </w:r>
      <w:bookmarkEnd w:id="63"/>
      <w:bookmarkEnd w:id="64"/>
      <w:bookmarkEnd w:id="65"/>
    </w:p>
    <w:p w14:paraId="2288454D" w14:textId="77777777" w:rsidR="002F1155" w:rsidRPr="00475676" w:rsidRDefault="00737D61" w:rsidP="00737D61">
      <w:pPr>
        <w:pStyle w:val="Heading2"/>
      </w:pPr>
      <w:bookmarkStart w:id="66" w:name="_Toc476167715"/>
      <w:bookmarkStart w:id="67" w:name="_Toc476168053"/>
      <w:bookmarkStart w:id="68" w:name="_Toc6832781"/>
      <w:r w:rsidRPr="00475676">
        <w:t>Customer responsibilities</w:t>
      </w:r>
      <w:bookmarkEnd w:id="66"/>
      <w:bookmarkEnd w:id="67"/>
      <w:bookmarkEnd w:id="68"/>
    </w:p>
    <w:p w14:paraId="2288454F" w14:textId="6D00BCA3" w:rsidR="00737D61" w:rsidRPr="00475676" w:rsidRDefault="00737D61" w:rsidP="00AC1B81">
      <w:r w:rsidRPr="00475676">
        <w:t xml:space="preserve">In addition to </w:t>
      </w:r>
      <w:r w:rsidR="00112EB1" w:rsidRPr="00475676">
        <w:t>C</w:t>
      </w:r>
      <w:r w:rsidRPr="00475676">
        <w:t xml:space="preserve">ustomer activities defined </w:t>
      </w:r>
      <w:r w:rsidR="00A67A54" w:rsidRPr="00475676">
        <w:t xml:space="preserve">in the </w:t>
      </w:r>
      <w:r w:rsidR="00C35540" w:rsidRPr="00475676">
        <w:fldChar w:fldCharType="begin"/>
      </w:r>
      <w:r w:rsidR="00C35540" w:rsidRPr="00475676">
        <w:instrText xml:space="preserve"> REF _Ref477936654 \h </w:instrText>
      </w:r>
      <w:r w:rsidR="00C35540" w:rsidRPr="00475676">
        <w:fldChar w:fldCharType="separate"/>
      </w:r>
      <w:r w:rsidR="00812548" w:rsidRPr="00475676">
        <w:t>Approach</w:t>
      </w:r>
      <w:r w:rsidR="00C35540" w:rsidRPr="00475676">
        <w:fldChar w:fldCharType="end"/>
      </w:r>
      <w:r w:rsidR="00C35540" w:rsidRPr="00475676">
        <w:t xml:space="preserve"> </w:t>
      </w:r>
      <w:r w:rsidR="00A67A54" w:rsidRPr="00475676">
        <w:t xml:space="preserve">section, </w:t>
      </w:r>
      <w:r w:rsidRPr="00475676">
        <w:t xml:space="preserve">the </w:t>
      </w:r>
      <w:r w:rsidR="00EF4391" w:rsidRPr="00475676">
        <w:t>C</w:t>
      </w:r>
      <w:r w:rsidRPr="00475676">
        <w:t>ustomer is also required to</w:t>
      </w:r>
      <w:r w:rsidR="00CE5B67" w:rsidRPr="00475676">
        <w:t>:</w:t>
      </w:r>
    </w:p>
    <w:p w14:paraId="22884550" w14:textId="1B21F510" w:rsidR="00CE5B67" w:rsidRPr="00475676" w:rsidRDefault="00CE5B67" w:rsidP="00EF4391">
      <w:pPr>
        <w:pStyle w:val="Bulletlist"/>
      </w:pPr>
      <w:r w:rsidRPr="00475676">
        <w:t>Provide information</w:t>
      </w:r>
      <w:r w:rsidR="0060052B" w:rsidRPr="00475676">
        <w:t>:</w:t>
      </w:r>
    </w:p>
    <w:p w14:paraId="22884551" w14:textId="1F144995" w:rsidR="004D04B9" w:rsidRPr="00475676" w:rsidRDefault="00CE5B67" w:rsidP="00983C47">
      <w:pPr>
        <w:pStyle w:val="Bulletlist"/>
        <w:numPr>
          <w:ilvl w:val="1"/>
          <w:numId w:val="5"/>
        </w:numPr>
      </w:pPr>
      <w:r w:rsidRPr="00475676">
        <w:t xml:space="preserve">This includes accurate, </w:t>
      </w:r>
      <w:r w:rsidR="004D04B9" w:rsidRPr="00475676">
        <w:t>timely (within three business days or as mutually agreed</w:t>
      </w:r>
      <w:r w:rsidR="008473AC" w:rsidRPr="00475676">
        <w:t xml:space="preserve"> </w:t>
      </w:r>
      <w:r w:rsidRPr="00475676">
        <w:t>upon</w:t>
      </w:r>
      <w:r w:rsidR="004D04B9" w:rsidRPr="00475676">
        <w:t>)</w:t>
      </w:r>
      <w:r w:rsidRPr="00475676">
        <w:t>,</w:t>
      </w:r>
      <w:r w:rsidR="004D04B9" w:rsidRPr="00475676">
        <w:t xml:space="preserve"> and complete information</w:t>
      </w:r>
      <w:r w:rsidR="00636B13" w:rsidRPr="00475676">
        <w:t>.</w:t>
      </w:r>
    </w:p>
    <w:p w14:paraId="22884552" w14:textId="7F6DC836" w:rsidR="005D19D2" w:rsidRPr="00475676" w:rsidRDefault="005D19D2" w:rsidP="00EF4391">
      <w:pPr>
        <w:pStyle w:val="Bulletlist"/>
      </w:pPr>
      <w:r w:rsidRPr="00475676">
        <w:t xml:space="preserve">Provide access </w:t>
      </w:r>
      <w:r w:rsidR="004D04B9" w:rsidRPr="00475676">
        <w:t>to people and resources</w:t>
      </w:r>
      <w:r w:rsidRPr="00475676">
        <w:t>.</w:t>
      </w:r>
    </w:p>
    <w:p w14:paraId="22884553" w14:textId="4C4E54D2" w:rsidR="004D04B9" w:rsidRPr="00475676" w:rsidRDefault="005D19D2" w:rsidP="00983C47">
      <w:pPr>
        <w:pStyle w:val="Bulletlist"/>
        <w:numPr>
          <w:ilvl w:val="1"/>
          <w:numId w:val="5"/>
        </w:numPr>
      </w:pPr>
      <w:r w:rsidRPr="00475676">
        <w:t>This includes a</w:t>
      </w:r>
      <w:r w:rsidR="004D04B9" w:rsidRPr="00475676">
        <w:t xml:space="preserve">ccess to knowledgeable </w:t>
      </w:r>
      <w:r w:rsidR="00BF3482">
        <w:t>C</w:t>
      </w:r>
      <w:r w:rsidR="00A26C0D" w:rsidRPr="00475676">
        <w:t>ustomer</w:t>
      </w:r>
      <w:r w:rsidR="004D04B9" w:rsidRPr="00475676">
        <w:t xml:space="preserve"> personnel, including business user representatives, and access to funding </w:t>
      </w:r>
      <w:r w:rsidRPr="00475676">
        <w:t xml:space="preserve">if </w:t>
      </w:r>
      <w:r w:rsidR="004D04B9" w:rsidRPr="00475676">
        <w:t xml:space="preserve">additional budget is </w:t>
      </w:r>
      <w:r w:rsidRPr="00475676">
        <w:t xml:space="preserve">needed </w:t>
      </w:r>
      <w:r w:rsidR="004D04B9" w:rsidRPr="00475676">
        <w:t>to deliver project scope.</w:t>
      </w:r>
    </w:p>
    <w:p w14:paraId="22884554" w14:textId="25E2C407" w:rsidR="005D19D2" w:rsidRPr="00475676" w:rsidRDefault="005D19D2" w:rsidP="00EF4391">
      <w:pPr>
        <w:pStyle w:val="Bulletlist"/>
      </w:pPr>
      <w:r w:rsidRPr="00475676">
        <w:t xml:space="preserve">Provide access </w:t>
      </w:r>
      <w:r w:rsidR="004D04B9" w:rsidRPr="00475676">
        <w:t>to systems</w:t>
      </w:r>
      <w:r w:rsidRPr="00475676">
        <w:t>.</w:t>
      </w:r>
    </w:p>
    <w:p w14:paraId="22884555" w14:textId="4DCF5571" w:rsidR="004D04B9" w:rsidRPr="00475676" w:rsidRDefault="005D19D2" w:rsidP="00983C47">
      <w:pPr>
        <w:pStyle w:val="Bulletlist"/>
        <w:numPr>
          <w:ilvl w:val="1"/>
          <w:numId w:val="5"/>
        </w:numPr>
      </w:pPr>
      <w:r w:rsidRPr="00475676">
        <w:t>This includes a</w:t>
      </w:r>
      <w:r w:rsidR="004D04B9" w:rsidRPr="00475676">
        <w:t xml:space="preserve">ccess to all necessary </w:t>
      </w:r>
      <w:r w:rsidR="00BF3482">
        <w:t>C</w:t>
      </w:r>
      <w:r w:rsidR="00A26C0D" w:rsidRPr="00475676">
        <w:t>ustomer</w:t>
      </w:r>
      <w:r w:rsidR="004D04B9" w:rsidRPr="00475676">
        <w:t xml:space="preserve"> work locations, networks, systems</w:t>
      </w:r>
      <w:r w:rsidR="00C30D22" w:rsidRPr="00475676">
        <w:t>,</w:t>
      </w:r>
      <w:r w:rsidR="004D04B9" w:rsidRPr="00475676">
        <w:t xml:space="preserve"> and applications (remote and onsite)</w:t>
      </w:r>
      <w:r w:rsidR="00636B13" w:rsidRPr="00475676">
        <w:t>.</w:t>
      </w:r>
    </w:p>
    <w:p w14:paraId="22884556" w14:textId="77777777" w:rsidR="00C35540" w:rsidRPr="00475676" w:rsidRDefault="00C35540" w:rsidP="00EF4391">
      <w:pPr>
        <w:pStyle w:val="Bulletlist"/>
      </w:pPr>
      <w:r w:rsidRPr="00475676">
        <w:t xml:space="preserve">Provide a work </w:t>
      </w:r>
      <w:r w:rsidR="004D04B9" w:rsidRPr="00475676">
        <w:t>environment</w:t>
      </w:r>
      <w:r w:rsidRPr="00475676">
        <w:t>.</w:t>
      </w:r>
    </w:p>
    <w:p w14:paraId="22884557" w14:textId="39589E9A" w:rsidR="004D04B9" w:rsidRPr="00475676" w:rsidRDefault="00C35540" w:rsidP="00983C47">
      <w:pPr>
        <w:pStyle w:val="Bulletlist"/>
        <w:numPr>
          <w:ilvl w:val="1"/>
          <w:numId w:val="5"/>
        </w:numPr>
      </w:pPr>
      <w:r w:rsidRPr="00475676">
        <w:t xml:space="preserve">This consists of suitable </w:t>
      </w:r>
      <w:r w:rsidR="00F31CF2" w:rsidRPr="00475676">
        <w:t>workspaces</w:t>
      </w:r>
      <w:r w:rsidR="004D04B9" w:rsidRPr="00475676">
        <w:t>, including desk</w:t>
      </w:r>
      <w:r w:rsidRPr="00475676">
        <w:t>s</w:t>
      </w:r>
      <w:r w:rsidR="004D04B9" w:rsidRPr="00475676">
        <w:t>, chair</w:t>
      </w:r>
      <w:r w:rsidRPr="00475676">
        <w:t>s</w:t>
      </w:r>
      <w:r w:rsidR="004D04B9" w:rsidRPr="00475676">
        <w:t xml:space="preserve">, </w:t>
      </w:r>
      <w:r w:rsidRPr="00475676">
        <w:t xml:space="preserve">and Internet </w:t>
      </w:r>
      <w:r w:rsidR="004D04B9" w:rsidRPr="00475676">
        <w:t>access</w:t>
      </w:r>
      <w:r w:rsidR="00A26C0D" w:rsidRPr="00475676">
        <w:t>.</w:t>
      </w:r>
    </w:p>
    <w:p w14:paraId="22884558" w14:textId="77777777" w:rsidR="00C35540" w:rsidRPr="00475676" w:rsidRDefault="00C35540" w:rsidP="00EF4391">
      <w:pPr>
        <w:pStyle w:val="Bulletlist"/>
      </w:pPr>
      <w:r w:rsidRPr="00475676">
        <w:t>Manage non</w:t>
      </w:r>
      <w:r w:rsidR="004D04B9" w:rsidRPr="00475676">
        <w:t>-Microsoft resources</w:t>
      </w:r>
      <w:r w:rsidRPr="00475676">
        <w:t>.</w:t>
      </w:r>
    </w:p>
    <w:p w14:paraId="22884559" w14:textId="60F47358" w:rsidR="004D04B9" w:rsidRPr="00475676" w:rsidRDefault="004B1433" w:rsidP="00983C47">
      <w:pPr>
        <w:pStyle w:val="Bulletlist"/>
        <w:numPr>
          <w:ilvl w:val="1"/>
          <w:numId w:val="5"/>
        </w:numPr>
      </w:pPr>
      <w:r w:rsidRPr="00475676">
        <w:lastRenderedPageBreak/>
        <w:t xml:space="preserve">The </w:t>
      </w:r>
      <w:r w:rsidR="00BF3482">
        <w:t>C</w:t>
      </w:r>
      <w:r w:rsidRPr="00475676">
        <w:t>ustomer will a</w:t>
      </w:r>
      <w:r w:rsidR="004D04B9" w:rsidRPr="00475676">
        <w:t>ssume respon</w:t>
      </w:r>
      <w:r w:rsidR="00112EB1" w:rsidRPr="00475676">
        <w:t xml:space="preserve">sibility for </w:t>
      </w:r>
      <w:r w:rsidRPr="00475676">
        <w:t xml:space="preserve">the </w:t>
      </w:r>
      <w:r w:rsidR="00112EB1" w:rsidRPr="00475676">
        <w:t xml:space="preserve">management of all </w:t>
      </w:r>
      <w:r w:rsidR="00BF3482">
        <w:t>C</w:t>
      </w:r>
      <w:r w:rsidR="00A26C0D" w:rsidRPr="00475676">
        <w:t>ustomer</w:t>
      </w:r>
      <w:r w:rsidR="004D04B9" w:rsidRPr="00475676">
        <w:t xml:space="preserve"> personnel and vendors </w:t>
      </w:r>
      <w:r w:rsidRPr="00475676">
        <w:t xml:space="preserve">who are </w:t>
      </w:r>
      <w:r w:rsidR="004D04B9" w:rsidRPr="00475676">
        <w:t>not managed by Microsoft</w:t>
      </w:r>
      <w:r w:rsidR="00636B13" w:rsidRPr="00475676">
        <w:t>.</w:t>
      </w:r>
    </w:p>
    <w:p w14:paraId="2288455A" w14:textId="77777777" w:rsidR="004B1433" w:rsidRPr="00475676" w:rsidRDefault="004D04B9" w:rsidP="00EF4391">
      <w:pPr>
        <w:pStyle w:val="Bulletlist"/>
      </w:pPr>
      <w:r w:rsidRPr="00475676">
        <w:t>Manage external dependencies</w:t>
      </w:r>
      <w:r w:rsidR="009E316D" w:rsidRPr="00475676">
        <w:t>.</w:t>
      </w:r>
    </w:p>
    <w:p w14:paraId="2288455B" w14:textId="21AC41C5" w:rsidR="004D04B9" w:rsidRPr="00475676" w:rsidRDefault="004B1433" w:rsidP="00983C47">
      <w:pPr>
        <w:pStyle w:val="Bulletlist"/>
        <w:numPr>
          <w:ilvl w:val="1"/>
          <w:numId w:val="5"/>
        </w:numPr>
      </w:pPr>
      <w:r w:rsidRPr="00475676">
        <w:t xml:space="preserve">The </w:t>
      </w:r>
      <w:r w:rsidR="00BF3482">
        <w:t>C</w:t>
      </w:r>
      <w:r w:rsidRPr="00475676">
        <w:t>ustomer will f</w:t>
      </w:r>
      <w:r w:rsidR="004D04B9" w:rsidRPr="00475676">
        <w:t xml:space="preserve">acilitate </w:t>
      </w:r>
      <w:r w:rsidRPr="00475676">
        <w:t xml:space="preserve">any </w:t>
      </w:r>
      <w:r w:rsidR="004D04B9" w:rsidRPr="00475676">
        <w:t>interaction</w:t>
      </w:r>
      <w:r w:rsidRPr="00475676">
        <w:t>s</w:t>
      </w:r>
      <w:r w:rsidR="004D04B9" w:rsidRPr="00475676">
        <w:t xml:space="preserve"> with related projects </w:t>
      </w:r>
      <w:r w:rsidRPr="00475676">
        <w:t xml:space="preserve">or </w:t>
      </w:r>
      <w:r w:rsidR="004D04B9" w:rsidRPr="00475676">
        <w:t xml:space="preserve">programs </w:t>
      </w:r>
      <w:proofErr w:type="gramStart"/>
      <w:r w:rsidRPr="00475676">
        <w:t>in order to</w:t>
      </w:r>
      <w:proofErr w:type="gramEnd"/>
      <w:r w:rsidRPr="00475676">
        <w:t xml:space="preserve"> manage </w:t>
      </w:r>
      <w:r w:rsidR="004D04B9" w:rsidRPr="00475676">
        <w:t xml:space="preserve">external </w:t>
      </w:r>
      <w:r w:rsidRPr="00475676">
        <w:t xml:space="preserve">project </w:t>
      </w:r>
      <w:r w:rsidR="004D04B9" w:rsidRPr="00475676">
        <w:t>dependencies.</w:t>
      </w:r>
    </w:p>
    <w:p w14:paraId="2288455C" w14:textId="77777777" w:rsidR="007D3787" w:rsidRPr="00475676" w:rsidRDefault="007D3787" w:rsidP="007D3787">
      <w:pPr>
        <w:pStyle w:val="Heading2"/>
      </w:pPr>
      <w:bookmarkStart w:id="69" w:name="_Toc476167716"/>
      <w:bookmarkStart w:id="70" w:name="_Toc476168054"/>
      <w:bookmarkStart w:id="71" w:name="_Toc6832782"/>
      <w:r w:rsidRPr="00475676">
        <w:t xml:space="preserve">Project </w:t>
      </w:r>
      <w:bookmarkEnd w:id="69"/>
      <w:bookmarkEnd w:id="70"/>
      <w:r w:rsidR="006209A1" w:rsidRPr="00475676">
        <w:t>assumptions</w:t>
      </w:r>
      <w:bookmarkEnd w:id="71"/>
    </w:p>
    <w:p w14:paraId="2288455E" w14:textId="70891DA4" w:rsidR="00EC7993" w:rsidRPr="00475676" w:rsidRDefault="007D3787" w:rsidP="00EC7993">
      <w:r w:rsidRPr="00475676">
        <w:t>The project sc</w:t>
      </w:r>
      <w:r w:rsidR="00884E0D" w:rsidRPr="00475676">
        <w:t xml:space="preserve">ope, </w:t>
      </w:r>
      <w:r w:rsidR="00B50645">
        <w:t>S</w:t>
      </w:r>
      <w:r w:rsidR="00EC7993" w:rsidRPr="00475676">
        <w:t>ervices, fees, timeline</w:t>
      </w:r>
      <w:r w:rsidR="00A26C0D" w:rsidRPr="00475676">
        <w:t>,</w:t>
      </w:r>
      <w:r w:rsidR="00EC7993" w:rsidRPr="00475676">
        <w:t xml:space="preserve"> and our detailed solution are based on the information provided by the </w:t>
      </w:r>
      <w:r w:rsidR="00EF4391" w:rsidRPr="00475676">
        <w:t>C</w:t>
      </w:r>
      <w:r w:rsidR="00EC7993" w:rsidRPr="00475676">
        <w:t xml:space="preserve">ustomer to date. During the </w:t>
      </w:r>
      <w:r w:rsidR="00397E85" w:rsidRPr="00475676">
        <w:t>project</w:t>
      </w:r>
      <w:r w:rsidR="00EC7993" w:rsidRPr="00475676">
        <w:t xml:space="preserve">, the information </w:t>
      </w:r>
      <w:r w:rsidR="00A213E3" w:rsidRPr="00475676">
        <w:t xml:space="preserve">and assumptions </w:t>
      </w:r>
      <w:r w:rsidR="00C17EF0" w:rsidRPr="00475676">
        <w:t xml:space="preserve">in this SOW </w:t>
      </w:r>
      <w:r w:rsidR="00EC7993" w:rsidRPr="00475676">
        <w:t>will be validated</w:t>
      </w:r>
      <w:r w:rsidR="00E1732C" w:rsidRPr="00475676">
        <w:t>,</w:t>
      </w:r>
      <w:r w:rsidR="00EC7993" w:rsidRPr="00475676">
        <w:t xml:space="preserve"> and if a material difference is present, this </w:t>
      </w:r>
      <w:r w:rsidR="001C00BA" w:rsidRPr="00475676">
        <w:t>could</w:t>
      </w:r>
      <w:r w:rsidR="007104D0" w:rsidRPr="00475676">
        <w:t xml:space="preserve"> </w:t>
      </w:r>
      <w:r w:rsidR="00EC7993" w:rsidRPr="00475676">
        <w:t xml:space="preserve">result in Microsoft </w:t>
      </w:r>
      <w:r w:rsidR="007104D0" w:rsidRPr="00475676">
        <w:t xml:space="preserve">initiating </w:t>
      </w:r>
      <w:r w:rsidR="00EC7993" w:rsidRPr="00475676">
        <w:t xml:space="preserve">a change request to cover additional work or extend </w:t>
      </w:r>
      <w:r w:rsidR="004B1433" w:rsidRPr="00475676">
        <w:t xml:space="preserve">the project </w:t>
      </w:r>
      <w:r w:rsidR="00EC7993" w:rsidRPr="00475676">
        <w:t>duration. In addition,</w:t>
      </w:r>
      <w:r w:rsidR="003313E4" w:rsidRPr="00475676">
        <w:t xml:space="preserve"> the following </w:t>
      </w:r>
      <w:r w:rsidR="00EC7993" w:rsidRPr="00475676">
        <w:t>assumptions have been made:</w:t>
      </w:r>
    </w:p>
    <w:p w14:paraId="2288455F" w14:textId="03142092" w:rsidR="003D158B" w:rsidRPr="00475676" w:rsidRDefault="00F31CF2" w:rsidP="002E3D1B">
      <w:pPr>
        <w:pStyle w:val="Bulletlist"/>
      </w:pPr>
      <w:r w:rsidRPr="00475676">
        <w:t>Workday</w:t>
      </w:r>
      <w:r w:rsidR="000F1748" w:rsidRPr="00475676">
        <w:t>:</w:t>
      </w:r>
    </w:p>
    <w:p w14:paraId="22884560" w14:textId="753C19CA" w:rsidR="004D04B9" w:rsidRPr="00475676" w:rsidRDefault="00BB19E5" w:rsidP="00983C47">
      <w:pPr>
        <w:pStyle w:val="Bulletlist"/>
        <w:numPr>
          <w:ilvl w:val="1"/>
          <w:numId w:val="5"/>
        </w:numPr>
      </w:pPr>
      <w:r w:rsidRPr="00475676">
        <w:t>T</w:t>
      </w:r>
      <w:r w:rsidR="007104D0" w:rsidRPr="00475676">
        <w:t xml:space="preserve">he </w:t>
      </w:r>
      <w:r w:rsidR="004D04B9" w:rsidRPr="00475676">
        <w:t xml:space="preserve">standard </w:t>
      </w:r>
      <w:r w:rsidR="00F31CF2" w:rsidRPr="00475676">
        <w:t>workday</w:t>
      </w:r>
      <w:r w:rsidR="004D04B9" w:rsidRPr="00475676">
        <w:t xml:space="preserve"> for the Microsoft project team is between 8</w:t>
      </w:r>
      <w:r w:rsidR="007104D0" w:rsidRPr="00475676">
        <w:t xml:space="preserve"> AM </w:t>
      </w:r>
      <w:r w:rsidR="004D04B9" w:rsidRPr="00475676">
        <w:t>and 5</w:t>
      </w:r>
      <w:r w:rsidR="007104D0" w:rsidRPr="00475676">
        <w:t xml:space="preserve"> PM</w:t>
      </w:r>
      <w:r w:rsidR="009E719B" w:rsidRPr="00475676">
        <w:t>, Monday through Friday.</w:t>
      </w:r>
    </w:p>
    <w:p w14:paraId="22884561" w14:textId="77777777" w:rsidR="009E719B" w:rsidRPr="00475676" w:rsidRDefault="009E719B" w:rsidP="009E719B">
      <w:pPr>
        <w:pStyle w:val="Bulletlist"/>
      </w:pPr>
      <w:r w:rsidRPr="00475676">
        <w:t>Standard holidays:</w:t>
      </w:r>
    </w:p>
    <w:p w14:paraId="22884562" w14:textId="77777777" w:rsidR="009E719B" w:rsidRPr="00475676" w:rsidRDefault="009E719B" w:rsidP="00983C47">
      <w:pPr>
        <w:pStyle w:val="Bulletlist"/>
        <w:numPr>
          <w:ilvl w:val="1"/>
          <w:numId w:val="5"/>
        </w:numPr>
      </w:pPr>
      <w:r w:rsidRPr="00475676">
        <w:t>Observance of consultants’ country-of-residence holidays is assumed and has been factored into the project timeline.</w:t>
      </w:r>
    </w:p>
    <w:p w14:paraId="22884563" w14:textId="77777777" w:rsidR="003D158B" w:rsidRPr="00475676" w:rsidRDefault="003D158B" w:rsidP="002E3D1B">
      <w:pPr>
        <w:pStyle w:val="Bulletlist"/>
      </w:pPr>
      <w:r w:rsidRPr="00475676">
        <w:t>Remote working:</w:t>
      </w:r>
    </w:p>
    <w:p w14:paraId="22884564" w14:textId="4E0CC75E" w:rsidR="004D04B9" w:rsidRPr="00475676" w:rsidRDefault="00BB19E5" w:rsidP="00983C47">
      <w:pPr>
        <w:pStyle w:val="Bulletlist"/>
        <w:numPr>
          <w:ilvl w:val="1"/>
          <w:numId w:val="5"/>
        </w:numPr>
      </w:pPr>
      <w:r w:rsidRPr="00475676">
        <w:t>T</w:t>
      </w:r>
      <w:r w:rsidR="004D04B9" w:rsidRPr="00475676">
        <w:t xml:space="preserve">he Microsoft project team </w:t>
      </w:r>
      <w:r w:rsidR="001C00BA" w:rsidRPr="00475676">
        <w:t>may</w:t>
      </w:r>
      <w:r w:rsidR="007104D0" w:rsidRPr="00475676">
        <w:t xml:space="preserve"> </w:t>
      </w:r>
      <w:r w:rsidR="004D04B9" w:rsidRPr="00475676">
        <w:t xml:space="preserve">perform </w:t>
      </w:r>
      <w:r w:rsidR="00B50645">
        <w:t>S</w:t>
      </w:r>
      <w:r w:rsidR="00A26C0D" w:rsidRPr="00475676">
        <w:t>ervices</w:t>
      </w:r>
      <w:r w:rsidR="004D04B9" w:rsidRPr="00475676">
        <w:t xml:space="preserve"> remotely</w:t>
      </w:r>
      <w:r w:rsidR="00636B13" w:rsidRPr="00475676">
        <w:t>.</w:t>
      </w:r>
    </w:p>
    <w:p w14:paraId="22884565" w14:textId="055D4830" w:rsidR="004D04B9" w:rsidRPr="00475676" w:rsidRDefault="00BB19E5" w:rsidP="00983C47">
      <w:pPr>
        <w:pStyle w:val="Bulletlist"/>
        <w:numPr>
          <w:ilvl w:val="1"/>
          <w:numId w:val="5"/>
        </w:numPr>
      </w:pPr>
      <w:r w:rsidRPr="00475676">
        <w:t>I</w:t>
      </w:r>
      <w:r w:rsidR="0058051C" w:rsidRPr="00475676">
        <w:t xml:space="preserve">f the </w:t>
      </w:r>
      <w:r w:rsidR="004D04B9" w:rsidRPr="00475676">
        <w:t xml:space="preserve">Microsoft project team </w:t>
      </w:r>
      <w:r w:rsidR="0058051C" w:rsidRPr="00475676">
        <w:t xml:space="preserve">is </w:t>
      </w:r>
      <w:r w:rsidR="004D04B9" w:rsidRPr="00475676">
        <w:t xml:space="preserve">required to be present at the </w:t>
      </w:r>
      <w:r w:rsidR="00BF3482">
        <w:t>C</w:t>
      </w:r>
      <w:r w:rsidR="00A26C0D" w:rsidRPr="00475676">
        <w:t>ustomer</w:t>
      </w:r>
      <w:r w:rsidR="004D04B9" w:rsidRPr="00475676">
        <w:t xml:space="preserve"> location on a weekly basis, resources</w:t>
      </w:r>
      <w:r w:rsidR="006F0E0E" w:rsidRPr="00475676">
        <w:t xml:space="preserve"> will typically be on site for three nights</w:t>
      </w:r>
      <w:r w:rsidR="0058051C" w:rsidRPr="00475676">
        <w:t xml:space="preserve"> and </w:t>
      </w:r>
      <w:r w:rsidR="006F0E0E" w:rsidRPr="00475676">
        <w:t>four</w:t>
      </w:r>
      <w:r w:rsidR="004D04B9" w:rsidRPr="00475676">
        <w:t xml:space="preserve"> days</w:t>
      </w:r>
      <w:r w:rsidR="0058051C" w:rsidRPr="00475676">
        <w:t xml:space="preserve">, </w:t>
      </w:r>
      <w:r w:rsidR="004D04B9" w:rsidRPr="00475676">
        <w:t xml:space="preserve">arriving on </w:t>
      </w:r>
      <w:r w:rsidR="0058051C" w:rsidRPr="00475676">
        <w:t xml:space="preserve">a </w:t>
      </w:r>
      <w:r w:rsidR="004D04B9" w:rsidRPr="00475676">
        <w:t xml:space="preserve">Monday and leaving </w:t>
      </w:r>
      <w:r w:rsidR="0058051C" w:rsidRPr="00475676">
        <w:t xml:space="preserve">on a </w:t>
      </w:r>
      <w:r w:rsidR="004D04B9" w:rsidRPr="00475676">
        <w:t>Thursday</w:t>
      </w:r>
      <w:r w:rsidR="00636B13" w:rsidRPr="00475676">
        <w:t>.</w:t>
      </w:r>
    </w:p>
    <w:p w14:paraId="22884566" w14:textId="77777777" w:rsidR="003D158B" w:rsidRPr="00475676" w:rsidRDefault="003D158B" w:rsidP="002E3D1B">
      <w:pPr>
        <w:pStyle w:val="Bulletlist"/>
      </w:pPr>
      <w:r w:rsidRPr="00475676">
        <w:t>Language:</w:t>
      </w:r>
    </w:p>
    <w:p w14:paraId="22884567" w14:textId="369B8AF6" w:rsidR="004D04B9" w:rsidRPr="00475676" w:rsidRDefault="00BB19E5" w:rsidP="00983C47">
      <w:pPr>
        <w:pStyle w:val="Bulletlist"/>
        <w:numPr>
          <w:ilvl w:val="1"/>
          <w:numId w:val="5"/>
        </w:numPr>
      </w:pPr>
      <w:r w:rsidRPr="00475676">
        <w:t>A</w:t>
      </w:r>
      <w:r w:rsidR="0072174A" w:rsidRPr="00475676">
        <w:t>ll p</w:t>
      </w:r>
      <w:r w:rsidR="004D04B9" w:rsidRPr="00475676">
        <w:t xml:space="preserve">roject communications and documentation will be in </w:t>
      </w:r>
      <w:r w:rsidR="009A2A58" w:rsidRPr="009A2A58">
        <w:rPr>
          <w:rStyle w:val="InstructionalChar"/>
          <w:color w:val="auto"/>
        </w:rPr>
        <w:t>English</w:t>
      </w:r>
      <w:r w:rsidR="004D04B9" w:rsidRPr="009A2A58">
        <w:t xml:space="preserve">. </w:t>
      </w:r>
      <w:r w:rsidR="004D04B9" w:rsidRPr="00475676">
        <w:t xml:space="preserve">Local language support and translations will be provided by </w:t>
      </w:r>
      <w:r w:rsidR="00EF4391" w:rsidRPr="00475676">
        <w:t>the C</w:t>
      </w:r>
      <w:r w:rsidR="00A26C0D" w:rsidRPr="00475676">
        <w:t>ustomer</w:t>
      </w:r>
      <w:r w:rsidR="004D04B9" w:rsidRPr="00475676">
        <w:t>.</w:t>
      </w:r>
    </w:p>
    <w:p w14:paraId="22884568" w14:textId="77777777" w:rsidR="003D158B" w:rsidRPr="00475676" w:rsidRDefault="003D158B" w:rsidP="003D158B">
      <w:pPr>
        <w:pStyle w:val="Bulletlist"/>
      </w:pPr>
      <w:r w:rsidRPr="00475676">
        <w:t>Staffing:</w:t>
      </w:r>
    </w:p>
    <w:p w14:paraId="22884569" w14:textId="77777777" w:rsidR="004D04B9" w:rsidRPr="00475676" w:rsidRDefault="00BB19E5" w:rsidP="00983C47">
      <w:pPr>
        <w:pStyle w:val="Bulletlist"/>
        <w:numPr>
          <w:ilvl w:val="1"/>
          <w:numId w:val="5"/>
        </w:numPr>
      </w:pPr>
      <w:r w:rsidRPr="00475676">
        <w:t>I</w:t>
      </w:r>
      <w:r w:rsidR="00CE5B67" w:rsidRPr="00475676">
        <w:t xml:space="preserve">f necessary, </w:t>
      </w:r>
      <w:r w:rsidR="004D04B9" w:rsidRPr="00475676">
        <w:t xml:space="preserve">Microsoft </w:t>
      </w:r>
      <w:r w:rsidR="00CE5B67" w:rsidRPr="00475676">
        <w:t xml:space="preserve">will </w:t>
      </w:r>
      <w:r w:rsidR="004D04B9" w:rsidRPr="00475676">
        <w:t xml:space="preserve">make </w:t>
      </w:r>
      <w:r w:rsidR="00CE5B67" w:rsidRPr="00475676">
        <w:t xml:space="preserve">staffing </w:t>
      </w:r>
      <w:r w:rsidR="004D04B9" w:rsidRPr="00475676">
        <w:t>changes</w:t>
      </w:r>
      <w:r w:rsidR="00CE5B67" w:rsidRPr="00475676">
        <w:t xml:space="preserve">. These can </w:t>
      </w:r>
      <w:r w:rsidR="004D04B9" w:rsidRPr="00475676">
        <w:t>includ</w:t>
      </w:r>
      <w:r w:rsidR="00CE5B67" w:rsidRPr="00475676">
        <w:t>e,</w:t>
      </w:r>
      <w:r w:rsidR="004D04B9" w:rsidRPr="00475676">
        <w:t xml:space="preserve"> but </w:t>
      </w:r>
      <w:r w:rsidR="00CE5B67" w:rsidRPr="00475676">
        <w:t xml:space="preserve">are </w:t>
      </w:r>
      <w:r w:rsidR="004D04B9" w:rsidRPr="00475676">
        <w:t>not limited to</w:t>
      </w:r>
      <w:r w:rsidR="00C30D22" w:rsidRPr="00475676">
        <w:t>,</w:t>
      </w:r>
      <w:r w:rsidR="004D04B9" w:rsidRPr="00475676">
        <w:t xml:space="preserve"> </w:t>
      </w:r>
      <w:r w:rsidR="00CE5B67" w:rsidRPr="00475676">
        <w:t xml:space="preserve">the </w:t>
      </w:r>
      <w:r w:rsidR="004D04B9" w:rsidRPr="00475676">
        <w:t xml:space="preserve">number of resources, individuals, </w:t>
      </w:r>
      <w:r w:rsidR="00CE5B67" w:rsidRPr="00475676">
        <w:t xml:space="preserve">and </w:t>
      </w:r>
      <w:r w:rsidR="004D04B9" w:rsidRPr="00475676">
        <w:t>project roles.</w:t>
      </w:r>
    </w:p>
    <w:p w14:paraId="2288456A" w14:textId="77777777" w:rsidR="00BB19E5" w:rsidRPr="00475676" w:rsidRDefault="004D04B9" w:rsidP="00EF4391">
      <w:pPr>
        <w:pStyle w:val="Bulletlist"/>
      </w:pPr>
      <w:r w:rsidRPr="00475676">
        <w:t>Informal knowledge transfer</w:t>
      </w:r>
      <w:r w:rsidR="00925615" w:rsidRPr="00475676">
        <w:t>:</w:t>
      </w:r>
    </w:p>
    <w:p w14:paraId="2288456B" w14:textId="77777777" w:rsidR="004D04B9" w:rsidRPr="00475676" w:rsidRDefault="00BB19E5" w:rsidP="00983C47">
      <w:pPr>
        <w:pStyle w:val="Bulletlist"/>
        <w:numPr>
          <w:ilvl w:val="1"/>
          <w:numId w:val="5"/>
        </w:numPr>
      </w:pPr>
      <w:r w:rsidRPr="00475676">
        <w:t>C</w:t>
      </w:r>
      <w:r w:rsidR="00A26C0D" w:rsidRPr="00475676">
        <w:t>ustomer</w:t>
      </w:r>
      <w:r w:rsidR="004D04B9" w:rsidRPr="00475676">
        <w:t xml:space="preserve"> staff </w:t>
      </w:r>
      <w:r w:rsidR="00CE5B67" w:rsidRPr="00475676">
        <w:t xml:space="preserve">members who work </w:t>
      </w:r>
      <w:r w:rsidR="004D04B9" w:rsidRPr="00475676">
        <w:t>a</w:t>
      </w:r>
      <w:r w:rsidR="00705B6A" w:rsidRPr="00475676">
        <w:t xml:space="preserve">longside Microsoft staff </w:t>
      </w:r>
      <w:r w:rsidR="004D04B9" w:rsidRPr="00475676">
        <w:t xml:space="preserve">will be provided </w:t>
      </w:r>
      <w:r w:rsidR="00705B6A" w:rsidRPr="00475676">
        <w:t xml:space="preserve">with information knowledge transfer </w:t>
      </w:r>
      <w:r w:rsidR="004D04B9" w:rsidRPr="00475676">
        <w:t>throughout the project.</w:t>
      </w:r>
      <w:r w:rsidR="002420ED" w:rsidRPr="00475676">
        <w:t xml:space="preserve"> </w:t>
      </w:r>
      <w:r w:rsidR="004D04B9" w:rsidRPr="00475676">
        <w:t>No formal training materials will be developed or delivered as part of</w:t>
      </w:r>
      <w:r w:rsidR="00CE5B67" w:rsidRPr="00475676">
        <w:t xml:space="preserve"> this</w:t>
      </w:r>
      <w:r w:rsidR="004D04B9" w:rsidRPr="00475676">
        <w:t xml:space="preserve"> informal knowledge transfer.</w:t>
      </w:r>
    </w:p>
    <w:p w14:paraId="2288456D" w14:textId="734AC4E2" w:rsidR="00AC1B81" w:rsidRPr="00475676" w:rsidRDefault="00AC1B81" w:rsidP="00AC1B81">
      <w:pPr>
        <w:pStyle w:val="Bulletlist"/>
        <w:numPr>
          <w:ilvl w:val="0"/>
          <w:numId w:val="0"/>
        </w:numPr>
        <w:rPr>
          <w:color w:val="FF66FF"/>
        </w:rPr>
      </w:pPr>
    </w:p>
    <w:sectPr w:rsidR="00AC1B81" w:rsidRPr="00475676" w:rsidSect="00435973">
      <w:footerReference w:type="default" r:id="rId16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08E5E" w14:textId="77777777" w:rsidR="00DF6E87" w:rsidRDefault="00DF6E87" w:rsidP="000D404A">
      <w:pPr>
        <w:spacing w:after="0" w:line="240" w:lineRule="auto"/>
      </w:pPr>
      <w:r>
        <w:separator/>
      </w:r>
    </w:p>
    <w:p w14:paraId="3992853D" w14:textId="77777777" w:rsidR="00DF6E87" w:rsidRDefault="00DF6E87"/>
  </w:endnote>
  <w:endnote w:type="continuationSeparator" w:id="0">
    <w:p w14:paraId="50CE669C" w14:textId="77777777" w:rsidR="00DF6E87" w:rsidRDefault="00DF6E87" w:rsidP="000D404A">
      <w:pPr>
        <w:spacing w:after="0" w:line="240" w:lineRule="auto"/>
      </w:pPr>
      <w:r>
        <w:continuationSeparator/>
      </w:r>
    </w:p>
    <w:p w14:paraId="19435F84" w14:textId="77777777" w:rsidR="00DF6E87" w:rsidRDefault="00DF6E87"/>
  </w:endnote>
  <w:endnote w:type="continuationNotice" w:id="1">
    <w:p w14:paraId="3F5F2F2A" w14:textId="77777777" w:rsidR="00DF6E87" w:rsidRDefault="00DF6E87">
      <w:pPr>
        <w:spacing w:after="0" w:line="240" w:lineRule="auto"/>
      </w:pPr>
    </w:p>
    <w:p w14:paraId="41A12C69" w14:textId="77777777" w:rsidR="00DF6E87" w:rsidRDefault="00DF6E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8458F" w14:textId="3C4CEED3" w:rsidR="00207F01" w:rsidRPr="005128F0" w:rsidRDefault="00207F01" w:rsidP="00512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84594" w14:textId="77777777" w:rsidR="00207F01" w:rsidRPr="005128F0" w:rsidRDefault="00207F01" w:rsidP="00512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DB56D" w14:textId="77777777" w:rsidR="00DF6E87" w:rsidRDefault="00DF6E87" w:rsidP="000D404A">
      <w:pPr>
        <w:spacing w:after="0" w:line="240" w:lineRule="auto"/>
      </w:pPr>
      <w:r>
        <w:separator/>
      </w:r>
    </w:p>
    <w:p w14:paraId="67260CC2" w14:textId="77777777" w:rsidR="00DF6E87" w:rsidRDefault="00DF6E87"/>
  </w:footnote>
  <w:footnote w:type="continuationSeparator" w:id="0">
    <w:p w14:paraId="3CAC3F5A" w14:textId="77777777" w:rsidR="00DF6E87" w:rsidRDefault="00DF6E87" w:rsidP="000D404A">
      <w:pPr>
        <w:spacing w:after="0" w:line="240" w:lineRule="auto"/>
      </w:pPr>
      <w:r>
        <w:continuationSeparator/>
      </w:r>
    </w:p>
    <w:p w14:paraId="37074453" w14:textId="77777777" w:rsidR="00DF6E87" w:rsidRDefault="00DF6E87"/>
  </w:footnote>
  <w:footnote w:type="continuationNotice" w:id="1">
    <w:p w14:paraId="01CD6EB3" w14:textId="77777777" w:rsidR="00DF6E87" w:rsidRDefault="00DF6E87">
      <w:pPr>
        <w:spacing w:after="0" w:line="240" w:lineRule="auto"/>
      </w:pPr>
    </w:p>
    <w:p w14:paraId="411C8079" w14:textId="77777777" w:rsidR="00DF6E87" w:rsidRDefault="00DF6E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6F6"/>
    <w:multiLevelType w:val="hybridMultilevel"/>
    <w:tmpl w:val="CE0E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D22D54"/>
    <w:multiLevelType w:val="hybridMultilevel"/>
    <w:tmpl w:val="68502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3703"/>
    <w:multiLevelType w:val="hybridMultilevel"/>
    <w:tmpl w:val="8D42B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5D63F2"/>
    <w:multiLevelType w:val="hybridMultilevel"/>
    <w:tmpl w:val="1156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E2F99"/>
    <w:multiLevelType w:val="hybridMultilevel"/>
    <w:tmpl w:val="93386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7AB0"/>
    <w:multiLevelType w:val="hybridMultilevel"/>
    <w:tmpl w:val="28189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B62B9E"/>
    <w:multiLevelType w:val="hybridMultilevel"/>
    <w:tmpl w:val="E7EA953A"/>
    <w:lvl w:ilvl="0" w:tplc="7D64E9F4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9" w15:restartNumberingAfterBreak="0">
    <w:nsid w:val="2F0F7DB0"/>
    <w:multiLevelType w:val="hybridMultilevel"/>
    <w:tmpl w:val="1C4CD4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D0FE5"/>
    <w:multiLevelType w:val="hybridMultilevel"/>
    <w:tmpl w:val="EE54B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625920"/>
    <w:multiLevelType w:val="hybridMultilevel"/>
    <w:tmpl w:val="F12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00455"/>
    <w:multiLevelType w:val="hybridMultilevel"/>
    <w:tmpl w:val="CE6A4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1D0851"/>
    <w:multiLevelType w:val="hybridMultilevel"/>
    <w:tmpl w:val="79B6BF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421126"/>
    <w:multiLevelType w:val="hybridMultilevel"/>
    <w:tmpl w:val="330A7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01CB9"/>
    <w:multiLevelType w:val="multilevel"/>
    <w:tmpl w:val="0409001F"/>
    <w:numStyleLink w:val="Style1"/>
  </w:abstractNum>
  <w:abstractNum w:abstractNumId="16" w15:restartNumberingAfterBreak="0">
    <w:nsid w:val="417977DE"/>
    <w:multiLevelType w:val="hybridMultilevel"/>
    <w:tmpl w:val="97EC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72296"/>
    <w:multiLevelType w:val="hybridMultilevel"/>
    <w:tmpl w:val="F378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4DF043E9"/>
    <w:multiLevelType w:val="hybridMultilevel"/>
    <w:tmpl w:val="E7DC9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D73F2"/>
    <w:multiLevelType w:val="hybridMultilevel"/>
    <w:tmpl w:val="98C08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3F65574"/>
    <w:multiLevelType w:val="hybridMultilevel"/>
    <w:tmpl w:val="F638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329D1"/>
    <w:multiLevelType w:val="hybridMultilevel"/>
    <w:tmpl w:val="F378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B2945"/>
    <w:multiLevelType w:val="hybridMultilevel"/>
    <w:tmpl w:val="0C8EFD60"/>
    <w:lvl w:ilvl="0" w:tplc="F48C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2A5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7C6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848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648C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8E1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6C6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62B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BE2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60FF744B"/>
    <w:multiLevelType w:val="hybridMultilevel"/>
    <w:tmpl w:val="696A81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D74F3D"/>
    <w:multiLevelType w:val="hybridMultilevel"/>
    <w:tmpl w:val="437E9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80E6C"/>
    <w:multiLevelType w:val="hybridMultilevel"/>
    <w:tmpl w:val="959E55F8"/>
    <w:lvl w:ilvl="0" w:tplc="E3A23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D11A25"/>
    <w:multiLevelType w:val="hybridMultilevel"/>
    <w:tmpl w:val="52C85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DB0507"/>
    <w:multiLevelType w:val="hybridMultilevel"/>
    <w:tmpl w:val="F948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F7A3B"/>
    <w:multiLevelType w:val="hybridMultilevel"/>
    <w:tmpl w:val="52CA8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181C4F"/>
    <w:multiLevelType w:val="hybridMultilevel"/>
    <w:tmpl w:val="92B6F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5"/>
  </w:num>
  <w:num w:numId="4">
    <w:abstractNumId w:val="8"/>
  </w:num>
  <w:num w:numId="5">
    <w:abstractNumId w:val="7"/>
  </w:num>
  <w:num w:numId="6">
    <w:abstractNumId w:val="1"/>
  </w:num>
  <w:num w:numId="7">
    <w:abstractNumId w:val="24"/>
  </w:num>
  <w:num w:numId="8">
    <w:abstractNumId w:val="28"/>
  </w:num>
  <w:num w:numId="9">
    <w:abstractNumId w:val="16"/>
  </w:num>
  <w:num w:numId="10">
    <w:abstractNumId w:val="11"/>
  </w:num>
  <w:num w:numId="11">
    <w:abstractNumId w:val="4"/>
  </w:num>
  <w:num w:numId="12">
    <w:abstractNumId w:val="9"/>
  </w:num>
  <w:num w:numId="13">
    <w:abstractNumId w:val="3"/>
  </w:num>
  <w:num w:numId="14">
    <w:abstractNumId w:val="14"/>
  </w:num>
  <w:num w:numId="15">
    <w:abstractNumId w:val="0"/>
  </w:num>
  <w:num w:numId="16">
    <w:abstractNumId w:val="20"/>
  </w:num>
  <w:num w:numId="17">
    <w:abstractNumId w:val="13"/>
  </w:num>
  <w:num w:numId="18">
    <w:abstractNumId w:val="6"/>
  </w:num>
  <w:num w:numId="19">
    <w:abstractNumId w:val="30"/>
  </w:num>
  <w:num w:numId="20">
    <w:abstractNumId w:val="22"/>
  </w:num>
  <w:num w:numId="21">
    <w:abstractNumId w:val="10"/>
  </w:num>
  <w:num w:numId="22">
    <w:abstractNumId w:val="17"/>
  </w:num>
  <w:num w:numId="23">
    <w:abstractNumId w:val="25"/>
  </w:num>
  <w:num w:numId="24">
    <w:abstractNumId w:val="32"/>
  </w:num>
  <w:num w:numId="25">
    <w:abstractNumId w:val="33"/>
  </w:num>
  <w:num w:numId="26">
    <w:abstractNumId w:val="31"/>
  </w:num>
  <w:num w:numId="27">
    <w:abstractNumId w:val="2"/>
  </w:num>
  <w:num w:numId="28">
    <w:abstractNumId w:val="26"/>
  </w:num>
  <w:num w:numId="29">
    <w:abstractNumId w:val="21"/>
  </w:num>
  <w:num w:numId="30">
    <w:abstractNumId w:val="12"/>
  </w:num>
  <w:num w:numId="31">
    <w:abstractNumId w:val="19"/>
  </w:num>
  <w:num w:numId="32">
    <w:abstractNumId w:val="5"/>
  </w:num>
  <w:num w:numId="33">
    <w:abstractNumId w:val="29"/>
  </w:num>
  <w:num w:numId="34">
    <w:abstractNumId w:val="23"/>
  </w:num>
  <w:num w:numId="35">
    <w:abstractNumId w:val="7"/>
  </w:num>
  <w:num w:numId="36">
    <w:abstractNumId w:val="7"/>
  </w:num>
  <w:num w:numId="37">
    <w:abstractNumId w:val="7"/>
  </w:num>
  <w:num w:numId="38">
    <w:abstractNumId w:val="16"/>
  </w:num>
  <w:num w:numId="39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94A"/>
    <w:rsid w:val="00001922"/>
    <w:rsid w:val="00003147"/>
    <w:rsid w:val="00005A0F"/>
    <w:rsid w:val="00006250"/>
    <w:rsid w:val="00006950"/>
    <w:rsid w:val="00006F2A"/>
    <w:rsid w:val="00007020"/>
    <w:rsid w:val="00007B88"/>
    <w:rsid w:val="00011002"/>
    <w:rsid w:val="00012916"/>
    <w:rsid w:val="00013ABD"/>
    <w:rsid w:val="000149FA"/>
    <w:rsid w:val="000163EF"/>
    <w:rsid w:val="0001662A"/>
    <w:rsid w:val="000168A6"/>
    <w:rsid w:val="0001741F"/>
    <w:rsid w:val="0001797A"/>
    <w:rsid w:val="00017EE6"/>
    <w:rsid w:val="00024A7A"/>
    <w:rsid w:val="000251D3"/>
    <w:rsid w:val="00025665"/>
    <w:rsid w:val="000276B5"/>
    <w:rsid w:val="00031658"/>
    <w:rsid w:val="00032A03"/>
    <w:rsid w:val="0003395C"/>
    <w:rsid w:val="00034609"/>
    <w:rsid w:val="00034943"/>
    <w:rsid w:val="000352F9"/>
    <w:rsid w:val="00036CDA"/>
    <w:rsid w:val="000374A4"/>
    <w:rsid w:val="000417FD"/>
    <w:rsid w:val="00041DE1"/>
    <w:rsid w:val="00043018"/>
    <w:rsid w:val="0004420C"/>
    <w:rsid w:val="00045085"/>
    <w:rsid w:val="000468D5"/>
    <w:rsid w:val="0005205F"/>
    <w:rsid w:val="00052094"/>
    <w:rsid w:val="00057271"/>
    <w:rsid w:val="000618C7"/>
    <w:rsid w:val="00062796"/>
    <w:rsid w:val="00062D61"/>
    <w:rsid w:val="0006509D"/>
    <w:rsid w:val="00065525"/>
    <w:rsid w:val="00066728"/>
    <w:rsid w:val="00067C64"/>
    <w:rsid w:val="0007185B"/>
    <w:rsid w:val="00072506"/>
    <w:rsid w:val="000730ED"/>
    <w:rsid w:val="00073CDE"/>
    <w:rsid w:val="00074D7B"/>
    <w:rsid w:val="0007565A"/>
    <w:rsid w:val="00075A90"/>
    <w:rsid w:val="00077694"/>
    <w:rsid w:val="00077C0E"/>
    <w:rsid w:val="00080750"/>
    <w:rsid w:val="000819CF"/>
    <w:rsid w:val="00082B7B"/>
    <w:rsid w:val="00082D1D"/>
    <w:rsid w:val="00083BF3"/>
    <w:rsid w:val="00084DED"/>
    <w:rsid w:val="0008641F"/>
    <w:rsid w:val="00087713"/>
    <w:rsid w:val="0009058B"/>
    <w:rsid w:val="00092649"/>
    <w:rsid w:val="000926FA"/>
    <w:rsid w:val="00092CA7"/>
    <w:rsid w:val="00094616"/>
    <w:rsid w:val="00094884"/>
    <w:rsid w:val="000A0F05"/>
    <w:rsid w:val="000A0F1B"/>
    <w:rsid w:val="000A2BED"/>
    <w:rsid w:val="000A3544"/>
    <w:rsid w:val="000A3875"/>
    <w:rsid w:val="000A5694"/>
    <w:rsid w:val="000A6144"/>
    <w:rsid w:val="000A6BD9"/>
    <w:rsid w:val="000A79F4"/>
    <w:rsid w:val="000B25F2"/>
    <w:rsid w:val="000B3436"/>
    <w:rsid w:val="000B476E"/>
    <w:rsid w:val="000B5C7F"/>
    <w:rsid w:val="000B62A5"/>
    <w:rsid w:val="000B6F4C"/>
    <w:rsid w:val="000C1BB1"/>
    <w:rsid w:val="000C21C3"/>
    <w:rsid w:val="000C27BE"/>
    <w:rsid w:val="000C3092"/>
    <w:rsid w:val="000C3FCD"/>
    <w:rsid w:val="000C4A75"/>
    <w:rsid w:val="000C591B"/>
    <w:rsid w:val="000C74C7"/>
    <w:rsid w:val="000D03E9"/>
    <w:rsid w:val="000D3AD5"/>
    <w:rsid w:val="000D404A"/>
    <w:rsid w:val="000D416B"/>
    <w:rsid w:val="000D4E93"/>
    <w:rsid w:val="000D761C"/>
    <w:rsid w:val="000E0521"/>
    <w:rsid w:val="000E06B0"/>
    <w:rsid w:val="000E0AEC"/>
    <w:rsid w:val="000E21C9"/>
    <w:rsid w:val="000E68EB"/>
    <w:rsid w:val="000E7924"/>
    <w:rsid w:val="000F051E"/>
    <w:rsid w:val="000F164C"/>
    <w:rsid w:val="000F1748"/>
    <w:rsid w:val="000F1B9F"/>
    <w:rsid w:val="000F230A"/>
    <w:rsid w:val="000F38CE"/>
    <w:rsid w:val="000F580F"/>
    <w:rsid w:val="000F5A4B"/>
    <w:rsid w:val="000F6B41"/>
    <w:rsid w:val="00100A82"/>
    <w:rsid w:val="00104009"/>
    <w:rsid w:val="00104AB3"/>
    <w:rsid w:val="00104E13"/>
    <w:rsid w:val="00104E74"/>
    <w:rsid w:val="00104F35"/>
    <w:rsid w:val="00106B94"/>
    <w:rsid w:val="00107A71"/>
    <w:rsid w:val="00107E85"/>
    <w:rsid w:val="001109CA"/>
    <w:rsid w:val="00110CAA"/>
    <w:rsid w:val="00111EBA"/>
    <w:rsid w:val="00112EB1"/>
    <w:rsid w:val="00113F6E"/>
    <w:rsid w:val="001146EB"/>
    <w:rsid w:val="00115347"/>
    <w:rsid w:val="00117AE2"/>
    <w:rsid w:val="0012088D"/>
    <w:rsid w:val="00121B56"/>
    <w:rsid w:val="00121B5C"/>
    <w:rsid w:val="001223BA"/>
    <w:rsid w:val="00122DAB"/>
    <w:rsid w:val="00124716"/>
    <w:rsid w:val="00125163"/>
    <w:rsid w:val="00127B5B"/>
    <w:rsid w:val="00131718"/>
    <w:rsid w:val="0013248E"/>
    <w:rsid w:val="00134115"/>
    <w:rsid w:val="001342F9"/>
    <w:rsid w:val="0013452E"/>
    <w:rsid w:val="00135A77"/>
    <w:rsid w:val="00137A1A"/>
    <w:rsid w:val="00137F0F"/>
    <w:rsid w:val="00140C9E"/>
    <w:rsid w:val="00140EA2"/>
    <w:rsid w:val="00140F8B"/>
    <w:rsid w:val="00146A9C"/>
    <w:rsid w:val="00147509"/>
    <w:rsid w:val="00147EFC"/>
    <w:rsid w:val="00150981"/>
    <w:rsid w:val="0015119E"/>
    <w:rsid w:val="00151DD2"/>
    <w:rsid w:val="00152B24"/>
    <w:rsid w:val="00153F61"/>
    <w:rsid w:val="00160775"/>
    <w:rsid w:val="00163202"/>
    <w:rsid w:val="001646DA"/>
    <w:rsid w:val="00167F49"/>
    <w:rsid w:val="00172AE4"/>
    <w:rsid w:val="00172F0C"/>
    <w:rsid w:val="00173661"/>
    <w:rsid w:val="001742C4"/>
    <w:rsid w:val="0017674D"/>
    <w:rsid w:val="001807F9"/>
    <w:rsid w:val="00181485"/>
    <w:rsid w:val="001820B5"/>
    <w:rsid w:val="00182C8C"/>
    <w:rsid w:val="001834E0"/>
    <w:rsid w:val="00183788"/>
    <w:rsid w:val="00186870"/>
    <w:rsid w:val="00187294"/>
    <w:rsid w:val="0018780A"/>
    <w:rsid w:val="00190796"/>
    <w:rsid w:val="00191055"/>
    <w:rsid w:val="001912C7"/>
    <w:rsid w:val="001914E0"/>
    <w:rsid w:val="0019440A"/>
    <w:rsid w:val="001967E6"/>
    <w:rsid w:val="001A09DA"/>
    <w:rsid w:val="001A12A0"/>
    <w:rsid w:val="001A48D0"/>
    <w:rsid w:val="001A5A64"/>
    <w:rsid w:val="001A5A8C"/>
    <w:rsid w:val="001A75A1"/>
    <w:rsid w:val="001A7D8D"/>
    <w:rsid w:val="001B5522"/>
    <w:rsid w:val="001B5DBE"/>
    <w:rsid w:val="001B7BFC"/>
    <w:rsid w:val="001B7C82"/>
    <w:rsid w:val="001C00BA"/>
    <w:rsid w:val="001C08FC"/>
    <w:rsid w:val="001C0C18"/>
    <w:rsid w:val="001C0ECE"/>
    <w:rsid w:val="001C308F"/>
    <w:rsid w:val="001C3A7E"/>
    <w:rsid w:val="001C4CD1"/>
    <w:rsid w:val="001C4CD2"/>
    <w:rsid w:val="001C5050"/>
    <w:rsid w:val="001C649C"/>
    <w:rsid w:val="001C741B"/>
    <w:rsid w:val="001D175A"/>
    <w:rsid w:val="001D31C8"/>
    <w:rsid w:val="001D37A0"/>
    <w:rsid w:val="001D47B2"/>
    <w:rsid w:val="001D5269"/>
    <w:rsid w:val="001D714E"/>
    <w:rsid w:val="001E1120"/>
    <w:rsid w:val="001E1249"/>
    <w:rsid w:val="001E1515"/>
    <w:rsid w:val="001E20E3"/>
    <w:rsid w:val="001E2745"/>
    <w:rsid w:val="001E2B48"/>
    <w:rsid w:val="001E2DBB"/>
    <w:rsid w:val="001E5BEE"/>
    <w:rsid w:val="001E6340"/>
    <w:rsid w:val="001E7544"/>
    <w:rsid w:val="001F0C70"/>
    <w:rsid w:val="001F2A7E"/>
    <w:rsid w:val="001F322E"/>
    <w:rsid w:val="001F561F"/>
    <w:rsid w:val="001F5AFD"/>
    <w:rsid w:val="001F6AAE"/>
    <w:rsid w:val="0020098C"/>
    <w:rsid w:val="00200B21"/>
    <w:rsid w:val="002019DC"/>
    <w:rsid w:val="00202052"/>
    <w:rsid w:val="00202F45"/>
    <w:rsid w:val="002033A4"/>
    <w:rsid w:val="00203434"/>
    <w:rsid w:val="0020647D"/>
    <w:rsid w:val="00207450"/>
    <w:rsid w:val="0020781C"/>
    <w:rsid w:val="00207F01"/>
    <w:rsid w:val="002109C3"/>
    <w:rsid w:val="00210EF0"/>
    <w:rsid w:val="002113E7"/>
    <w:rsid w:val="0021310A"/>
    <w:rsid w:val="00213542"/>
    <w:rsid w:val="002146FC"/>
    <w:rsid w:val="00214FF6"/>
    <w:rsid w:val="00216273"/>
    <w:rsid w:val="0021649A"/>
    <w:rsid w:val="00216B94"/>
    <w:rsid w:val="00217E33"/>
    <w:rsid w:val="00224329"/>
    <w:rsid w:val="0022525B"/>
    <w:rsid w:val="00227900"/>
    <w:rsid w:val="00230503"/>
    <w:rsid w:val="00230638"/>
    <w:rsid w:val="00230B93"/>
    <w:rsid w:val="002316AA"/>
    <w:rsid w:val="00231E64"/>
    <w:rsid w:val="002323E8"/>
    <w:rsid w:val="00232419"/>
    <w:rsid w:val="0023246C"/>
    <w:rsid w:val="00233768"/>
    <w:rsid w:val="002338D4"/>
    <w:rsid w:val="00234B59"/>
    <w:rsid w:val="00234BD4"/>
    <w:rsid w:val="002367F0"/>
    <w:rsid w:val="00236B5C"/>
    <w:rsid w:val="00236CE9"/>
    <w:rsid w:val="00237AAC"/>
    <w:rsid w:val="00237FC6"/>
    <w:rsid w:val="00240478"/>
    <w:rsid w:val="00241661"/>
    <w:rsid w:val="002420ED"/>
    <w:rsid w:val="00243E98"/>
    <w:rsid w:val="00243F9A"/>
    <w:rsid w:val="00244B75"/>
    <w:rsid w:val="00245311"/>
    <w:rsid w:val="002455C5"/>
    <w:rsid w:val="002462C9"/>
    <w:rsid w:val="002468B0"/>
    <w:rsid w:val="00246AC9"/>
    <w:rsid w:val="002504D8"/>
    <w:rsid w:val="00250CA8"/>
    <w:rsid w:val="00251613"/>
    <w:rsid w:val="0025535A"/>
    <w:rsid w:val="0025590D"/>
    <w:rsid w:val="0025598A"/>
    <w:rsid w:val="0025755E"/>
    <w:rsid w:val="00260B3B"/>
    <w:rsid w:val="00262BD0"/>
    <w:rsid w:val="002655BB"/>
    <w:rsid w:val="002664EE"/>
    <w:rsid w:val="00266CF0"/>
    <w:rsid w:val="00267D79"/>
    <w:rsid w:val="00267ED0"/>
    <w:rsid w:val="00271735"/>
    <w:rsid w:val="0027191D"/>
    <w:rsid w:val="00271A0B"/>
    <w:rsid w:val="0027421F"/>
    <w:rsid w:val="00276082"/>
    <w:rsid w:val="0027741D"/>
    <w:rsid w:val="00277730"/>
    <w:rsid w:val="00277FE9"/>
    <w:rsid w:val="0028103B"/>
    <w:rsid w:val="002831D4"/>
    <w:rsid w:val="00283DB0"/>
    <w:rsid w:val="00285CBE"/>
    <w:rsid w:val="0029185F"/>
    <w:rsid w:val="00292F2E"/>
    <w:rsid w:val="00292FE1"/>
    <w:rsid w:val="00294934"/>
    <w:rsid w:val="002952F0"/>
    <w:rsid w:val="002967F9"/>
    <w:rsid w:val="002A1386"/>
    <w:rsid w:val="002A4AE8"/>
    <w:rsid w:val="002A4D19"/>
    <w:rsid w:val="002A54E4"/>
    <w:rsid w:val="002A5634"/>
    <w:rsid w:val="002A5AD1"/>
    <w:rsid w:val="002A6216"/>
    <w:rsid w:val="002A7010"/>
    <w:rsid w:val="002A7BB3"/>
    <w:rsid w:val="002B0B32"/>
    <w:rsid w:val="002B1792"/>
    <w:rsid w:val="002B2C1A"/>
    <w:rsid w:val="002B3289"/>
    <w:rsid w:val="002B45CB"/>
    <w:rsid w:val="002B535B"/>
    <w:rsid w:val="002B7E3E"/>
    <w:rsid w:val="002C0C04"/>
    <w:rsid w:val="002C4FA5"/>
    <w:rsid w:val="002C51B3"/>
    <w:rsid w:val="002C6CFF"/>
    <w:rsid w:val="002D1A85"/>
    <w:rsid w:val="002D25D3"/>
    <w:rsid w:val="002D307C"/>
    <w:rsid w:val="002D4C6D"/>
    <w:rsid w:val="002D53BC"/>
    <w:rsid w:val="002D6091"/>
    <w:rsid w:val="002E0950"/>
    <w:rsid w:val="002E16FC"/>
    <w:rsid w:val="002E1E13"/>
    <w:rsid w:val="002E3D1B"/>
    <w:rsid w:val="002E555E"/>
    <w:rsid w:val="002E57A0"/>
    <w:rsid w:val="002E59DC"/>
    <w:rsid w:val="002E69CA"/>
    <w:rsid w:val="002E6D86"/>
    <w:rsid w:val="002E7ACB"/>
    <w:rsid w:val="002F01AE"/>
    <w:rsid w:val="002F1155"/>
    <w:rsid w:val="002F11C0"/>
    <w:rsid w:val="002F167C"/>
    <w:rsid w:val="002F23B9"/>
    <w:rsid w:val="002F75B6"/>
    <w:rsid w:val="0030054A"/>
    <w:rsid w:val="00300CF1"/>
    <w:rsid w:val="0030297C"/>
    <w:rsid w:val="0030327F"/>
    <w:rsid w:val="003063EA"/>
    <w:rsid w:val="00306450"/>
    <w:rsid w:val="00306465"/>
    <w:rsid w:val="0030702A"/>
    <w:rsid w:val="00307A4C"/>
    <w:rsid w:val="00310800"/>
    <w:rsid w:val="003113F5"/>
    <w:rsid w:val="00311B84"/>
    <w:rsid w:val="0031234C"/>
    <w:rsid w:val="0031252B"/>
    <w:rsid w:val="0031303E"/>
    <w:rsid w:val="003139A1"/>
    <w:rsid w:val="003140CD"/>
    <w:rsid w:val="00314265"/>
    <w:rsid w:val="0031470C"/>
    <w:rsid w:val="00314BFF"/>
    <w:rsid w:val="00315C2F"/>
    <w:rsid w:val="00315E98"/>
    <w:rsid w:val="00316EA2"/>
    <w:rsid w:val="00317174"/>
    <w:rsid w:val="0031773E"/>
    <w:rsid w:val="00317BA6"/>
    <w:rsid w:val="00320CE9"/>
    <w:rsid w:val="00322571"/>
    <w:rsid w:val="00324143"/>
    <w:rsid w:val="0032686E"/>
    <w:rsid w:val="00326C25"/>
    <w:rsid w:val="00327383"/>
    <w:rsid w:val="00327A1B"/>
    <w:rsid w:val="00330823"/>
    <w:rsid w:val="003313E4"/>
    <w:rsid w:val="00332330"/>
    <w:rsid w:val="00333B64"/>
    <w:rsid w:val="00335083"/>
    <w:rsid w:val="003400ED"/>
    <w:rsid w:val="003403CB"/>
    <w:rsid w:val="00340A70"/>
    <w:rsid w:val="003424CE"/>
    <w:rsid w:val="00345F21"/>
    <w:rsid w:val="003461A6"/>
    <w:rsid w:val="00351B2F"/>
    <w:rsid w:val="00355F40"/>
    <w:rsid w:val="00360058"/>
    <w:rsid w:val="003604E6"/>
    <w:rsid w:val="00360B22"/>
    <w:rsid w:val="00361B79"/>
    <w:rsid w:val="00362AE5"/>
    <w:rsid w:val="003644DD"/>
    <w:rsid w:val="00364836"/>
    <w:rsid w:val="00366940"/>
    <w:rsid w:val="0036776F"/>
    <w:rsid w:val="00367BA6"/>
    <w:rsid w:val="00371AF2"/>
    <w:rsid w:val="00372C40"/>
    <w:rsid w:val="00376083"/>
    <w:rsid w:val="003776A7"/>
    <w:rsid w:val="00377937"/>
    <w:rsid w:val="00380605"/>
    <w:rsid w:val="00380A0B"/>
    <w:rsid w:val="00381871"/>
    <w:rsid w:val="00383CCC"/>
    <w:rsid w:val="00383D84"/>
    <w:rsid w:val="003840B4"/>
    <w:rsid w:val="003845C1"/>
    <w:rsid w:val="00384A87"/>
    <w:rsid w:val="00384E78"/>
    <w:rsid w:val="003862AA"/>
    <w:rsid w:val="00386F7C"/>
    <w:rsid w:val="00390A88"/>
    <w:rsid w:val="003925C9"/>
    <w:rsid w:val="00394BAF"/>
    <w:rsid w:val="00394C64"/>
    <w:rsid w:val="0039578E"/>
    <w:rsid w:val="00396E53"/>
    <w:rsid w:val="00397E85"/>
    <w:rsid w:val="003A0FB0"/>
    <w:rsid w:val="003A1152"/>
    <w:rsid w:val="003A18DC"/>
    <w:rsid w:val="003A227F"/>
    <w:rsid w:val="003A2B39"/>
    <w:rsid w:val="003A58A8"/>
    <w:rsid w:val="003A5FB0"/>
    <w:rsid w:val="003B1D40"/>
    <w:rsid w:val="003B2E94"/>
    <w:rsid w:val="003B3321"/>
    <w:rsid w:val="003B71AF"/>
    <w:rsid w:val="003B7D9E"/>
    <w:rsid w:val="003C08C8"/>
    <w:rsid w:val="003C1A49"/>
    <w:rsid w:val="003C1EDE"/>
    <w:rsid w:val="003C2CDE"/>
    <w:rsid w:val="003C2E1F"/>
    <w:rsid w:val="003C3500"/>
    <w:rsid w:val="003C5286"/>
    <w:rsid w:val="003C52B9"/>
    <w:rsid w:val="003C585C"/>
    <w:rsid w:val="003C72CF"/>
    <w:rsid w:val="003C745A"/>
    <w:rsid w:val="003C7FAC"/>
    <w:rsid w:val="003D075F"/>
    <w:rsid w:val="003D0CB5"/>
    <w:rsid w:val="003D158B"/>
    <w:rsid w:val="003D2CBA"/>
    <w:rsid w:val="003D326B"/>
    <w:rsid w:val="003D473F"/>
    <w:rsid w:val="003D6E88"/>
    <w:rsid w:val="003D7DE8"/>
    <w:rsid w:val="003E0AF9"/>
    <w:rsid w:val="003E129C"/>
    <w:rsid w:val="003E1A17"/>
    <w:rsid w:val="003E1B4E"/>
    <w:rsid w:val="003E1BA2"/>
    <w:rsid w:val="003E1C68"/>
    <w:rsid w:val="003E260B"/>
    <w:rsid w:val="003E2B6C"/>
    <w:rsid w:val="003E31F2"/>
    <w:rsid w:val="003E55C6"/>
    <w:rsid w:val="003E6197"/>
    <w:rsid w:val="003E6C5F"/>
    <w:rsid w:val="003E6CBF"/>
    <w:rsid w:val="003E7B6A"/>
    <w:rsid w:val="003F03DC"/>
    <w:rsid w:val="003F206D"/>
    <w:rsid w:val="003F55E0"/>
    <w:rsid w:val="003F5B25"/>
    <w:rsid w:val="003F6207"/>
    <w:rsid w:val="003F779C"/>
    <w:rsid w:val="003F7AA8"/>
    <w:rsid w:val="004005BF"/>
    <w:rsid w:val="00402227"/>
    <w:rsid w:val="0040225A"/>
    <w:rsid w:val="0040341A"/>
    <w:rsid w:val="0040599B"/>
    <w:rsid w:val="004059D6"/>
    <w:rsid w:val="00405F6A"/>
    <w:rsid w:val="00407A8B"/>
    <w:rsid w:val="00410DC2"/>
    <w:rsid w:val="00412536"/>
    <w:rsid w:val="00412A57"/>
    <w:rsid w:val="00413B06"/>
    <w:rsid w:val="00413EDB"/>
    <w:rsid w:val="004141E5"/>
    <w:rsid w:val="00415F48"/>
    <w:rsid w:val="00416A12"/>
    <w:rsid w:val="004171D2"/>
    <w:rsid w:val="00420211"/>
    <w:rsid w:val="00421B6A"/>
    <w:rsid w:val="0042235A"/>
    <w:rsid w:val="004230B2"/>
    <w:rsid w:val="00425828"/>
    <w:rsid w:val="004277FD"/>
    <w:rsid w:val="00430491"/>
    <w:rsid w:val="00432528"/>
    <w:rsid w:val="00432DB2"/>
    <w:rsid w:val="00435973"/>
    <w:rsid w:val="00435E50"/>
    <w:rsid w:val="0043613E"/>
    <w:rsid w:val="004370A7"/>
    <w:rsid w:val="00440F3C"/>
    <w:rsid w:val="0044457A"/>
    <w:rsid w:val="004446A6"/>
    <w:rsid w:val="00444CCA"/>
    <w:rsid w:val="00444EC7"/>
    <w:rsid w:val="004457AB"/>
    <w:rsid w:val="00445BE8"/>
    <w:rsid w:val="00446663"/>
    <w:rsid w:val="00446BAE"/>
    <w:rsid w:val="00447682"/>
    <w:rsid w:val="00450829"/>
    <w:rsid w:val="0045125A"/>
    <w:rsid w:val="00452159"/>
    <w:rsid w:val="004526B5"/>
    <w:rsid w:val="00453357"/>
    <w:rsid w:val="0045347E"/>
    <w:rsid w:val="00454AB1"/>
    <w:rsid w:val="00455542"/>
    <w:rsid w:val="00455F61"/>
    <w:rsid w:val="00461145"/>
    <w:rsid w:val="00462282"/>
    <w:rsid w:val="00462AED"/>
    <w:rsid w:val="00463375"/>
    <w:rsid w:val="00466CBE"/>
    <w:rsid w:val="00467AEA"/>
    <w:rsid w:val="00470601"/>
    <w:rsid w:val="00470DCE"/>
    <w:rsid w:val="004710D4"/>
    <w:rsid w:val="00471420"/>
    <w:rsid w:val="004723A1"/>
    <w:rsid w:val="00472F64"/>
    <w:rsid w:val="004737C4"/>
    <w:rsid w:val="00474003"/>
    <w:rsid w:val="004742D1"/>
    <w:rsid w:val="00474631"/>
    <w:rsid w:val="00475676"/>
    <w:rsid w:val="00477374"/>
    <w:rsid w:val="004806DB"/>
    <w:rsid w:val="00481E30"/>
    <w:rsid w:val="00485751"/>
    <w:rsid w:val="00485B32"/>
    <w:rsid w:val="00490745"/>
    <w:rsid w:val="00491A73"/>
    <w:rsid w:val="0049279F"/>
    <w:rsid w:val="004944C2"/>
    <w:rsid w:val="00495D94"/>
    <w:rsid w:val="004962CD"/>
    <w:rsid w:val="00496696"/>
    <w:rsid w:val="004969CF"/>
    <w:rsid w:val="004A4F8D"/>
    <w:rsid w:val="004A6D96"/>
    <w:rsid w:val="004A767A"/>
    <w:rsid w:val="004B0557"/>
    <w:rsid w:val="004B1433"/>
    <w:rsid w:val="004B7D15"/>
    <w:rsid w:val="004C02F5"/>
    <w:rsid w:val="004C2262"/>
    <w:rsid w:val="004C2A6F"/>
    <w:rsid w:val="004C33EB"/>
    <w:rsid w:val="004C4718"/>
    <w:rsid w:val="004C4DC3"/>
    <w:rsid w:val="004C536F"/>
    <w:rsid w:val="004C66D0"/>
    <w:rsid w:val="004C70C4"/>
    <w:rsid w:val="004C7222"/>
    <w:rsid w:val="004C75F0"/>
    <w:rsid w:val="004D03A1"/>
    <w:rsid w:val="004D04B9"/>
    <w:rsid w:val="004D092D"/>
    <w:rsid w:val="004D153A"/>
    <w:rsid w:val="004D27CB"/>
    <w:rsid w:val="004D3444"/>
    <w:rsid w:val="004D3FC7"/>
    <w:rsid w:val="004D4E74"/>
    <w:rsid w:val="004D5577"/>
    <w:rsid w:val="004D5911"/>
    <w:rsid w:val="004D5CD9"/>
    <w:rsid w:val="004D5D6A"/>
    <w:rsid w:val="004D7A0A"/>
    <w:rsid w:val="004E13BF"/>
    <w:rsid w:val="004E231D"/>
    <w:rsid w:val="004E5105"/>
    <w:rsid w:val="004E52BD"/>
    <w:rsid w:val="004E591E"/>
    <w:rsid w:val="004E6DE8"/>
    <w:rsid w:val="004E761D"/>
    <w:rsid w:val="004F09B9"/>
    <w:rsid w:val="004F41D3"/>
    <w:rsid w:val="004F4BCE"/>
    <w:rsid w:val="00502B50"/>
    <w:rsid w:val="005055CC"/>
    <w:rsid w:val="00507494"/>
    <w:rsid w:val="00507953"/>
    <w:rsid w:val="00507CF2"/>
    <w:rsid w:val="005128F0"/>
    <w:rsid w:val="00512E38"/>
    <w:rsid w:val="00514BD1"/>
    <w:rsid w:val="00514DE6"/>
    <w:rsid w:val="005152A6"/>
    <w:rsid w:val="0051565E"/>
    <w:rsid w:val="00515681"/>
    <w:rsid w:val="00515713"/>
    <w:rsid w:val="005164D3"/>
    <w:rsid w:val="00516C22"/>
    <w:rsid w:val="0052077A"/>
    <w:rsid w:val="00522256"/>
    <w:rsid w:val="0052546A"/>
    <w:rsid w:val="00525EBE"/>
    <w:rsid w:val="0053124B"/>
    <w:rsid w:val="005354EE"/>
    <w:rsid w:val="0053635D"/>
    <w:rsid w:val="005363F1"/>
    <w:rsid w:val="005371CB"/>
    <w:rsid w:val="005431FA"/>
    <w:rsid w:val="00543467"/>
    <w:rsid w:val="005439A6"/>
    <w:rsid w:val="00543B8B"/>
    <w:rsid w:val="00544EC4"/>
    <w:rsid w:val="005459B8"/>
    <w:rsid w:val="00545B44"/>
    <w:rsid w:val="00546A8F"/>
    <w:rsid w:val="00550C05"/>
    <w:rsid w:val="00550DD8"/>
    <w:rsid w:val="00551C90"/>
    <w:rsid w:val="0055339D"/>
    <w:rsid w:val="00553FDB"/>
    <w:rsid w:val="005579BD"/>
    <w:rsid w:val="00561498"/>
    <w:rsid w:val="00561C3E"/>
    <w:rsid w:val="00563AAE"/>
    <w:rsid w:val="00565011"/>
    <w:rsid w:val="005662A3"/>
    <w:rsid w:val="005663DE"/>
    <w:rsid w:val="00566CC7"/>
    <w:rsid w:val="0056789F"/>
    <w:rsid w:val="00567F8C"/>
    <w:rsid w:val="00571B0D"/>
    <w:rsid w:val="00571D81"/>
    <w:rsid w:val="005722D7"/>
    <w:rsid w:val="00572D85"/>
    <w:rsid w:val="00572EAB"/>
    <w:rsid w:val="005730DB"/>
    <w:rsid w:val="0058051C"/>
    <w:rsid w:val="005806F5"/>
    <w:rsid w:val="005824C3"/>
    <w:rsid w:val="00584F8E"/>
    <w:rsid w:val="00585932"/>
    <w:rsid w:val="00585C68"/>
    <w:rsid w:val="005874F7"/>
    <w:rsid w:val="0059335F"/>
    <w:rsid w:val="00594027"/>
    <w:rsid w:val="00596662"/>
    <w:rsid w:val="00596A4E"/>
    <w:rsid w:val="005970B8"/>
    <w:rsid w:val="005973B0"/>
    <w:rsid w:val="005975FA"/>
    <w:rsid w:val="00597D9E"/>
    <w:rsid w:val="005A0BC5"/>
    <w:rsid w:val="005A0FA4"/>
    <w:rsid w:val="005A17F4"/>
    <w:rsid w:val="005A1C5E"/>
    <w:rsid w:val="005A2093"/>
    <w:rsid w:val="005A242A"/>
    <w:rsid w:val="005A28D3"/>
    <w:rsid w:val="005A4540"/>
    <w:rsid w:val="005A5B9D"/>
    <w:rsid w:val="005A5CF5"/>
    <w:rsid w:val="005A60B4"/>
    <w:rsid w:val="005A60F0"/>
    <w:rsid w:val="005A7F9F"/>
    <w:rsid w:val="005B0F3A"/>
    <w:rsid w:val="005B14FB"/>
    <w:rsid w:val="005B2E7C"/>
    <w:rsid w:val="005B3238"/>
    <w:rsid w:val="005B4ECC"/>
    <w:rsid w:val="005B57E0"/>
    <w:rsid w:val="005B58AE"/>
    <w:rsid w:val="005B7A04"/>
    <w:rsid w:val="005C124A"/>
    <w:rsid w:val="005C14DF"/>
    <w:rsid w:val="005C18B6"/>
    <w:rsid w:val="005C34DC"/>
    <w:rsid w:val="005C38D2"/>
    <w:rsid w:val="005C66A2"/>
    <w:rsid w:val="005C717F"/>
    <w:rsid w:val="005C7243"/>
    <w:rsid w:val="005D12D1"/>
    <w:rsid w:val="005D19D2"/>
    <w:rsid w:val="005D1CB2"/>
    <w:rsid w:val="005D2C77"/>
    <w:rsid w:val="005D5623"/>
    <w:rsid w:val="005D6711"/>
    <w:rsid w:val="005D7CEF"/>
    <w:rsid w:val="005E0201"/>
    <w:rsid w:val="005E1764"/>
    <w:rsid w:val="005E1B5E"/>
    <w:rsid w:val="005E1E70"/>
    <w:rsid w:val="005E2689"/>
    <w:rsid w:val="005E2E7B"/>
    <w:rsid w:val="005E3472"/>
    <w:rsid w:val="005E4CEF"/>
    <w:rsid w:val="005E5250"/>
    <w:rsid w:val="005E63C0"/>
    <w:rsid w:val="005E7CAE"/>
    <w:rsid w:val="005F0855"/>
    <w:rsid w:val="005F11B8"/>
    <w:rsid w:val="005F2BC2"/>
    <w:rsid w:val="005F4A62"/>
    <w:rsid w:val="005F6A60"/>
    <w:rsid w:val="005F707E"/>
    <w:rsid w:val="005F76AD"/>
    <w:rsid w:val="0060052B"/>
    <w:rsid w:val="00601C8C"/>
    <w:rsid w:val="00603269"/>
    <w:rsid w:val="00603899"/>
    <w:rsid w:val="00605E33"/>
    <w:rsid w:val="00606B74"/>
    <w:rsid w:val="0061154A"/>
    <w:rsid w:val="00613815"/>
    <w:rsid w:val="006148FE"/>
    <w:rsid w:val="00614A44"/>
    <w:rsid w:val="00615E96"/>
    <w:rsid w:val="006170AC"/>
    <w:rsid w:val="00617AAB"/>
    <w:rsid w:val="00620252"/>
    <w:rsid w:val="0062046D"/>
    <w:rsid w:val="0062057F"/>
    <w:rsid w:val="006209A1"/>
    <w:rsid w:val="00621CB2"/>
    <w:rsid w:val="00622E17"/>
    <w:rsid w:val="006239ED"/>
    <w:rsid w:val="00623BDA"/>
    <w:rsid w:val="00624BDD"/>
    <w:rsid w:val="00631ECD"/>
    <w:rsid w:val="00632B25"/>
    <w:rsid w:val="00632D2B"/>
    <w:rsid w:val="00632F42"/>
    <w:rsid w:val="006338A3"/>
    <w:rsid w:val="00634A93"/>
    <w:rsid w:val="00634FDB"/>
    <w:rsid w:val="00636244"/>
    <w:rsid w:val="00636570"/>
    <w:rsid w:val="00636B13"/>
    <w:rsid w:val="00636DC6"/>
    <w:rsid w:val="00637324"/>
    <w:rsid w:val="00643932"/>
    <w:rsid w:val="00645C0B"/>
    <w:rsid w:val="00646BBF"/>
    <w:rsid w:val="006472DD"/>
    <w:rsid w:val="006473C4"/>
    <w:rsid w:val="00650A41"/>
    <w:rsid w:val="00651C48"/>
    <w:rsid w:val="00653C65"/>
    <w:rsid w:val="00653F6B"/>
    <w:rsid w:val="0065416B"/>
    <w:rsid w:val="00655045"/>
    <w:rsid w:val="00655F07"/>
    <w:rsid w:val="00660C27"/>
    <w:rsid w:val="00660DAD"/>
    <w:rsid w:val="006616DE"/>
    <w:rsid w:val="00661CDC"/>
    <w:rsid w:val="0066513F"/>
    <w:rsid w:val="00665531"/>
    <w:rsid w:val="00666704"/>
    <w:rsid w:val="00666831"/>
    <w:rsid w:val="00666DA4"/>
    <w:rsid w:val="006679AB"/>
    <w:rsid w:val="00667E45"/>
    <w:rsid w:val="006714EE"/>
    <w:rsid w:val="00673D8C"/>
    <w:rsid w:val="00674192"/>
    <w:rsid w:val="00676302"/>
    <w:rsid w:val="00676E36"/>
    <w:rsid w:val="0067720D"/>
    <w:rsid w:val="006778D7"/>
    <w:rsid w:val="006778E7"/>
    <w:rsid w:val="0068384F"/>
    <w:rsid w:val="0068444A"/>
    <w:rsid w:val="0068468C"/>
    <w:rsid w:val="00685025"/>
    <w:rsid w:val="00685944"/>
    <w:rsid w:val="00686ED3"/>
    <w:rsid w:val="00691896"/>
    <w:rsid w:val="006964B5"/>
    <w:rsid w:val="006965B5"/>
    <w:rsid w:val="00697ACE"/>
    <w:rsid w:val="006A19F3"/>
    <w:rsid w:val="006A40C0"/>
    <w:rsid w:val="006A6EEA"/>
    <w:rsid w:val="006A7991"/>
    <w:rsid w:val="006B15E5"/>
    <w:rsid w:val="006B1712"/>
    <w:rsid w:val="006B18CC"/>
    <w:rsid w:val="006B2053"/>
    <w:rsid w:val="006B41D9"/>
    <w:rsid w:val="006B62C2"/>
    <w:rsid w:val="006B6598"/>
    <w:rsid w:val="006B682F"/>
    <w:rsid w:val="006C0011"/>
    <w:rsid w:val="006C0F6A"/>
    <w:rsid w:val="006C1F36"/>
    <w:rsid w:val="006C2CFA"/>
    <w:rsid w:val="006C47F9"/>
    <w:rsid w:val="006C4A86"/>
    <w:rsid w:val="006C6051"/>
    <w:rsid w:val="006C6C2D"/>
    <w:rsid w:val="006D205C"/>
    <w:rsid w:val="006D5EB8"/>
    <w:rsid w:val="006D6710"/>
    <w:rsid w:val="006D6E88"/>
    <w:rsid w:val="006E07A0"/>
    <w:rsid w:val="006E140C"/>
    <w:rsid w:val="006E1E37"/>
    <w:rsid w:val="006E3D8A"/>
    <w:rsid w:val="006E658D"/>
    <w:rsid w:val="006E7700"/>
    <w:rsid w:val="006E7E71"/>
    <w:rsid w:val="006F0874"/>
    <w:rsid w:val="006F0E0E"/>
    <w:rsid w:val="006F1CBB"/>
    <w:rsid w:val="006F3375"/>
    <w:rsid w:val="006F38EA"/>
    <w:rsid w:val="006F44B6"/>
    <w:rsid w:val="006F7251"/>
    <w:rsid w:val="00700625"/>
    <w:rsid w:val="007009FF"/>
    <w:rsid w:val="007019F5"/>
    <w:rsid w:val="0070595B"/>
    <w:rsid w:val="00705B6A"/>
    <w:rsid w:val="007077C2"/>
    <w:rsid w:val="007104D0"/>
    <w:rsid w:val="00710BB3"/>
    <w:rsid w:val="00711CDF"/>
    <w:rsid w:val="00712F4A"/>
    <w:rsid w:val="00713262"/>
    <w:rsid w:val="00713406"/>
    <w:rsid w:val="007162AA"/>
    <w:rsid w:val="00717F2C"/>
    <w:rsid w:val="007214F5"/>
    <w:rsid w:val="0072174A"/>
    <w:rsid w:val="00721CDA"/>
    <w:rsid w:val="00722FF9"/>
    <w:rsid w:val="00727058"/>
    <w:rsid w:val="00727F1D"/>
    <w:rsid w:val="0073015D"/>
    <w:rsid w:val="007306AC"/>
    <w:rsid w:val="00732C74"/>
    <w:rsid w:val="007339A0"/>
    <w:rsid w:val="00736DDF"/>
    <w:rsid w:val="00737D61"/>
    <w:rsid w:val="00740866"/>
    <w:rsid w:val="007408BA"/>
    <w:rsid w:val="0074576D"/>
    <w:rsid w:val="00745BE7"/>
    <w:rsid w:val="00747839"/>
    <w:rsid w:val="00751038"/>
    <w:rsid w:val="00751260"/>
    <w:rsid w:val="00752D42"/>
    <w:rsid w:val="00753B5A"/>
    <w:rsid w:val="007542A4"/>
    <w:rsid w:val="00755826"/>
    <w:rsid w:val="0075665C"/>
    <w:rsid w:val="0075685F"/>
    <w:rsid w:val="007579AF"/>
    <w:rsid w:val="00757AA8"/>
    <w:rsid w:val="00760487"/>
    <w:rsid w:val="00760E83"/>
    <w:rsid w:val="00760FC1"/>
    <w:rsid w:val="007617D4"/>
    <w:rsid w:val="00761C49"/>
    <w:rsid w:val="007628DA"/>
    <w:rsid w:val="0076645E"/>
    <w:rsid w:val="00767A14"/>
    <w:rsid w:val="0077069A"/>
    <w:rsid w:val="007716EE"/>
    <w:rsid w:val="00772164"/>
    <w:rsid w:val="00772A54"/>
    <w:rsid w:val="00772DD8"/>
    <w:rsid w:val="00773666"/>
    <w:rsid w:val="00777494"/>
    <w:rsid w:val="00781059"/>
    <w:rsid w:val="007828C9"/>
    <w:rsid w:val="00783A0D"/>
    <w:rsid w:val="00784570"/>
    <w:rsid w:val="00787114"/>
    <w:rsid w:val="00792830"/>
    <w:rsid w:val="00793305"/>
    <w:rsid w:val="00794F98"/>
    <w:rsid w:val="007952F7"/>
    <w:rsid w:val="007A20C5"/>
    <w:rsid w:val="007A3562"/>
    <w:rsid w:val="007A3880"/>
    <w:rsid w:val="007A4F07"/>
    <w:rsid w:val="007B32AF"/>
    <w:rsid w:val="007B4F37"/>
    <w:rsid w:val="007B7E62"/>
    <w:rsid w:val="007C27D7"/>
    <w:rsid w:val="007C32D0"/>
    <w:rsid w:val="007C366E"/>
    <w:rsid w:val="007C3931"/>
    <w:rsid w:val="007C3D5E"/>
    <w:rsid w:val="007C42CA"/>
    <w:rsid w:val="007D149B"/>
    <w:rsid w:val="007D2A16"/>
    <w:rsid w:val="007D3687"/>
    <w:rsid w:val="007D3787"/>
    <w:rsid w:val="007D411D"/>
    <w:rsid w:val="007D4496"/>
    <w:rsid w:val="007D55E3"/>
    <w:rsid w:val="007D713D"/>
    <w:rsid w:val="007D7140"/>
    <w:rsid w:val="007E116E"/>
    <w:rsid w:val="007E1C98"/>
    <w:rsid w:val="007E35B0"/>
    <w:rsid w:val="007E765B"/>
    <w:rsid w:val="007E7F79"/>
    <w:rsid w:val="007F03DB"/>
    <w:rsid w:val="007F148A"/>
    <w:rsid w:val="007F2DE1"/>
    <w:rsid w:val="007F3384"/>
    <w:rsid w:val="007F4159"/>
    <w:rsid w:val="007F4B19"/>
    <w:rsid w:val="007F513B"/>
    <w:rsid w:val="007F63BD"/>
    <w:rsid w:val="007F6A2B"/>
    <w:rsid w:val="007F7420"/>
    <w:rsid w:val="008010C1"/>
    <w:rsid w:val="0080133B"/>
    <w:rsid w:val="00801CC4"/>
    <w:rsid w:val="00802370"/>
    <w:rsid w:val="008038D9"/>
    <w:rsid w:val="008056B6"/>
    <w:rsid w:val="008065C7"/>
    <w:rsid w:val="00806D7B"/>
    <w:rsid w:val="00807E46"/>
    <w:rsid w:val="00811F1B"/>
    <w:rsid w:val="00812548"/>
    <w:rsid w:val="008128FA"/>
    <w:rsid w:val="0081426C"/>
    <w:rsid w:val="008145DC"/>
    <w:rsid w:val="00815F62"/>
    <w:rsid w:val="00815FA0"/>
    <w:rsid w:val="00816EBF"/>
    <w:rsid w:val="00824980"/>
    <w:rsid w:val="00825603"/>
    <w:rsid w:val="008258CC"/>
    <w:rsid w:val="00827E39"/>
    <w:rsid w:val="00834CC4"/>
    <w:rsid w:val="00835927"/>
    <w:rsid w:val="0083628A"/>
    <w:rsid w:val="008364C2"/>
    <w:rsid w:val="00836B6D"/>
    <w:rsid w:val="00837E12"/>
    <w:rsid w:val="00840768"/>
    <w:rsid w:val="00840E9D"/>
    <w:rsid w:val="00840F43"/>
    <w:rsid w:val="00841066"/>
    <w:rsid w:val="00841CFA"/>
    <w:rsid w:val="00843775"/>
    <w:rsid w:val="00843A58"/>
    <w:rsid w:val="008444E6"/>
    <w:rsid w:val="008473AC"/>
    <w:rsid w:val="0084795E"/>
    <w:rsid w:val="00850AF8"/>
    <w:rsid w:val="00851467"/>
    <w:rsid w:val="00852263"/>
    <w:rsid w:val="00852693"/>
    <w:rsid w:val="00854F42"/>
    <w:rsid w:val="00855B36"/>
    <w:rsid w:val="00855E33"/>
    <w:rsid w:val="00862210"/>
    <w:rsid w:val="00862FD0"/>
    <w:rsid w:val="00863400"/>
    <w:rsid w:val="00865317"/>
    <w:rsid w:val="008708A6"/>
    <w:rsid w:val="008708C7"/>
    <w:rsid w:val="00872F10"/>
    <w:rsid w:val="00874BAC"/>
    <w:rsid w:val="00875EF8"/>
    <w:rsid w:val="00876DAE"/>
    <w:rsid w:val="008772C1"/>
    <w:rsid w:val="008803B7"/>
    <w:rsid w:val="00880C6C"/>
    <w:rsid w:val="008815BD"/>
    <w:rsid w:val="00883524"/>
    <w:rsid w:val="008849B7"/>
    <w:rsid w:val="00884CE7"/>
    <w:rsid w:val="00884E0D"/>
    <w:rsid w:val="00884FB5"/>
    <w:rsid w:val="0088581F"/>
    <w:rsid w:val="00887F33"/>
    <w:rsid w:val="008907B6"/>
    <w:rsid w:val="00890AC0"/>
    <w:rsid w:val="008916DF"/>
    <w:rsid w:val="00891938"/>
    <w:rsid w:val="0089268B"/>
    <w:rsid w:val="00892C8C"/>
    <w:rsid w:val="00892DBF"/>
    <w:rsid w:val="00892EE4"/>
    <w:rsid w:val="00895AD2"/>
    <w:rsid w:val="00896AE8"/>
    <w:rsid w:val="008A1D80"/>
    <w:rsid w:val="008A1F73"/>
    <w:rsid w:val="008A212F"/>
    <w:rsid w:val="008A368A"/>
    <w:rsid w:val="008A4DF6"/>
    <w:rsid w:val="008A626F"/>
    <w:rsid w:val="008A654C"/>
    <w:rsid w:val="008A704F"/>
    <w:rsid w:val="008B0184"/>
    <w:rsid w:val="008B1E0D"/>
    <w:rsid w:val="008B279A"/>
    <w:rsid w:val="008B2B68"/>
    <w:rsid w:val="008B3EE8"/>
    <w:rsid w:val="008B543F"/>
    <w:rsid w:val="008B77AD"/>
    <w:rsid w:val="008B7DF3"/>
    <w:rsid w:val="008C0AAE"/>
    <w:rsid w:val="008C1B10"/>
    <w:rsid w:val="008C411B"/>
    <w:rsid w:val="008C62B2"/>
    <w:rsid w:val="008C6736"/>
    <w:rsid w:val="008C6B1A"/>
    <w:rsid w:val="008C6C06"/>
    <w:rsid w:val="008C75DA"/>
    <w:rsid w:val="008D151D"/>
    <w:rsid w:val="008D1768"/>
    <w:rsid w:val="008D1D06"/>
    <w:rsid w:val="008D216F"/>
    <w:rsid w:val="008D2374"/>
    <w:rsid w:val="008D2EF9"/>
    <w:rsid w:val="008D34C8"/>
    <w:rsid w:val="008D41E3"/>
    <w:rsid w:val="008D5649"/>
    <w:rsid w:val="008D5EA5"/>
    <w:rsid w:val="008D686C"/>
    <w:rsid w:val="008D6B46"/>
    <w:rsid w:val="008D71E4"/>
    <w:rsid w:val="008E2356"/>
    <w:rsid w:val="008E304D"/>
    <w:rsid w:val="008E32B0"/>
    <w:rsid w:val="008E4CE7"/>
    <w:rsid w:val="008E5C70"/>
    <w:rsid w:val="008E6137"/>
    <w:rsid w:val="008E6B79"/>
    <w:rsid w:val="008E75E5"/>
    <w:rsid w:val="008F05A6"/>
    <w:rsid w:val="008F05AA"/>
    <w:rsid w:val="008F2ADE"/>
    <w:rsid w:val="008F346A"/>
    <w:rsid w:val="008F3D52"/>
    <w:rsid w:val="008F4165"/>
    <w:rsid w:val="008F59D7"/>
    <w:rsid w:val="008F5F8F"/>
    <w:rsid w:val="008F6487"/>
    <w:rsid w:val="008F6717"/>
    <w:rsid w:val="008F6809"/>
    <w:rsid w:val="008F7DA4"/>
    <w:rsid w:val="008F7FBF"/>
    <w:rsid w:val="00900634"/>
    <w:rsid w:val="009010C3"/>
    <w:rsid w:val="0090148D"/>
    <w:rsid w:val="0090264B"/>
    <w:rsid w:val="00902E6D"/>
    <w:rsid w:val="009048A1"/>
    <w:rsid w:val="00906158"/>
    <w:rsid w:val="00906975"/>
    <w:rsid w:val="00906E97"/>
    <w:rsid w:val="00906FE5"/>
    <w:rsid w:val="009123A0"/>
    <w:rsid w:val="00913AD0"/>
    <w:rsid w:val="009140ED"/>
    <w:rsid w:val="00914778"/>
    <w:rsid w:val="00915512"/>
    <w:rsid w:val="009177EC"/>
    <w:rsid w:val="0091791A"/>
    <w:rsid w:val="00917E02"/>
    <w:rsid w:val="00917E19"/>
    <w:rsid w:val="00922416"/>
    <w:rsid w:val="00924229"/>
    <w:rsid w:val="00924CAF"/>
    <w:rsid w:val="00925615"/>
    <w:rsid w:val="00926157"/>
    <w:rsid w:val="00926639"/>
    <w:rsid w:val="00930597"/>
    <w:rsid w:val="00935D30"/>
    <w:rsid w:val="00935FE4"/>
    <w:rsid w:val="00937C82"/>
    <w:rsid w:val="0094031D"/>
    <w:rsid w:val="009414A5"/>
    <w:rsid w:val="00942632"/>
    <w:rsid w:val="00942AC5"/>
    <w:rsid w:val="009432C9"/>
    <w:rsid w:val="0094588A"/>
    <w:rsid w:val="00946E33"/>
    <w:rsid w:val="00947D02"/>
    <w:rsid w:val="0095140F"/>
    <w:rsid w:val="0095287B"/>
    <w:rsid w:val="009541F1"/>
    <w:rsid w:val="00954FBC"/>
    <w:rsid w:val="00957EA8"/>
    <w:rsid w:val="0096002F"/>
    <w:rsid w:val="00960169"/>
    <w:rsid w:val="0096077C"/>
    <w:rsid w:val="00962017"/>
    <w:rsid w:val="009620C6"/>
    <w:rsid w:val="00963014"/>
    <w:rsid w:val="00964AA2"/>
    <w:rsid w:val="00965488"/>
    <w:rsid w:val="00965CAD"/>
    <w:rsid w:val="00965D04"/>
    <w:rsid w:val="00966495"/>
    <w:rsid w:val="00966679"/>
    <w:rsid w:val="00970C39"/>
    <w:rsid w:val="00971C0C"/>
    <w:rsid w:val="00971FF6"/>
    <w:rsid w:val="00972AFA"/>
    <w:rsid w:val="00972B05"/>
    <w:rsid w:val="0098232F"/>
    <w:rsid w:val="00982354"/>
    <w:rsid w:val="00982A97"/>
    <w:rsid w:val="009837F6"/>
    <w:rsid w:val="009839C6"/>
    <w:rsid w:val="00983C47"/>
    <w:rsid w:val="00984564"/>
    <w:rsid w:val="00985763"/>
    <w:rsid w:val="00990B8F"/>
    <w:rsid w:val="0099108B"/>
    <w:rsid w:val="009935AC"/>
    <w:rsid w:val="009955A9"/>
    <w:rsid w:val="00995ADE"/>
    <w:rsid w:val="009A018B"/>
    <w:rsid w:val="009A17D7"/>
    <w:rsid w:val="009A1974"/>
    <w:rsid w:val="009A250D"/>
    <w:rsid w:val="009A2A58"/>
    <w:rsid w:val="009A4565"/>
    <w:rsid w:val="009A5E8D"/>
    <w:rsid w:val="009A7423"/>
    <w:rsid w:val="009B1142"/>
    <w:rsid w:val="009B1598"/>
    <w:rsid w:val="009B1ABA"/>
    <w:rsid w:val="009B1BA9"/>
    <w:rsid w:val="009B45B2"/>
    <w:rsid w:val="009B511D"/>
    <w:rsid w:val="009B545D"/>
    <w:rsid w:val="009B78F8"/>
    <w:rsid w:val="009C0703"/>
    <w:rsid w:val="009C33C7"/>
    <w:rsid w:val="009C3EF9"/>
    <w:rsid w:val="009C45D1"/>
    <w:rsid w:val="009C572C"/>
    <w:rsid w:val="009C5910"/>
    <w:rsid w:val="009D2921"/>
    <w:rsid w:val="009D47FE"/>
    <w:rsid w:val="009D4EBC"/>
    <w:rsid w:val="009D5128"/>
    <w:rsid w:val="009D5795"/>
    <w:rsid w:val="009D5CAB"/>
    <w:rsid w:val="009D7E80"/>
    <w:rsid w:val="009E1449"/>
    <w:rsid w:val="009E16E6"/>
    <w:rsid w:val="009E2A86"/>
    <w:rsid w:val="009E316D"/>
    <w:rsid w:val="009E4565"/>
    <w:rsid w:val="009E5679"/>
    <w:rsid w:val="009E61CB"/>
    <w:rsid w:val="009E6DBA"/>
    <w:rsid w:val="009E719B"/>
    <w:rsid w:val="00A0188E"/>
    <w:rsid w:val="00A0237E"/>
    <w:rsid w:val="00A034D0"/>
    <w:rsid w:val="00A03A0C"/>
    <w:rsid w:val="00A03EDF"/>
    <w:rsid w:val="00A04B80"/>
    <w:rsid w:val="00A04BBC"/>
    <w:rsid w:val="00A04E44"/>
    <w:rsid w:val="00A059E4"/>
    <w:rsid w:val="00A05F52"/>
    <w:rsid w:val="00A06506"/>
    <w:rsid w:val="00A066E6"/>
    <w:rsid w:val="00A10603"/>
    <w:rsid w:val="00A10B8D"/>
    <w:rsid w:val="00A11459"/>
    <w:rsid w:val="00A11E61"/>
    <w:rsid w:val="00A11F83"/>
    <w:rsid w:val="00A12026"/>
    <w:rsid w:val="00A12437"/>
    <w:rsid w:val="00A13ECA"/>
    <w:rsid w:val="00A14A84"/>
    <w:rsid w:val="00A15311"/>
    <w:rsid w:val="00A16957"/>
    <w:rsid w:val="00A1743A"/>
    <w:rsid w:val="00A213E3"/>
    <w:rsid w:val="00A21A18"/>
    <w:rsid w:val="00A227AB"/>
    <w:rsid w:val="00A22B37"/>
    <w:rsid w:val="00A22F39"/>
    <w:rsid w:val="00A2420B"/>
    <w:rsid w:val="00A249D0"/>
    <w:rsid w:val="00A26C0D"/>
    <w:rsid w:val="00A308DA"/>
    <w:rsid w:val="00A328AB"/>
    <w:rsid w:val="00A33BF8"/>
    <w:rsid w:val="00A35A6A"/>
    <w:rsid w:val="00A36641"/>
    <w:rsid w:val="00A40E94"/>
    <w:rsid w:val="00A447A3"/>
    <w:rsid w:val="00A45165"/>
    <w:rsid w:val="00A45FB2"/>
    <w:rsid w:val="00A47BDE"/>
    <w:rsid w:val="00A51733"/>
    <w:rsid w:val="00A52317"/>
    <w:rsid w:val="00A55521"/>
    <w:rsid w:val="00A60ECD"/>
    <w:rsid w:val="00A62301"/>
    <w:rsid w:val="00A62CC2"/>
    <w:rsid w:val="00A64EC1"/>
    <w:rsid w:val="00A6691D"/>
    <w:rsid w:val="00A66A95"/>
    <w:rsid w:val="00A6780F"/>
    <w:rsid w:val="00A67A54"/>
    <w:rsid w:val="00A70B99"/>
    <w:rsid w:val="00A720DE"/>
    <w:rsid w:val="00A731C5"/>
    <w:rsid w:val="00A75FF4"/>
    <w:rsid w:val="00A768C7"/>
    <w:rsid w:val="00A77526"/>
    <w:rsid w:val="00A77E42"/>
    <w:rsid w:val="00A808C2"/>
    <w:rsid w:val="00A80EF6"/>
    <w:rsid w:val="00A81032"/>
    <w:rsid w:val="00A8149E"/>
    <w:rsid w:val="00A8263A"/>
    <w:rsid w:val="00A82EF5"/>
    <w:rsid w:val="00A84914"/>
    <w:rsid w:val="00A84C02"/>
    <w:rsid w:val="00A86A5C"/>
    <w:rsid w:val="00A87018"/>
    <w:rsid w:val="00A90871"/>
    <w:rsid w:val="00A91528"/>
    <w:rsid w:val="00A91631"/>
    <w:rsid w:val="00A9187A"/>
    <w:rsid w:val="00A91A59"/>
    <w:rsid w:val="00A92BE6"/>
    <w:rsid w:val="00A92D62"/>
    <w:rsid w:val="00A94679"/>
    <w:rsid w:val="00A9471E"/>
    <w:rsid w:val="00A9517A"/>
    <w:rsid w:val="00A96647"/>
    <w:rsid w:val="00A97289"/>
    <w:rsid w:val="00AA21FD"/>
    <w:rsid w:val="00AA41A2"/>
    <w:rsid w:val="00AB17A1"/>
    <w:rsid w:val="00AB189B"/>
    <w:rsid w:val="00AB3309"/>
    <w:rsid w:val="00AB4D70"/>
    <w:rsid w:val="00AB5A00"/>
    <w:rsid w:val="00AB6A86"/>
    <w:rsid w:val="00AC0E33"/>
    <w:rsid w:val="00AC0EC1"/>
    <w:rsid w:val="00AC1B81"/>
    <w:rsid w:val="00AC23A9"/>
    <w:rsid w:val="00AC2C70"/>
    <w:rsid w:val="00AC4079"/>
    <w:rsid w:val="00AC542D"/>
    <w:rsid w:val="00AC5849"/>
    <w:rsid w:val="00AC6BF1"/>
    <w:rsid w:val="00AC766E"/>
    <w:rsid w:val="00AC7C83"/>
    <w:rsid w:val="00AD370E"/>
    <w:rsid w:val="00AD3CAD"/>
    <w:rsid w:val="00AD606C"/>
    <w:rsid w:val="00AD608F"/>
    <w:rsid w:val="00AD6192"/>
    <w:rsid w:val="00AD6919"/>
    <w:rsid w:val="00AD6C74"/>
    <w:rsid w:val="00AD706E"/>
    <w:rsid w:val="00AD733D"/>
    <w:rsid w:val="00AD77F5"/>
    <w:rsid w:val="00AD7B0F"/>
    <w:rsid w:val="00AD7B7F"/>
    <w:rsid w:val="00AD7B88"/>
    <w:rsid w:val="00AE09E3"/>
    <w:rsid w:val="00AE12ED"/>
    <w:rsid w:val="00AE308B"/>
    <w:rsid w:val="00AE328A"/>
    <w:rsid w:val="00AE32FC"/>
    <w:rsid w:val="00AE61D2"/>
    <w:rsid w:val="00AE7C25"/>
    <w:rsid w:val="00AF0F24"/>
    <w:rsid w:val="00AF28DD"/>
    <w:rsid w:val="00AF4C87"/>
    <w:rsid w:val="00B022CE"/>
    <w:rsid w:val="00B02923"/>
    <w:rsid w:val="00B02EB8"/>
    <w:rsid w:val="00B035DD"/>
    <w:rsid w:val="00B058D9"/>
    <w:rsid w:val="00B10996"/>
    <w:rsid w:val="00B11421"/>
    <w:rsid w:val="00B11D39"/>
    <w:rsid w:val="00B15ABA"/>
    <w:rsid w:val="00B16DB4"/>
    <w:rsid w:val="00B230B1"/>
    <w:rsid w:val="00B231A6"/>
    <w:rsid w:val="00B241EC"/>
    <w:rsid w:val="00B2471A"/>
    <w:rsid w:val="00B24FEC"/>
    <w:rsid w:val="00B2525A"/>
    <w:rsid w:val="00B26175"/>
    <w:rsid w:val="00B2695D"/>
    <w:rsid w:val="00B2770C"/>
    <w:rsid w:val="00B31AF0"/>
    <w:rsid w:val="00B32843"/>
    <w:rsid w:val="00B3360D"/>
    <w:rsid w:val="00B3377F"/>
    <w:rsid w:val="00B34898"/>
    <w:rsid w:val="00B34CD6"/>
    <w:rsid w:val="00B3512B"/>
    <w:rsid w:val="00B4049F"/>
    <w:rsid w:val="00B40F77"/>
    <w:rsid w:val="00B41D5B"/>
    <w:rsid w:val="00B41E46"/>
    <w:rsid w:val="00B434DA"/>
    <w:rsid w:val="00B44F57"/>
    <w:rsid w:val="00B451B6"/>
    <w:rsid w:val="00B46E7E"/>
    <w:rsid w:val="00B47363"/>
    <w:rsid w:val="00B50645"/>
    <w:rsid w:val="00B50EA4"/>
    <w:rsid w:val="00B52813"/>
    <w:rsid w:val="00B5324B"/>
    <w:rsid w:val="00B53BDF"/>
    <w:rsid w:val="00B5507E"/>
    <w:rsid w:val="00B577BD"/>
    <w:rsid w:val="00B57BAC"/>
    <w:rsid w:val="00B603BF"/>
    <w:rsid w:val="00B60B6F"/>
    <w:rsid w:val="00B63178"/>
    <w:rsid w:val="00B6372C"/>
    <w:rsid w:val="00B6379D"/>
    <w:rsid w:val="00B649E2"/>
    <w:rsid w:val="00B67EFD"/>
    <w:rsid w:val="00B70E39"/>
    <w:rsid w:val="00B71A01"/>
    <w:rsid w:val="00B71FCE"/>
    <w:rsid w:val="00B743D4"/>
    <w:rsid w:val="00B763D6"/>
    <w:rsid w:val="00B81DAD"/>
    <w:rsid w:val="00B85036"/>
    <w:rsid w:val="00B857B9"/>
    <w:rsid w:val="00B86360"/>
    <w:rsid w:val="00B86361"/>
    <w:rsid w:val="00B86AC2"/>
    <w:rsid w:val="00B91A81"/>
    <w:rsid w:val="00B930A9"/>
    <w:rsid w:val="00B93343"/>
    <w:rsid w:val="00B9386A"/>
    <w:rsid w:val="00B93F27"/>
    <w:rsid w:val="00B96766"/>
    <w:rsid w:val="00B974D2"/>
    <w:rsid w:val="00BA4767"/>
    <w:rsid w:val="00BA4873"/>
    <w:rsid w:val="00BA4E63"/>
    <w:rsid w:val="00BA6648"/>
    <w:rsid w:val="00BA6C42"/>
    <w:rsid w:val="00BA7637"/>
    <w:rsid w:val="00BB0E7F"/>
    <w:rsid w:val="00BB152A"/>
    <w:rsid w:val="00BB19E5"/>
    <w:rsid w:val="00BB1F6C"/>
    <w:rsid w:val="00BB2091"/>
    <w:rsid w:val="00BB29DD"/>
    <w:rsid w:val="00BB4A4F"/>
    <w:rsid w:val="00BB5FBE"/>
    <w:rsid w:val="00BB65F1"/>
    <w:rsid w:val="00BB669A"/>
    <w:rsid w:val="00BC1D8B"/>
    <w:rsid w:val="00BC2626"/>
    <w:rsid w:val="00BC30AA"/>
    <w:rsid w:val="00BC37F3"/>
    <w:rsid w:val="00BC4E85"/>
    <w:rsid w:val="00BC61EC"/>
    <w:rsid w:val="00BD02F3"/>
    <w:rsid w:val="00BD0449"/>
    <w:rsid w:val="00BD047F"/>
    <w:rsid w:val="00BD2CE8"/>
    <w:rsid w:val="00BD3C0A"/>
    <w:rsid w:val="00BD48BA"/>
    <w:rsid w:val="00BD4DCD"/>
    <w:rsid w:val="00BD593A"/>
    <w:rsid w:val="00BD7957"/>
    <w:rsid w:val="00BE046D"/>
    <w:rsid w:val="00BE40E6"/>
    <w:rsid w:val="00BE4720"/>
    <w:rsid w:val="00BE7980"/>
    <w:rsid w:val="00BF086D"/>
    <w:rsid w:val="00BF1F5C"/>
    <w:rsid w:val="00BF3482"/>
    <w:rsid w:val="00C00181"/>
    <w:rsid w:val="00C003AA"/>
    <w:rsid w:val="00C00E04"/>
    <w:rsid w:val="00C0136C"/>
    <w:rsid w:val="00C01880"/>
    <w:rsid w:val="00C023D6"/>
    <w:rsid w:val="00C02B91"/>
    <w:rsid w:val="00C03720"/>
    <w:rsid w:val="00C03C00"/>
    <w:rsid w:val="00C04388"/>
    <w:rsid w:val="00C04668"/>
    <w:rsid w:val="00C04925"/>
    <w:rsid w:val="00C04D63"/>
    <w:rsid w:val="00C058FF"/>
    <w:rsid w:val="00C06CDA"/>
    <w:rsid w:val="00C07F08"/>
    <w:rsid w:val="00C127DC"/>
    <w:rsid w:val="00C1462D"/>
    <w:rsid w:val="00C14745"/>
    <w:rsid w:val="00C15349"/>
    <w:rsid w:val="00C158F4"/>
    <w:rsid w:val="00C15A27"/>
    <w:rsid w:val="00C16EA4"/>
    <w:rsid w:val="00C17EF0"/>
    <w:rsid w:val="00C20C67"/>
    <w:rsid w:val="00C2132E"/>
    <w:rsid w:val="00C21CF4"/>
    <w:rsid w:val="00C23090"/>
    <w:rsid w:val="00C23371"/>
    <w:rsid w:val="00C26B12"/>
    <w:rsid w:val="00C26B80"/>
    <w:rsid w:val="00C30D22"/>
    <w:rsid w:val="00C31228"/>
    <w:rsid w:val="00C313CC"/>
    <w:rsid w:val="00C3174D"/>
    <w:rsid w:val="00C31C80"/>
    <w:rsid w:val="00C3211A"/>
    <w:rsid w:val="00C339F2"/>
    <w:rsid w:val="00C35540"/>
    <w:rsid w:val="00C36BCE"/>
    <w:rsid w:val="00C3733D"/>
    <w:rsid w:val="00C40380"/>
    <w:rsid w:val="00C40AEE"/>
    <w:rsid w:val="00C4139D"/>
    <w:rsid w:val="00C416FE"/>
    <w:rsid w:val="00C4201A"/>
    <w:rsid w:val="00C43A59"/>
    <w:rsid w:val="00C44D16"/>
    <w:rsid w:val="00C453F5"/>
    <w:rsid w:val="00C455FB"/>
    <w:rsid w:val="00C46A7F"/>
    <w:rsid w:val="00C50685"/>
    <w:rsid w:val="00C529CE"/>
    <w:rsid w:val="00C5390A"/>
    <w:rsid w:val="00C53F61"/>
    <w:rsid w:val="00C55B7A"/>
    <w:rsid w:val="00C56197"/>
    <w:rsid w:val="00C567B6"/>
    <w:rsid w:val="00C61831"/>
    <w:rsid w:val="00C6273E"/>
    <w:rsid w:val="00C62FD2"/>
    <w:rsid w:val="00C64820"/>
    <w:rsid w:val="00C648CD"/>
    <w:rsid w:val="00C65598"/>
    <w:rsid w:val="00C666C6"/>
    <w:rsid w:val="00C70EB2"/>
    <w:rsid w:val="00C71005"/>
    <w:rsid w:val="00C715C5"/>
    <w:rsid w:val="00C7208A"/>
    <w:rsid w:val="00C7521E"/>
    <w:rsid w:val="00C75DFF"/>
    <w:rsid w:val="00C76EA2"/>
    <w:rsid w:val="00C77023"/>
    <w:rsid w:val="00C770B0"/>
    <w:rsid w:val="00C77987"/>
    <w:rsid w:val="00C80382"/>
    <w:rsid w:val="00C81329"/>
    <w:rsid w:val="00C83FAA"/>
    <w:rsid w:val="00C84DD9"/>
    <w:rsid w:val="00C85CA6"/>
    <w:rsid w:val="00C86572"/>
    <w:rsid w:val="00C9086A"/>
    <w:rsid w:val="00C918D3"/>
    <w:rsid w:val="00C91FF1"/>
    <w:rsid w:val="00C92ADE"/>
    <w:rsid w:val="00C9356E"/>
    <w:rsid w:val="00C93F7B"/>
    <w:rsid w:val="00C946DF"/>
    <w:rsid w:val="00C94C9E"/>
    <w:rsid w:val="00C959E6"/>
    <w:rsid w:val="00C95A61"/>
    <w:rsid w:val="00C96D03"/>
    <w:rsid w:val="00C9794E"/>
    <w:rsid w:val="00CA10CD"/>
    <w:rsid w:val="00CA128E"/>
    <w:rsid w:val="00CA3684"/>
    <w:rsid w:val="00CA3770"/>
    <w:rsid w:val="00CA693D"/>
    <w:rsid w:val="00CA7D28"/>
    <w:rsid w:val="00CB0B52"/>
    <w:rsid w:val="00CB369B"/>
    <w:rsid w:val="00CB385F"/>
    <w:rsid w:val="00CB5378"/>
    <w:rsid w:val="00CB6EE9"/>
    <w:rsid w:val="00CB6F44"/>
    <w:rsid w:val="00CB7754"/>
    <w:rsid w:val="00CB7FE3"/>
    <w:rsid w:val="00CC09D9"/>
    <w:rsid w:val="00CC0B31"/>
    <w:rsid w:val="00CC2CA7"/>
    <w:rsid w:val="00CC2F1E"/>
    <w:rsid w:val="00CC33C1"/>
    <w:rsid w:val="00CC4F96"/>
    <w:rsid w:val="00CC693C"/>
    <w:rsid w:val="00CC73D1"/>
    <w:rsid w:val="00CC783C"/>
    <w:rsid w:val="00CD16A5"/>
    <w:rsid w:val="00CD1994"/>
    <w:rsid w:val="00CD318F"/>
    <w:rsid w:val="00CD3B40"/>
    <w:rsid w:val="00CD6BD2"/>
    <w:rsid w:val="00CE1F8C"/>
    <w:rsid w:val="00CE3E90"/>
    <w:rsid w:val="00CE43BF"/>
    <w:rsid w:val="00CE5743"/>
    <w:rsid w:val="00CE5B67"/>
    <w:rsid w:val="00CE6773"/>
    <w:rsid w:val="00CE7188"/>
    <w:rsid w:val="00CE740A"/>
    <w:rsid w:val="00CF0749"/>
    <w:rsid w:val="00CF0756"/>
    <w:rsid w:val="00CF18F6"/>
    <w:rsid w:val="00CF303A"/>
    <w:rsid w:val="00CF3866"/>
    <w:rsid w:val="00CF3D84"/>
    <w:rsid w:val="00CF404E"/>
    <w:rsid w:val="00CF7AE9"/>
    <w:rsid w:val="00D014F0"/>
    <w:rsid w:val="00D01E9C"/>
    <w:rsid w:val="00D0227D"/>
    <w:rsid w:val="00D03CF1"/>
    <w:rsid w:val="00D04CA6"/>
    <w:rsid w:val="00D06028"/>
    <w:rsid w:val="00D06696"/>
    <w:rsid w:val="00D072BE"/>
    <w:rsid w:val="00D106D0"/>
    <w:rsid w:val="00D142D6"/>
    <w:rsid w:val="00D14840"/>
    <w:rsid w:val="00D1511F"/>
    <w:rsid w:val="00D152DF"/>
    <w:rsid w:val="00D15C0E"/>
    <w:rsid w:val="00D17C12"/>
    <w:rsid w:val="00D218A5"/>
    <w:rsid w:val="00D21FFD"/>
    <w:rsid w:val="00D22347"/>
    <w:rsid w:val="00D25478"/>
    <w:rsid w:val="00D2555E"/>
    <w:rsid w:val="00D274FF"/>
    <w:rsid w:val="00D30344"/>
    <w:rsid w:val="00D307F0"/>
    <w:rsid w:val="00D30E59"/>
    <w:rsid w:val="00D32EBC"/>
    <w:rsid w:val="00D33D1D"/>
    <w:rsid w:val="00D3480E"/>
    <w:rsid w:val="00D34F21"/>
    <w:rsid w:val="00D3601C"/>
    <w:rsid w:val="00D37765"/>
    <w:rsid w:val="00D406C1"/>
    <w:rsid w:val="00D406F8"/>
    <w:rsid w:val="00D40ACE"/>
    <w:rsid w:val="00D40B7E"/>
    <w:rsid w:val="00D428CE"/>
    <w:rsid w:val="00D429F9"/>
    <w:rsid w:val="00D44A6B"/>
    <w:rsid w:val="00D4583D"/>
    <w:rsid w:val="00D47771"/>
    <w:rsid w:val="00D479B7"/>
    <w:rsid w:val="00D51689"/>
    <w:rsid w:val="00D520B1"/>
    <w:rsid w:val="00D52941"/>
    <w:rsid w:val="00D54585"/>
    <w:rsid w:val="00D556B2"/>
    <w:rsid w:val="00D557FA"/>
    <w:rsid w:val="00D56A6C"/>
    <w:rsid w:val="00D57EEC"/>
    <w:rsid w:val="00D61DE6"/>
    <w:rsid w:val="00D6267E"/>
    <w:rsid w:val="00D6280B"/>
    <w:rsid w:val="00D6284E"/>
    <w:rsid w:val="00D62ABC"/>
    <w:rsid w:val="00D62C4A"/>
    <w:rsid w:val="00D62C7D"/>
    <w:rsid w:val="00D62FE4"/>
    <w:rsid w:val="00D64A8C"/>
    <w:rsid w:val="00D64B55"/>
    <w:rsid w:val="00D64C22"/>
    <w:rsid w:val="00D64F02"/>
    <w:rsid w:val="00D66AA8"/>
    <w:rsid w:val="00D67903"/>
    <w:rsid w:val="00D70772"/>
    <w:rsid w:val="00D71F71"/>
    <w:rsid w:val="00D72845"/>
    <w:rsid w:val="00D73D51"/>
    <w:rsid w:val="00D743DB"/>
    <w:rsid w:val="00D74F5D"/>
    <w:rsid w:val="00D7584D"/>
    <w:rsid w:val="00D7616B"/>
    <w:rsid w:val="00D775EA"/>
    <w:rsid w:val="00D77863"/>
    <w:rsid w:val="00D8060E"/>
    <w:rsid w:val="00D812F8"/>
    <w:rsid w:val="00D81458"/>
    <w:rsid w:val="00D83D8E"/>
    <w:rsid w:val="00D8456D"/>
    <w:rsid w:val="00D84B57"/>
    <w:rsid w:val="00D85C04"/>
    <w:rsid w:val="00D864E8"/>
    <w:rsid w:val="00D87341"/>
    <w:rsid w:val="00D8752C"/>
    <w:rsid w:val="00D91954"/>
    <w:rsid w:val="00D91A3C"/>
    <w:rsid w:val="00D94234"/>
    <w:rsid w:val="00D96925"/>
    <w:rsid w:val="00DA0C62"/>
    <w:rsid w:val="00DA102C"/>
    <w:rsid w:val="00DA2664"/>
    <w:rsid w:val="00DA2D97"/>
    <w:rsid w:val="00DA39AB"/>
    <w:rsid w:val="00DA5DF2"/>
    <w:rsid w:val="00DA7048"/>
    <w:rsid w:val="00DA7FE6"/>
    <w:rsid w:val="00DB09E6"/>
    <w:rsid w:val="00DB09F1"/>
    <w:rsid w:val="00DB1C9C"/>
    <w:rsid w:val="00DB23A1"/>
    <w:rsid w:val="00DB3590"/>
    <w:rsid w:val="00DB3CDA"/>
    <w:rsid w:val="00DB42D0"/>
    <w:rsid w:val="00DB7080"/>
    <w:rsid w:val="00DB7341"/>
    <w:rsid w:val="00DB799F"/>
    <w:rsid w:val="00DC1D1C"/>
    <w:rsid w:val="00DC215D"/>
    <w:rsid w:val="00DC285F"/>
    <w:rsid w:val="00DC319F"/>
    <w:rsid w:val="00DC3BC7"/>
    <w:rsid w:val="00DC55E1"/>
    <w:rsid w:val="00DC7811"/>
    <w:rsid w:val="00DC7CB4"/>
    <w:rsid w:val="00DD0AE1"/>
    <w:rsid w:val="00DD0FE8"/>
    <w:rsid w:val="00DD2103"/>
    <w:rsid w:val="00DD2CBA"/>
    <w:rsid w:val="00DD3650"/>
    <w:rsid w:val="00DD414A"/>
    <w:rsid w:val="00DD417E"/>
    <w:rsid w:val="00DE0128"/>
    <w:rsid w:val="00DE1F95"/>
    <w:rsid w:val="00DE4163"/>
    <w:rsid w:val="00DE5589"/>
    <w:rsid w:val="00DE6D2F"/>
    <w:rsid w:val="00DF3586"/>
    <w:rsid w:val="00DF45B5"/>
    <w:rsid w:val="00DF6E87"/>
    <w:rsid w:val="00DF7148"/>
    <w:rsid w:val="00DF7438"/>
    <w:rsid w:val="00DF7C73"/>
    <w:rsid w:val="00E04293"/>
    <w:rsid w:val="00E06254"/>
    <w:rsid w:val="00E06544"/>
    <w:rsid w:val="00E06855"/>
    <w:rsid w:val="00E06A19"/>
    <w:rsid w:val="00E07D3A"/>
    <w:rsid w:val="00E07E26"/>
    <w:rsid w:val="00E10022"/>
    <w:rsid w:val="00E101DB"/>
    <w:rsid w:val="00E104BE"/>
    <w:rsid w:val="00E11F7D"/>
    <w:rsid w:val="00E12905"/>
    <w:rsid w:val="00E12D6D"/>
    <w:rsid w:val="00E14351"/>
    <w:rsid w:val="00E147C5"/>
    <w:rsid w:val="00E153EE"/>
    <w:rsid w:val="00E1732C"/>
    <w:rsid w:val="00E20F6D"/>
    <w:rsid w:val="00E2169E"/>
    <w:rsid w:val="00E2535B"/>
    <w:rsid w:val="00E25B1B"/>
    <w:rsid w:val="00E25BBF"/>
    <w:rsid w:val="00E30463"/>
    <w:rsid w:val="00E304B7"/>
    <w:rsid w:val="00E30A2F"/>
    <w:rsid w:val="00E341DF"/>
    <w:rsid w:val="00E345D8"/>
    <w:rsid w:val="00E36665"/>
    <w:rsid w:val="00E409E2"/>
    <w:rsid w:val="00E40CE7"/>
    <w:rsid w:val="00E4150E"/>
    <w:rsid w:val="00E420C8"/>
    <w:rsid w:val="00E42249"/>
    <w:rsid w:val="00E4246E"/>
    <w:rsid w:val="00E42FEC"/>
    <w:rsid w:val="00E464E2"/>
    <w:rsid w:val="00E51042"/>
    <w:rsid w:val="00E51CE4"/>
    <w:rsid w:val="00E5323B"/>
    <w:rsid w:val="00E53AAE"/>
    <w:rsid w:val="00E53C78"/>
    <w:rsid w:val="00E54029"/>
    <w:rsid w:val="00E54AE8"/>
    <w:rsid w:val="00E618D7"/>
    <w:rsid w:val="00E62228"/>
    <w:rsid w:val="00E62921"/>
    <w:rsid w:val="00E6391E"/>
    <w:rsid w:val="00E63F6C"/>
    <w:rsid w:val="00E65A29"/>
    <w:rsid w:val="00E65CBE"/>
    <w:rsid w:val="00E66A2F"/>
    <w:rsid w:val="00E66EA6"/>
    <w:rsid w:val="00E67B26"/>
    <w:rsid w:val="00E67C2C"/>
    <w:rsid w:val="00E703C5"/>
    <w:rsid w:val="00E70643"/>
    <w:rsid w:val="00E71469"/>
    <w:rsid w:val="00E72A8D"/>
    <w:rsid w:val="00E73322"/>
    <w:rsid w:val="00E74859"/>
    <w:rsid w:val="00E75058"/>
    <w:rsid w:val="00E75E52"/>
    <w:rsid w:val="00E765BC"/>
    <w:rsid w:val="00E76DA2"/>
    <w:rsid w:val="00E7770B"/>
    <w:rsid w:val="00E81896"/>
    <w:rsid w:val="00E828CE"/>
    <w:rsid w:val="00E84455"/>
    <w:rsid w:val="00E8475E"/>
    <w:rsid w:val="00E84BDA"/>
    <w:rsid w:val="00E86F65"/>
    <w:rsid w:val="00E877E1"/>
    <w:rsid w:val="00E913E2"/>
    <w:rsid w:val="00E915AA"/>
    <w:rsid w:val="00E925B1"/>
    <w:rsid w:val="00E9316B"/>
    <w:rsid w:val="00E9348C"/>
    <w:rsid w:val="00E936C2"/>
    <w:rsid w:val="00E939E2"/>
    <w:rsid w:val="00E93D08"/>
    <w:rsid w:val="00E940DC"/>
    <w:rsid w:val="00E952FF"/>
    <w:rsid w:val="00E95DD6"/>
    <w:rsid w:val="00E965E9"/>
    <w:rsid w:val="00E96B22"/>
    <w:rsid w:val="00EA0C33"/>
    <w:rsid w:val="00EA0D78"/>
    <w:rsid w:val="00EA25BD"/>
    <w:rsid w:val="00EA26FD"/>
    <w:rsid w:val="00EA2F1F"/>
    <w:rsid w:val="00EA3D9D"/>
    <w:rsid w:val="00EA40DB"/>
    <w:rsid w:val="00EA4941"/>
    <w:rsid w:val="00EA5F30"/>
    <w:rsid w:val="00EB1614"/>
    <w:rsid w:val="00EB3719"/>
    <w:rsid w:val="00EB5FF2"/>
    <w:rsid w:val="00EB666E"/>
    <w:rsid w:val="00EC13FC"/>
    <w:rsid w:val="00EC2F4E"/>
    <w:rsid w:val="00EC4E39"/>
    <w:rsid w:val="00EC5CB6"/>
    <w:rsid w:val="00EC6892"/>
    <w:rsid w:val="00EC7993"/>
    <w:rsid w:val="00EC7D95"/>
    <w:rsid w:val="00ED0285"/>
    <w:rsid w:val="00ED1063"/>
    <w:rsid w:val="00ED1AFE"/>
    <w:rsid w:val="00ED2E15"/>
    <w:rsid w:val="00ED3365"/>
    <w:rsid w:val="00ED3E96"/>
    <w:rsid w:val="00ED467B"/>
    <w:rsid w:val="00ED6D7E"/>
    <w:rsid w:val="00ED6F49"/>
    <w:rsid w:val="00ED7049"/>
    <w:rsid w:val="00ED7FC4"/>
    <w:rsid w:val="00EE1A49"/>
    <w:rsid w:val="00EE2FED"/>
    <w:rsid w:val="00EE332C"/>
    <w:rsid w:val="00EE338B"/>
    <w:rsid w:val="00EE35C3"/>
    <w:rsid w:val="00EE3729"/>
    <w:rsid w:val="00EE438D"/>
    <w:rsid w:val="00EE5CA3"/>
    <w:rsid w:val="00EF0756"/>
    <w:rsid w:val="00EF1749"/>
    <w:rsid w:val="00EF21FB"/>
    <w:rsid w:val="00EF4391"/>
    <w:rsid w:val="00EF5899"/>
    <w:rsid w:val="00F0020A"/>
    <w:rsid w:val="00F00A80"/>
    <w:rsid w:val="00F07221"/>
    <w:rsid w:val="00F072B0"/>
    <w:rsid w:val="00F10BB5"/>
    <w:rsid w:val="00F1130E"/>
    <w:rsid w:val="00F15185"/>
    <w:rsid w:val="00F1643D"/>
    <w:rsid w:val="00F164AD"/>
    <w:rsid w:val="00F16BBC"/>
    <w:rsid w:val="00F173CB"/>
    <w:rsid w:val="00F177FA"/>
    <w:rsid w:val="00F2177A"/>
    <w:rsid w:val="00F21B01"/>
    <w:rsid w:val="00F21D6F"/>
    <w:rsid w:val="00F23183"/>
    <w:rsid w:val="00F2379F"/>
    <w:rsid w:val="00F25B08"/>
    <w:rsid w:val="00F25BED"/>
    <w:rsid w:val="00F30A17"/>
    <w:rsid w:val="00F31940"/>
    <w:rsid w:val="00F31CF2"/>
    <w:rsid w:val="00F324EC"/>
    <w:rsid w:val="00F34D06"/>
    <w:rsid w:val="00F34DA2"/>
    <w:rsid w:val="00F359C3"/>
    <w:rsid w:val="00F35C85"/>
    <w:rsid w:val="00F35D91"/>
    <w:rsid w:val="00F35F0A"/>
    <w:rsid w:val="00F36E22"/>
    <w:rsid w:val="00F37420"/>
    <w:rsid w:val="00F37E75"/>
    <w:rsid w:val="00F41BDB"/>
    <w:rsid w:val="00F445FA"/>
    <w:rsid w:val="00F46ACE"/>
    <w:rsid w:val="00F473FF"/>
    <w:rsid w:val="00F51023"/>
    <w:rsid w:val="00F53A69"/>
    <w:rsid w:val="00F5402B"/>
    <w:rsid w:val="00F56EE8"/>
    <w:rsid w:val="00F60CDE"/>
    <w:rsid w:val="00F61942"/>
    <w:rsid w:val="00F66677"/>
    <w:rsid w:val="00F67EAD"/>
    <w:rsid w:val="00F70415"/>
    <w:rsid w:val="00F713A6"/>
    <w:rsid w:val="00F71F27"/>
    <w:rsid w:val="00F723D4"/>
    <w:rsid w:val="00F743B8"/>
    <w:rsid w:val="00F75036"/>
    <w:rsid w:val="00F758BD"/>
    <w:rsid w:val="00F765DF"/>
    <w:rsid w:val="00F80C4C"/>
    <w:rsid w:val="00F81B7C"/>
    <w:rsid w:val="00F8308B"/>
    <w:rsid w:val="00F83F75"/>
    <w:rsid w:val="00F8528E"/>
    <w:rsid w:val="00F85484"/>
    <w:rsid w:val="00F86C2E"/>
    <w:rsid w:val="00F91377"/>
    <w:rsid w:val="00F92484"/>
    <w:rsid w:val="00F926B8"/>
    <w:rsid w:val="00F93447"/>
    <w:rsid w:val="00F94154"/>
    <w:rsid w:val="00F945E9"/>
    <w:rsid w:val="00F947E6"/>
    <w:rsid w:val="00F94F7E"/>
    <w:rsid w:val="00F956AA"/>
    <w:rsid w:val="00F97F79"/>
    <w:rsid w:val="00FA0946"/>
    <w:rsid w:val="00FA1355"/>
    <w:rsid w:val="00FA1B4F"/>
    <w:rsid w:val="00FA3D21"/>
    <w:rsid w:val="00FA4B88"/>
    <w:rsid w:val="00FA5C2C"/>
    <w:rsid w:val="00FA6D7D"/>
    <w:rsid w:val="00FB01F4"/>
    <w:rsid w:val="00FB0CD7"/>
    <w:rsid w:val="00FB1E52"/>
    <w:rsid w:val="00FB1F78"/>
    <w:rsid w:val="00FB2B65"/>
    <w:rsid w:val="00FB33EB"/>
    <w:rsid w:val="00FB48B4"/>
    <w:rsid w:val="00FB7148"/>
    <w:rsid w:val="00FC1A11"/>
    <w:rsid w:val="00FC3537"/>
    <w:rsid w:val="00FC73AB"/>
    <w:rsid w:val="00FD3FAD"/>
    <w:rsid w:val="00FD5233"/>
    <w:rsid w:val="00FE01EB"/>
    <w:rsid w:val="00FE039C"/>
    <w:rsid w:val="00FE1706"/>
    <w:rsid w:val="00FE1CC0"/>
    <w:rsid w:val="00FE23ED"/>
    <w:rsid w:val="00FE663F"/>
    <w:rsid w:val="00FE739B"/>
    <w:rsid w:val="00FE7A9A"/>
    <w:rsid w:val="00FF16CA"/>
    <w:rsid w:val="00FF3912"/>
    <w:rsid w:val="00FF4E50"/>
    <w:rsid w:val="00FF5C96"/>
    <w:rsid w:val="00FF6A47"/>
    <w:rsid w:val="00FF6E96"/>
    <w:rsid w:val="00FF7677"/>
    <w:rsid w:val="0EC47CAA"/>
    <w:rsid w:val="1741B24E"/>
    <w:rsid w:val="182C25BC"/>
    <w:rsid w:val="239F5114"/>
    <w:rsid w:val="2DAA5164"/>
    <w:rsid w:val="2FBA3059"/>
    <w:rsid w:val="36853373"/>
    <w:rsid w:val="400CB154"/>
    <w:rsid w:val="433C0948"/>
    <w:rsid w:val="4896E3F4"/>
    <w:rsid w:val="7C12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28842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4DA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3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4DA"/>
    <w:pPr>
      <w:keepNext/>
      <w:keepLines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B434DA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Párrafo de lista"/>
    <w:basedOn w:val="Normal"/>
    <w:link w:val="ListParagraphChar"/>
    <w:uiPriority w:val="34"/>
    <w:qFormat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link w:val="TableTextChar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B434DA"/>
    <w:pPr>
      <w:numPr>
        <w:numId w:val="37"/>
      </w:numPr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B434DA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Text"/>
    <w:rsid w:val="00BB4A4F"/>
    <w:pPr>
      <w:numPr>
        <w:ilvl w:val="1"/>
        <w:numId w:val="6"/>
      </w:numPr>
      <w:spacing w:before="0" w:after="0"/>
    </w:pPr>
  </w:style>
  <w:style w:type="paragraph" w:customStyle="1" w:styleId="TableBullet1">
    <w:name w:val="Table Bullet 1"/>
    <w:basedOn w:val="Bulletlist"/>
    <w:qFormat/>
    <w:rsid w:val="00512E38"/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E54029"/>
    <w:rPr>
      <w:color w:val="2B579A"/>
      <w:shd w:val="clear" w:color="auto" w:fill="E6E6E6"/>
    </w:rPr>
  </w:style>
  <w:style w:type="character" w:customStyle="1" w:styleId="TableTextChar">
    <w:name w:val="Table Text Char"/>
    <w:basedOn w:val="DefaultParagraphFont"/>
    <w:link w:val="TableText"/>
    <w:locked/>
    <w:rsid w:val="00F173CB"/>
    <w:rPr>
      <w:rFonts w:ascii="Segoe UI" w:hAnsi="Segoe UI"/>
      <w:sz w:val="20"/>
    </w:rPr>
  </w:style>
  <w:style w:type="character" w:styleId="UnresolvedMention">
    <w:name w:val="Unresolved Mention"/>
    <w:basedOn w:val="DefaultParagraphFont"/>
    <w:uiPriority w:val="99"/>
    <w:unhideWhenUsed/>
    <w:rsid w:val="00B10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1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2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8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ctr"/>
          <a:r>
            <a:rPr lang="en-US" sz="1000" dirty="0">
              <a:latin typeface="Segoe UI" panose="020B0502040204020203" pitchFamily="34" charset="0"/>
              <a:cs typeface="Segoe UI" panose="020B0502040204020203" pitchFamily="34" charset="0"/>
            </a:rPr>
            <a:t>Education</a:t>
          </a:r>
        </a:p>
        <a:p>
          <a:pPr algn="ctr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1 Day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53D7F959-0E41-47BC-B677-075E77C9C479}">
      <dgm:prSet phldrT="[Text]" custT="1"/>
      <dgm:spPr>
        <a:solidFill>
          <a:srgbClr val="008272"/>
        </a:solidFill>
      </dgm:spPr>
      <dgm:t>
        <a:bodyPr/>
        <a:lstStyle/>
        <a:p>
          <a:pPr algn="ctr"/>
          <a:r>
            <a:rPr lang="en-US" sz="1000" dirty="0">
              <a:latin typeface="Segoe UI" panose="020B0502040204020203" pitchFamily="34" charset="0"/>
              <a:cs typeface="Segoe UI" panose="020B0502040204020203" pitchFamily="34" charset="0"/>
            </a:rPr>
            <a:t>Assessment</a:t>
          </a:r>
        </a:p>
        <a:p>
          <a:pPr algn="ctr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6 Days</a:t>
          </a:r>
        </a:p>
      </dgm:t>
    </dgm:pt>
    <dgm:pt modelId="{66C95D98-3098-47EF-A71F-534710AD704D}" type="parTrans" cxnId="{D319FE0A-8DE4-492D-92BE-3BC03224EAF6}">
      <dgm:prSet/>
      <dgm:spPr/>
      <dgm:t>
        <a:bodyPr/>
        <a:lstStyle/>
        <a:p>
          <a:pPr algn="l"/>
          <a:endParaRPr lang="en-US" sz="1000"/>
        </a:p>
      </dgm:t>
    </dgm:pt>
    <dgm:pt modelId="{C54C2300-C6C5-443B-BF72-E5EFA2993239}" type="sibTrans" cxnId="{D319FE0A-8DE4-492D-92BE-3BC03224EAF6}">
      <dgm:prSet/>
      <dgm:spPr/>
      <dgm:t>
        <a:bodyPr/>
        <a:lstStyle/>
        <a:p>
          <a:pPr algn="l"/>
          <a:endParaRPr lang="en-US" sz="1000"/>
        </a:p>
      </dgm:t>
    </dgm:pt>
    <dgm:pt modelId="{44518100-2369-4B4F-96CB-CFABD8A1E03D}">
      <dgm:prSet phldrT="[Text]" custT="1"/>
      <dgm:spPr>
        <a:solidFill>
          <a:srgbClr val="008272"/>
        </a:solidFill>
      </dgm:spPr>
      <dgm:t>
        <a:bodyPr/>
        <a:lstStyle/>
        <a:p>
          <a:pPr algn="ctr"/>
          <a:r>
            <a:rPr lang="en-US" sz="1000" dirty="0">
              <a:latin typeface="Segoe UI" panose="020B0502040204020203" pitchFamily="34" charset="0"/>
              <a:cs typeface="Segoe UI" panose="020B0502040204020203" pitchFamily="34" charset="0"/>
            </a:rPr>
            <a:t>Review </a:t>
          </a:r>
        </a:p>
        <a:p>
          <a:pPr algn="ctr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3 Day</a:t>
          </a:r>
        </a:p>
      </dgm:t>
    </dgm:pt>
    <dgm:pt modelId="{8EF10DF0-2087-49EE-8C4A-494871BE15C0}" type="parTrans" cxnId="{78DAB8CF-B256-44C8-AC60-F39E0CC9BF41}">
      <dgm:prSet/>
      <dgm:spPr/>
      <dgm:t>
        <a:bodyPr/>
        <a:lstStyle/>
        <a:p>
          <a:pPr algn="l"/>
          <a:endParaRPr lang="en-US" sz="1000"/>
        </a:p>
      </dgm:t>
    </dgm:pt>
    <dgm:pt modelId="{1DCE4FD4-96B0-41F5-967E-8F1B023BD0C7}" type="sibTrans" cxnId="{78DAB8CF-B256-44C8-AC60-F39E0CC9BF41}">
      <dgm:prSet/>
      <dgm:spPr/>
      <dgm:t>
        <a:bodyPr/>
        <a:lstStyle/>
        <a:p>
          <a:pPr algn="l"/>
          <a:endParaRPr lang="en-US" sz="1000"/>
        </a:p>
      </dgm:t>
    </dgm:pt>
    <dgm:pt modelId="{271DE7CA-4BC1-4814-B04B-72FDBC1582D9}">
      <dgm:prSet custT="1"/>
      <dgm:spPr/>
      <dgm:t>
        <a:bodyPr/>
        <a:lstStyle/>
        <a:p>
          <a:r>
            <a:rPr lang="en-US" sz="1050">
              <a:latin typeface="Segoe UI" panose="020B0502040204020203" pitchFamily="34" charset="0"/>
              <a:cs typeface="Segoe UI" panose="020B0502040204020203" pitchFamily="34" charset="0"/>
            </a:rPr>
            <a:t>Engagement initiation</a:t>
          </a:r>
        </a:p>
        <a:p>
          <a:r>
            <a:rPr lang="en-US" sz="1050">
              <a:latin typeface="Segoe UI" panose="020B0502040204020203" pitchFamily="34" charset="0"/>
              <a:cs typeface="Segoe UI" panose="020B0502040204020203" pitchFamily="34" charset="0"/>
            </a:rPr>
            <a:t>(1 week prior to kickoff)</a:t>
          </a:r>
        </a:p>
      </dgm:t>
    </dgm:pt>
    <dgm:pt modelId="{50B08BC7-1741-4DCC-A494-B263A63B1109}" type="parTrans" cxnId="{608B2C92-5D93-45B5-8990-CA8D3E09CEA6}">
      <dgm:prSet/>
      <dgm:spPr/>
      <dgm:t>
        <a:bodyPr/>
        <a:lstStyle/>
        <a:p>
          <a:endParaRPr lang="en-US"/>
        </a:p>
      </dgm:t>
    </dgm:pt>
    <dgm:pt modelId="{56B2C131-FD6E-4FA3-AA96-6E6ABA69A30D}" type="sibTrans" cxnId="{608B2C92-5D93-45B5-8990-CA8D3E09CEA6}">
      <dgm:prSet/>
      <dgm:spPr/>
      <dgm:t>
        <a:bodyPr/>
        <a:lstStyle/>
        <a:p>
          <a:endParaRPr lang="en-US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987CAC34-CDC4-44C5-B688-657668E04070}" type="pres">
      <dgm:prSet presAssocID="{271DE7CA-4BC1-4814-B04B-72FDBC1582D9}" presName="parTxOnly" presStyleLbl="node1" presStyleIdx="0" presStyleCnt="4">
        <dgm:presLayoutVars>
          <dgm:bulletEnabled val="1"/>
        </dgm:presLayoutVars>
      </dgm:prSet>
      <dgm:spPr/>
    </dgm:pt>
    <dgm:pt modelId="{70DE26FA-A415-47EA-B5E5-474881C1E4A6}" type="pres">
      <dgm:prSet presAssocID="{56B2C131-FD6E-4FA3-AA96-6E6ABA69A30D}" presName="parSpace" presStyleCnt="0"/>
      <dgm:spPr/>
    </dgm:pt>
    <dgm:pt modelId="{F9ACCFCF-6137-4304-A781-5056DC56EEDC}" type="pres">
      <dgm:prSet presAssocID="{1CF11602-05C2-4784-A89A-3EB38E4BDAB1}" presName="parTxOnly" presStyleLbl="node1" presStyleIdx="1" presStyleCnt="4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022198C4-94E6-41BC-965A-01324E1D21D6}" type="pres">
      <dgm:prSet presAssocID="{53D7F959-0E41-47BC-B677-075E77C9C479}" presName="parTxOnly" presStyleLbl="node1" presStyleIdx="2" presStyleCnt="4">
        <dgm:presLayoutVars>
          <dgm:bulletEnabled val="1"/>
        </dgm:presLayoutVars>
      </dgm:prSet>
      <dgm:spPr/>
    </dgm:pt>
    <dgm:pt modelId="{56209B5B-BFAF-4BC9-BD99-66CD947C3008}" type="pres">
      <dgm:prSet presAssocID="{C54C2300-C6C5-443B-BF72-E5EFA2993239}" presName="parSpace" presStyleCnt="0"/>
      <dgm:spPr/>
    </dgm:pt>
    <dgm:pt modelId="{1B6D4189-1DFC-45EE-8E69-EC935AD595A1}" type="pres">
      <dgm:prSet presAssocID="{44518100-2369-4B4F-96CB-CFABD8A1E03D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D319FE0A-8DE4-492D-92BE-3BC03224EAF6}" srcId="{61E46EC6-57B4-4B7F-BC5C-4C518199A8E5}" destId="{53D7F959-0E41-47BC-B677-075E77C9C479}" srcOrd="2" destOrd="0" parTransId="{66C95D98-3098-47EF-A71F-534710AD704D}" sibTransId="{C54C2300-C6C5-443B-BF72-E5EFA2993239}"/>
    <dgm:cxn modelId="{3850C929-CAA5-4F95-8448-E6DD88A09FEF}" type="presOf" srcId="{44518100-2369-4B4F-96CB-CFABD8A1E03D}" destId="{1B6D4189-1DFC-45EE-8E69-EC935AD595A1}" srcOrd="0" destOrd="0" presId="urn:microsoft.com/office/officeart/2005/8/layout/hChevron3"/>
    <dgm:cxn modelId="{273FD464-CAA4-461E-B0B0-B41A044C17C9}" type="presOf" srcId="{53D7F959-0E41-47BC-B677-075E77C9C479}" destId="{022198C4-94E6-41BC-965A-01324E1D21D6}" srcOrd="0" destOrd="0" presId="urn:microsoft.com/office/officeart/2005/8/layout/hChevron3"/>
    <dgm:cxn modelId="{608B2C92-5D93-45B5-8990-CA8D3E09CEA6}" srcId="{61E46EC6-57B4-4B7F-BC5C-4C518199A8E5}" destId="{271DE7CA-4BC1-4814-B04B-72FDBC1582D9}" srcOrd="0" destOrd="0" parTransId="{50B08BC7-1741-4DCC-A494-B263A63B1109}" sibTransId="{56B2C131-FD6E-4FA3-AA96-6E6ABA69A30D}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D2905BAB-F7FA-4A7F-8736-A4058923F1A6}" type="presOf" srcId="{271DE7CA-4BC1-4814-B04B-72FDBC1582D9}" destId="{987CAC34-CDC4-44C5-B688-657668E04070}" srcOrd="0" destOrd="0" presId="urn:microsoft.com/office/officeart/2005/8/layout/hChevron3"/>
    <dgm:cxn modelId="{78DAB8CF-B256-44C8-AC60-F39E0CC9BF41}" srcId="{61E46EC6-57B4-4B7F-BC5C-4C518199A8E5}" destId="{44518100-2369-4B4F-96CB-CFABD8A1E03D}" srcOrd="3" destOrd="0" parTransId="{8EF10DF0-2087-49EE-8C4A-494871BE15C0}" sibTransId="{1DCE4FD4-96B0-41F5-967E-8F1B023BD0C7}"/>
    <dgm:cxn modelId="{7017B9DC-8069-4A67-8A9D-35BB5483DB47}" srcId="{61E46EC6-57B4-4B7F-BC5C-4C518199A8E5}" destId="{1CF11602-05C2-4784-A89A-3EB38E4BDAB1}" srcOrd="1" destOrd="0" parTransId="{0C7898AE-956E-4299-B557-B8567BB9D6D7}" sibTransId="{C8D1416F-FDD7-4F2A-A128-D05D37B9C397}"/>
    <dgm:cxn modelId="{B418BFF3-B034-421F-85E7-5B8CA71203AB}" type="presParOf" srcId="{3F7B5799-7635-47FC-9C94-5E0EBC20D49C}" destId="{987CAC34-CDC4-44C5-B688-657668E04070}" srcOrd="0" destOrd="0" presId="urn:microsoft.com/office/officeart/2005/8/layout/hChevron3"/>
    <dgm:cxn modelId="{8764DCB1-D1AA-4753-9107-878885AD095D}" type="presParOf" srcId="{3F7B5799-7635-47FC-9C94-5E0EBC20D49C}" destId="{70DE26FA-A415-47EA-B5E5-474881C1E4A6}" srcOrd="1" destOrd="0" presId="urn:microsoft.com/office/officeart/2005/8/layout/hChevron3"/>
    <dgm:cxn modelId="{0230FB4A-AB04-40EA-B34E-2B1962E03566}" type="presParOf" srcId="{3F7B5799-7635-47FC-9C94-5E0EBC20D49C}" destId="{F9ACCFCF-6137-4304-A781-5056DC56EEDC}" srcOrd="2" destOrd="0" presId="urn:microsoft.com/office/officeart/2005/8/layout/hChevron3"/>
    <dgm:cxn modelId="{AFFBA2F5-6C32-4008-951A-3C1DC70A721A}" type="presParOf" srcId="{3F7B5799-7635-47FC-9C94-5E0EBC20D49C}" destId="{3DD1044D-2311-46BD-9510-EF7F0027816F}" srcOrd="3" destOrd="0" presId="urn:microsoft.com/office/officeart/2005/8/layout/hChevron3"/>
    <dgm:cxn modelId="{E76F3BBC-AD00-4656-B704-C734C814968D}" type="presParOf" srcId="{3F7B5799-7635-47FC-9C94-5E0EBC20D49C}" destId="{022198C4-94E6-41BC-965A-01324E1D21D6}" srcOrd="4" destOrd="0" presId="urn:microsoft.com/office/officeart/2005/8/layout/hChevron3"/>
    <dgm:cxn modelId="{72D70F88-20E9-481D-989C-D005528D1A3E}" type="presParOf" srcId="{3F7B5799-7635-47FC-9C94-5E0EBC20D49C}" destId="{56209B5B-BFAF-4BC9-BD99-66CD947C3008}" srcOrd="5" destOrd="0" presId="urn:microsoft.com/office/officeart/2005/8/layout/hChevron3"/>
    <dgm:cxn modelId="{70FCB49E-FA00-4246-A063-61CB809E3EBE}" type="presParOf" srcId="{3F7B5799-7635-47FC-9C94-5E0EBC20D49C}" destId="{1B6D4189-1DFC-45EE-8E69-EC935AD595A1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7CAC34-CDC4-44C5-B688-657668E04070}">
      <dsp:nvSpPr>
        <dsp:cNvPr id="0" name=""/>
        <dsp:cNvSpPr/>
      </dsp:nvSpPr>
      <dsp:spPr>
        <a:xfrm>
          <a:off x="1670" y="79664"/>
          <a:ext cx="1676537" cy="67061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674" tIns="29337" rIns="14669" bIns="29337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Segoe UI" panose="020B0502040204020203" pitchFamily="34" charset="0"/>
              <a:cs typeface="Segoe UI" panose="020B0502040204020203" pitchFamily="34" charset="0"/>
            </a:rPr>
            <a:t>Engagement initiation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>
              <a:latin typeface="Segoe UI" panose="020B0502040204020203" pitchFamily="34" charset="0"/>
              <a:cs typeface="Segoe UI" panose="020B0502040204020203" pitchFamily="34" charset="0"/>
            </a:rPr>
            <a:t>(1 week prior to kickoff)</a:t>
          </a:r>
        </a:p>
      </dsp:txBody>
      <dsp:txXfrm>
        <a:off x="1670" y="79664"/>
        <a:ext cx="1508883" cy="670615"/>
      </dsp:txXfrm>
    </dsp:sp>
    <dsp:sp modelId="{F9ACCFCF-6137-4304-A781-5056DC56EEDC}">
      <dsp:nvSpPr>
        <dsp:cNvPr id="0" name=""/>
        <dsp:cNvSpPr/>
      </dsp:nvSpPr>
      <dsp:spPr>
        <a:xfrm>
          <a:off x="1342901" y="79664"/>
          <a:ext cx="1676537" cy="670615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Segoe UI" panose="020B0502040204020203" pitchFamily="34" charset="0"/>
              <a:cs typeface="Segoe UI" panose="020B0502040204020203" pitchFamily="34" charset="0"/>
            </a:rPr>
            <a:t>Education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1 Day</a:t>
          </a:r>
        </a:p>
      </dsp:txBody>
      <dsp:txXfrm>
        <a:off x="1678209" y="79664"/>
        <a:ext cx="1005922" cy="670615"/>
      </dsp:txXfrm>
    </dsp:sp>
    <dsp:sp modelId="{022198C4-94E6-41BC-965A-01324E1D21D6}">
      <dsp:nvSpPr>
        <dsp:cNvPr id="0" name=""/>
        <dsp:cNvSpPr/>
      </dsp:nvSpPr>
      <dsp:spPr>
        <a:xfrm>
          <a:off x="2684131" y="79664"/>
          <a:ext cx="1676537" cy="670615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Segoe UI" panose="020B0502040204020203" pitchFamily="34" charset="0"/>
              <a:cs typeface="Segoe UI" panose="020B0502040204020203" pitchFamily="34" charset="0"/>
            </a:rPr>
            <a:t>Assessment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6 Days</a:t>
          </a:r>
        </a:p>
      </dsp:txBody>
      <dsp:txXfrm>
        <a:off x="3019439" y="79664"/>
        <a:ext cx="1005922" cy="670615"/>
      </dsp:txXfrm>
    </dsp:sp>
    <dsp:sp modelId="{1B6D4189-1DFC-45EE-8E69-EC935AD595A1}">
      <dsp:nvSpPr>
        <dsp:cNvPr id="0" name=""/>
        <dsp:cNvSpPr/>
      </dsp:nvSpPr>
      <dsp:spPr>
        <a:xfrm>
          <a:off x="4025361" y="79664"/>
          <a:ext cx="1676537" cy="670615"/>
        </a:xfrm>
        <a:prstGeom prst="chevron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005" tIns="26670" rIns="13335" bIns="2667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Segoe UI" panose="020B0502040204020203" pitchFamily="34" charset="0"/>
              <a:cs typeface="Segoe UI" panose="020B0502040204020203" pitchFamily="34" charset="0"/>
            </a:rPr>
            <a:t>Review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3 Day</a:t>
          </a:r>
        </a:p>
      </dsp:txBody>
      <dsp:txXfrm>
        <a:off x="4360669" y="79664"/>
        <a:ext cx="1005922" cy="6706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c8831e79-45ca-49a6-932b-0c7b060f5ae7" xsi:nil="true"/>
  </documentManagement>
</p:properties>
</file>

<file path=customXml/itemProps1.xml><?xml version="1.0" encoding="utf-8"?>
<ds:datastoreItem xmlns:ds="http://schemas.openxmlformats.org/officeDocument/2006/customXml" ds:itemID="{2C2B4885-D132-43C4-B22F-EB3D1AD86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F2F728-856D-4FA6-B27C-459A59DD6815}"/>
</file>

<file path=customXml/itemProps3.xml><?xml version="1.0" encoding="utf-8"?>
<ds:datastoreItem xmlns:ds="http://schemas.openxmlformats.org/officeDocument/2006/customXml" ds:itemID="{9FE06375-3089-408E-B9EF-E07A042A50E9}"/>
</file>

<file path=customXml/itemProps4.xml><?xml version="1.0" encoding="utf-8"?>
<ds:datastoreItem xmlns:ds="http://schemas.openxmlformats.org/officeDocument/2006/customXml" ds:itemID="{2CFD9D93-38C3-462A-9DBB-CA6CD40B78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3420</Words>
  <Characters>19495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2020-06-22T17:06:00Z</dcterms:created>
  <dcterms:modified xsi:type="dcterms:W3CDTF">2020-06-22T17:06:00Z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70</vt:lpwstr>
  </property>
  <property fmtid="{D5CDD505-2E9C-101B-9397-08002B2CF9AE}" pid="3" name="MSIP_Label_f42aa342-8706-4288-bd11-ebb85995028c_Application">
    <vt:lpwstr>Microsoft Azure Information Protection</vt:lpwstr>
  </property>
  <property fmtid="{D5CDD505-2E9C-101B-9397-08002B2CF9AE}" pid="4" name="AuthorIds_UIVersion_3072">
    <vt:lpwstr>70</vt:lpwstr>
  </property>
  <property fmtid="{D5CDD505-2E9C-101B-9397-08002B2CF9AE}" pid="5" name="Sensitivity">
    <vt:lpwstr>General</vt:lpwstr>
  </property>
  <property fmtid="{D5CDD505-2E9C-101B-9397-08002B2CF9AE}" pid="6" name="AuthorIds_UIVersion_6656">
    <vt:lpwstr>2372</vt:lpwstr>
  </property>
  <property fmtid="{D5CDD505-2E9C-101B-9397-08002B2CF9AE}" pid="7" name="MSIP_Label_f42aa342-8706-4288-bd11-ebb85995028c_Enabled">
    <vt:lpwstr>True</vt:lpwstr>
  </property>
  <property fmtid="{D5CDD505-2E9C-101B-9397-08002B2CF9AE}" pid="8" name="ContentTypeId">
    <vt:lpwstr>0x0101004CEC02E0258A27448A29FB0FC0148545</vt:lpwstr>
  </property>
  <property fmtid="{D5CDD505-2E9C-101B-9397-08002B2CF9AE}" pid="9" name="AuthorIds_UIVersion_30208">
    <vt:lpwstr>70</vt:lpwstr>
  </property>
  <property fmtid="{D5CDD505-2E9C-101B-9397-08002B2CF9AE}" pid="10" name="MSIP_Label_f42aa342-8706-4288-bd11-ebb85995028c_SetDate">
    <vt:lpwstr>2019-02-08T22:43:39.0532134Z</vt:lpwstr>
  </property>
  <property fmtid="{D5CDD505-2E9C-101B-9397-08002B2CF9AE}" pid="11" name="MSIP_Label_f42aa342-8706-4288-bd11-ebb85995028c_Name">
    <vt:lpwstr>General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MSIP_Label_f42aa342-8706-4288-bd11-ebb85995028c_Extended_MSFT_Method">
    <vt:lpwstr>Automatic</vt:lpwstr>
  </property>
  <property fmtid="{D5CDD505-2E9C-101B-9397-08002B2CF9AE}" pid="14" name="MSIP_Label_f42aa342-8706-4288-bd11-ebb85995028c_ActionId">
    <vt:lpwstr>cffa4ce3-b96f-4fa7-a97f-79ba3bcd232a</vt:lpwstr>
  </property>
  <property fmtid="{D5CDD505-2E9C-101B-9397-08002B2CF9AE}" pid="15" name="AuthorIds_UIVersion_5120">
    <vt:lpwstr>70</vt:lpwstr>
  </property>
  <property fmtid="{D5CDD505-2E9C-101B-9397-08002B2CF9AE}" pid="16" name="MSIP_Label_f42aa342-8706-4288-bd11-ebb85995028c_Owner">
    <vt:lpwstr>kiwatana@microsoft.com</vt:lpwstr>
  </property>
</Properties>
</file>