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diagrams/layout1.xml" ContentType="application/vnd.openxmlformats-officedocument.drawingml.diagramLayout+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DC8EC" w14:textId="77777777" w:rsidR="00985694" w:rsidRPr="009E799D" w:rsidRDefault="00985694">
      <w:pPr>
        <w:spacing w:after="0"/>
        <w:rPr>
          <w:sz w:val="2"/>
          <w:szCs w:val="2"/>
        </w:rPr>
      </w:pPr>
      <w:bookmarkStart w:id="0" w:name="_Hlk35513237"/>
    </w:p>
    <w:p w14:paraId="7081D9BA" w14:textId="77777777" w:rsidR="00985694" w:rsidRPr="009E799D" w:rsidRDefault="00985694"/>
    <w:p w14:paraId="408AA629" w14:textId="77777777" w:rsidR="00985694" w:rsidRPr="009E799D" w:rsidRDefault="00985694"/>
    <w:p w14:paraId="22155AD2" w14:textId="77777777" w:rsidR="00985694" w:rsidRPr="009E799D" w:rsidRDefault="00985694"/>
    <w:p w14:paraId="284A01A8" w14:textId="77777777" w:rsidR="00985694" w:rsidRPr="009E799D" w:rsidRDefault="00985694"/>
    <w:p w14:paraId="3A2E5BEE" w14:textId="77777777" w:rsidR="00985694" w:rsidRPr="009E799D" w:rsidRDefault="00DD01E5">
      <w:r w:rsidRPr="009E799D">
        <w:rPr>
          <w:noProof/>
          <w:sz w:val="2"/>
          <w:szCs w:val="2"/>
          <w:lang w:eastAsia="ja-JP"/>
        </w:rPr>
        <mc:AlternateContent>
          <mc:Choice Requires="wps">
            <w:drawing>
              <wp:anchor distT="0" distB="0" distL="114300" distR="114300" simplePos="0" relativeHeight="251658240" behindDoc="0" locked="0" layoutInCell="1" allowOverlap="1" wp14:anchorId="1EC051F6" wp14:editId="5314FB72">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22FF5810" w14:textId="77777777" w:rsidR="00F45458" w:rsidRDefault="00F45458">
                            <w:pPr>
                              <w:pStyle w:val="Heading1"/>
                              <w:numPr>
                                <w:ilvl w:val="0"/>
                                <w:numId w:val="0"/>
                              </w:numPr>
                              <w:spacing w:before="134"/>
                            </w:pPr>
                            <w:bookmarkStart w:id="1" w:name="_Toc475028472"/>
                            <w:bookmarkStart w:id="2" w:name="_Toc476167700"/>
                            <w:bookmarkEnd w:id="1"/>
                            <w:bookmarkEnd w:id="2"/>
                          </w:p>
                          <w:p w14:paraId="38E2151C" w14:textId="77777777" w:rsidR="00F45458" w:rsidRDefault="00F45458">
                            <w:pPr>
                              <w:spacing w:before="67" w:after="67"/>
                              <w:ind w:left="403"/>
                              <w:rPr>
                                <w:color w:val="FFFFFF" w:themeColor="background1"/>
                                <w:sz w:val="72"/>
                              </w:rPr>
                            </w:pPr>
                            <w:r>
                              <w:rPr>
                                <w:color w:val="FFFFFF" w:themeColor="background1"/>
                                <w:sz w:val="72"/>
                              </w:rPr>
                              <w:t>Statement of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C051F6"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22FF5810" w14:textId="77777777" w:rsidR="00F45458" w:rsidRDefault="00F45458">
                      <w:pPr>
                        <w:pStyle w:val="Heading1"/>
                        <w:numPr>
                          <w:ilvl w:val="0"/>
                          <w:numId w:val="0"/>
                        </w:numPr>
                        <w:spacing w:before="134"/>
                      </w:pPr>
                      <w:bookmarkStart w:id="3" w:name="_Toc475028472"/>
                      <w:bookmarkStart w:id="4" w:name="_Toc476167700"/>
                      <w:bookmarkEnd w:id="3"/>
                      <w:bookmarkEnd w:id="4"/>
                    </w:p>
                    <w:p w14:paraId="38E2151C" w14:textId="77777777" w:rsidR="00F45458" w:rsidRDefault="00F45458">
                      <w:pPr>
                        <w:spacing w:before="67" w:after="67"/>
                        <w:ind w:left="403"/>
                        <w:rPr>
                          <w:color w:val="FFFFFF" w:themeColor="background1"/>
                          <w:sz w:val="72"/>
                        </w:rPr>
                      </w:pPr>
                      <w:r>
                        <w:rPr>
                          <w:color w:val="FFFFFF" w:themeColor="background1"/>
                          <w:sz w:val="72"/>
                        </w:rPr>
                        <w:t>Statement of Work</w:t>
                      </w:r>
                    </w:p>
                  </w:txbxContent>
                </v:textbox>
                <w10:wrap type="topAndBottom" anchorx="page"/>
              </v:shape>
            </w:pict>
          </mc:Fallback>
        </mc:AlternateContent>
      </w:r>
    </w:p>
    <w:p w14:paraId="1F898165" w14:textId="77777777" w:rsidR="00985694" w:rsidRPr="009E799D" w:rsidRDefault="00985694"/>
    <w:p w14:paraId="1E4F3177" w14:textId="63DB0BB6" w:rsidR="00985694" w:rsidRPr="009E799D" w:rsidRDefault="00147C57">
      <w:pPr>
        <w:rPr>
          <w:rFonts w:ascii="Segoe UI Semibold" w:hAnsi="Segoe UI Semibold" w:cs="Segoe UI Semibold"/>
          <w:color w:val="008272"/>
          <w:sz w:val="32"/>
        </w:rPr>
      </w:pPr>
      <w:r>
        <w:rPr>
          <w:rFonts w:ascii="Segoe UI Semibold" w:hAnsi="Segoe UI Semibold" w:cs="Segoe UI Semibold"/>
          <w:color w:val="008272"/>
          <w:sz w:val="32"/>
        </w:rPr>
        <w:t>Rapid Identity &amp; Security Enablement (RISE)</w:t>
      </w:r>
    </w:p>
    <w:p w14:paraId="5F2963CB" w14:textId="77777777" w:rsidR="00985694" w:rsidRPr="009E799D" w:rsidRDefault="00985694"/>
    <w:p w14:paraId="51E63A1D" w14:textId="77777777" w:rsidR="00985694" w:rsidRPr="00B61065" w:rsidRDefault="00DD01E5">
      <w:pPr>
        <w:rPr>
          <w:lang w:val="fr-CA"/>
        </w:rPr>
      </w:pPr>
      <w:proofErr w:type="spellStart"/>
      <w:r w:rsidRPr="00B61065">
        <w:rPr>
          <w:lang w:val="fr-CA"/>
        </w:rPr>
        <w:t>Prepared</w:t>
      </w:r>
      <w:proofErr w:type="spellEnd"/>
      <w:r w:rsidRPr="00B61065">
        <w:rPr>
          <w:lang w:val="fr-CA"/>
        </w:rPr>
        <w:t xml:space="preserve"> for</w:t>
      </w:r>
    </w:p>
    <w:p w14:paraId="08503C6F" w14:textId="3AE66BBE" w:rsidR="00985694" w:rsidRPr="00B61065" w:rsidRDefault="00985694">
      <w:pPr>
        <w:pStyle w:val="Instructional"/>
        <w:rPr>
          <w:i w:val="0"/>
          <w:color w:val="auto"/>
          <w:lang w:val="fr-CA"/>
        </w:rPr>
      </w:pPr>
    </w:p>
    <w:p w14:paraId="092B3642" w14:textId="77777777" w:rsidR="00985694" w:rsidRPr="00B61065" w:rsidRDefault="00985694">
      <w:pPr>
        <w:rPr>
          <w:lang w:val="fr-CA"/>
        </w:rPr>
      </w:pPr>
    </w:p>
    <w:p w14:paraId="59CD43D6" w14:textId="77777777" w:rsidR="00985694" w:rsidRPr="009E799D" w:rsidRDefault="00DD01E5">
      <w:r w:rsidRPr="009E799D">
        <w:t>Prepared by</w:t>
      </w:r>
    </w:p>
    <w:p w14:paraId="32C593F6" w14:textId="77777777" w:rsidR="00985694" w:rsidRPr="009E799D" w:rsidRDefault="00985694"/>
    <w:p w14:paraId="60CA0DCC" w14:textId="7B895241" w:rsidR="00985694" w:rsidRPr="009E799D" w:rsidRDefault="00DD01E5">
      <w:r w:rsidRPr="009E799D">
        <w:t>Date:</w:t>
      </w:r>
      <w:r w:rsidR="00BE40F3">
        <w:t xml:space="preserve"> April 9</w:t>
      </w:r>
      <w:r w:rsidR="00BE40F3" w:rsidRPr="00BE40F3">
        <w:rPr>
          <w:vertAlign w:val="superscript"/>
        </w:rPr>
        <w:t>th</w:t>
      </w:r>
      <w:proofErr w:type="gramStart"/>
      <w:r w:rsidR="00BE40F3">
        <w:t xml:space="preserve"> 2020</w:t>
      </w:r>
      <w:proofErr w:type="gramEnd"/>
    </w:p>
    <w:p w14:paraId="42802540" w14:textId="1C0B795C" w:rsidR="00985694" w:rsidRPr="00A757B5" w:rsidRDefault="00DD01E5">
      <w:pPr>
        <w:rPr>
          <w:rStyle w:val="InstructionalChar"/>
          <w:i w:val="0"/>
          <w:color w:val="auto"/>
        </w:rPr>
      </w:pPr>
      <w:r w:rsidRPr="00A757B5">
        <w:t>Version</w:t>
      </w:r>
      <w:r w:rsidR="003203FC" w:rsidRPr="00A757B5">
        <w:rPr>
          <w:rStyle w:val="InstructionalChar"/>
          <w:color w:val="auto"/>
        </w:rPr>
        <w:t>: 1.0</w:t>
      </w:r>
    </w:p>
    <w:p w14:paraId="4921CF6F" w14:textId="77777777" w:rsidR="00985694" w:rsidRPr="009E799D" w:rsidRDefault="00985694"/>
    <w:p w14:paraId="311F9E3B" w14:textId="77777777" w:rsidR="00985694" w:rsidRPr="009E799D" w:rsidRDefault="00985694">
      <w:pPr>
        <w:sectPr w:rsidR="00985694" w:rsidRPr="009E799D">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25060D29" w14:textId="77777777" w:rsidR="00985694" w:rsidRPr="009E799D" w:rsidRDefault="00DD01E5">
          <w:pPr>
            <w:pStyle w:val="TOCHeading"/>
            <w:numPr>
              <w:ilvl w:val="0"/>
              <w:numId w:val="0"/>
            </w:numPr>
            <w:ind w:left="360" w:hanging="360"/>
          </w:pPr>
          <w:r w:rsidRPr="009E799D">
            <w:t>Table of contents</w:t>
          </w:r>
        </w:p>
        <w:p w14:paraId="706A6523" w14:textId="0DAE723B" w:rsidR="00466CA6" w:rsidRDefault="00DD01E5">
          <w:pPr>
            <w:pStyle w:val="TOC1"/>
            <w:rPr>
              <w:rFonts w:asciiTheme="minorHAnsi" w:eastAsiaTheme="minorEastAsia" w:hAnsiTheme="minorHAnsi"/>
              <w:noProof/>
              <w:sz w:val="22"/>
              <w:lang w:val="en-CA" w:eastAsia="en-CA"/>
            </w:rPr>
          </w:pPr>
          <w:r w:rsidRPr="009E799D">
            <w:fldChar w:fldCharType="begin"/>
          </w:r>
          <w:r w:rsidRPr="009E799D">
            <w:instrText xml:space="preserve"> TOC \o "1-2" \h \z \u </w:instrText>
          </w:r>
          <w:r w:rsidRPr="009E799D">
            <w:fldChar w:fldCharType="separate"/>
          </w:r>
          <w:hyperlink w:anchor="_Toc37330254" w:history="1">
            <w:r w:rsidR="00466CA6" w:rsidRPr="00BA4F79">
              <w:rPr>
                <w:rStyle w:val="Hyperlink"/>
                <w:noProof/>
              </w:rPr>
              <w:t>Introduction</w:t>
            </w:r>
            <w:r w:rsidR="00466CA6">
              <w:rPr>
                <w:noProof/>
                <w:webHidden/>
              </w:rPr>
              <w:tab/>
            </w:r>
            <w:r w:rsidR="00466CA6">
              <w:rPr>
                <w:noProof/>
                <w:webHidden/>
              </w:rPr>
              <w:fldChar w:fldCharType="begin"/>
            </w:r>
            <w:r w:rsidR="00466CA6">
              <w:rPr>
                <w:noProof/>
                <w:webHidden/>
              </w:rPr>
              <w:instrText xml:space="preserve"> PAGEREF _Toc37330254 \h </w:instrText>
            </w:r>
            <w:r w:rsidR="00466CA6">
              <w:rPr>
                <w:noProof/>
                <w:webHidden/>
              </w:rPr>
            </w:r>
            <w:r w:rsidR="00466CA6">
              <w:rPr>
                <w:noProof/>
                <w:webHidden/>
              </w:rPr>
              <w:fldChar w:fldCharType="separate"/>
            </w:r>
            <w:r w:rsidR="00466CA6">
              <w:rPr>
                <w:noProof/>
                <w:webHidden/>
              </w:rPr>
              <w:t>1</w:t>
            </w:r>
            <w:r w:rsidR="00466CA6">
              <w:rPr>
                <w:noProof/>
                <w:webHidden/>
              </w:rPr>
              <w:fldChar w:fldCharType="end"/>
            </w:r>
          </w:hyperlink>
        </w:p>
        <w:p w14:paraId="3CB6EE0B" w14:textId="51AEE7F0" w:rsidR="00466CA6" w:rsidRDefault="0083016F">
          <w:pPr>
            <w:pStyle w:val="TOC1"/>
            <w:rPr>
              <w:rFonts w:asciiTheme="minorHAnsi" w:eastAsiaTheme="minorEastAsia" w:hAnsiTheme="minorHAnsi"/>
              <w:noProof/>
              <w:sz w:val="22"/>
              <w:lang w:val="en-CA" w:eastAsia="en-CA"/>
            </w:rPr>
          </w:pPr>
          <w:hyperlink w:anchor="_Toc37330255" w:history="1">
            <w:r w:rsidR="00466CA6" w:rsidRPr="00BA4F79">
              <w:rPr>
                <w:rStyle w:val="Hyperlink"/>
                <w:noProof/>
              </w:rPr>
              <w:t>1.</w:t>
            </w:r>
            <w:r w:rsidR="00466CA6">
              <w:rPr>
                <w:rFonts w:asciiTheme="minorHAnsi" w:eastAsiaTheme="minorEastAsia" w:hAnsiTheme="minorHAnsi"/>
                <w:noProof/>
                <w:sz w:val="22"/>
                <w:lang w:val="en-CA" w:eastAsia="en-CA"/>
              </w:rPr>
              <w:tab/>
            </w:r>
            <w:r w:rsidR="00466CA6" w:rsidRPr="00BA4F79">
              <w:rPr>
                <w:rStyle w:val="Hyperlink"/>
                <w:noProof/>
              </w:rPr>
              <w:t>Project objectives and scope</w:t>
            </w:r>
            <w:r w:rsidR="00466CA6">
              <w:rPr>
                <w:noProof/>
                <w:webHidden/>
              </w:rPr>
              <w:tab/>
            </w:r>
            <w:r w:rsidR="00466CA6">
              <w:rPr>
                <w:noProof/>
                <w:webHidden/>
              </w:rPr>
              <w:fldChar w:fldCharType="begin"/>
            </w:r>
            <w:r w:rsidR="00466CA6">
              <w:rPr>
                <w:noProof/>
                <w:webHidden/>
              </w:rPr>
              <w:instrText xml:space="preserve"> PAGEREF _Toc37330255 \h </w:instrText>
            </w:r>
            <w:r w:rsidR="00466CA6">
              <w:rPr>
                <w:noProof/>
                <w:webHidden/>
              </w:rPr>
            </w:r>
            <w:r w:rsidR="00466CA6">
              <w:rPr>
                <w:noProof/>
                <w:webHidden/>
              </w:rPr>
              <w:fldChar w:fldCharType="separate"/>
            </w:r>
            <w:r w:rsidR="00466CA6">
              <w:rPr>
                <w:noProof/>
                <w:webHidden/>
              </w:rPr>
              <w:t>1</w:t>
            </w:r>
            <w:r w:rsidR="00466CA6">
              <w:rPr>
                <w:noProof/>
                <w:webHidden/>
              </w:rPr>
              <w:fldChar w:fldCharType="end"/>
            </w:r>
          </w:hyperlink>
        </w:p>
        <w:p w14:paraId="50D6FF6D" w14:textId="25E6AEDD" w:rsidR="00466CA6" w:rsidRDefault="0083016F">
          <w:pPr>
            <w:pStyle w:val="TOC2"/>
            <w:tabs>
              <w:tab w:val="left" w:pos="800"/>
              <w:tab w:val="right" w:leader="dot" w:pos="9350"/>
            </w:tabs>
            <w:rPr>
              <w:rFonts w:asciiTheme="minorHAnsi" w:eastAsiaTheme="minorEastAsia" w:hAnsiTheme="minorHAnsi"/>
              <w:noProof/>
              <w:sz w:val="22"/>
              <w:lang w:val="en-CA" w:eastAsia="en-CA"/>
            </w:rPr>
          </w:pPr>
          <w:hyperlink w:anchor="_Toc37330256" w:history="1">
            <w:r w:rsidR="00466CA6" w:rsidRPr="00BA4F79">
              <w:rPr>
                <w:rStyle w:val="Hyperlink"/>
                <w:noProof/>
              </w:rPr>
              <w:t>1.1.</w:t>
            </w:r>
            <w:r w:rsidR="00466CA6">
              <w:rPr>
                <w:rFonts w:asciiTheme="minorHAnsi" w:eastAsiaTheme="minorEastAsia" w:hAnsiTheme="minorHAnsi"/>
                <w:noProof/>
                <w:sz w:val="22"/>
                <w:lang w:val="en-CA" w:eastAsia="en-CA"/>
              </w:rPr>
              <w:tab/>
            </w:r>
            <w:r w:rsidR="00466CA6" w:rsidRPr="00BA4F79">
              <w:rPr>
                <w:rStyle w:val="Hyperlink"/>
                <w:noProof/>
              </w:rPr>
              <w:t>Objectives</w:t>
            </w:r>
            <w:r w:rsidR="00466CA6">
              <w:rPr>
                <w:noProof/>
                <w:webHidden/>
              </w:rPr>
              <w:tab/>
            </w:r>
            <w:r w:rsidR="00466CA6">
              <w:rPr>
                <w:noProof/>
                <w:webHidden/>
              </w:rPr>
              <w:fldChar w:fldCharType="begin"/>
            </w:r>
            <w:r w:rsidR="00466CA6">
              <w:rPr>
                <w:noProof/>
                <w:webHidden/>
              </w:rPr>
              <w:instrText xml:space="preserve"> PAGEREF _Toc37330256 \h </w:instrText>
            </w:r>
            <w:r w:rsidR="00466CA6">
              <w:rPr>
                <w:noProof/>
                <w:webHidden/>
              </w:rPr>
            </w:r>
            <w:r w:rsidR="00466CA6">
              <w:rPr>
                <w:noProof/>
                <w:webHidden/>
              </w:rPr>
              <w:fldChar w:fldCharType="separate"/>
            </w:r>
            <w:r w:rsidR="00466CA6">
              <w:rPr>
                <w:noProof/>
                <w:webHidden/>
              </w:rPr>
              <w:t>1</w:t>
            </w:r>
            <w:r w:rsidR="00466CA6">
              <w:rPr>
                <w:noProof/>
                <w:webHidden/>
              </w:rPr>
              <w:fldChar w:fldCharType="end"/>
            </w:r>
          </w:hyperlink>
        </w:p>
        <w:p w14:paraId="6311D3DC" w14:textId="653AB0B3" w:rsidR="00466CA6" w:rsidRDefault="0083016F">
          <w:pPr>
            <w:pStyle w:val="TOC2"/>
            <w:tabs>
              <w:tab w:val="left" w:pos="800"/>
              <w:tab w:val="right" w:leader="dot" w:pos="9350"/>
            </w:tabs>
            <w:rPr>
              <w:rFonts w:asciiTheme="minorHAnsi" w:eastAsiaTheme="minorEastAsia" w:hAnsiTheme="minorHAnsi"/>
              <w:noProof/>
              <w:sz w:val="22"/>
              <w:lang w:val="en-CA" w:eastAsia="en-CA"/>
            </w:rPr>
          </w:pPr>
          <w:hyperlink w:anchor="_Toc37330257" w:history="1">
            <w:r w:rsidR="00466CA6" w:rsidRPr="00BA4F79">
              <w:rPr>
                <w:rStyle w:val="Hyperlink"/>
                <w:noProof/>
              </w:rPr>
              <w:t>1.2.</w:t>
            </w:r>
            <w:r w:rsidR="00466CA6">
              <w:rPr>
                <w:rFonts w:asciiTheme="minorHAnsi" w:eastAsiaTheme="minorEastAsia" w:hAnsiTheme="minorHAnsi"/>
                <w:noProof/>
                <w:sz w:val="22"/>
                <w:lang w:val="en-CA" w:eastAsia="en-CA"/>
              </w:rPr>
              <w:tab/>
            </w:r>
            <w:r w:rsidR="00466CA6" w:rsidRPr="00BA4F79">
              <w:rPr>
                <w:rStyle w:val="Hyperlink"/>
                <w:noProof/>
              </w:rPr>
              <w:t>Areas in scope</w:t>
            </w:r>
            <w:r w:rsidR="00466CA6">
              <w:rPr>
                <w:noProof/>
                <w:webHidden/>
              </w:rPr>
              <w:tab/>
            </w:r>
            <w:r w:rsidR="00466CA6">
              <w:rPr>
                <w:noProof/>
                <w:webHidden/>
              </w:rPr>
              <w:fldChar w:fldCharType="begin"/>
            </w:r>
            <w:r w:rsidR="00466CA6">
              <w:rPr>
                <w:noProof/>
                <w:webHidden/>
              </w:rPr>
              <w:instrText xml:space="preserve"> PAGEREF _Toc37330257 \h </w:instrText>
            </w:r>
            <w:r w:rsidR="00466CA6">
              <w:rPr>
                <w:noProof/>
                <w:webHidden/>
              </w:rPr>
            </w:r>
            <w:r w:rsidR="00466CA6">
              <w:rPr>
                <w:noProof/>
                <w:webHidden/>
              </w:rPr>
              <w:fldChar w:fldCharType="separate"/>
            </w:r>
            <w:r w:rsidR="00466CA6">
              <w:rPr>
                <w:noProof/>
                <w:webHidden/>
              </w:rPr>
              <w:t>2</w:t>
            </w:r>
            <w:r w:rsidR="00466CA6">
              <w:rPr>
                <w:noProof/>
                <w:webHidden/>
              </w:rPr>
              <w:fldChar w:fldCharType="end"/>
            </w:r>
          </w:hyperlink>
        </w:p>
        <w:p w14:paraId="3DF981E7" w14:textId="7B0A8E09" w:rsidR="00466CA6" w:rsidRDefault="0083016F">
          <w:pPr>
            <w:pStyle w:val="TOC2"/>
            <w:tabs>
              <w:tab w:val="left" w:pos="800"/>
              <w:tab w:val="right" w:leader="dot" w:pos="9350"/>
            </w:tabs>
            <w:rPr>
              <w:rFonts w:asciiTheme="minorHAnsi" w:eastAsiaTheme="minorEastAsia" w:hAnsiTheme="minorHAnsi"/>
              <w:noProof/>
              <w:sz w:val="22"/>
              <w:lang w:val="en-CA" w:eastAsia="en-CA"/>
            </w:rPr>
          </w:pPr>
          <w:hyperlink w:anchor="_Toc37330258" w:history="1">
            <w:r w:rsidR="00466CA6" w:rsidRPr="00BA4F79">
              <w:rPr>
                <w:rStyle w:val="Hyperlink"/>
                <w:noProof/>
              </w:rPr>
              <w:t>1.3.</w:t>
            </w:r>
            <w:r w:rsidR="00466CA6">
              <w:rPr>
                <w:rFonts w:asciiTheme="minorHAnsi" w:eastAsiaTheme="minorEastAsia" w:hAnsiTheme="minorHAnsi"/>
                <w:noProof/>
                <w:sz w:val="22"/>
                <w:lang w:val="en-CA" w:eastAsia="en-CA"/>
              </w:rPr>
              <w:tab/>
            </w:r>
            <w:r w:rsidR="00466CA6" w:rsidRPr="00BA4F79">
              <w:rPr>
                <w:rStyle w:val="Hyperlink"/>
                <w:noProof/>
              </w:rPr>
              <w:t>Areas out of scope</w:t>
            </w:r>
            <w:r w:rsidR="00466CA6">
              <w:rPr>
                <w:noProof/>
                <w:webHidden/>
              </w:rPr>
              <w:tab/>
            </w:r>
            <w:r w:rsidR="00466CA6">
              <w:rPr>
                <w:noProof/>
                <w:webHidden/>
              </w:rPr>
              <w:fldChar w:fldCharType="begin"/>
            </w:r>
            <w:r w:rsidR="00466CA6">
              <w:rPr>
                <w:noProof/>
                <w:webHidden/>
              </w:rPr>
              <w:instrText xml:space="preserve"> PAGEREF _Toc37330258 \h </w:instrText>
            </w:r>
            <w:r w:rsidR="00466CA6">
              <w:rPr>
                <w:noProof/>
                <w:webHidden/>
              </w:rPr>
            </w:r>
            <w:r w:rsidR="00466CA6">
              <w:rPr>
                <w:noProof/>
                <w:webHidden/>
              </w:rPr>
              <w:fldChar w:fldCharType="separate"/>
            </w:r>
            <w:r w:rsidR="00466CA6">
              <w:rPr>
                <w:noProof/>
                <w:webHidden/>
              </w:rPr>
              <w:t>4</w:t>
            </w:r>
            <w:r w:rsidR="00466CA6">
              <w:rPr>
                <w:noProof/>
                <w:webHidden/>
              </w:rPr>
              <w:fldChar w:fldCharType="end"/>
            </w:r>
          </w:hyperlink>
        </w:p>
        <w:p w14:paraId="27F952BC" w14:textId="326BA293" w:rsidR="00466CA6" w:rsidRDefault="0083016F">
          <w:pPr>
            <w:pStyle w:val="TOC1"/>
            <w:rPr>
              <w:rFonts w:asciiTheme="minorHAnsi" w:eastAsiaTheme="minorEastAsia" w:hAnsiTheme="minorHAnsi"/>
              <w:noProof/>
              <w:sz w:val="22"/>
              <w:lang w:val="en-CA" w:eastAsia="en-CA"/>
            </w:rPr>
          </w:pPr>
          <w:hyperlink w:anchor="_Toc37330259" w:history="1">
            <w:r w:rsidR="00466CA6" w:rsidRPr="00BA4F79">
              <w:rPr>
                <w:rStyle w:val="Hyperlink"/>
                <w:noProof/>
              </w:rPr>
              <w:t>2.</w:t>
            </w:r>
            <w:r w:rsidR="00466CA6">
              <w:rPr>
                <w:rFonts w:asciiTheme="minorHAnsi" w:eastAsiaTheme="minorEastAsia" w:hAnsiTheme="minorHAnsi"/>
                <w:noProof/>
                <w:sz w:val="22"/>
                <w:lang w:val="en-CA" w:eastAsia="en-CA"/>
              </w:rPr>
              <w:tab/>
            </w:r>
            <w:r w:rsidR="00466CA6" w:rsidRPr="00BA4F79">
              <w:rPr>
                <w:rStyle w:val="Hyperlink"/>
                <w:noProof/>
              </w:rPr>
              <w:t>Project approach, timeline, and deliverable acceptance</w:t>
            </w:r>
            <w:r w:rsidR="00466CA6">
              <w:rPr>
                <w:noProof/>
                <w:webHidden/>
              </w:rPr>
              <w:tab/>
            </w:r>
            <w:r w:rsidR="00466CA6">
              <w:rPr>
                <w:noProof/>
                <w:webHidden/>
              </w:rPr>
              <w:fldChar w:fldCharType="begin"/>
            </w:r>
            <w:r w:rsidR="00466CA6">
              <w:rPr>
                <w:noProof/>
                <w:webHidden/>
              </w:rPr>
              <w:instrText xml:space="preserve"> PAGEREF _Toc37330259 \h </w:instrText>
            </w:r>
            <w:r w:rsidR="00466CA6">
              <w:rPr>
                <w:noProof/>
                <w:webHidden/>
              </w:rPr>
            </w:r>
            <w:r w:rsidR="00466CA6">
              <w:rPr>
                <w:noProof/>
                <w:webHidden/>
              </w:rPr>
              <w:fldChar w:fldCharType="separate"/>
            </w:r>
            <w:r w:rsidR="00466CA6">
              <w:rPr>
                <w:noProof/>
                <w:webHidden/>
              </w:rPr>
              <w:t>6</w:t>
            </w:r>
            <w:r w:rsidR="00466CA6">
              <w:rPr>
                <w:noProof/>
                <w:webHidden/>
              </w:rPr>
              <w:fldChar w:fldCharType="end"/>
            </w:r>
          </w:hyperlink>
        </w:p>
        <w:p w14:paraId="22E7CBA4" w14:textId="5BCA3857" w:rsidR="00466CA6" w:rsidRDefault="0083016F">
          <w:pPr>
            <w:pStyle w:val="TOC2"/>
            <w:tabs>
              <w:tab w:val="left" w:pos="800"/>
              <w:tab w:val="right" w:leader="dot" w:pos="9350"/>
            </w:tabs>
            <w:rPr>
              <w:rFonts w:asciiTheme="minorHAnsi" w:eastAsiaTheme="minorEastAsia" w:hAnsiTheme="minorHAnsi"/>
              <w:noProof/>
              <w:sz w:val="22"/>
              <w:lang w:val="en-CA" w:eastAsia="en-CA"/>
            </w:rPr>
          </w:pPr>
          <w:hyperlink w:anchor="_Toc37330260" w:history="1">
            <w:r w:rsidR="00466CA6" w:rsidRPr="00BA4F79">
              <w:rPr>
                <w:rStyle w:val="Hyperlink"/>
                <w:noProof/>
              </w:rPr>
              <w:t>2.1.</w:t>
            </w:r>
            <w:r w:rsidR="00466CA6">
              <w:rPr>
                <w:rFonts w:asciiTheme="minorHAnsi" w:eastAsiaTheme="minorEastAsia" w:hAnsiTheme="minorHAnsi"/>
                <w:noProof/>
                <w:sz w:val="22"/>
                <w:lang w:val="en-CA" w:eastAsia="en-CA"/>
              </w:rPr>
              <w:tab/>
            </w:r>
            <w:r w:rsidR="00466CA6" w:rsidRPr="00BA4F79">
              <w:rPr>
                <w:rStyle w:val="Hyperlink"/>
                <w:noProof/>
              </w:rPr>
              <w:t>Approach</w:t>
            </w:r>
            <w:r w:rsidR="00466CA6">
              <w:rPr>
                <w:noProof/>
                <w:webHidden/>
              </w:rPr>
              <w:tab/>
            </w:r>
            <w:r w:rsidR="00466CA6">
              <w:rPr>
                <w:noProof/>
                <w:webHidden/>
              </w:rPr>
              <w:fldChar w:fldCharType="begin"/>
            </w:r>
            <w:r w:rsidR="00466CA6">
              <w:rPr>
                <w:noProof/>
                <w:webHidden/>
              </w:rPr>
              <w:instrText xml:space="preserve"> PAGEREF _Toc37330260 \h </w:instrText>
            </w:r>
            <w:r w:rsidR="00466CA6">
              <w:rPr>
                <w:noProof/>
                <w:webHidden/>
              </w:rPr>
            </w:r>
            <w:r w:rsidR="00466CA6">
              <w:rPr>
                <w:noProof/>
                <w:webHidden/>
              </w:rPr>
              <w:fldChar w:fldCharType="separate"/>
            </w:r>
            <w:r w:rsidR="00466CA6">
              <w:rPr>
                <w:noProof/>
                <w:webHidden/>
              </w:rPr>
              <w:t>6</w:t>
            </w:r>
            <w:r w:rsidR="00466CA6">
              <w:rPr>
                <w:noProof/>
                <w:webHidden/>
              </w:rPr>
              <w:fldChar w:fldCharType="end"/>
            </w:r>
          </w:hyperlink>
        </w:p>
        <w:p w14:paraId="317C2826" w14:textId="6751C2A5" w:rsidR="00466CA6" w:rsidRDefault="0083016F">
          <w:pPr>
            <w:pStyle w:val="TOC2"/>
            <w:tabs>
              <w:tab w:val="left" w:pos="800"/>
              <w:tab w:val="right" w:leader="dot" w:pos="9350"/>
            </w:tabs>
            <w:rPr>
              <w:rFonts w:asciiTheme="minorHAnsi" w:eastAsiaTheme="minorEastAsia" w:hAnsiTheme="minorHAnsi"/>
              <w:noProof/>
              <w:sz w:val="22"/>
              <w:lang w:val="en-CA" w:eastAsia="en-CA"/>
            </w:rPr>
          </w:pPr>
          <w:hyperlink w:anchor="_Toc37330261" w:history="1">
            <w:r w:rsidR="00466CA6" w:rsidRPr="00BA4F79">
              <w:rPr>
                <w:rStyle w:val="Hyperlink"/>
                <w:noProof/>
              </w:rPr>
              <w:t>2.2.</w:t>
            </w:r>
            <w:r w:rsidR="00466CA6">
              <w:rPr>
                <w:rFonts w:asciiTheme="minorHAnsi" w:eastAsiaTheme="minorEastAsia" w:hAnsiTheme="minorHAnsi"/>
                <w:noProof/>
                <w:sz w:val="22"/>
                <w:lang w:val="en-CA" w:eastAsia="en-CA"/>
              </w:rPr>
              <w:tab/>
            </w:r>
            <w:r w:rsidR="00466CA6" w:rsidRPr="00BA4F79">
              <w:rPr>
                <w:rStyle w:val="Hyperlink"/>
                <w:noProof/>
              </w:rPr>
              <w:t>Timeline</w:t>
            </w:r>
            <w:r w:rsidR="00466CA6">
              <w:rPr>
                <w:noProof/>
                <w:webHidden/>
              </w:rPr>
              <w:tab/>
            </w:r>
            <w:r w:rsidR="00466CA6">
              <w:rPr>
                <w:noProof/>
                <w:webHidden/>
              </w:rPr>
              <w:fldChar w:fldCharType="begin"/>
            </w:r>
            <w:r w:rsidR="00466CA6">
              <w:rPr>
                <w:noProof/>
                <w:webHidden/>
              </w:rPr>
              <w:instrText xml:space="preserve"> PAGEREF _Toc37330261 \h </w:instrText>
            </w:r>
            <w:r w:rsidR="00466CA6">
              <w:rPr>
                <w:noProof/>
                <w:webHidden/>
              </w:rPr>
            </w:r>
            <w:r w:rsidR="00466CA6">
              <w:rPr>
                <w:noProof/>
                <w:webHidden/>
              </w:rPr>
              <w:fldChar w:fldCharType="separate"/>
            </w:r>
            <w:r w:rsidR="00466CA6">
              <w:rPr>
                <w:noProof/>
                <w:webHidden/>
              </w:rPr>
              <w:t>9</w:t>
            </w:r>
            <w:r w:rsidR="00466CA6">
              <w:rPr>
                <w:noProof/>
                <w:webHidden/>
              </w:rPr>
              <w:fldChar w:fldCharType="end"/>
            </w:r>
          </w:hyperlink>
        </w:p>
        <w:p w14:paraId="031CFDEB" w14:textId="2FC828DE" w:rsidR="00466CA6" w:rsidRDefault="0083016F">
          <w:pPr>
            <w:pStyle w:val="TOC2"/>
            <w:tabs>
              <w:tab w:val="left" w:pos="800"/>
              <w:tab w:val="right" w:leader="dot" w:pos="9350"/>
            </w:tabs>
            <w:rPr>
              <w:rFonts w:asciiTheme="minorHAnsi" w:eastAsiaTheme="minorEastAsia" w:hAnsiTheme="minorHAnsi"/>
              <w:noProof/>
              <w:sz w:val="22"/>
              <w:lang w:val="en-CA" w:eastAsia="en-CA"/>
            </w:rPr>
          </w:pPr>
          <w:hyperlink w:anchor="_Toc37330262" w:history="1">
            <w:r w:rsidR="00466CA6" w:rsidRPr="00BA4F79">
              <w:rPr>
                <w:rStyle w:val="Hyperlink"/>
                <w:noProof/>
              </w:rPr>
              <w:t>2.3.</w:t>
            </w:r>
            <w:r w:rsidR="00466CA6">
              <w:rPr>
                <w:rFonts w:asciiTheme="minorHAnsi" w:eastAsiaTheme="minorEastAsia" w:hAnsiTheme="minorHAnsi"/>
                <w:noProof/>
                <w:sz w:val="22"/>
                <w:lang w:val="en-CA" w:eastAsia="en-CA"/>
              </w:rPr>
              <w:tab/>
            </w:r>
            <w:r w:rsidR="00466CA6" w:rsidRPr="00BA4F79">
              <w:rPr>
                <w:rStyle w:val="Hyperlink"/>
                <w:noProof/>
              </w:rPr>
              <w:t>Deliverable acceptance process</w:t>
            </w:r>
            <w:r w:rsidR="00466CA6">
              <w:rPr>
                <w:noProof/>
                <w:webHidden/>
              </w:rPr>
              <w:tab/>
            </w:r>
            <w:r w:rsidR="00466CA6">
              <w:rPr>
                <w:noProof/>
                <w:webHidden/>
              </w:rPr>
              <w:fldChar w:fldCharType="begin"/>
            </w:r>
            <w:r w:rsidR="00466CA6">
              <w:rPr>
                <w:noProof/>
                <w:webHidden/>
              </w:rPr>
              <w:instrText xml:space="preserve"> PAGEREF _Toc37330262 \h </w:instrText>
            </w:r>
            <w:r w:rsidR="00466CA6">
              <w:rPr>
                <w:noProof/>
                <w:webHidden/>
              </w:rPr>
            </w:r>
            <w:r w:rsidR="00466CA6">
              <w:rPr>
                <w:noProof/>
                <w:webHidden/>
              </w:rPr>
              <w:fldChar w:fldCharType="separate"/>
            </w:r>
            <w:r w:rsidR="00466CA6">
              <w:rPr>
                <w:noProof/>
                <w:webHidden/>
              </w:rPr>
              <w:t>10</w:t>
            </w:r>
            <w:r w:rsidR="00466CA6">
              <w:rPr>
                <w:noProof/>
                <w:webHidden/>
              </w:rPr>
              <w:fldChar w:fldCharType="end"/>
            </w:r>
          </w:hyperlink>
        </w:p>
        <w:p w14:paraId="0A45D81F" w14:textId="7759ADEA" w:rsidR="00466CA6" w:rsidRDefault="0083016F">
          <w:pPr>
            <w:pStyle w:val="TOC2"/>
            <w:tabs>
              <w:tab w:val="left" w:pos="800"/>
              <w:tab w:val="right" w:leader="dot" w:pos="9350"/>
            </w:tabs>
            <w:rPr>
              <w:rFonts w:asciiTheme="minorHAnsi" w:eastAsiaTheme="minorEastAsia" w:hAnsiTheme="minorHAnsi"/>
              <w:noProof/>
              <w:sz w:val="22"/>
              <w:lang w:val="en-CA" w:eastAsia="en-CA"/>
            </w:rPr>
          </w:pPr>
          <w:hyperlink w:anchor="_Toc37330263" w:history="1">
            <w:r w:rsidR="00466CA6" w:rsidRPr="00BA4F79">
              <w:rPr>
                <w:rStyle w:val="Hyperlink"/>
                <w:noProof/>
              </w:rPr>
              <w:t>2.4.</w:t>
            </w:r>
            <w:r w:rsidR="00466CA6">
              <w:rPr>
                <w:rFonts w:asciiTheme="minorHAnsi" w:eastAsiaTheme="minorEastAsia" w:hAnsiTheme="minorHAnsi"/>
                <w:noProof/>
                <w:sz w:val="22"/>
                <w:lang w:val="en-CA" w:eastAsia="en-CA"/>
              </w:rPr>
              <w:tab/>
            </w:r>
            <w:r w:rsidR="00466CA6" w:rsidRPr="00BA4F79">
              <w:rPr>
                <w:rStyle w:val="Hyperlink"/>
                <w:noProof/>
              </w:rPr>
              <w:t>Project governance</w:t>
            </w:r>
            <w:r w:rsidR="00466CA6">
              <w:rPr>
                <w:noProof/>
                <w:webHidden/>
              </w:rPr>
              <w:tab/>
            </w:r>
            <w:r w:rsidR="00466CA6">
              <w:rPr>
                <w:noProof/>
                <w:webHidden/>
              </w:rPr>
              <w:fldChar w:fldCharType="begin"/>
            </w:r>
            <w:r w:rsidR="00466CA6">
              <w:rPr>
                <w:noProof/>
                <w:webHidden/>
              </w:rPr>
              <w:instrText xml:space="preserve"> PAGEREF _Toc37330263 \h </w:instrText>
            </w:r>
            <w:r w:rsidR="00466CA6">
              <w:rPr>
                <w:noProof/>
                <w:webHidden/>
              </w:rPr>
            </w:r>
            <w:r w:rsidR="00466CA6">
              <w:rPr>
                <w:noProof/>
                <w:webHidden/>
              </w:rPr>
              <w:fldChar w:fldCharType="separate"/>
            </w:r>
            <w:r w:rsidR="00466CA6">
              <w:rPr>
                <w:noProof/>
                <w:webHidden/>
              </w:rPr>
              <w:t>10</w:t>
            </w:r>
            <w:r w:rsidR="00466CA6">
              <w:rPr>
                <w:noProof/>
                <w:webHidden/>
              </w:rPr>
              <w:fldChar w:fldCharType="end"/>
            </w:r>
          </w:hyperlink>
        </w:p>
        <w:p w14:paraId="3480D623" w14:textId="6BD96161" w:rsidR="00466CA6" w:rsidRDefault="0083016F">
          <w:pPr>
            <w:pStyle w:val="TOC2"/>
            <w:tabs>
              <w:tab w:val="left" w:pos="800"/>
              <w:tab w:val="right" w:leader="dot" w:pos="9350"/>
            </w:tabs>
            <w:rPr>
              <w:rFonts w:asciiTheme="minorHAnsi" w:eastAsiaTheme="minorEastAsia" w:hAnsiTheme="minorHAnsi"/>
              <w:noProof/>
              <w:sz w:val="22"/>
              <w:lang w:val="en-CA" w:eastAsia="en-CA"/>
            </w:rPr>
          </w:pPr>
          <w:hyperlink w:anchor="_Toc37330264" w:history="1">
            <w:r w:rsidR="00466CA6" w:rsidRPr="00BA4F79">
              <w:rPr>
                <w:rStyle w:val="Hyperlink"/>
                <w:noProof/>
              </w:rPr>
              <w:t>2.5.</w:t>
            </w:r>
            <w:r w:rsidR="00466CA6">
              <w:rPr>
                <w:rFonts w:asciiTheme="minorHAnsi" w:eastAsiaTheme="minorEastAsia" w:hAnsiTheme="minorHAnsi"/>
                <w:noProof/>
                <w:sz w:val="22"/>
                <w:lang w:val="en-CA" w:eastAsia="en-CA"/>
              </w:rPr>
              <w:tab/>
            </w:r>
            <w:r w:rsidR="00466CA6" w:rsidRPr="00BA4F79">
              <w:rPr>
                <w:rStyle w:val="Hyperlink"/>
                <w:noProof/>
              </w:rPr>
              <w:t>Project completion</w:t>
            </w:r>
            <w:r w:rsidR="00466CA6">
              <w:rPr>
                <w:noProof/>
                <w:webHidden/>
              </w:rPr>
              <w:tab/>
            </w:r>
            <w:r w:rsidR="00466CA6">
              <w:rPr>
                <w:noProof/>
                <w:webHidden/>
              </w:rPr>
              <w:fldChar w:fldCharType="begin"/>
            </w:r>
            <w:r w:rsidR="00466CA6">
              <w:rPr>
                <w:noProof/>
                <w:webHidden/>
              </w:rPr>
              <w:instrText xml:space="preserve"> PAGEREF _Toc37330264 \h </w:instrText>
            </w:r>
            <w:r w:rsidR="00466CA6">
              <w:rPr>
                <w:noProof/>
                <w:webHidden/>
              </w:rPr>
            </w:r>
            <w:r w:rsidR="00466CA6">
              <w:rPr>
                <w:noProof/>
                <w:webHidden/>
              </w:rPr>
              <w:fldChar w:fldCharType="separate"/>
            </w:r>
            <w:r w:rsidR="00466CA6">
              <w:rPr>
                <w:noProof/>
                <w:webHidden/>
              </w:rPr>
              <w:t>12</w:t>
            </w:r>
            <w:r w:rsidR="00466CA6">
              <w:rPr>
                <w:noProof/>
                <w:webHidden/>
              </w:rPr>
              <w:fldChar w:fldCharType="end"/>
            </w:r>
          </w:hyperlink>
        </w:p>
        <w:p w14:paraId="4DA3C203" w14:textId="1217A8D4" w:rsidR="00466CA6" w:rsidRDefault="0083016F">
          <w:pPr>
            <w:pStyle w:val="TOC1"/>
            <w:rPr>
              <w:rFonts w:asciiTheme="minorHAnsi" w:eastAsiaTheme="minorEastAsia" w:hAnsiTheme="minorHAnsi"/>
              <w:noProof/>
              <w:sz w:val="22"/>
              <w:lang w:val="en-CA" w:eastAsia="en-CA"/>
            </w:rPr>
          </w:pPr>
          <w:hyperlink w:anchor="_Toc37330265" w:history="1">
            <w:r w:rsidR="00466CA6" w:rsidRPr="00BA4F79">
              <w:rPr>
                <w:rStyle w:val="Hyperlink"/>
                <w:noProof/>
              </w:rPr>
              <w:t>3.</w:t>
            </w:r>
            <w:r w:rsidR="00466CA6">
              <w:rPr>
                <w:rFonts w:asciiTheme="minorHAnsi" w:eastAsiaTheme="minorEastAsia" w:hAnsiTheme="minorHAnsi"/>
                <w:noProof/>
                <w:sz w:val="22"/>
                <w:lang w:val="en-CA" w:eastAsia="en-CA"/>
              </w:rPr>
              <w:tab/>
            </w:r>
            <w:r w:rsidR="00466CA6" w:rsidRPr="00BA4F79">
              <w:rPr>
                <w:rStyle w:val="Hyperlink"/>
                <w:noProof/>
              </w:rPr>
              <w:t>Project organization</w:t>
            </w:r>
            <w:r w:rsidR="00466CA6">
              <w:rPr>
                <w:noProof/>
                <w:webHidden/>
              </w:rPr>
              <w:tab/>
            </w:r>
            <w:r w:rsidR="00466CA6">
              <w:rPr>
                <w:noProof/>
                <w:webHidden/>
              </w:rPr>
              <w:fldChar w:fldCharType="begin"/>
            </w:r>
            <w:r w:rsidR="00466CA6">
              <w:rPr>
                <w:noProof/>
                <w:webHidden/>
              </w:rPr>
              <w:instrText xml:space="preserve"> PAGEREF _Toc37330265 \h </w:instrText>
            </w:r>
            <w:r w:rsidR="00466CA6">
              <w:rPr>
                <w:noProof/>
                <w:webHidden/>
              </w:rPr>
            </w:r>
            <w:r w:rsidR="00466CA6">
              <w:rPr>
                <w:noProof/>
                <w:webHidden/>
              </w:rPr>
              <w:fldChar w:fldCharType="separate"/>
            </w:r>
            <w:r w:rsidR="00466CA6">
              <w:rPr>
                <w:noProof/>
                <w:webHidden/>
              </w:rPr>
              <w:t>13</w:t>
            </w:r>
            <w:r w:rsidR="00466CA6">
              <w:rPr>
                <w:noProof/>
                <w:webHidden/>
              </w:rPr>
              <w:fldChar w:fldCharType="end"/>
            </w:r>
          </w:hyperlink>
        </w:p>
        <w:p w14:paraId="1E56DEB9" w14:textId="797D448B" w:rsidR="00466CA6" w:rsidRDefault="0083016F">
          <w:pPr>
            <w:pStyle w:val="TOC2"/>
            <w:tabs>
              <w:tab w:val="left" w:pos="800"/>
              <w:tab w:val="right" w:leader="dot" w:pos="9350"/>
            </w:tabs>
            <w:rPr>
              <w:rFonts w:asciiTheme="minorHAnsi" w:eastAsiaTheme="minorEastAsia" w:hAnsiTheme="minorHAnsi"/>
              <w:noProof/>
              <w:sz w:val="22"/>
              <w:lang w:val="en-CA" w:eastAsia="en-CA"/>
            </w:rPr>
          </w:pPr>
          <w:hyperlink w:anchor="_Toc37330266" w:history="1">
            <w:r w:rsidR="00466CA6" w:rsidRPr="00BA4F79">
              <w:rPr>
                <w:rStyle w:val="Hyperlink"/>
                <w:noProof/>
              </w:rPr>
              <w:t>3.1.</w:t>
            </w:r>
            <w:r w:rsidR="00466CA6">
              <w:rPr>
                <w:rFonts w:asciiTheme="minorHAnsi" w:eastAsiaTheme="minorEastAsia" w:hAnsiTheme="minorHAnsi"/>
                <w:noProof/>
                <w:sz w:val="22"/>
                <w:lang w:val="en-CA" w:eastAsia="en-CA"/>
              </w:rPr>
              <w:tab/>
            </w:r>
            <w:r w:rsidR="00466CA6" w:rsidRPr="00BA4F79">
              <w:rPr>
                <w:rStyle w:val="Hyperlink"/>
                <w:noProof/>
              </w:rPr>
              <w:t>Project roles and responsibilities</w:t>
            </w:r>
            <w:r w:rsidR="00466CA6">
              <w:rPr>
                <w:noProof/>
                <w:webHidden/>
              </w:rPr>
              <w:tab/>
            </w:r>
            <w:r w:rsidR="00466CA6">
              <w:rPr>
                <w:noProof/>
                <w:webHidden/>
              </w:rPr>
              <w:fldChar w:fldCharType="begin"/>
            </w:r>
            <w:r w:rsidR="00466CA6">
              <w:rPr>
                <w:noProof/>
                <w:webHidden/>
              </w:rPr>
              <w:instrText xml:space="preserve"> PAGEREF _Toc37330266 \h </w:instrText>
            </w:r>
            <w:r w:rsidR="00466CA6">
              <w:rPr>
                <w:noProof/>
                <w:webHidden/>
              </w:rPr>
            </w:r>
            <w:r w:rsidR="00466CA6">
              <w:rPr>
                <w:noProof/>
                <w:webHidden/>
              </w:rPr>
              <w:fldChar w:fldCharType="separate"/>
            </w:r>
            <w:r w:rsidR="00466CA6">
              <w:rPr>
                <w:noProof/>
                <w:webHidden/>
              </w:rPr>
              <w:t>13</w:t>
            </w:r>
            <w:r w:rsidR="00466CA6">
              <w:rPr>
                <w:noProof/>
                <w:webHidden/>
              </w:rPr>
              <w:fldChar w:fldCharType="end"/>
            </w:r>
          </w:hyperlink>
        </w:p>
        <w:p w14:paraId="05AB111D" w14:textId="7DB67032" w:rsidR="00466CA6" w:rsidRDefault="0083016F">
          <w:pPr>
            <w:pStyle w:val="TOC1"/>
            <w:rPr>
              <w:rFonts w:asciiTheme="minorHAnsi" w:eastAsiaTheme="minorEastAsia" w:hAnsiTheme="minorHAnsi"/>
              <w:noProof/>
              <w:sz w:val="22"/>
              <w:lang w:val="en-CA" w:eastAsia="en-CA"/>
            </w:rPr>
          </w:pPr>
          <w:hyperlink w:anchor="_Toc37330267" w:history="1">
            <w:r w:rsidR="00466CA6" w:rsidRPr="00BA4F79">
              <w:rPr>
                <w:rStyle w:val="Hyperlink"/>
                <w:noProof/>
              </w:rPr>
              <w:t>4.</w:t>
            </w:r>
            <w:r w:rsidR="00466CA6">
              <w:rPr>
                <w:rFonts w:asciiTheme="minorHAnsi" w:eastAsiaTheme="minorEastAsia" w:hAnsiTheme="minorHAnsi"/>
                <w:noProof/>
                <w:sz w:val="22"/>
                <w:lang w:val="en-CA" w:eastAsia="en-CA"/>
              </w:rPr>
              <w:tab/>
            </w:r>
            <w:r w:rsidR="00466CA6" w:rsidRPr="00BA4F79">
              <w:rPr>
                <w:rStyle w:val="Hyperlink"/>
                <w:noProof/>
              </w:rPr>
              <w:t>Customer responsibilities and project assumptions</w:t>
            </w:r>
            <w:r w:rsidR="00466CA6">
              <w:rPr>
                <w:noProof/>
                <w:webHidden/>
              </w:rPr>
              <w:tab/>
            </w:r>
            <w:r w:rsidR="00466CA6">
              <w:rPr>
                <w:noProof/>
                <w:webHidden/>
              </w:rPr>
              <w:fldChar w:fldCharType="begin"/>
            </w:r>
            <w:r w:rsidR="00466CA6">
              <w:rPr>
                <w:noProof/>
                <w:webHidden/>
              </w:rPr>
              <w:instrText xml:space="preserve"> PAGEREF _Toc37330267 \h </w:instrText>
            </w:r>
            <w:r w:rsidR="00466CA6">
              <w:rPr>
                <w:noProof/>
                <w:webHidden/>
              </w:rPr>
            </w:r>
            <w:r w:rsidR="00466CA6">
              <w:rPr>
                <w:noProof/>
                <w:webHidden/>
              </w:rPr>
              <w:fldChar w:fldCharType="separate"/>
            </w:r>
            <w:r w:rsidR="00466CA6">
              <w:rPr>
                <w:noProof/>
                <w:webHidden/>
              </w:rPr>
              <w:t>14</w:t>
            </w:r>
            <w:r w:rsidR="00466CA6">
              <w:rPr>
                <w:noProof/>
                <w:webHidden/>
              </w:rPr>
              <w:fldChar w:fldCharType="end"/>
            </w:r>
          </w:hyperlink>
        </w:p>
        <w:p w14:paraId="0EBC37F7" w14:textId="1018506F" w:rsidR="00466CA6" w:rsidRDefault="0083016F">
          <w:pPr>
            <w:pStyle w:val="TOC2"/>
            <w:tabs>
              <w:tab w:val="left" w:pos="800"/>
              <w:tab w:val="right" w:leader="dot" w:pos="9350"/>
            </w:tabs>
            <w:rPr>
              <w:rFonts w:asciiTheme="minorHAnsi" w:eastAsiaTheme="minorEastAsia" w:hAnsiTheme="minorHAnsi"/>
              <w:noProof/>
              <w:sz w:val="22"/>
              <w:lang w:val="en-CA" w:eastAsia="en-CA"/>
            </w:rPr>
          </w:pPr>
          <w:hyperlink w:anchor="_Toc37330268" w:history="1">
            <w:r w:rsidR="00466CA6" w:rsidRPr="00BA4F79">
              <w:rPr>
                <w:rStyle w:val="Hyperlink"/>
                <w:noProof/>
              </w:rPr>
              <w:t>4.1.</w:t>
            </w:r>
            <w:r w:rsidR="00466CA6">
              <w:rPr>
                <w:rFonts w:asciiTheme="minorHAnsi" w:eastAsiaTheme="minorEastAsia" w:hAnsiTheme="minorHAnsi"/>
                <w:noProof/>
                <w:sz w:val="22"/>
                <w:lang w:val="en-CA" w:eastAsia="en-CA"/>
              </w:rPr>
              <w:tab/>
            </w:r>
            <w:r w:rsidR="00466CA6" w:rsidRPr="00BA4F79">
              <w:rPr>
                <w:rStyle w:val="Hyperlink"/>
                <w:noProof/>
              </w:rPr>
              <w:t>Customer responsibilities</w:t>
            </w:r>
            <w:r w:rsidR="00466CA6">
              <w:rPr>
                <w:noProof/>
                <w:webHidden/>
              </w:rPr>
              <w:tab/>
            </w:r>
            <w:r w:rsidR="00466CA6">
              <w:rPr>
                <w:noProof/>
                <w:webHidden/>
              </w:rPr>
              <w:fldChar w:fldCharType="begin"/>
            </w:r>
            <w:r w:rsidR="00466CA6">
              <w:rPr>
                <w:noProof/>
                <w:webHidden/>
              </w:rPr>
              <w:instrText xml:space="preserve"> PAGEREF _Toc37330268 \h </w:instrText>
            </w:r>
            <w:r w:rsidR="00466CA6">
              <w:rPr>
                <w:noProof/>
                <w:webHidden/>
              </w:rPr>
            </w:r>
            <w:r w:rsidR="00466CA6">
              <w:rPr>
                <w:noProof/>
                <w:webHidden/>
              </w:rPr>
              <w:fldChar w:fldCharType="separate"/>
            </w:r>
            <w:r w:rsidR="00466CA6">
              <w:rPr>
                <w:noProof/>
                <w:webHidden/>
              </w:rPr>
              <w:t>14</w:t>
            </w:r>
            <w:r w:rsidR="00466CA6">
              <w:rPr>
                <w:noProof/>
                <w:webHidden/>
              </w:rPr>
              <w:fldChar w:fldCharType="end"/>
            </w:r>
          </w:hyperlink>
        </w:p>
        <w:p w14:paraId="65BBBB92" w14:textId="607DCAE0" w:rsidR="00466CA6" w:rsidRDefault="0083016F">
          <w:pPr>
            <w:pStyle w:val="TOC2"/>
            <w:tabs>
              <w:tab w:val="left" w:pos="800"/>
              <w:tab w:val="right" w:leader="dot" w:pos="9350"/>
            </w:tabs>
            <w:rPr>
              <w:rFonts w:asciiTheme="minorHAnsi" w:eastAsiaTheme="minorEastAsia" w:hAnsiTheme="minorHAnsi"/>
              <w:noProof/>
              <w:sz w:val="22"/>
              <w:lang w:val="en-CA" w:eastAsia="en-CA"/>
            </w:rPr>
          </w:pPr>
          <w:hyperlink w:anchor="_Toc37330269" w:history="1">
            <w:r w:rsidR="00466CA6" w:rsidRPr="00BA4F79">
              <w:rPr>
                <w:rStyle w:val="Hyperlink"/>
                <w:noProof/>
              </w:rPr>
              <w:t>4.2.</w:t>
            </w:r>
            <w:r w:rsidR="00466CA6">
              <w:rPr>
                <w:rFonts w:asciiTheme="minorHAnsi" w:eastAsiaTheme="minorEastAsia" w:hAnsiTheme="minorHAnsi"/>
                <w:noProof/>
                <w:sz w:val="22"/>
                <w:lang w:val="en-CA" w:eastAsia="en-CA"/>
              </w:rPr>
              <w:tab/>
            </w:r>
            <w:r w:rsidR="00466CA6" w:rsidRPr="00BA4F79">
              <w:rPr>
                <w:rStyle w:val="Hyperlink"/>
                <w:noProof/>
              </w:rPr>
              <w:t>Project assumptions</w:t>
            </w:r>
            <w:r w:rsidR="00466CA6">
              <w:rPr>
                <w:noProof/>
                <w:webHidden/>
              </w:rPr>
              <w:tab/>
            </w:r>
            <w:r w:rsidR="00466CA6">
              <w:rPr>
                <w:noProof/>
                <w:webHidden/>
              </w:rPr>
              <w:fldChar w:fldCharType="begin"/>
            </w:r>
            <w:r w:rsidR="00466CA6">
              <w:rPr>
                <w:noProof/>
                <w:webHidden/>
              </w:rPr>
              <w:instrText xml:space="preserve"> PAGEREF _Toc37330269 \h </w:instrText>
            </w:r>
            <w:r w:rsidR="00466CA6">
              <w:rPr>
                <w:noProof/>
                <w:webHidden/>
              </w:rPr>
            </w:r>
            <w:r w:rsidR="00466CA6">
              <w:rPr>
                <w:noProof/>
                <w:webHidden/>
              </w:rPr>
              <w:fldChar w:fldCharType="separate"/>
            </w:r>
            <w:r w:rsidR="00466CA6">
              <w:rPr>
                <w:noProof/>
                <w:webHidden/>
              </w:rPr>
              <w:t>14</w:t>
            </w:r>
            <w:r w:rsidR="00466CA6">
              <w:rPr>
                <w:noProof/>
                <w:webHidden/>
              </w:rPr>
              <w:fldChar w:fldCharType="end"/>
            </w:r>
          </w:hyperlink>
        </w:p>
        <w:p w14:paraId="6E096077" w14:textId="6E17BCC2" w:rsidR="00985694" w:rsidRPr="009E799D" w:rsidRDefault="00DD01E5">
          <w:r w:rsidRPr="009E799D">
            <w:fldChar w:fldCharType="end"/>
          </w:r>
        </w:p>
      </w:sdtContent>
    </w:sdt>
    <w:p w14:paraId="78C699B5" w14:textId="77777777" w:rsidR="00985694" w:rsidRPr="009E799D" w:rsidRDefault="00985694"/>
    <w:p w14:paraId="7603A4EB" w14:textId="77777777" w:rsidR="00985694" w:rsidRPr="009E799D" w:rsidRDefault="00985694">
      <w:pPr>
        <w:rPr>
          <w:highlight w:val="yellow"/>
        </w:rPr>
        <w:sectPr w:rsidR="00985694" w:rsidRPr="009E799D">
          <w:headerReference w:type="even" r:id="rId8"/>
          <w:headerReference w:type="default" r:id="rId9"/>
          <w:headerReference w:type="first" r:id="rId10"/>
          <w:footerReference w:type="first" r:id="rId11"/>
          <w:pgSz w:w="12240" w:h="15840" w:code="1"/>
          <w:pgMar w:top="1440" w:right="1440" w:bottom="1440" w:left="1440" w:header="720" w:footer="720" w:gutter="0"/>
          <w:pgNumType w:start="1"/>
          <w:cols w:space="720"/>
          <w:docGrid w:linePitch="360"/>
        </w:sectPr>
      </w:pPr>
    </w:p>
    <w:p w14:paraId="04DAC86E" w14:textId="12885BBB" w:rsidR="00985694" w:rsidRPr="009E799D" w:rsidRDefault="00DD01E5">
      <w:bookmarkStart w:id="5" w:name="_Toc476167701"/>
      <w:bookmarkStart w:id="6" w:name="_Toc476168021"/>
      <w:r w:rsidRPr="009E799D">
        <w:lastRenderedPageBreak/>
        <w:t>This Statement of Work (SOW) and any exhibits, appendices, schedules, and attachments to it are made pursuant to Work Order</w:t>
      </w:r>
      <w:r w:rsidR="00BE40F3">
        <w:t xml:space="preserve"> </w:t>
      </w:r>
      <w:r w:rsidR="00BE40F3" w:rsidRPr="00BE40F3">
        <w:rPr>
          <w:b/>
          <w:bCs/>
        </w:rPr>
        <w:t>6CAN204-287348-343681</w:t>
      </w:r>
      <w:r w:rsidRPr="009E799D">
        <w:t xml:space="preserve"> and describes the work to be performed (Services) by Microsoft (“us,” “we”) for</w:t>
      </w:r>
      <w:r w:rsidR="00BE40F3">
        <w:t xml:space="preserve"> </w:t>
      </w:r>
      <w:r w:rsidR="004847E8" w:rsidRPr="00D1367C">
        <w:rPr>
          <w:i/>
        </w:rPr>
        <w:t xml:space="preserve"> </w:t>
      </w:r>
      <w:r w:rsidRPr="009E799D">
        <w:t>(“Customer,” “you,” “your”) relating to</w:t>
      </w:r>
      <w:r w:rsidR="0004520C">
        <w:t xml:space="preserve"> </w:t>
      </w:r>
      <w:r w:rsidRPr="009E799D">
        <w:t>(project).</w:t>
      </w:r>
    </w:p>
    <w:p w14:paraId="5847DD94" w14:textId="12DE8185" w:rsidR="00985694" w:rsidRDefault="00DD01E5">
      <w:r w:rsidRPr="009E799D">
        <w:t xml:space="preserve">This SOW and the associated Work Order expire 30 days after their publication date (date Microsoft submits to Customer) unless signed by both parties </w:t>
      </w:r>
      <w:proofErr w:type="gramStart"/>
      <w:r w:rsidRPr="009E799D">
        <w:t>or</w:t>
      </w:r>
      <w:proofErr w:type="gramEnd"/>
      <w:r w:rsidRPr="009E799D">
        <w:t xml:space="preserve"> formally extended in writing by Microsoft.</w:t>
      </w:r>
    </w:p>
    <w:p w14:paraId="580C6AC1" w14:textId="77777777" w:rsidR="00985694" w:rsidRDefault="00DD01E5">
      <w:pPr>
        <w:pStyle w:val="Heading1nonumbers"/>
      </w:pPr>
      <w:bookmarkStart w:id="7" w:name="_Toc37330254"/>
      <w:r w:rsidRPr="009E799D">
        <w:t>Introduction</w:t>
      </w:r>
      <w:bookmarkEnd w:id="5"/>
      <w:bookmarkEnd w:id="6"/>
      <w:bookmarkEnd w:id="7"/>
    </w:p>
    <w:p w14:paraId="3C9C83B0" w14:textId="4A218AB2" w:rsidR="00BE7FDA" w:rsidRPr="00D1367C" w:rsidRDefault="00BE7FDA" w:rsidP="00BE7FDA">
      <w:pPr>
        <w:pStyle w:val="Optional"/>
        <w:rPr>
          <w:color w:val="auto"/>
        </w:rPr>
      </w:pPr>
      <w:r w:rsidRPr="00D1367C">
        <w:rPr>
          <w:color w:val="auto"/>
        </w:rPr>
        <w:t xml:space="preserve">To respond to the COVID-19 </w:t>
      </w:r>
      <w:proofErr w:type="gramStart"/>
      <w:r w:rsidRPr="00D1367C">
        <w:rPr>
          <w:color w:val="auto"/>
        </w:rPr>
        <w:t xml:space="preserve">crisis, </w:t>
      </w:r>
      <w:r w:rsidR="00D1367C" w:rsidRPr="00D1367C">
        <w:rPr>
          <w:i/>
          <w:color w:val="auto"/>
        </w:rPr>
        <w:t xml:space="preserve"> </w:t>
      </w:r>
      <w:r w:rsidRPr="00D1367C">
        <w:rPr>
          <w:color w:val="auto"/>
        </w:rPr>
        <w:t>seeks</w:t>
      </w:r>
      <w:proofErr w:type="gramEnd"/>
      <w:r w:rsidRPr="00D1367C">
        <w:rPr>
          <w:color w:val="auto"/>
        </w:rPr>
        <w:t xml:space="preserve"> to make it possible for its employees use Azure Active Directory Identities to </w:t>
      </w:r>
      <w:r w:rsidR="00CD051F" w:rsidRPr="00D1367C">
        <w:rPr>
          <w:color w:val="auto"/>
        </w:rPr>
        <w:t>work</w:t>
      </w:r>
      <w:r w:rsidRPr="00D1367C">
        <w:rPr>
          <w:color w:val="auto"/>
        </w:rPr>
        <w:t xml:space="preserve"> remotely in an exceptionally short period of time.</w:t>
      </w:r>
    </w:p>
    <w:p w14:paraId="44AC3C27" w14:textId="698DFDEF" w:rsidR="001C2F1C" w:rsidRDefault="001C2F1C" w:rsidP="001C2F1C">
      <w:pPr>
        <w:spacing w:after="0" w:line="240" w:lineRule="auto"/>
        <w:rPr>
          <w:rFonts w:eastAsia="Times New Roman" w:cs="Segoe UI"/>
          <w:color w:val="333333"/>
          <w:szCs w:val="20"/>
        </w:rPr>
      </w:pPr>
      <w:r w:rsidRPr="007474AF">
        <w:rPr>
          <w:rFonts w:eastAsia="Times New Roman" w:cs="Segoe UI"/>
          <w:color w:val="333333"/>
          <w:szCs w:val="20"/>
        </w:rPr>
        <w:t xml:space="preserve">The purpose of this rapid identity and security enablement </w:t>
      </w:r>
      <w:r w:rsidR="00E41B33">
        <w:rPr>
          <w:rFonts w:eastAsia="Times New Roman" w:cs="Segoe UI"/>
          <w:color w:val="333333"/>
          <w:szCs w:val="20"/>
        </w:rPr>
        <w:t>offer</w:t>
      </w:r>
      <w:r w:rsidRPr="007474AF">
        <w:rPr>
          <w:rFonts w:eastAsia="Times New Roman" w:cs="Segoe UI"/>
          <w:color w:val="333333"/>
          <w:szCs w:val="20"/>
        </w:rPr>
        <w:t xml:space="preserve"> is to </w:t>
      </w:r>
      <w:r w:rsidR="006C2067">
        <w:rPr>
          <w:rFonts w:eastAsia="Times New Roman" w:cs="Segoe UI"/>
          <w:color w:val="333333"/>
          <w:szCs w:val="20"/>
        </w:rPr>
        <w:t xml:space="preserve">deploy the </w:t>
      </w:r>
      <w:r w:rsidR="002B7F4D">
        <w:rPr>
          <w:rFonts w:eastAsia="Times New Roman" w:cs="Segoe UI"/>
          <w:color w:val="333333"/>
          <w:szCs w:val="20"/>
        </w:rPr>
        <w:t xml:space="preserve">baseline </w:t>
      </w:r>
      <w:r w:rsidR="00E24A36">
        <w:rPr>
          <w:rFonts w:eastAsia="Times New Roman" w:cs="Segoe UI"/>
          <w:color w:val="333333"/>
          <w:szCs w:val="20"/>
        </w:rPr>
        <w:t>i</w:t>
      </w:r>
      <w:r w:rsidR="002B7F4D">
        <w:rPr>
          <w:rFonts w:eastAsia="Times New Roman" w:cs="Segoe UI"/>
          <w:color w:val="333333"/>
          <w:szCs w:val="20"/>
        </w:rPr>
        <w:t xml:space="preserve">dentity and security requirements to enable </w:t>
      </w:r>
      <w:r w:rsidR="00E41B33">
        <w:rPr>
          <w:rFonts w:eastAsia="Times New Roman" w:cs="Segoe UI"/>
          <w:color w:val="333333"/>
          <w:szCs w:val="20"/>
        </w:rPr>
        <w:t>secure remote work</w:t>
      </w:r>
      <w:r w:rsidRPr="007474AF">
        <w:rPr>
          <w:rFonts w:eastAsia="Times New Roman" w:cs="Segoe UI"/>
          <w:color w:val="333333"/>
          <w:szCs w:val="20"/>
        </w:rPr>
        <w:t>.</w:t>
      </w:r>
    </w:p>
    <w:p w14:paraId="0C8EDE23" w14:textId="4E3E1B3D" w:rsidR="001C2F1C" w:rsidRDefault="001C2F1C" w:rsidP="001C2F1C">
      <w:pPr>
        <w:spacing w:after="0" w:line="240" w:lineRule="auto"/>
        <w:rPr>
          <w:rFonts w:eastAsia="Times New Roman" w:cs="Segoe UI"/>
          <w:color w:val="333333"/>
          <w:szCs w:val="20"/>
        </w:rPr>
      </w:pPr>
      <w:r w:rsidRPr="007474AF">
        <w:rPr>
          <w:rFonts w:eastAsia="Times New Roman" w:cs="Segoe UI"/>
          <w:color w:val="333333"/>
          <w:szCs w:val="20"/>
        </w:rPr>
        <w:t>To facilitate security within rapid enablement scenarios, we will focus on providing services for the following:</w:t>
      </w:r>
    </w:p>
    <w:p w14:paraId="3834114C" w14:textId="26014BD0" w:rsidR="0054188D" w:rsidRPr="00BF4315" w:rsidRDefault="0054188D" w:rsidP="001C2F1C">
      <w:pPr>
        <w:spacing w:after="0" w:line="240" w:lineRule="auto"/>
        <w:rPr>
          <w:rFonts w:eastAsia="Times New Roman" w:cs="Segoe UI"/>
          <w:b/>
          <w:bCs/>
          <w:szCs w:val="20"/>
        </w:rPr>
      </w:pPr>
      <w:r w:rsidRPr="00BF4315">
        <w:rPr>
          <w:rFonts w:eastAsia="Times New Roman" w:cs="Segoe UI"/>
          <w:b/>
          <w:bCs/>
          <w:szCs w:val="20"/>
        </w:rPr>
        <w:t>Identity:</w:t>
      </w:r>
    </w:p>
    <w:p w14:paraId="1F432E6C" w14:textId="5C434847" w:rsidR="00451D04" w:rsidRPr="00BF4315" w:rsidRDefault="00882F76" w:rsidP="00357D7D">
      <w:pPr>
        <w:pStyle w:val="Optional"/>
        <w:numPr>
          <w:ilvl w:val="0"/>
          <w:numId w:val="28"/>
        </w:numPr>
        <w:rPr>
          <w:color w:val="auto"/>
        </w:rPr>
      </w:pPr>
      <w:r w:rsidRPr="00BF4315">
        <w:rPr>
          <w:color w:val="auto"/>
        </w:rPr>
        <w:t xml:space="preserve">Azure AD - </w:t>
      </w:r>
      <w:r w:rsidR="00451D04" w:rsidRPr="00BF4315">
        <w:rPr>
          <w:color w:val="auto"/>
        </w:rPr>
        <w:t>Identity Integration</w:t>
      </w:r>
      <w:r w:rsidR="00F84D89" w:rsidRPr="00BF4315">
        <w:rPr>
          <w:color w:val="auto"/>
        </w:rPr>
        <w:t xml:space="preserve"> (option</w:t>
      </w:r>
      <w:r w:rsidR="00BF4315">
        <w:rPr>
          <w:color w:val="auto"/>
        </w:rPr>
        <w:t>al</w:t>
      </w:r>
      <w:r w:rsidR="00F84D89" w:rsidRPr="00BF4315">
        <w:rPr>
          <w:color w:val="auto"/>
        </w:rPr>
        <w:t>)</w:t>
      </w:r>
    </w:p>
    <w:p w14:paraId="3417EFF1" w14:textId="4D7DFD78" w:rsidR="00451D04" w:rsidRPr="00BF4315" w:rsidRDefault="00882F76" w:rsidP="00357D7D">
      <w:pPr>
        <w:pStyle w:val="Optional"/>
        <w:numPr>
          <w:ilvl w:val="0"/>
          <w:numId w:val="28"/>
        </w:numPr>
        <w:rPr>
          <w:color w:val="auto"/>
        </w:rPr>
      </w:pPr>
      <w:r w:rsidRPr="00BF4315">
        <w:rPr>
          <w:color w:val="auto"/>
        </w:rPr>
        <w:t xml:space="preserve">Azure AD - </w:t>
      </w:r>
      <w:r w:rsidR="00451D04" w:rsidRPr="00BF4315">
        <w:rPr>
          <w:color w:val="auto"/>
        </w:rPr>
        <w:t>Conditional Access and Multi Factor Authentication</w:t>
      </w:r>
    </w:p>
    <w:p w14:paraId="6264FB9C" w14:textId="77777777" w:rsidR="00451D04" w:rsidRPr="00BF4315" w:rsidRDefault="00451D04" w:rsidP="00451D04">
      <w:pPr>
        <w:spacing w:after="0" w:line="240" w:lineRule="auto"/>
        <w:rPr>
          <w:rFonts w:eastAsia="Times New Roman" w:cs="Segoe UI"/>
          <w:b/>
          <w:bCs/>
          <w:szCs w:val="20"/>
        </w:rPr>
      </w:pPr>
      <w:r w:rsidRPr="00BF4315">
        <w:rPr>
          <w:rFonts w:eastAsia="Times New Roman" w:cs="Segoe UI"/>
          <w:b/>
          <w:bCs/>
          <w:szCs w:val="20"/>
        </w:rPr>
        <w:t>Security:</w:t>
      </w:r>
    </w:p>
    <w:p w14:paraId="638C632D" w14:textId="1B98AF41" w:rsidR="00451D04" w:rsidRPr="00BF4315" w:rsidRDefault="00451D04" w:rsidP="00B166B6">
      <w:pPr>
        <w:pStyle w:val="Optional"/>
        <w:numPr>
          <w:ilvl w:val="0"/>
          <w:numId w:val="30"/>
        </w:numPr>
        <w:rPr>
          <w:color w:val="auto"/>
        </w:rPr>
      </w:pPr>
      <w:r w:rsidRPr="00BF4315">
        <w:rPr>
          <w:color w:val="auto"/>
        </w:rPr>
        <w:t>Office 365 ATP</w:t>
      </w:r>
    </w:p>
    <w:p w14:paraId="7C0108F7" w14:textId="44D89D44" w:rsidR="00C3627E" w:rsidRPr="009E799D" w:rsidRDefault="00F07600" w:rsidP="00C3627E">
      <w:r w:rsidRPr="009E799D">
        <w:t xml:space="preserve">Although this engagement can be delivered in person, this </w:t>
      </w:r>
      <w:r w:rsidR="00D275E8">
        <w:t>offer</w:t>
      </w:r>
      <w:r w:rsidRPr="009E799D">
        <w:t xml:space="preserve"> is designed to be delivered remotely by </w:t>
      </w:r>
      <w:r w:rsidR="00083927">
        <w:t>a</w:t>
      </w:r>
      <w:r w:rsidR="00083927" w:rsidRPr="009E799D">
        <w:t xml:space="preserve"> </w:t>
      </w:r>
      <w:r w:rsidRPr="009E799D">
        <w:t xml:space="preserve">Microsoft </w:t>
      </w:r>
      <w:r w:rsidR="00083927">
        <w:t>t</w:t>
      </w:r>
      <w:r w:rsidR="00083927" w:rsidRPr="009E799D">
        <w:t>eam</w:t>
      </w:r>
      <w:r w:rsidR="00083927">
        <w:t>.</w:t>
      </w:r>
    </w:p>
    <w:p w14:paraId="0FA5A16B" w14:textId="77777777" w:rsidR="00985694" w:rsidRPr="009E799D" w:rsidRDefault="00DD01E5">
      <w:pPr>
        <w:pStyle w:val="Heading1"/>
      </w:pPr>
      <w:bookmarkStart w:id="8" w:name="_Toc476167702"/>
      <w:bookmarkStart w:id="9" w:name="_Toc476168022"/>
      <w:bookmarkStart w:id="10" w:name="_Ref477786305"/>
      <w:bookmarkStart w:id="11" w:name="_Toc37330255"/>
      <w:r w:rsidRPr="009E799D">
        <w:t>Project objectives and scope</w:t>
      </w:r>
      <w:bookmarkEnd w:id="8"/>
      <w:bookmarkEnd w:id="9"/>
      <w:bookmarkEnd w:id="10"/>
      <w:bookmarkEnd w:id="11"/>
    </w:p>
    <w:p w14:paraId="602E3D8B" w14:textId="77777777" w:rsidR="00985694" w:rsidRPr="009E799D" w:rsidRDefault="00DD01E5">
      <w:pPr>
        <w:pStyle w:val="Heading2"/>
      </w:pPr>
      <w:bookmarkStart w:id="12" w:name="_Toc476167703"/>
      <w:bookmarkStart w:id="13" w:name="_Toc476168023"/>
      <w:bookmarkStart w:id="14" w:name="_Toc37330256"/>
      <w:r w:rsidRPr="009E799D">
        <w:t>Objectives</w:t>
      </w:r>
      <w:bookmarkEnd w:id="12"/>
      <w:bookmarkEnd w:id="13"/>
      <w:bookmarkEnd w:id="14"/>
    </w:p>
    <w:p w14:paraId="68FBD5C2" w14:textId="55A27AAE" w:rsidR="00985694" w:rsidRDefault="00DD01E5">
      <w:r w:rsidRPr="00D602A4">
        <w:t>The objectives of this project are</w:t>
      </w:r>
      <w:r w:rsidR="00A45C59" w:rsidRPr="00627C33">
        <w:t>:</w:t>
      </w:r>
    </w:p>
    <w:p w14:paraId="5CB48426" w14:textId="3B9264B5" w:rsidR="002E5193" w:rsidRPr="002E5193" w:rsidRDefault="002E5193">
      <w:pPr>
        <w:rPr>
          <w:b/>
          <w:bCs/>
        </w:rPr>
      </w:pPr>
      <w:r w:rsidRPr="002E5193">
        <w:rPr>
          <w:b/>
          <w:bCs/>
        </w:rPr>
        <w:t>Identity:</w:t>
      </w:r>
    </w:p>
    <w:p w14:paraId="5EA61B16" w14:textId="77777777" w:rsidR="008F15F6" w:rsidRPr="00A27E3F" w:rsidRDefault="008F15F6" w:rsidP="008F15F6">
      <w:pPr>
        <w:pStyle w:val="Optional"/>
        <w:rPr>
          <w:b/>
          <w:bCs/>
          <w:color w:val="auto"/>
        </w:rPr>
      </w:pPr>
      <w:r w:rsidRPr="00A27E3F">
        <w:rPr>
          <w:b/>
          <w:bCs/>
          <w:color w:val="auto"/>
        </w:rPr>
        <w:t>Identity Integration</w:t>
      </w:r>
    </w:p>
    <w:p w14:paraId="256A0731" w14:textId="77777777" w:rsidR="008F15F6" w:rsidRPr="00A27E3F" w:rsidRDefault="008F15F6" w:rsidP="008F15F6">
      <w:pPr>
        <w:pStyle w:val="Optional"/>
        <w:rPr>
          <w:color w:val="auto"/>
        </w:rPr>
      </w:pPr>
      <w:r w:rsidRPr="00A27E3F">
        <w:rPr>
          <w:color w:val="auto"/>
        </w:rPr>
        <w:t>This project will establish integration between your on-premises Active Directory Domain Services environments and Azure Active Directory to support onboarding to Microsoft Office 365 or other online services. Azure Active Directory Connect will be installed and configured for synchronization, and authentication will be established using password hash synchronization</w:t>
      </w:r>
    </w:p>
    <w:p w14:paraId="4D156053" w14:textId="77777777" w:rsidR="008F15F6" w:rsidRPr="00A27E3F" w:rsidRDefault="008F15F6" w:rsidP="008F15F6">
      <w:pPr>
        <w:pStyle w:val="Optional"/>
        <w:rPr>
          <w:b/>
          <w:bCs/>
          <w:color w:val="auto"/>
        </w:rPr>
      </w:pPr>
      <w:r w:rsidRPr="00A27E3F">
        <w:rPr>
          <w:b/>
          <w:bCs/>
          <w:color w:val="auto"/>
        </w:rPr>
        <w:t>Conditional Access and Multi Factor Authentication</w:t>
      </w:r>
    </w:p>
    <w:p w14:paraId="481D2D96" w14:textId="77777777" w:rsidR="008F15F6" w:rsidRPr="00A27E3F" w:rsidRDefault="008F15F6" w:rsidP="008F15F6">
      <w:pPr>
        <w:pStyle w:val="Optional"/>
        <w:rPr>
          <w:color w:val="auto"/>
        </w:rPr>
      </w:pPr>
      <w:r w:rsidRPr="00A27E3F">
        <w:rPr>
          <w:color w:val="auto"/>
        </w:rPr>
        <w:t>This project will also enable and configure Azure Multi-Factor Authentication (MFA) and configure Azure Active Directory conditional access policies for a tenant, applying controls to Azure Active Directory–integrated applications including Office 365. You will be taken through a prescriptive policy design exercise, after which those policies will be applied to the tenant</w:t>
      </w:r>
    </w:p>
    <w:p w14:paraId="043A6D8E" w14:textId="77777777" w:rsidR="008F15F6" w:rsidRPr="00A27E3F" w:rsidRDefault="008F15F6" w:rsidP="008F15F6">
      <w:pPr>
        <w:spacing w:after="0" w:line="240" w:lineRule="auto"/>
        <w:rPr>
          <w:rFonts w:eastAsia="Times New Roman" w:cs="Segoe UI"/>
          <w:b/>
          <w:bCs/>
          <w:szCs w:val="20"/>
        </w:rPr>
      </w:pPr>
      <w:r w:rsidRPr="00A27E3F">
        <w:rPr>
          <w:rFonts w:eastAsia="Times New Roman" w:cs="Segoe UI"/>
          <w:b/>
          <w:bCs/>
          <w:szCs w:val="20"/>
        </w:rPr>
        <w:t>Security:</w:t>
      </w:r>
    </w:p>
    <w:p w14:paraId="66694FC2" w14:textId="77777777" w:rsidR="00C72A21" w:rsidRPr="00A27E3F" w:rsidRDefault="00DE08BC" w:rsidP="008F15F6">
      <w:pPr>
        <w:pStyle w:val="Optional"/>
        <w:rPr>
          <w:b/>
          <w:color w:val="auto"/>
        </w:rPr>
      </w:pPr>
      <w:r w:rsidRPr="00A27E3F">
        <w:rPr>
          <w:b/>
          <w:color w:val="auto"/>
        </w:rPr>
        <w:lastRenderedPageBreak/>
        <w:t xml:space="preserve">Office 365 Threat Protection and Management </w:t>
      </w:r>
    </w:p>
    <w:p w14:paraId="79E64E4F" w14:textId="07B92FBE" w:rsidR="008F15F6" w:rsidRPr="00A27E3F" w:rsidRDefault="008F15F6" w:rsidP="008F15F6">
      <w:pPr>
        <w:pStyle w:val="Optional"/>
        <w:rPr>
          <w:color w:val="auto"/>
        </w:rPr>
      </w:pPr>
      <w:r w:rsidRPr="00A27E3F">
        <w:rPr>
          <w:color w:val="auto"/>
        </w:rPr>
        <w:t>We will enable Office 365 ATP and implement policies for the Office 365 experience, including Teams, and will include, anti-spam, anti-malware, safe attachments and ATP safe links to provide protection while remotely collaborating across the Office 365 platform.</w:t>
      </w:r>
    </w:p>
    <w:p w14:paraId="204472A2" w14:textId="77777777" w:rsidR="00985694" w:rsidRPr="009E799D" w:rsidRDefault="00DD01E5">
      <w:pPr>
        <w:pStyle w:val="Heading2"/>
      </w:pPr>
      <w:bookmarkStart w:id="15" w:name="_Toc35522377"/>
      <w:bookmarkStart w:id="16" w:name="_Toc476167704"/>
      <w:bookmarkStart w:id="17" w:name="_Toc476168024"/>
      <w:bookmarkStart w:id="18" w:name="_Ref477786310"/>
      <w:bookmarkStart w:id="19" w:name="_Toc37330257"/>
      <w:bookmarkEnd w:id="15"/>
      <w:r w:rsidRPr="009E799D">
        <w:t>Areas in scope</w:t>
      </w:r>
      <w:bookmarkEnd w:id="16"/>
      <w:bookmarkEnd w:id="17"/>
      <w:bookmarkEnd w:id="18"/>
      <w:bookmarkEnd w:id="19"/>
    </w:p>
    <w:p w14:paraId="7CEE6DB1" w14:textId="64171211" w:rsidR="00985694" w:rsidRPr="009E799D" w:rsidRDefault="00DD01E5">
      <w:r w:rsidRPr="009E799D">
        <w:t>This section outlines the work and activities required to accomplish the objectives set forth in this S</w:t>
      </w:r>
      <w:r w:rsidR="00860856">
        <w:t>OW</w:t>
      </w:r>
      <w:r w:rsidRPr="009E799D">
        <w:t>.</w:t>
      </w:r>
      <w:r w:rsidR="00A16C55" w:rsidRPr="009E799D">
        <w:t xml:space="preserve"> </w:t>
      </w:r>
    </w:p>
    <w:p w14:paraId="61F30C05" w14:textId="77777777" w:rsidR="00985694" w:rsidRPr="009E799D" w:rsidRDefault="00DD01E5">
      <w:pPr>
        <w:pStyle w:val="Heading3"/>
      </w:pPr>
      <w:bookmarkStart w:id="20" w:name="_Toc476168025"/>
      <w:r w:rsidRPr="009E799D">
        <w:t>General project scope</w:t>
      </w:r>
      <w:bookmarkEnd w:id="20"/>
    </w:p>
    <w:p w14:paraId="42B8DA75" w14:textId="77777777" w:rsidR="00985694" w:rsidRPr="009E799D" w:rsidRDefault="00DD01E5">
      <w:r w:rsidRPr="009E799D">
        <w:t>Microsoft will provide Services in support of the following scope.</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802"/>
        <w:gridCol w:w="4320"/>
        <w:gridCol w:w="3237"/>
      </w:tblGrid>
      <w:tr w:rsidR="00985694" w:rsidRPr="009E799D" w14:paraId="378206AB" w14:textId="77777777" w:rsidTr="007A41F1">
        <w:trPr>
          <w:trHeight w:val="360"/>
          <w:tblHeader/>
        </w:trPr>
        <w:tc>
          <w:tcPr>
            <w:tcW w:w="1802" w:type="dxa"/>
            <w:shd w:val="clear" w:color="auto" w:fill="008272"/>
          </w:tcPr>
          <w:p w14:paraId="48A1964A" w14:textId="77777777" w:rsidR="00985694" w:rsidRPr="009E799D" w:rsidRDefault="00DD01E5">
            <w:pPr>
              <w:pStyle w:val="Table-Header"/>
              <w:spacing w:before="51" w:after="51"/>
            </w:pPr>
            <w:r w:rsidRPr="009E799D">
              <w:t>Area</w:t>
            </w:r>
          </w:p>
        </w:tc>
        <w:tc>
          <w:tcPr>
            <w:tcW w:w="4320" w:type="dxa"/>
            <w:shd w:val="clear" w:color="auto" w:fill="008272"/>
          </w:tcPr>
          <w:p w14:paraId="7A0F8246" w14:textId="77777777" w:rsidR="00985694" w:rsidRPr="009E799D" w:rsidRDefault="00DD01E5">
            <w:pPr>
              <w:pStyle w:val="Table-Header"/>
              <w:spacing w:before="51" w:after="51"/>
            </w:pPr>
            <w:r w:rsidRPr="009E799D">
              <w:t xml:space="preserve">Description </w:t>
            </w:r>
          </w:p>
        </w:tc>
        <w:tc>
          <w:tcPr>
            <w:tcW w:w="3237" w:type="dxa"/>
            <w:shd w:val="clear" w:color="auto" w:fill="008272"/>
          </w:tcPr>
          <w:p w14:paraId="4005BF20" w14:textId="77777777" w:rsidR="00985694" w:rsidRPr="009E799D" w:rsidRDefault="00DD01E5">
            <w:pPr>
              <w:pStyle w:val="Table-Header"/>
              <w:spacing w:before="51" w:after="51"/>
            </w:pPr>
            <w:r w:rsidRPr="009E799D">
              <w:t>Assumptions</w:t>
            </w:r>
          </w:p>
        </w:tc>
      </w:tr>
      <w:tr w:rsidR="00057071" w:rsidRPr="009E799D" w14:paraId="1630E7FF" w14:textId="77777777" w:rsidTr="007A41F1">
        <w:trPr>
          <w:trHeight w:val="432"/>
        </w:trPr>
        <w:tc>
          <w:tcPr>
            <w:tcW w:w="1802" w:type="dxa"/>
            <w:shd w:val="clear" w:color="auto" w:fill="auto"/>
          </w:tcPr>
          <w:p w14:paraId="060851EE" w14:textId="77777777" w:rsidR="00057071" w:rsidRDefault="00057071" w:rsidP="00A12A03">
            <w:pPr>
              <w:pStyle w:val="TableText"/>
            </w:pPr>
            <w:r>
              <w:t>Identity Integration</w:t>
            </w:r>
          </w:p>
          <w:p w14:paraId="12469202" w14:textId="60340805" w:rsidR="00057071" w:rsidRPr="00710EAA" w:rsidRDefault="00057071" w:rsidP="00A12A03">
            <w:pPr>
              <w:pStyle w:val="TableText"/>
            </w:pPr>
          </w:p>
        </w:tc>
        <w:tc>
          <w:tcPr>
            <w:tcW w:w="4320" w:type="dxa"/>
            <w:shd w:val="clear" w:color="auto" w:fill="auto"/>
          </w:tcPr>
          <w:p w14:paraId="0F6B5651" w14:textId="36DC825A" w:rsidR="003C16F1" w:rsidRDefault="002A1438" w:rsidP="003C16F1">
            <w:pPr>
              <w:pStyle w:val="TableBullet1"/>
              <w:numPr>
                <w:ilvl w:val="0"/>
                <w:numId w:val="0"/>
              </w:numPr>
              <w:rPr>
                <w:rFonts w:cs="Segoe UI"/>
                <w:szCs w:val="20"/>
              </w:rPr>
            </w:pPr>
            <w:r>
              <w:rPr>
                <w:rFonts w:cs="Segoe UI"/>
                <w:szCs w:val="20"/>
              </w:rPr>
              <w:t xml:space="preserve">Design and </w:t>
            </w:r>
            <w:r w:rsidR="00DB1BAF">
              <w:rPr>
                <w:rFonts w:cs="Segoe UI"/>
                <w:szCs w:val="20"/>
              </w:rPr>
              <w:t>i</w:t>
            </w:r>
            <w:r w:rsidR="00994364" w:rsidRPr="00B83EE2">
              <w:rPr>
                <w:rFonts w:cs="Segoe UI"/>
                <w:szCs w:val="20"/>
              </w:rPr>
              <w:t xml:space="preserve">ntegrate </w:t>
            </w:r>
            <w:r w:rsidR="003C16F1">
              <w:rPr>
                <w:rFonts w:cs="Segoe UI"/>
                <w:szCs w:val="20"/>
              </w:rPr>
              <w:t>one (</w:t>
            </w:r>
            <w:r w:rsidR="00994364">
              <w:rPr>
                <w:rFonts w:cs="Segoe UI"/>
                <w:szCs w:val="20"/>
              </w:rPr>
              <w:t>1</w:t>
            </w:r>
            <w:r w:rsidR="003C16F1">
              <w:rPr>
                <w:rFonts w:cs="Segoe UI"/>
                <w:szCs w:val="20"/>
              </w:rPr>
              <w:t>)</w:t>
            </w:r>
            <w:r w:rsidR="00994364" w:rsidRPr="00B83EE2">
              <w:rPr>
                <w:rFonts w:cs="Segoe UI"/>
                <w:szCs w:val="20"/>
              </w:rPr>
              <w:t xml:space="preserve"> Azure Active Directory tenant with </w:t>
            </w:r>
            <w:r w:rsidR="003C16F1">
              <w:rPr>
                <w:rFonts w:cs="Segoe UI"/>
                <w:szCs w:val="20"/>
              </w:rPr>
              <w:t xml:space="preserve">one (1) </w:t>
            </w:r>
            <w:r w:rsidR="00994364" w:rsidRPr="00B83EE2">
              <w:rPr>
                <w:rFonts w:cs="Segoe UI"/>
                <w:szCs w:val="20"/>
              </w:rPr>
              <w:t>AD</w:t>
            </w:r>
            <w:r w:rsidR="00994364">
              <w:rPr>
                <w:rFonts w:cs="Segoe UI"/>
                <w:szCs w:val="20"/>
              </w:rPr>
              <w:t> </w:t>
            </w:r>
            <w:r w:rsidR="00994364" w:rsidRPr="00B83EE2">
              <w:rPr>
                <w:rFonts w:cs="Segoe UI"/>
                <w:szCs w:val="20"/>
              </w:rPr>
              <w:t>DS forest</w:t>
            </w:r>
            <w:r w:rsidR="00994364">
              <w:rPr>
                <w:rFonts w:cs="Segoe UI"/>
                <w:szCs w:val="20"/>
              </w:rPr>
              <w:t xml:space="preserve"> </w:t>
            </w:r>
            <w:r w:rsidR="00994364" w:rsidRPr="00B83EE2">
              <w:rPr>
                <w:rFonts w:cs="Segoe UI"/>
                <w:szCs w:val="20"/>
              </w:rPr>
              <w:t xml:space="preserve">for synchronization and authentication. </w:t>
            </w:r>
          </w:p>
          <w:p w14:paraId="21D7774A" w14:textId="0B808BF8" w:rsidR="009A04A9" w:rsidRDefault="009A04A9" w:rsidP="003C16F1">
            <w:pPr>
              <w:pStyle w:val="TableBullet1"/>
              <w:numPr>
                <w:ilvl w:val="0"/>
                <w:numId w:val="0"/>
              </w:numPr>
              <w:rPr>
                <w:rFonts w:cs="Segoe UI"/>
                <w:szCs w:val="20"/>
              </w:rPr>
            </w:pPr>
            <w:r w:rsidRPr="00B83EE2">
              <w:rPr>
                <w:rFonts w:cs="Segoe UI"/>
                <w:szCs w:val="20"/>
              </w:rPr>
              <w:t>Microsoft will deliver the following to achieve this:</w:t>
            </w:r>
          </w:p>
          <w:p w14:paraId="409D32C3" w14:textId="3AC62297" w:rsidR="00037BF8" w:rsidRDefault="00664DEB" w:rsidP="003C16F1">
            <w:pPr>
              <w:pStyle w:val="TableBullet1"/>
              <w:numPr>
                <w:ilvl w:val="0"/>
                <w:numId w:val="31"/>
              </w:numPr>
            </w:pPr>
            <w:r>
              <w:t xml:space="preserve">Implement </w:t>
            </w:r>
            <w:r w:rsidR="00FB0250">
              <w:t>Azure AD Connect</w:t>
            </w:r>
            <w:r w:rsidR="00037BF8" w:rsidRPr="00B83EE2">
              <w:t xml:space="preserve">, limited to options </w:t>
            </w:r>
            <w:r w:rsidR="00037BF8">
              <w:t>that</w:t>
            </w:r>
            <w:r w:rsidR="00037BF8" w:rsidRPr="00B83EE2">
              <w:t xml:space="preserve"> are configurable </w:t>
            </w:r>
            <w:r w:rsidR="00037BF8">
              <w:t>through</w:t>
            </w:r>
            <w:r w:rsidR="00037BF8" w:rsidRPr="00B83EE2">
              <w:t xml:space="preserve"> the Azure </w:t>
            </w:r>
            <w:r w:rsidR="00037BF8">
              <w:t>Active Directory Connect</w:t>
            </w:r>
            <w:r w:rsidR="00037BF8" w:rsidRPr="00B83EE2">
              <w:t xml:space="preserve"> configuration wizard</w:t>
            </w:r>
          </w:p>
          <w:p w14:paraId="67DC583E" w14:textId="178903C4" w:rsidR="00AD0822" w:rsidRDefault="00AD0822" w:rsidP="00037BF8">
            <w:pPr>
              <w:pStyle w:val="TableBullet1"/>
            </w:pPr>
            <w:r>
              <w:t>C</w:t>
            </w:r>
            <w:r w:rsidRPr="00B83EE2">
              <w:t>onfigur</w:t>
            </w:r>
            <w:r>
              <w:t>ation of</w:t>
            </w:r>
            <w:r w:rsidRPr="00B83EE2">
              <w:t xml:space="preserve"> Azure </w:t>
            </w:r>
            <w:r>
              <w:t>Active Directory</w:t>
            </w:r>
            <w:r w:rsidRPr="00B83EE2">
              <w:t xml:space="preserve"> authentication using password </w:t>
            </w:r>
            <w:r w:rsidR="004A61B2">
              <w:t xml:space="preserve">hash </w:t>
            </w:r>
            <w:r w:rsidRPr="00B83EE2">
              <w:t>synchronization</w:t>
            </w:r>
          </w:p>
          <w:p w14:paraId="385C1FEF" w14:textId="37B401AD" w:rsidR="00057071" w:rsidRPr="00D602A4" w:rsidRDefault="00C67F67" w:rsidP="00D602A4">
            <w:pPr>
              <w:pStyle w:val="TableBullet1"/>
            </w:pPr>
            <w:r>
              <w:t>I</w:t>
            </w:r>
            <w:r w:rsidRPr="00B83EE2">
              <w:t>nstall</w:t>
            </w:r>
            <w:r>
              <w:t xml:space="preserve">ation of the </w:t>
            </w:r>
            <w:r w:rsidRPr="00B83EE2">
              <w:t xml:space="preserve">Azure </w:t>
            </w:r>
            <w:r>
              <w:t>Active Directory Connect</w:t>
            </w:r>
            <w:r w:rsidRPr="00B83EE2">
              <w:t xml:space="preserve"> Health </w:t>
            </w:r>
            <w:r>
              <w:t>A</w:t>
            </w:r>
            <w:r w:rsidRPr="00B83EE2">
              <w:t>gent</w:t>
            </w:r>
            <w:r w:rsidR="00733B60">
              <w:t xml:space="preserve"> </w:t>
            </w:r>
            <w:r w:rsidR="00733B60" w:rsidRPr="00B83EE2">
              <w:t xml:space="preserve">if </w:t>
            </w:r>
            <w:r w:rsidR="00733B60">
              <w:t>the C</w:t>
            </w:r>
            <w:r w:rsidR="00733B60" w:rsidRPr="00B83EE2">
              <w:t>ustomer is licensed for Azure Active Directory Premium</w:t>
            </w:r>
          </w:p>
        </w:tc>
        <w:tc>
          <w:tcPr>
            <w:tcW w:w="3237" w:type="dxa"/>
            <w:vMerge w:val="restart"/>
            <w:shd w:val="clear" w:color="auto" w:fill="auto"/>
          </w:tcPr>
          <w:p w14:paraId="0F2BDE8B" w14:textId="0B9B2D57" w:rsidR="00057071" w:rsidRPr="00D602A4" w:rsidRDefault="00057071" w:rsidP="00AE276B">
            <w:pPr>
              <w:pStyle w:val="Bulletlist"/>
            </w:pPr>
            <w:r w:rsidRPr="00904A34">
              <w:t xml:space="preserve">Customer </w:t>
            </w:r>
            <w:r w:rsidRPr="00D602A4">
              <w:t>will attend the design workshops and will share requirements information</w:t>
            </w:r>
            <w:r w:rsidRPr="00904A34">
              <w:t>.</w:t>
            </w:r>
          </w:p>
          <w:p w14:paraId="2105285B" w14:textId="1B3D3B5B" w:rsidR="00057071" w:rsidRDefault="00057071" w:rsidP="00AE276B">
            <w:pPr>
              <w:pStyle w:val="Bulletlist"/>
            </w:pPr>
            <w:r w:rsidRPr="00904A34">
              <w:t xml:space="preserve">Customer </w:t>
            </w:r>
            <w:r w:rsidR="00CB68C8">
              <w:t xml:space="preserve">already has or </w:t>
            </w:r>
            <w:r w:rsidRPr="00D602A4">
              <w:t xml:space="preserve">will procure an Azure </w:t>
            </w:r>
            <w:r w:rsidRPr="00904A34">
              <w:t>s</w:t>
            </w:r>
            <w:r w:rsidRPr="00D602A4">
              <w:t>ubscription</w:t>
            </w:r>
            <w:r>
              <w:t xml:space="preserve"> and </w:t>
            </w:r>
            <w:r w:rsidR="00F32083">
              <w:t>required</w:t>
            </w:r>
            <w:r>
              <w:t xml:space="preserve"> </w:t>
            </w:r>
            <w:r w:rsidR="007873CB">
              <w:t xml:space="preserve">O365 </w:t>
            </w:r>
            <w:r>
              <w:t>licenses.</w:t>
            </w:r>
          </w:p>
          <w:p w14:paraId="0A271194" w14:textId="77777777" w:rsidR="00057071" w:rsidRDefault="00057071" w:rsidP="00AE276B">
            <w:pPr>
              <w:pStyle w:val="Bulletlist"/>
            </w:pPr>
            <w:r w:rsidRPr="00825A4E">
              <w:t>Customer will pro</w:t>
            </w:r>
            <w:r>
              <w:t>vide</w:t>
            </w:r>
            <w:r w:rsidRPr="00825A4E">
              <w:t xml:space="preserve"> </w:t>
            </w:r>
            <w:r w:rsidRPr="00D602A4">
              <w:t xml:space="preserve">the necessary access to the Microsoft team </w:t>
            </w:r>
            <w:r w:rsidRPr="00904A34">
              <w:t xml:space="preserve">in order </w:t>
            </w:r>
            <w:r w:rsidRPr="00D602A4">
              <w:t>to work remotely</w:t>
            </w:r>
            <w:r w:rsidRPr="00904A34">
              <w:t>.</w:t>
            </w:r>
          </w:p>
          <w:p w14:paraId="5E55926E" w14:textId="7F7DFE63" w:rsidR="00FD4494" w:rsidRDefault="00FD4494" w:rsidP="00AE276B">
            <w:pPr>
              <w:pStyle w:val="Bulletlist"/>
            </w:pPr>
            <w:r>
              <w:t>Only applications that are integrated with Azure Active Directory will be subjected to MFA or conditional access policy.</w:t>
            </w:r>
          </w:p>
          <w:p w14:paraId="13DF7A1A" w14:textId="0C1F5492" w:rsidR="00FD4494" w:rsidRDefault="00FD4494" w:rsidP="00AE276B">
            <w:pPr>
              <w:pStyle w:val="Bulletlist"/>
            </w:pPr>
            <w:r>
              <w:t>If Office 365 will be protected by the solution, the Customer has deployed an Office client that supports modern authentication (Microsoft Office 2013, Microsoft Office 2016, or Office 365).</w:t>
            </w:r>
          </w:p>
          <w:p w14:paraId="0FB29ADE" w14:textId="77777777" w:rsidR="008F0E00" w:rsidRDefault="00FD4494" w:rsidP="00AE276B">
            <w:pPr>
              <w:pStyle w:val="Bulletlist"/>
            </w:pPr>
            <w:r>
              <w:t xml:space="preserve">If access is to be restricted to managed or compliant devices, Microsoft Intune will be used for mobile device management and hybrid Azure Active Directory join will be used for domain-joined computers. </w:t>
            </w:r>
            <w:r>
              <w:lastRenderedPageBreak/>
              <w:t>Implementation of these services is scoped separately.</w:t>
            </w:r>
          </w:p>
          <w:p w14:paraId="4141D90F" w14:textId="1FA63AC3" w:rsidR="00A312D5" w:rsidRPr="00A0597A" w:rsidRDefault="00A312D5" w:rsidP="00172392">
            <w:pPr>
              <w:pStyle w:val="TableBullet1"/>
              <w:numPr>
                <w:ilvl w:val="0"/>
                <w:numId w:val="35"/>
              </w:numPr>
              <w:tabs>
                <w:tab w:val="left" w:pos="720"/>
              </w:tabs>
            </w:pPr>
          </w:p>
        </w:tc>
      </w:tr>
      <w:tr w:rsidR="00057071" w:rsidRPr="009E799D" w14:paraId="1FA2D410" w14:textId="77777777" w:rsidTr="007A41F1">
        <w:trPr>
          <w:trHeight w:val="432"/>
        </w:trPr>
        <w:tc>
          <w:tcPr>
            <w:tcW w:w="1802" w:type="dxa"/>
            <w:shd w:val="clear" w:color="auto" w:fill="auto"/>
          </w:tcPr>
          <w:p w14:paraId="113DC582" w14:textId="77777777" w:rsidR="00057071" w:rsidRDefault="00057071" w:rsidP="00A12A03">
            <w:pPr>
              <w:pStyle w:val="TableText"/>
            </w:pPr>
            <w:r>
              <w:t>Conditional Access and Multi Factor Authentication</w:t>
            </w:r>
          </w:p>
          <w:p w14:paraId="6D40E96A" w14:textId="42FDF36B" w:rsidR="00057071" w:rsidRPr="00710EAA" w:rsidRDefault="00057071" w:rsidP="00A12A03">
            <w:pPr>
              <w:pStyle w:val="TableText"/>
            </w:pPr>
          </w:p>
        </w:tc>
        <w:tc>
          <w:tcPr>
            <w:tcW w:w="4320" w:type="dxa"/>
            <w:shd w:val="clear" w:color="auto" w:fill="auto"/>
          </w:tcPr>
          <w:p w14:paraId="279145BF" w14:textId="77777777" w:rsidR="00521377" w:rsidRPr="00B83EE2" w:rsidRDefault="00521377" w:rsidP="00521377">
            <w:pPr>
              <w:rPr>
                <w:rFonts w:cs="Segoe UI"/>
                <w:szCs w:val="18"/>
              </w:rPr>
            </w:pPr>
            <w:r>
              <w:t>Design and c</w:t>
            </w:r>
            <w:r w:rsidRPr="00B83EE2">
              <w:t>onfigur</w:t>
            </w:r>
            <w:r>
              <w:t>e</w:t>
            </w:r>
            <w:r w:rsidRPr="00B83EE2">
              <w:rPr>
                <w:rFonts w:cs="Segoe UI"/>
                <w:szCs w:val="18"/>
              </w:rPr>
              <w:t xml:space="preserve"> Azure Multi-Factor Authentication (MFA) and Azure Active Directory conditional access in </w:t>
            </w:r>
            <w:r>
              <w:rPr>
                <w:rFonts w:cs="Segoe UI"/>
                <w:szCs w:val="18"/>
              </w:rPr>
              <w:t>1</w:t>
            </w:r>
            <w:r w:rsidRPr="00B83EE2">
              <w:rPr>
                <w:rFonts w:cs="Segoe UI"/>
                <w:szCs w:val="18"/>
              </w:rPr>
              <w:t xml:space="preserve"> </w:t>
            </w:r>
            <w:r>
              <w:rPr>
                <w:rFonts w:cs="Segoe UI"/>
                <w:szCs w:val="18"/>
              </w:rPr>
              <w:t>C</w:t>
            </w:r>
            <w:r w:rsidRPr="00B83EE2">
              <w:rPr>
                <w:rFonts w:cs="Segoe UI"/>
                <w:szCs w:val="18"/>
              </w:rPr>
              <w:t xml:space="preserve">ustomer tenant to </w:t>
            </w:r>
            <w:r>
              <w:rPr>
                <w:rFonts w:cs="Segoe UI"/>
                <w:szCs w:val="18"/>
              </w:rPr>
              <w:t xml:space="preserve">help </w:t>
            </w:r>
            <w:r w:rsidRPr="00B83EE2">
              <w:rPr>
                <w:rFonts w:cs="Segoe UI"/>
                <w:szCs w:val="18"/>
              </w:rPr>
              <w:t xml:space="preserve">secure Azure </w:t>
            </w:r>
            <w:r>
              <w:rPr>
                <w:rFonts w:cs="Segoe UI"/>
                <w:szCs w:val="18"/>
              </w:rPr>
              <w:t>Active Directory–</w:t>
            </w:r>
            <w:r w:rsidRPr="00B83EE2">
              <w:rPr>
                <w:rFonts w:cs="Segoe UI"/>
                <w:szCs w:val="18"/>
              </w:rPr>
              <w:t>integrated applications and services, including Office 365. Microsoft will deliver the following to achieve this:</w:t>
            </w:r>
          </w:p>
          <w:p w14:paraId="0B2D8A87" w14:textId="77777777" w:rsidR="00521377" w:rsidRPr="00B83EE2" w:rsidRDefault="00521377" w:rsidP="00521377">
            <w:pPr>
              <w:pStyle w:val="TableBullet1"/>
            </w:pPr>
            <w:r>
              <w:t>C</w:t>
            </w:r>
            <w:r w:rsidRPr="00B83EE2">
              <w:t>onfigur</w:t>
            </w:r>
            <w:r>
              <w:t xml:space="preserve">ation of </w:t>
            </w:r>
            <w:r w:rsidRPr="00B83EE2">
              <w:t xml:space="preserve">Azure MFA to </w:t>
            </w:r>
            <w:r>
              <w:t>Customer</w:t>
            </w:r>
            <w:r w:rsidRPr="00B83EE2">
              <w:t xml:space="preserve"> specification</w:t>
            </w:r>
            <w:r>
              <w:t>s</w:t>
            </w:r>
          </w:p>
          <w:p w14:paraId="6D282439" w14:textId="77777777" w:rsidR="00521377" w:rsidRPr="00B83EE2" w:rsidRDefault="00521377" w:rsidP="00521377">
            <w:pPr>
              <w:pStyle w:val="TableBullet1"/>
            </w:pPr>
            <w:r>
              <w:t>D</w:t>
            </w:r>
            <w:r w:rsidRPr="00B83EE2">
              <w:t>esign and implement</w:t>
            </w:r>
            <w:r>
              <w:t>ation of</w:t>
            </w:r>
            <w:r w:rsidRPr="00B83EE2">
              <w:t xml:space="preserve"> Azure </w:t>
            </w:r>
            <w:r>
              <w:t>Active Directory</w:t>
            </w:r>
            <w:r w:rsidRPr="00B83EE2">
              <w:t xml:space="preserve"> conditional access policies in the tenant</w:t>
            </w:r>
          </w:p>
          <w:p w14:paraId="38028DFA" w14:textId="77777777" w:rsidR="00521377" w:rsidRDefault="00521377" w:rsidP="00521377">
            <w:pPr>
              <w:pStyle w:val="TableBullet1"/>
            </w:pPr>
            <w:r w:rsidRPr="00B83EE2">
              <w:t>If</w:t>
            </w:r>
            <w:r>
              <w:t xml:space="preserve"> the</w:t>
            </w:r>
            <w:r w:rsidRPr="00B83EE2">
              <w:t xml:space="preserve"> </w:t>
            </w:r>
            <w:r>
              <w:t>Customer</w:t>
            </w:r>
            <w:r w:rsidRPr="00B83EE2">
              <w:t xml:space="preserve"> is using AD</w:t>
            </w:r>
            <w:r>
              <w:t> </w:t>
            </w:r>
            <w:r w:rsidRPr="00B83EE2">
              <w:t xml:space="preserve">FS for federated authentication to Azure </w:t>
            </w:r>
            <w:r>
              <w:t>Active Directory</w:t>
            </w:r>
            <w:r w:rsidRPr="00B83EE2">
              <w:t>, AD</w:t>
            </w:r>
            <w:r>
              <w:t> </w:t>
            </w:r>
            <w:r w:rsidRPr="00B83EE2">
              <w:t xml:space="preserve">FS issuance authorization </w:t>
            </w:r>
            <w:r w:rsidRPr="00B83EE2">
              <w:lastRenderedPageBreak/>
              <w:t xml:space="preserve">rules </w:t>
            </w:r>
            <w:r>
              <w:t xml:space="preserve">will be </w:t>
            </w:r>
            <w:r w:rsidRPr="00B83EE2">
              <w:t>configured to implement controls for legacy authentication</w:t>
            </w:r>
            <w:r>
              <w:t>.</w:t>
            </w:r>
          </w:p>
          <w:p w14:paraId="6E478828" w14:textId="550D7F9E" w:rsidR="00057071" w:rsidRPr="00D602A4" w:rsidRDefault="00521377" w:rsidP="00521377">
            <w:pPr>
              <w:pStyle w:val="TableText"/>
            </w:pPr>
            <w:r>
              <w:t xml:space="preserve">Implementation and configuration of </w:t>
            </w:r>
            <w:r w:rsidRPr="00B83EE2">
              <w:t xml:space="preserve">Azure </w:t>
            </w:r>
            <w:r>
              <w:t>Active Directory</w:t>
            </w:r>
            <w:r w:rsidRPr="00B83EE2">
              <w:t xml:space="preserve"> Identity Protection to </w:t>
            </w:r>
            <w:r>
              <w:t>C</w:t>
            </w:r>
            <w:r w:rsidRPr="00B83EE2">
              <w:t>ustomer specification</w:t>
            </w:r>
            <w:r>
              <w:t>s</w:t>
            </w:r>
            <w:r w:rsidRPr="00B83EE2">
              <w:t xml:space="preserve"> if</w:t>
            </w:r>
            <w:r>
              <w:t xml:space="preserve"> the</w:t>
            </w:r>
            <w:r w:rsidRPr="00B83EE2">
              <w:t xml:space="preserve"> </w:t>
            </w:r>
            <w:r>
              <w:t>C</w:t>
            </w:r>
            <w:r w:rsidRPr="00B83EE2">
              <w:t xml:space="preserve">ustomer is licensed for Azure </w:t>
            </w:r>
            <w:r>
              <w:t>Active Directory</w:t>
            </w:r>
            <w:r w:rsidRPr="00B83EE2">
              <w:t xml:space="preserve"> Premium P2</w:t>
            </w:r>
            <w:r>
              <w:t>.</w:t>
            </w:r>
          </w:p>
        </w:tc>
        <w:tc>
          <w:tcPr>
            <w:tcW w:w="3237" w:type="dxa"/>
            <w:vMerge/>
            <w:shd w:val="clear" w:color="auto" w:fill="auto"/>
          </w:tcPr>
          <w:p w14:paraId="493F6216" w14:textId="4DB4BE1F" w:rsidR="00057071" w:rsidRPr="00D602A4" w:rsidRDefault="00057071" w:rsidP="00D602A4">
            <w:pPr>
              <w:pStyle w:val="TableText"/>
            </w:pPr>
          </w:p>
        </w:tc>
      </w:tr>
      <w:tr w:rsidR="00A75335" w:rsidRPr="009E799D" w14:paraId="19C6DE48" w14:textId="77777777" w:rsidTr="007A41F1">
        <w:trPr>
          <w:trHeight w:val="432"/>
        </w:trPr>
        <w:tc>
          <w:tcPr>
            <w:tcW w:w="1802" w:type="dxa"/>
            <w:shd w:val="clear" w:color="auto" w:fill="auto"/>
          </w:tcPr>
          <w:p w14:paraId="71610619" w14:textId="6509AF8E" w:rsidR="00A75335" w:rsidRPr="00710EAA" w:rsidRDefault="00A75335" w:rsidP="00A75335">
            <w:pPr>
              <w:pStyle w:val="TableText"/>
            </w:pPr>
            <w:r>
              <w:rPr>
                <w:bCs/>
              </w:rPr>
              <w:t>Office 365 Threat Protection and Management</w:t>
            </w:r>
          </w:p>
        </w:tc>
        <w:tc>
          <w:tcPr>
            <w:tcW w:w="4320" w:type="dxa"/>
            <w:shd w:val="clear" w:color="auto" w:fill="auto"/>
          </w:tcPr>
          <w:p w14:paraId="3FA0C61C" w14:textId="77777777" w:rsidR="00A75335" w:rsidRPr="00172392" w:rsidRDefault="00A75335" w:rsidP="00A75335">
            <w:pPr>
              <w:pStyle w:val="Optional"/>
              <w:numPr>
                <w:ilvl w:val="0"/>
                <w:numId w:val="34"/>
              </w:numPr>
              <w:rPr>
                <w:b/>
                <w:bCs/>
                <w:color w:val="000000" w:themeColor="text1"/>
              </w:rPr>
            </w:pPr>
            <w:r w:rsidRPr="00172392">
              <w:rPr>
                <w:bCs/>
                <w:color w:val="000000" w:themeColor="text1"/>
              </w:rPr>
              <w:t>Implement Office 365 Exchange Online Protection (EOP) and Advanced Threat Protection (ATP), timeboxed</w:t>
            </w:r>
            <w:r w:rsidRPr="00172392">
              <w:rPr>
                <w:rStyle w:val="OptionalChar"/>
                <w:bCs/>
                <w:color w:val="000000" w:themeColor="text1"/>
              </w:rPr>
              <w:t xml:space="preserve"> (see section below “Microsoft Assistance”)</w:t>
            </w:r>
            <w:r w:rsidRPr="00172392">
              <w:rPr>
                <w:bCs/>
                <w:color w:val="000000" w:themeColor="text1"/>
              </w:rPr>
              <w:t>, including:</w:t>
            </w:r>
          </w:p>
          <w:p w14:paraId="7D76D994" w14:textId="03AE7482" w:rsidR="00A75335" w:rsidRPr="00172392" w:rsidRDefault="00A75335" w:rsidP="006F1B8B">
            <w:pPr>
              <w:pStyle w:val="Optional"/>
              <w:numPr>
                <w:ilvl w:val="1"/>
                <w:numId w:val="34"/>
              </w:numPr>
              <w:ind w:left="720"/>
              <w:rPr>
                <w:rFonts w:ascii="Segoe UI Semilight" w:hAnsi="Segoe UI Semilight"/>
                <w:b/>
                <w:bCs/>
                <w:color w:val="000000" w:themeColor="text1"/>
              </w:rPr>
            </w:pPr>
            <w:r w:rsidRPr="00172392">
              <w:rPr>
                <w:bCs/>
                <w:color w:val="000000" w:themeColor="text1"/>
              </w:rPr>
              <w:t>EOP setup and configuration for antispam, antimalware, and anti-phishing or spoofing functions. This activity is limited to a single default policy configuration for each function.</w:t>
            </w:r>
          </w:p>
          <w:p w14:paraId="3233D1A3" w14:textId="4056A114" w:rsidR="00A75335" w:rsidRPr="00DE08BC" w:rsidRDefault="00A75335" w:rsidP="00A75335">
            <w:pPr>
              <w:pStyle w:val="Optional"/>
              <w:numPr>
                <w:ilvl w:val="1"/>
                <w:numId w:val="34"/>
              </w:numPr>
              <w:ind w:left="720"/>
              <w:rPr>
                <w:rFonts w:ascii="Segoe UI Semilight" w:hAnsi="Segoe UI Semilight"/>
                <w:b/>
                <w:bCs/>
              </w:rPr>
            </w:pPr>
            <w:r w:rsidRPr="00172392">
              <w:rPr>
                <w:bCs/>
                <w:color w:val="000000" w:themeColor="text1"/>
              </w:rPr>
              <w:t>Setup and configuration of ATP-based safe attachments and safe links limited to a single default policy configuration for each.</w:t>
            </w:r>
          </w:p>
        </w:tc>
        <w:tc>
          <w:tcPr>
            <w:tcW w:w="3237" w:type="dxa"/>
            <w:vMerge/>
            <w:shd w:val="clear" w:color="auto" w:fill="auto"/>
          </w:tcPr>
          <w:p w14:paraId="08FE2B11" w14:textId="77777777" w:rsidR="00A75335" w:rsidRPr="00904A34" w:rsidRDefault="00A75335" w:rsidP="00A75335">
            <w:pPr>
              <w:pStyle w:val="TableText"/>
            </w:pPr>
          </w:p>
        </w:tc>
      </w:tr>
    </w:tbl>
    <w:p w14:paraId="44AE3D22" w14:textId="77777777" w:rsidR="00985694" w:rsidRPr="009E799D" w:rsidRDefault="00DD01E5">
      <w:pPr>
        <w:pStyle w:val="Heading3"/>
      </w:pPr>
      <w:bookmarkStart w:id="21" w:name="_Toc476168026"/>
      <w:bookmarkStart w:id="22" w:name="_Ref35523345"/>
      <w:bookmarkStart w:id="23" w:name="_Ref12614720"/>
      <w:r w:rsidRPr="009E799D">
        <w:t>Software products and technologies</w:t>
      </w:r>
      <w:bookmarkEnd w:id="21"/>
      <w:bookmarkEnd w:id="22"/>
    </w:p>
    <w:p w14:paraId="2D44F982" w14:textId="0F4AD527" w:rsidR="00985694" w:rsidRPr="009E799D" w:rsidRDefault="00DD01E5">
      <w:bookmarkStart w:id="24" w:name="_Hlk13580794"/>
      <w:bookmarkEnd w:id="23"/>
      <w:r w:rsidRPr="009E799D">
        <w:t xml:space="preserve">The products and technology listed in the following </w:t>
      </w:r>
      <w:bookmarkEnd w:id="24"/>
      <w:r w:rsidRPr="009E799D">
        <w:t xml:space="preserve">table are required for project </w:t>
      </w:r>
      <w:r w:rsidR="009B78BB">
        <w:t>implementation</w:t>
      </w:r>
      <w:r w:rsidRPr="009E799D">
        <w:t>. The party responsible for obtaining the items is indicated.</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113"/>
        <w:gridCol w:w="1522"/>
        <w:gridCol w:w="2153"/>
        <w:gridCol w:w="1574"/>
      </w:tblGrid>
      <w:tr w:rsidR="00985694" w:rsidRPr="009E799D" w14:paraId="608D0D67" w14:textId="77777777" w:rsidTr="00D602A4">
        <w:trPr>
          <w:trHeight w:val="364"/>
          <w:tblHeader/>
        </w:trPr>
        <w:tc>
          <w:tcPr>
            <w:tcW w:w="4113" w:type="dxa"/>
            <w:shd w:val="clear" w:color="auto" w:fill="008272"/>
          </w:tcPr>
          <w:p w14:paraId="4A24C45F" w14:textId="77777777" w:rsidR="00985694" w:rsidRPr="009E799D" w:rsidRDefault="00DD01E5">
            <w:pPr>
              <w:pStyle w:val="Table-Header"/>
              <w:spacing w:before="51" w:after="51"/>
            </w:pPr>
            <w:r w:rsidRPr="009E799D">
              <w:t>Product and technology item</w:t>
            </w:r>
          </w:p>
        </w:tc>
        <w:tc>
          <w:tcPr>
            <w:tcW w:w="1522" w:type="dxa"/>
            <w:shd w:val="clear" w:color="auto" w:fill="008272"/>
          </w:tcPr>
          <w:p w14:paraId="7F8E49AC" w14:textId="77777777" w:rsidR="00985694" w:rsidRPr="009E799D" w:rsidRDefault="00DD01E5">
            <w:pPr>
              <w:pStyle w:val="Table-Header"/>
              <w:spacing w:before="51" w:after="51"/>
            </w:pPr>
            <w:r w:rsidRPr="009E799D">
              <w:t xml:space="preserve">Version </w:t>
            </w:r>
          </w:p>
        </w:tc>
        <w:tc>
          <w:tcPr>
            <w:tcW w:w="2153" w:type="dxa"/>
            <w:shd w:val="clear" w:color="auto" w:fill="008272"/>
          </w:tcPr>
          <w:p w14:paraId="10AD5189" w14:textId="77777777" w:rsidR="00985694" w:rsidRPr="009E799D" w:rsidRDefault="00DD01E5">
            <w:pPr>
              <w:pStyle w:val="Table-Header"/>
              <w:spacing w:before="51" w:after="51"/>
            </w:pPr>
            <w:r w:rsidRPr="009E799D">
              <w:t>Responsibility</w:t>
            </w:r>
          </w:p>
        </w:tc>
        <w:tc>
          <w:tcPr>
            <w:tcW w:w="1574" w:type="dxa"/>
            <w:shd w:val="clear" w:color="auto" w:fill="008272"/>
          </w:tcPr>
          <w:p w14:paraId="641DA698" w14:textId="77777777" w:rsidR="00985694" w:rsidRPr="009E799D" w:rsidRDefault="00DD01E5">
            <w:pPr>
              <w:pStyle w:val="Table-Header"/>
              <w:spacing w:before="51" w:after="51"/>
            </w:pPr>
            <w:r w:rsidRPr="009E799D">
              <w:t>Ready by</w:t>
            </w:r>
          </w:p>
        </w:tc>
      </w:tr>
      <w:tr w:rsidR="00985694" w:rsidRPr="009E799D" w14:paraId="145E2301" w14:textId="77777777" w:rsidTr="00D602A4">
        <w:trPr>
          <w:trHeight w:val="432"/>
        </w:trPr>
        <w:tc>
          <w:tcPr>
            <w:tcW w:w="4113" w:type="dxa"/>
            <w:shd w:val="clear" w:color="auto" w:fill="auto"/>
          </w:tcPr>
          <w:p w14:paraId="1E480FBF" w14:textId="44DFF2A3" w:rsidR="00985694" w:rsidRPr="008828D3" w:rsidRDefault="009F11EA" w:rsidP="00D602A4">
            <w:pPr>
              <w:pStyle w:val="TableText"/>
            </w:pPr>
            <w:r w:rsidRPr="008828D3">
              <w:t xml:space="preserve">Azure </w:t>
            </w:r>
            <w:r w:rsidR="008828D3" w:rsidRPr="008828D3">
              <w:t>subscription</w:t>
            </w:r>
          </w:p>
        </w:tc>
        <w:tc>
          <w:tcPr>
            <w:tcW w:w="1522" w:type="dxa"/>
            <w:shd w:val="clear" w:color="auto" w:fill="auto"/>
          </w:tcPr>
          <w:p w14:paraId="4D90D85F" w14:textId="5E6C3D44" w:rsidR="00985694" w:rsidRPr="00D602A4" w:rsidRDefault="00452660" w:rsidP="00D602A4">
            <w:pPr>
              <w:pStyle w:val="TableText"/>
            </w:pPr>
            <w:r w:rsidRPr="00D602A4">
              <w:t>N</w:t>
            </w:r>
            <w:r w:rsidR="008828D3">
              <w:t>ot applicable</w:t>
            </w:r>
          </w:p>
        </w:tc>
        <w:tc>
          <w:tcPr>
            <w:tcW w:w="2153" w:type="dxa"/>
            <w:shd w:val="clear" w:color="auto" w:fill="auto"/>
          </w:tcPr>
          <w:p w14:paraId="48C98103" w14:textId="77DD01A1" w:rsidR="00985694" w:rsidRPr="00D602A4" w:rsidRDefault="009F11EA" w:rsidP="00D602A4">
            <w:pPr>
              <w:pStyle w:val="TableText"/>
            </w:pPr>
            <w:r w:rsidRPr="00D602A4">
              <w:t>Customer</w:t>
            </w:r>
          </w:p>
        </w:tc>
        <w:tc>
          <w:tcPr>
            <w:tcW w:w="1574" w:type="dxa"/>
            <w:shd w:val="clear" w:color="auto" w:fill="auto"/>
          </w:tcPr>
          <w:p w14:paraId="75673B62" w14:textId="797742AD" w:rsidR="00985694" w:rsidRPr="00D602A4" w:rsidRDefault="005F5D30" w:rsidP="00D602A4">
            <w:pPr>
              <w:pStyle w:val="TableText"/>
            </w:pPr>
            <w:r w:rsidRPr="00D602A4">
              <w:t xml:space="preserve">Start of </w:t>
            </w:r>
            <w:r w:rsidR="00FF5C77" w:rsidRPr="00D602A4">
              <w:t>project</w:t>
            </w:r>
          </w:p>
        </w:tc>
      </w:tr>
      <w:tr w:rsidR="0039530E" w:rsidRPr="009E799D" w14:paraId="6CD16AFA" w14:textId="77777777" w:rsidTr="00B42F26">
        <w:trPr>
          <w:trHeight w:val="432"/>
        </w:trPr>
        <w:tc>
          <w:tcPr>
            <w:tcW w:w="4113" w:type="dxa"/>
            <w:shd w:val="clear" w:color="auto" w:fill="auto"/>
          </w:tcPr>
          <w:p w14:paraId="2405FCFF" w14:textId="546F9333" w:rsidR="0039530E" w:rsidRPr="008828D3" w:rsidRDefault="0039530E" w:rsidP="002B0D86">
            <w:r>
              <w:t>Office</w:t>
            </w:r>
            <w:r w:rsidR="00B46756">
              <w:t xml:space="preserve"> 365</w:t>
            </w:r>
            <w:r>
              <w:t xml:space="preserve"> </w:t>
            </w:r>
          </w:p>
        </w:tc>
        <w:tc>
          <w:tcPr>
            <w:tcW w:w="1522" w:type="dxa"/>
            <w:shd w:val="clear" w:color="auto" w:fill="auto"/>
          </w:tcPr>
          <w:p w14:paraId="14C796EF" w14:textId="1274D9FE" w:rsidR="0039530E" w:rsidRPr="00D602A4" w:rsidRDefault="0039530E" w:rsidP="002B0D86">
            <w:r>
              <w:t>L</w:t>
            </w:r>
            <w:r w:rsidRPr="00DD41D0">
              <w:t>atest version</w:t>
            </w:r>
          </w:p>
        </w:tc>
        <w:tc>
          <w:tcPr>
            <w:tcW w:w="2153" w:type="dxa"/>
            <w:shd w:val="clear" w:color="auto" w:fill="auto"/>
          </w:tcPr>
          <w:p w14:paraId="47F60F90" w14:textId="4F2FEF9F" w:rsidR="0039530E" w:rsidRPr="00D602A4" w:rsidRDefault="0039530E" w:rsidP="002B0D86">
            <w:r w:rsidRPr="00825A4E">
              <w:t>Customer</w:t>
            </w:r>
          </w:p>
        </w:tc>
        <w:tc>
          <w:tcPr>
            <w:tcW w:w="1574" w:type="dxa"/>
            <w:shd w:val="clear" w:color="auto" w:fill="auto"/>
          </w:tcPr>
          <w:p w14:paraId="45BFDEC1" w14:textId="7D088146" w:rsidR="0039530E" w:rsidRPr="00D602A4" w:rsidRDefault="0039530E" w:rsidP="002B0D86">
            <w:r w:rsidRPr="00825A4E">
              <w:t>Start of project</w:t>
            </w:r>
          </w:p>
        </w:tc>
      </w:tr>
    </w:tbl>
    <w:p w14:paraId="721E7B7B" w14:textId="77777777" w:rsidR="00985694" w:rsidRPr="009E799D" w:rsidRDefault="00DD01E5">
      <w:pPr>
        <w:pStyle w:val="Heading3"/>
      </w:pPr>
      <w:bookmarkStart w:id="25" w:name="_Toc476168029"/>
      <w:r w:rsidRPr="009E799D">
        <w:t>Environments</w:t>
      </w:r>
      <w:bookmarkEnd w:id="25"/>
    </w:p>
    <w:p w14:paraId="7C138898" w14:textId="77777777" w:rsidR="00985694" w:rsidRPr="009E799D" w:rsidRDefault="00DD01E5">
      <w:r w:rsidRPr="009E799D">
        <w:t>The following environments will be required to deliver the project.</w:t>
      </w:r>
    </w:p>
    <w:tbl>
      <w:tblPr>
        <w:tblStyle w:val="TableGrid1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2702"/>
        <w:gridCol w:w="1260"/>
        <w:gridCol w:w="1789"/>
        <w:gridCol w:w="3611"/>
      </w:tblGrid>
      <w:tr w:rsidR="00985694" w:rsidRPr="009E799D" w14:paraId="1570154D" w14:textId="77777777" w:rsidTr="009627C1">
        <w:trPr>
          <w:trHeight w:val="697"/>
          <w:tblHeader/>
        </w:trPr>
        <w:tc>
          <w:tcPr>
            <w:tcW w:w="2702" w:type="dxa"/>
            <w:shd w:val="clear" w:color="auto" w:fill="008272"/>
          </w:tcPr>
          <w:p w14:paraId="146C1DF7" w14:textId="77777777" w:rsidR="00985694" w:rsidRPr="009E799D" w:rsidRDefault="00DD01E5">
            <w:pPr>
              <w:rPr>
                <w:b/>
                <w:color w:val="FFFFFF" w:themeColor="background1"/>
              </w:rPr>
            </w:pPr>
            <w:r w:rsidRPr="009E799D">
              <w:rPr>
                <w:b/>
                <w:color w:val="FFFFFF" w:themeColor="background1"/>
              </w:rPr>
              <w:t>Environment</w:t>
            </w:r>
          </w:p>
        </w:tc>
        <w:tc>
          <w:tcPr>
            <w:tcW w:w="1260" w:type="dxa"/>
            <w:shd w:val="clear" w:color="auto" w:fill="008272"/>
          </w:tcPr>
          <w:p w14:paraId="12C65231" w14:textId="77777777" w:rsidR="00985694" w:rsidRPr="009E799D" w:rsidRDefault="00DD01E5">
            <w:pPr>
              <w:rPr>
                <w:b/>
                <w:color w:val="FFFFFF" w:themeColor="background1"/>
              </w:rPr>
            </w:pPr>
            <w:r w:rsidRPr="009E799D">
              <w:rPr>
                <w:b/>
                <w:color w:val="FFFFFF" w:themeColor="background1"/>
              </w:rPr>
              <w:t>Location</w:t>
            </w:r>
          </w:p>
        </w:tc>
        <w:tc>
          <w:tcPr>
            <w:tcW w:w="1789" w:type="dxa"/>
            <w:shd w:val="clear" w:color="auto" w:fill="008272"/>
          </w:tcPr>
          <w:p w14:paraId="5D4BE3E3" w14:textId="3FAB6A6D" w:rsidR="00985694" w:rsidRPr="009E799D" w:rsidRDefault="00DD01E5">
            <w:pPr>
              <w:rPr>
                <w:b/>
                <w:color w:val="FFFFFF" w:themeColor="background1"/>
              </w:rPr>
            </w:pPr>
            <w:r w:rsidRPr="009E799D">
              <w:rPr>
                <w:b/>
                <w:color w:val="FFFFFF" w:themeColor="background1"/>
              </w:rPr>
              <w:t>Responsibility (</w:t>
            </w:r>
            <w:r w:rsidR="006713D9">
              <w:rPr>
                <w:b/>
                <w:color w:val="FFFFFF" w:themeColor="background1"/>
              </w:rPr>
              <w:t>s</w:t>
            </w:r>
            <w:r w:rsidRPr="009E799D">
              <w:rPr>
                <w:b/>
                <w:color w:val="FFFFFF" w:themeColor="background1"/>
              </w:rPr>
              <w:t>etup)</w:t>
            </w:r>
          </w:p>
        </w:tc>
        <w:tc>
          <w:tcPr>
            <w:tcW w:w="3611" w:type="dxa"/>
            <w:shd w:val="clear" w:color="auto" w:fill="008272"/>
          </w:tcPr>
          <w:p w14:paraId="43725D3F" w14:textId="77777777" w:rsidR="00985694" w:rsidRPr="009E799D" w:rsidRDefault="00DD01E5">
            <w:pPr>
              <w:rPr>
                <w:b/>
                <w:color w:val="FFFFFF" w:themeColor="background1"/>
              </w:rPr>
            </w:pPr>
            <w:r w:rsidRPr="009E799D">
              <w:rPr>
                <w:b/>
                <w:color w:val="FFFFFF" w:themeColor="background1"/>
              </w:rPr>
              <w:t>Ready by</w:t>
            </w:r>
          </w:p>
        </w:tc>
      </w:tr>
      <w:tr w:rsidR="00D76104" w:rsidRPr="009E799D" w14:paraId="0BFABF5C" w14:textId="77777777" w:rsidTr="009627C1">
        <w:trPr>
          <w:trHeight w:val="437"/>
        </w:trPr>
        <w:tc>
          <w:tcPr>
            <w:tcW w:w="2702" w:type="dxa"/>
            <w:shd w:val="clear" w:color="auto" w:fill="auto"/>
          </w:tcPr>
          <w:p w14:paraId="785CA283" w14:textId="2EE2B89E" w:rsidR="00D76104" w:rsidRPr="009E799D" w:rsidRDefault="00D76104" w:rsidP="00D76104">
            <w:r>
              <w:t>Windows Server Active Directory Domain Services 2008-current</w:t>
            </w:r>
          </w:p>
        </w:tc>
        <w:tc>
          <w:tcPr>
            <w:tcW w:w="1260" w:type="dxa"/>
            <w:shd w:val="clear" w:color="auto" w:fill="auto"/>
          </w:tcPr>
          <w:p w14:paraId="14D3762D" w14:textId="1A4CCE2C" w:rsidR="00D76104" w:rsidRPr="009E799D" w:rsidRDefault="00D76104" w:rsidP="00D76104">
            <w:r>
              <w:t>Customer</w:t>
            </w:r>
          </w:p>
        </w:tc>
        <w:tc>
          <w:tcPr>
            <w:tcW w:w="1789" w:type="dxa"/>
            <w:shd w:val="clear" w:color="auto" w:fill="auto"/>
          </w:tcPr>
          <w:p w14:paraId="0F69561F" w14:textId="16DD40DC" w:rsidR="00D76104" w:rsidRPr="009E799D" w:rsidRDefault="00D76104" w:rsidP="00D76104">
            <w:r>
              <w:t>Customer</w:t>
            </w:r>
          </w:p>
        </w:tc>
        <w:tc>
          <w:tcPr>
            <w:tcW w:w="3611" w:type="dxa"/>
            <w:shd w:val="clear" w:color="auto" w:fill="auto"/>
          </w:tcPr>
          <w:p w14:paraId="57199876" w14:textId="500942D6" w:rsidR="00D76104" w:rsidRPr="009E799D" w:rsidRDefault="00D76104" w:rsidP="00D76104">
            <w:r>
              <w:t>Start of the project</w:t>
            </w:r>
          </w:p>
        </w:tc>
      </w:tr>
      <w:tr w:rsidR="00985694" w:rsidRPr="009E799D" w14:paraId="1C7BBC4B" w14:textId="77777777" w:rsidTr="009627C1">
        <w:trPr>
          <w:trHeight w:val="437"/>
        </w:trPr>
        <w:tc>
          <w:tcPr>
            <w:tcW w:w="2702" w:type="dxa"/>
            <w:shd w:val="clear" w:color="auto" w:fill="auto"/>
          </w:tcPr>
          <w:p w14:paraId="27C2DBBF" w14:textId="77777777" w:rsidR="00985694" w:rsidRPr="009E799D" w:rsidRDefault="00DD01E5">
            <w:r w:rsidRPr="009E799D">
              <w:t>Production</w:t>
            </w:r>
          </w:p>
        </w:tc>
        <w:tc>
          <w:tcPr>
            <w:tcW w:w="1260" w:type="dxa"/>
            <w:shd w:val="clear" w:color="auto" w:fill="auto"/>
          </w:tcPr>
          <w:p w14:paraId="79750527" w14:textId="184F8E09" w:rsidR="00985694" w:rsidRPr="009E799D" w:rsidRDefault="00046B1E" w:rsidP="00046B1E">
            <w:r w:rsidRPr="009E799D">
              <w:t>Azure</w:t>
            </w:r>
          </w:p>
        </w:tc>
        <w:tc>
          <w:tcPr>
            <w:tcW w:w="1789" w:type="dxa"/>
            <w:shd w:val="clear" w:color="auto" w:fill="auto"/>
          </w:tcPr>
          <w:p w14:paraId="1953900C" w14:textId="77777777" w:rsidR="00985694" w:rsidRPr="009E799D" w:rsidRDefault="00DD01E5" w:rsidP="00046B1E">
            <w:r w:rsidRPr="009E799D">
              <w:t>Customer</w:t>
            </w:r>
          </w:p>
        </w:tc>
        <w:tc>
          <w:tcPr>
            <w:tcW w:w="3611" w:type="dxa"/>
            <w:shd w:val="clear" w:color="auto" w:fill="auto"/>
          </w:tcPr>
          <w:p w14:paraId="35C9DEF9" w14:textId="63FF7FFB" w:rsidR="00985694" w:rsidRPr="009E799D" w:rsidRDefault="0024433B" w:rsidP="00046B1E">
            <w:r w:rsidRPr="009E799D">
              <w:t>Beginning of implementation phase</w:t>
            </w:r>
          </w:p>
        </w:tc>
      </w:tr>
      <w:tr w:rsidR="002B0D86" w:rsidRPr="009E799D" w14:paraId="152EC8AC" w14:textId="77777777" w:rsidTr="009627C1">
        <w:trPr>
          <w:trHeight w:val="437"/>
        </w:trPr>
        <w:tc>
          <w:tcPr>
            <w:tcW w:w="2702" w:type="dxa"/>
            <w:shd w:val="clear" w:color="auto" w:fill="auto"/>
          </w:tcPr>
          <w:p w14:paraId="7A22162F" w14:textId="2976C5EB" w:rsidR="002B0D86" w:rsidRPr="009E799D" w:rsidRDefault="002B0D86" w:rsidP="002B0D86">
            <w:r w:rsidRPr="009E799D">
              <w:lastRenderedPageBreak/>
              <w:t>Production</w:t>
            </w:r>
          </w:p>
        </w:tc>
        <w:tc>
          <w:tcPr>
            <w:tcW w:w="1260" w:type="dxa"/>
            <w:shd w:val="clear" w:color="auto" w:fill="auto"/>
          </w:tcPr>
          <w:p w14:paraId="08BA13EC" w14:textId="6B8177BF" w:rsidR="002B0D86" w:rsidRPr="009E799D" w:rsidRDefault="002B0D86" w:rsidP="002B0D86">
            <w:r>
              <w:t>O365</w:t>
            </w:r>
          </w:p>
        </w:tc>
        <w:tc>
          <w:tcPr>
            <w:tcW w:w="1789" w:type="dxa"/>
            <w:shd w:val="clear" w:color="auto" w:fill="auto"/>
          </w:tcPr>
          <w:p w14:paraId="659AE82C" w14:textId="56B743CE" w:rsidR="002B0D86" w:rsidRPr="009E799D" w:rsidRDefault="002B0D86" w:rsidP="002B0D86">
            <w:r w:rsidRPr="009E799D">
              <w:t>Customer</w:t>
            </w:r>
          </w:p>
        </w:tc>
        <w:tc>
          <w:tcPr>
            <w:tcW w:w="3611" w:type="dxa"/>
            <w:shd w:val="clear" w:color="auto" w:fill="auto"/>
          </w:tcPr>
          <w:p w14:paraId="02C9DCF8" w14:textId="4FB11FB5" w:rsidR="002B0D86" w:rsidRPr="009E799D" w:rsidRDefault="002B0D86" w:rsidP="002B0D86">
            <w:r w:rsidRPr="009E799D">
              <w:t>Beginning of implementation phase</w:t>
            </w:r>
          </w:p>
        </w:tc>
      </w:tr>
    </w:tbl>
    <w:p w14:paraId="42C1ADAF" w14:textId="77777777" w:rsidR="00985694" w:rsidRPr="009E799D" w:rsidRDefault="00DD01E5">
      <w:pPr>
        <w:pStyle w:val="Heading2"/>
      </w:pPr>
      <w:bookmarkStart w:id="26" w:name="_Toc35522379"/>
      <w:bookmarkStart w:id="27" w:name="_Toc476167705"/>
      <w:bookmarkStart w:id="28" w:name="_Toc476168032"/>
      <w:bookmarkStart w:id="29" w:name="_Toc37330258"/>
      <w:bookmarkEnd w:id="26"/>
      <w:r w:rsidRPr="009E799D">
        <w:t>Areas out of scope</w:t>
      </w:r>
      <w:bookmarkEnd w:id="27"/>
      <w:bookmarkEnd w:id="28"/>
      <w:bookmarkEnd w:id="29"/>
    </w:p>
    <w:p w14:paraId="3E1E595D" w14:textId="351B0F08" w:rsidR="00985694" w:rsidRPr="009E799D" w:rsidRDefault="00DD01E5">
      <w:r w:rsidRPr="009E799D">
        <w:t>Any area not explicitly included in the</w:t>
      </w:r>
      <w:r w:rsidR="00BC1ADD" w:rsidRPr="00BC1ADD">
        <w:t xml:space="preserve"> </w:t>
      </w:r>
      <w:r w:rsidR="00BC1ADD">
        <w:t>‘</w:t>
      </w:r>
      <w:r w:rsidR="00BC1ADD" w:rsidRPr="00BC1ADD">
        <w:t>Areas in scope</w:t>
      </w:r>
      <w:r w:rsidR="00BC1ADD">
        <w:t>’</w:t>
      </w:r>
      <w:r w:rsidRPr="009E799D">
        <w:t xml:space="preserve"> section is out of scope for Microsoft during this project. Areas out of scope for this project, include the following. </w:t>
      </w:r>
    </w:p>
    <w:tbl>
      <w:tblPr>
        <w:tblStyle w:val="TableGrid1"/>
        <w:tblW w:w="945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263"/>
        <w:gridCol w:w="6189"/>
      </w:tblGrid>
      <w:tr w:rsidR="00985694" w:rsidRPr="009E799D" w14:paraId="5E083C09" w14:textId="77777777" w:rsidTr="00D602A4">
        <w:trPr>
          <w:cantSplit/>
          <w:trHeight w:val="360"/>
          <w:tblHeader/>
        </w:trPr>
        <w:tc>
          <w:tcPr>
            <w:tcW w:w="3263" w:type="dxa"/>
            <w:shd w:val="clear" w:color="auto" w:fill="008272"/>
          </w:tcPr>
          <w:p w14:paraId="2D570FDD" w14:textId="77777777" w:rsidR="00985694" w:rsidRPr="009E799D" w:rsidRDefault="00DD01E5">
            <w:pPr>
              <w:pStyle w:val="Table-Header"/>
              <w:spacing w:before="51" w:after="51"/>
            </w:pPr>
            <w:r w:rsidRPr="009E799D">
              <w:t>Area</w:t>
            </w:r>
          </w:p>
        </w:tc>
        <w:tc>
          <w:tcPr>
            <w:tcW w:w="6189" w:type="dxa"/>
            <w:shd w:val="clear" w:color="auto" w:fill="008272"/>
          </w:tcPr>
          <w:p w14:paraId="00086B47" w14:textId="77777777" w:rsidR="00985694" w:rsidRPr="009E799D" w:rsidRDefault="00DD01E5">
            <w:pPr>
              <w:pStyle w:val="Table-Header"/>
              <w:spacing w:before="51" w:after="51"/>
            </w:pPr>
            <w:r w:rsidRPr="009E799D">
              <w:t>Description</w:t>
            </w:r>
          </w:p>
        </w:tc>
      </w:tr>
      <w:tr w:rsidR="00985694" w:rsidRPr="009E799D" w14:paraId="0D9A7B07" w14:textId="77777777" w:rsidTr="00D602A4">
        <w:trPr>
          <w:cantSplit/>
          <w:trHeight w:val="432"/>
        </w:trPr>
        <w:tc>
          <w:tcPr>
            <w:tcW w:w="3263" w:type="dxa"/>
            <w:shd w:val="clear" w:color="auto" w:fill="auto"/>
          </w:tcPr>
          <w:p w14:paraId="7CF41CC7" w14:textId="77777777" w:rsidR="00985694" w:rsidRPr="009E799D" w:rsidRDefault="00DD01E5" w:rsidP="00631985">
            <w:pPr>
              <w:pStyle w:val="TableText"/>
            </w:pPr>
            <w:r w:rsidRPr="009E799D">
              <w:t>Product licenses and subscriptions</w:t>
            </w:r>
          </w:p>
        </w:tc>
        <w:tc>
          <w:tcPr>
            <w:tcW w:w="6189" w:type="dxa"/>
            <w:shd w:val="clear" w:color="auto" w:fill="auto"/>
          </w:tcPr>
          <w:p w14:paraId="3C010145" w14:textId="282FF145" w:rsidR="00985694" w:rsidRPr="009E799D" w:rsidRDefault="00DD01E5" w:rsidP="00631985">
            <w:pPr>
              <w:pStyle w:val="TableText"/>
            </w:pPr>
            <w:r w:rsidRPr="009E799D">
              <w:t>Product licenses (Microsoft or non-Microsoft) and cloud service subscriptions are not included, unless otherwise noted in</w:t>
            </w:r>
            <w:r w:rsidR="00C02EFD">
              <w:t xml:space="preserve"> </w:t>
            </w:r>
            <w:r w:rsidR="00C02EFD" w:rsidRPr="00C02EFD">
              <w:t xml:space="preserve">the </w:t>
            </w:r>
            <w:r w:rsidR="00C02EFD">
              <w:t>‘</w:t>
            </w:r>
            <w:r w:rsidR="00C02EFD" w:rsidRPr="00C02EFD">
              <w:t>Software products and technologies</w:t>
            </w:r>
            <w:r w:rsidR="00C02EFD">
              <w:t>’</w:t>
            </w:r>
            <w:r w:rsidR="00C02EFD" w:rsidRPr="00C02EFD">
              <w:t xml:space="preserve"> section</w:t>
            </w:r>
            <w:r w:rsidRPr="009E799D">
              <w:t xml:space="preserve">. </w:t>
            </w:r>
          </w:p>
        </w:tc>
      </w:tr>
      <w:tr w:rsidR="00985694" w:rsidRPr="009E799D" w14:paraId="70284E1B" w14:textId="77777777" w:rsidTr="00D602A4">
        <w:trPr>
          <w:cantSplit/>
          <w:trHeight w:val="432"/>
        </w:trPr>
        <w:tc>
          <w:tcPr>
            <w:tcW w:w="3263" w:type="dxa"/>
            <w:shd w:val="clear" w:color="auto" w:fill="auto"/>
          </w:tcPr>
          <w:p w14:paraId="7A6E6F8A" w14:textId="77777777" w:rsidR="00985694" w:rsidRPr="009E799D" w:rsidRDefault="00DD01E5" w:rsidP="00631985">
            <w:pPr>
              <w:pStyle w:val="TableText"/>
            </w:pPr>
            <w:r w:rsidRPr="009E799D">
              <w:t>Hardware</w:t>
            </w:r>
          </w:p>
        </w:tc>
        <w:tc>
          <w:tcPr>
            <w:tcW w:w="6189" w:type="dxa"/>
            <w:shd w:val="clear" w:color="auto" w:fill="auto"/>
          </w:tcPr>
          <w:p w14:paraId="79BA0394" w14:textId="77777777" w:rsidR="00985694" w:rsidRPr="009E799D" w:rsidRDefault="00DD01E5" w:rsidP="00631985">
            <w:pPr>
              <w:pStyle w:val="TableText"/>
            </w:pPr>
            <w:r w:rsidRPr="009E799D">
              <w:t>Microsoft will not provide hardware for this project.</w:t>
            </w:r>
          </w:p>
        </w:tc>
      </w:tr>
      <w:tr w:rsidR="00631985" w:rsidRPr="009E799D" w14:paraId="243A4E2C" w14:textId="77777777" w:rsidTr="00D602A4">
        <w:trPr>
          <w:cantSplit/>
          <w:trHeight w:val="432"/>
        </w:trPr>
        <w:tc>
          <w:tcPr>
            <w:tcW w:w="3263" w:type="dxa"/>
            <w:shd w:val="clear" w:color="auto" w:fill="auto"/>
          </w:tcPr>
          <w:p w14:paraId="0A74BFF1" w14:textId="6E56E9A5" w:rsidR="00631985" w:rsidRPr="009E799D" w:rsidRDefault="00631985" w:rsidP="00631985">
            <w:pPr>
              <w:pStyle w:val="TableText"/>
            </w:pPr>
            <w:r w:rsidRPr="009E799D">
              <w:t xml:space="preserve">Azure </w:t>
            </w:r>
            <w:r w:rsidR="00071971" w:rsidRPr="009E799D">
              <w:t>Networking</w:t>
            </w:r>
          </w:p>
        </w:tc>
        <w:tc>
          <w:tcPr>
            <w:tcW w:w="6189" w:type="dxa"/>
            <w:shd w:val="clear" w:color="auto" w:fill="auto"/>
          </w:tcPr>
          <w:p w14:paraId="3A058491" w14:textId="275D4DEA" w:rsidR="00631985" w:rsidRPr="009E799D" w:rsidRDefault="00071971" w:rsidP="00631985">
            <w:pPr>
              <w:pStyle w:val="TableText"/>
            </w:pPr>
            <w:r w:rsidRPr="009E799D">
              <w:t>E</w:t>
            </w:r>
            <w:r w:rsidR="00631985" w:rsidRPr="009E799D">
              <w:t>stablishing any required connectivity including the following configurations (native Azure or third-party) are not in scope:</w:t>
            </w:r>
          </w:p>
          <w:p w14:paraId="00BB8659" w14:textId="77777777" w:rsidR="00631985" w:rsidRPr="009E799D" w:rsidRDefault="00631985" w:rsidP="00D602A4">
            <w:pPr>
              <w:pStyle w:val="TableBullet1"/>
              <w:rPr>
                <w:rFonts w:ascii="Calibri" w:hAnsi="Calibri"/>
              </w:rPr>
            </w:pPr>
            <w:r w:rsidRPr="009E799D">
              <w:t>Load balancer</w:t>
            </w:r>
          </w:p>
          <w:p w14:paraId="351DA560" w14:textId="77777777" w:rsidR="00631985" w:rsidRPr="009E799D" w:rsidRDefault="00631985" w:rsidP="00D602A4">
            <w:pPr>
              <w:pStyle w:val="TableBullet1"/>
            </w:pPr>
            <w:r w:rsidRPr="009E799D">
              <w:t>Firewall</w:t>
            </w:r>
          </w:p>
          <w:p w14:paraId="4D5E31B0" w14:textId="77777777" w:rsidR="00631985" w:rsidRPr="009E799D" w:rsidRDefault="00631985" w:rsidP="00D602A4">
            <w:pPr>
              <w:pStyle w:val="TableBullet1"/>
            </w:pPr>
            <w:r w:rsidRPr="009E799D">
              <w:t>Network Virtual Appliance</w:t>
            </w:r>
          </w:p>
          <w:p w14:paraId="31A4FBCD" w14:textId="77777777" w:rsidR="00631985" w:rsidRPr="009E799D" w:rsidRDefault="00631985" w:rsidP="00D602A4">
            <w:pPr>
              <w:pStyle w:val="TableBullet1"/>
            </w:pPr>
            <w:r w:rsidRPr="009E799D">
              <w:t>Network Security Groups (NSG)</w:t>
            </w:r>
          </w:p>
          <w:p w14:paraId="215CB4F3" w14:textId="77777777" w:rsidR="00631985" w:rsidRPr="009E799D" w:rsidRDefault="00631985" w:rsidP="00D602A4">
            <w:pPr>
              <w:pStyle w:val="TableBullet1"/>
            </w:pPr>
            <w:r w:rsidRPr="009E799D">
              <w:t>Application security groups</w:t>
            </w:r>
          </w:p>
          <w:p w14:paraId="662E9735" w14:textId="77777777" w:rsidR="00631985" w:rsidRPr="009E799D" w:rsidRDefault="00631985" w:rsidP="00D602A4">
            <w:pPr>
              <w:pStyle w:val="TableBullet1"/>
            </w:pPr>
            <w:r w:rsidRPr="009E799D">
              <w:t>Global traffic manager</w:t>
            </w:r>
          </w:p>
          <w:p w14:paraId="3BF43FA4" w14:textId="4F1EA862" w:rsidR="00631985" w:rsidRPr="009E799D" w:rsidRDefault="00631985" w:rsidP="00D602A4">
            <w:pPr>
              <w:pStyle w:val="TableBullet1"/>
            </w:pPr>
            <w:r w:rsidRPr="009E799D">
              <w:t>Application gateway</w:t>
            </w:r>
          </w:p>
        </w:tc>
      </w:tr>
      <w:tr w:rsidR="00631985" w:rsidRPr="009E799D" w14:paraId="7ACE6026" w14:textId="77777777" w:rsidTr="00D602A4">
        <w:trPr>
          <w:cantSplit/>
          <w:trHeight w:val="432"/>
        </w:trPr>
        <w:tc>
          <w:tcPr>
            <w:tcW w:w="3263" w:type="dxa"/>
            <w:shd w:val="clear" w:color="auto" w:fill="auto"/>
          </w:tcPr>
          <w:p w14:paraId="27E4E890" w14:textId="6920267D" w:rsidR="00631985" w:rsidRPr="009E799D" w:rsidRDefault="00631985" w:rsidP="00631985">
            <w:pPr>
              <w:pStyle w:val="TableText"/>
            </w:pPr>
            <w:r w:rsidRPr="009E799D">
              <w:t>Performance testing</w:t>
            </w:r>
          </w:p>
        </w:tc>
        <w:tc>
          <w:tcPr>
            <w:tcW w:w="6189" w:type="dxa"/>
            <w:shd w:val="clear" w:color="auto" w:fill="auto"/>
          </w:tcPr>
          <w:p w14:paraId="13BAA811" w14:textId="48C86146" w:rsidR="00631985" w:rsidRPr="009E799D" w:rsidRDefault="00631985" w:rsidP="00631985">
            <w:pPr>
              <w:pStyle w:val="TableText"/>
            </w:pPr>
            <w:r w:rsidRPr="009E799D">
              <w:t xml:space="preserve">Performance testing in comparison to </w:t>
            </w:r>
            <w:r w:rsidR="00165F0B">
              <w:t xml:space="preserve">the </w:t>
            </w:r>
            <w:r w:rsidRPr="009E799D">
              <w:t xml:space="preserve">source on </w:t>
            </w:r>
            <w:r w:rsidR="00165F0B">
              <w:t xml:space="preserve">the </w:t>
            </w:r>
            <w:r w:rsidRPr="009E799D">
              <w:t>target is not in scope.</w:t>
            </w:r>
          </w:p>
        </w:tc>
      </w:tr>
      <w:tr w:rsidR="007D5282" w:rsidRPr="009E799D" w14:paraId="3CA70466" w14:textId="77777777" w:rsidTr="00D602A4">
        <w:trPr>
          <w:cantSplit/>
          <w:trHeight w:val="432"/>
        </w:trPr>
        <w:tc>
          <w:tcPr>
            <w:tcW w:w="3263" w:type="dxa"/>
            <w:shd w:val="clear" w:color="auto" w:fill="auto"/>
          </w:tcPr>
          <w:p w14:paraId="26B84D7C" w14:textId="7C6EA5A0" w:rsidR="007D5282" w:rsidRPr="005729DB" w:rsidRDefault="007D5282" w:rsidP="007D5282">
            <w:pPr>
              <w:pStyle w:val="Instructional"/>
              <w:rPr>
                <w:rFonts w:cs="Segoe UI"/>
              </w:rPr>
            </w:pPr>
          </w:p>
          <w:p w14:paraId="6029ECC2" w14:textId="07815B87" w:rsidR="007D5282" w:rsidRPr="009E799D" w:rsidRDefault="007D5282" w:rsidP="007D5282">
            <w:pPr>
              <w:pStyle w:val="TableText"/>
            </w:pPr>
            <w:r w:rsidRPr="005729DB">
              <w:t xml:space="preserve">Azure </w:t>
            </w:r>
            <w:r>
              <w:t>Active Directory</w:t>
            </w:r>
            <w:r w:rsidRPr="005729DB">
              <w:t xml:space="preserve"> </w:t>
            </w:r>
            <w:r>
              <w:t>Integration</w:t>
            </w:r>
            <w:r w:rsidRPr="005729DB">
              <w:t xml:space="preserve"> </w:t>
            </w:r>
          </w:p>
        </w:tc>
        <w:tc>
          <w:tcPr>
            <w:tcW w:w="6189" w:type="dxa"/>
            <w:shd w:val="clear" w:color="auto" w:fill="auto"/>
          </w:tcPr>
          <w:p w14:paraId="08A0F67B" w14:textId="77777777" w:rsidR="007D5282" w:rsidRPr="00172392" w:rsidRDefault="007D5282" w:rsidP="007D5282">
            <w:pPr>
              <w:pStyle w:val="Optional"/>
              <w:numPr>
                <w:ilvl w:val="0"/>
                <w:numId w:val="33"/>
              </w:numPr>
              <w:rPr>
                <w:color w:val="000000" w:themeColor="text1"/>
              </w:rPr>
            </w:pPr>
            <w:r w:rsidRPr="00172392">
              <w:rPr>
                <w:color w:val="000000" w:themeColor="text1"/>
              </w:rPr>
              <w:t xml:space="preserve">Installation and configuration of Azure Active Directory Connect </w:t>
            </w:r>
          </w:p>
          <w:p w14:paraId="221C7526" w14:textId="77777777" w:rsidR="007D5282" w:rsidRPr="00172392" w:rsidRDefault="007D5282" w:rsidP="007D5282">
            <w:pPr>
              <w:pStyle w:val="Optional"/>
              <w:numPr>
                <w:ilvl w:val="0"/>
                <w:numId w:val="33"/>
              </w:numPr>
              <w:rPr>
                <w:color w:val="000000" w:themeColor="text1"/>
              </w:rPr>
            </w:pPr>
            <w:r w:rsidRPr="00172392">
              <w:rPr>
                <w:color w:val="000000" w:themeColor="text1"/>
              </w:rPr>
              <w:t>Configuration of Azure Active Directory authentication using password synchronization, pass-through authentication, or federated authentication</w:t>
            </w:r>
          </w:p>
          <w:p w14:paraId="38C6E994" w14:textId="77777777" w:rsidR="007D5282" w:rsidRPr="00172392" w:rsidRDefault="007D5282" w:rsidP="007D5282">
            <w:pPr>
              <w:pStyle w:val="Optional"/>
              <w:numPr>
                <w:ilvl w:val="0"/>
                <w:numId w:val="33"/>
              </w:numPr>
              <w:rPr>
                <w:color w:val="000000" w:themeColor="text1"/>
              </w:rPr>
            </w:pPr>
            <w:r w:rsidRPr="00172392">
              <w:rPr>
                <w:color w:val="000000" w:themeColor="text1"/>
              </w:rPr>
              <w:t>Implementation of the Azure Active Directory seamless single sign-on (SSO)</w:t>
            </w:r>
          </w:p>
          <w:p w14:paraId="41FBA423" w14:textId="77777777" w:rsidR="007D5282" w:rsidRPr="00172392" w:rsidRDefault="007D5282" w:rsidP="007D5282">
            <w:pPr>
              <w:pStyle w:val="Optional"/>
              <w:numPr>
                <w:ilvl w:val="0"/>
                <w:numId w:val="33"/>
              </w:numPr>
              <w:rPr>
                <w:color w:val="000000" w:themeColor="text1"/>
              </w:rPr>
            </w:pPr>
            <w:r w:rsidRPr="00172392">
              <w:rPr>
                <w:color w:val="000000" w:themeColor="text1"/>
              </w:rPr>
              <w:t xml:space="preserve">Installation of the Azure Active Directory Connect Health Agent </w:t>
            </w:r>
          </w:p>
          <w:p w14:paraId="09C8D456" w14:textId="77777777" w:rsidR="007D5282" w:rsidRPr="00172392" w:rsidRDefault="007D5282" w:rsidP="007D5282">
            <w:pPr>
              <w:pStyle w:val="Optional"/>
              <w:numPr>
                <w:ilvl w:val="0"/>
                <w:numId w:val="33"/>
              </w:numPr>
              <w:rPr>
                <w:color w:val="000000" w:themeColor="text1"/>
              </w:rPr>
            </w:pPr>
            <w:r w:rsidRPr="00172392">
              <w:rPr>
                <w:color w:val="000000" w:themeColor="text1"/>
              </w:rPr>
              <w:t xml:space="preserve">Implementation of Azure Active Directory </w:t>
            </w:r>
            <w:r w:rsidRPr="00172392">
              <w:rPr>
                <w:color w:val="000000" w:themeColor="text1"/>
                <w:szCs w:val="20"/>
              </w:rPr>
              <w:t>business-to-business</w:t>
            </w:r>
            <w:r w:rsidRPr="00172392">
              <w:rPr>
                <w:color w:val="000000" w:themeColor="text1"/>
              </w:rPr>
              <w:t xml:space="preserve"> (B2B)</w:t>
            </w:r>
          </w:p>
          <w:p w14:paraId="436CB6A1" w14:textId="372461CD" w:rsidR="007D5282" w:rsidRPr="009E799D" w:rsidRDefault="007D5282" w:rsidP="007D5282">
            <w:pPr>
              <w:pStyle w:val="Optional"/>
              <w:numPr>
                <w:ilvl w:val="0"/>
                <w:numId w:val="33"/>
              </w:numPr>
            </w:pPr>
            <w:r w:rsidRPr="00172392">
              <w:rPr>
                <w:color w:val="000000" w:themeColor="text1"/>
              </w:rPr>
              <w:t>Installation and configuration of AD FS and Web Application Proxy (WAP) roles</w:t>
            </w:r>
          </w:p>
        </w:tc>
      </w:tr>
      <w:tr w:rsidR="007D5282" w:rsidRPr="009E799D" w14:paraId="70130C8C" w14:textId="77777777" w:rsidTr="00D602A4">
        <w:trPr>
          <w:cantSplit/>
          <w:trHeight w:val="432"/>
        </w:trPr>
        <w:tc>
          <w:tcPr>
            <w:tcW w:w="3263" w:type="dxa"/>
            <w:shd w:val="clear" w:color="auto" w:fill="auto"/>
          </w:tcPr>
          <w:p w14:paraId="3A173AF8" w14:textId="6C6DD6CF" w:rsidR="007D5282" w:rsidRPr="009E799D" w:rsidRDefault="007D5282" w:rsidP="007D5282">
            <w:pPr>
              <w:pStyle w:val="TableText"/>
            </w:pPr>
            <w:r w:rsidRPr="00732BE3">
              <w:rPr>
                <w:rFonts w:eastAsia="Calibri" w:cs="Segoe UI"/>
              </w:rPr>
              <w:lastRenderedPageBreak/>
              <w:t xml:space="preserve">Azure MFA </w:t>
            </w:r>
            <w:r>
              <w:rPr>
                <w:rFonts w:eastAsia="Calibri" w:cs="Segoe UI"/>
              </w:rPr>
              <w:t>s</w:t>
            </w:r>
            <w:r w:rsidRPr="00732BE3">
              <w:rPr>
                <w:rFonts w:eastAsia="Calibri" w:cs="Segoe UI"/>
              </w:rPr>
              <w:t>erver or third-party MFA providers</w:t>
            </w:r>
          </w:p>
        </w:tc>
        <w:tc>
          <w:tcPr>
            <w:tcW w:w="6189" w:type="dxa"/>
            <w:shd w:val="clear" w:color="auto" w:fill="auto"/>
          </w:tcPr>
          <w:p w14:paraId="283E10B1" w14:textId="4CD6AAD3" w:rsidR="007D5282" w:rsidRPr="009E799D" w:rsidRDefault="007D5282" w:rsidP="007D5282">
            <w:pPr>
              <w:pStyle w:val="TableText"/>
            </w:pPr>
            <w:r w:rsidRPr="005729DB">
              <w:rPr>
                <w:rFonts w:cs="Segoe UI"/>
                <w:szCs w:val="18"/>
              </w:rPr>
              <w:t>Deployment of the on-premises Azure MFA server is outside the scope of this project, as is integration with a third-party multi-factor authentication provider.</w:t>
            </w:r>
          </w:p>
        </w:tc>
      </w:tr>
      <w:tr w:rsidR="00734928" w:rsidRPr="009E799D" w14:paraId="3C122BFE" w14:textId="77777777" w:rsidTr="00D602A4">
        <w:trPr>
          <w:cantSplit/>
          <w:trHeight w:val="432"/>
        </w:trPr>
        <w:tc>
          <w:tcPr>
            <w:tcW w:w="3263" w:type="dxa"/>
            <w:shd w:val="clear" w:color="auto" w:fill="auto"/>
          </w:tcPr>
          <w:p w14:paraId="07AF7CB5" w14:textId="77777777" w:rsidR="008F4197" w:rsidRDefault="008F4197" w:rsidP="00734928">
            <w:pPr>
              <w:pStyle w:val="Instructional"/>
              <w:rPr>
                <w:rFonts w:eastAsia="Calibri"/>
              </w:rPr>
            </w:pPr>
          </w:p>
          <w:p w14:paraId="095C5185" w14:textId="7808E113" w:rsidR="00734928" w:rsidRPr="005729DB" w:rsidRDefault="00734928" w:rsidP="00242C2B">
            <w:pPr>
              <w:pStyle w:val="Optional"/>
              <w:rPr>
                <w:rFonts w:cs="Segoe UI"/>
              </w:rPr>
            </w:pPr>
            <w:r>
              <w:t>O</w:t>
            </w:r>
            <w:r w:rsidRPr="008E75ED">
              <w:rPr>
                <w:rFonts w:eastAsia="Calibri" w:cs="Segoe UI"/>
                <w:color w:val="auto"/>
              </w:rPr>
              <w:t>ffice 365 Threat Protection and Management</w:t>
            </w:r>
          </w:p>
        </w:tc>
        <w:tc>
          <w:tcPr>
            <w:tcW w:w="6189" w:type="dxa"/>
            <w:shd w:val="clear" w:color="auto" w:fill="auto"/>
          </w:tcPr>
          <w:p w14:paraId="6EFFB194" w14:textId="77777777" w:rsidR="00734928" w:rsidRDefault="00734928" w:rsidP="00734928">
            <w:pPr>
              <w:pStyle w:val="TableText"/>
            </w:pPr>
            <w:r>
              <w:t>The following are out of scope:</w:t>
            </w:r>
          </w:p>
          <w:p w14:paraId="624C7B44" w14:textId="77777777" w:rsidR="00734928" w:rsidRDefault="00734928" w:rsidP="00734928">
            <w:pPr>
              <w:pStyle w:val="Bulletlist"/>
              <w:numPr>
                <w:ilvl w:val="0"/>
                <w:numId w:val="37"/>
              </w:numPr>
            </w:pPr>
            <w:r>
              <w:t>Exchange on-premises enablement</w:t>
            </w:r>
          </w:p>
          <w:p w14:paraId="2B21CD53" w14:textId="77777777" w:rsidR="00734928" w:rsidRDefault="00734928" w:rsidP="00734928">
            <w:pPr>
              <w:pStyle w:val="Bulletlist"/>
              <w:numPr>
                <w:ilvl w:val="0"/>
                <w:numId w:val="37"/>
              </w:numPr>
            </w:pPr>
            <w:r>
              <w:t>Centralized Mail Transport configuration for on-premises Microsoft Exchange</w:t>
            </w:r>
          </w:p>
          <w:p w14:paraId="4ACEB907" w14:textId="77777777" w:rsidR="00734928" w:rsidRDefault="00734928" w:rsidP="00734928">
            <w:pPr>
              <w:pStyle w:val="Bulletlist"/>
              <w:numPr>
                <w:ilvl w:val="0"/>
                <w:numId w:val="37"/>
              </w:numPr>
            </w:pPr>
            <w:r>
              <w:t>Exchange hybrid configuration</w:t>
            </w:r>
          </w:p>
          <w:p w14:paraId="5417A60A" w14:textId="77777777" w:rsidR="00B27B51" w:rsidRPr="00B27B51" w:rsidRDefault="00734928" w:rsidP="00B27B51">
            <w:pPr>
              <w:pStyle w:val="Bulletlist"/>
              <w:numPr>
                <w:ilvl w:val="0"/>
                <w:numId w:val="37"/>
              </w:numPr>
              <w:rPr>
                <w:rFonts w:cs="Segoe UI"/>
                <w:szCs w:val="20"/>
              </w:rPr>
            </w:pPr>
            <w:r>
              <w:t>Multiple domain configuration for sender authentication</w:t>
            </w:r>
          </w:p>
          <w:p w14:paraId="35B0008F" w14:textId="5A9F67CB" w:rsidR="00734928" w:rsidRPr="005729DB" w:rsidRDefault="00734928" w:rsidP="00B27B51">
            <w:pPr>
              <w:pStyle w:val="Bulletlist"/>
              <w:numPr>
                <w:ilvl w:val="0"/>
                <w:numId w:val="37"/>
              </w:numPr>
              <w:rPr>
                <w:rFonts w:cs="Segoe UI"/>
                <w:szCs w:val="20"/>
              </w:rPr>
            </w:pPr>
            <w:r>
              <w:t>Additional policies (such as beyond the default policy setup) for the following: antimalware, antispam, anti</w:t>
            </w:r>
            <w:r w:rsidR="00C33036">
              <w:t>-</w:t>
            </w:r>
            <w:r>
              <w:t>phishing, ATP safe links, and ATP safe attachments</w:t>
            </w:r>
          </w:p>
        </w:tc>
      </w:tr>
      <w:tr w:rsidR="0015294E" w:rsidRPr="009E799D" w14:paraId="289738AB" w14:textId="77777777" w:rsidTr="00D602A4">
        <w:trPr>
          <w:cantSplit/>
          <w:trHeight w:val="432"/>
        </w:trPr>
        <w:tc>
          <w:tcPr>
            <w:tcW w:w="3263" w:type="dxa"/>
            <w:shd w:val="clear" w:color="auto" w:fill="auto"/>
          </w:tcPr>
          <w:p w14:paraId="65D5D79F" w14:textId="3D0C2CFA" w:rsidR="0015294E" w:rsidRPr="009E799D" w:rsidRDefault="0015294E" w:rsidP="0015294E">
            <w:pPr>
              <w:pStyle w:val="TableText"/>
            </w:pPr>
            <w:r>
              <w:rPr>
                <w:rFonts w:eastAsia="Calibri" w:cs="Arial"/>
                <w:color w:val="000000" w:themeColor="text1"/>
                <w:kern w:val="24"/>
                <w:szCs w:val="20"/>
              </w:rPr>
              <w:t>On Premise Remediation</w:t>
            </w:r>
          </w:p>
        </w:tc>
        <w:tc>
          <w:tcPr>
            <w:tcW w:w="6189" w:type="dxa"/>
            <w:shd w:val="clear" w:color="auto" w:fill="auto"/>
          </w:tcPr>
          <w:p w14:paraId="57BDD4BD" w14:textId="17265474" w:rsidR="0015294E" w:rsidRPr="009E799D" w:rsidRDefault="0015294E" w:rsidP="0015294E">
            <w:pPr>
              <w:pStyle w:val="TableText"/>
            </w:pPr>
            <w:r>
              <w:rPr>
                <w:rFonts w:eastAsia="Calibri" w:cs="Arial"/>
                <w:color w:val="000000" w:themeColor="text1"/>
                <w:kern w:val="24"/>
                <w:szCs w:val="20"/>
              </w:rPr>
              <w:t>All on-premise systems are functional and in good health – no remediation effort is included in the scope of this project.</w:t>
            </w:r>
          </w:p>
        </w:tc>
      </w:tr>
      <w:tr w:rsidR="007D5282" w:rsidRPr="009E799D" w14:paraId="44301DDC" w14:textId="77777777" w:rsidTr="00D602A4">
        <w:trPr>
          <w:cantSplit/>
          <w:trHeight w:val="432"/>
        </w:trPr>
        <w:tc>
          <w:tcPr>
            <w:tcW w:w="3263" w:type="dxa"/>
            <w:shd w:val="clear" w:color="auto" w:fill="auto"/>
          </w:tcPr>
          <w:p w14:paraId="25C03352" w14:textId="77777777" w:rsidR="007D5282" w:rsidRPr="009E799D" w:rsidRDefault="007D5282" w:rsidP="007D5282">
            <w:pPr>
              <w:pStyle w:val="TableText"/>
            </w:pPr>
            <w:r w:rsidRPr="009E799D">
              <w:t>System integration</w:t>
            </w:r>
          </w:p>
        </w:tc>
        <w:tc>
          <w:tcPr>
            <w:tcW w:w="6189" w:type="dxa"/>
            <w:shd w:val="clear" w:color="auto" w:fill="auto"/>
          </w:tcPr>
          <w:p w14:paraId="597DA502" w14:textId="77777777" w:rsidR="007D5282" w:rsidRPr="009E799D" w:rsidRDefault="007D5282" w:rsidP="007D5282">
            <w:pPr>
              <w:pStyle w:val="TableText"/>
              <w:rPr>
                <w:b/>
              </w:rPr>
            </w:pPr>
            <w:r w:rsidRPr="009E799D">
              <w:t>System integration and interfaces are not in scope for this project.</w:t>
            </w:r>
          </w:p>
        </w:tc>
      </w:tr>
      <w:tr w:rsidR="00594C06" w:rsidRPr="009E799D" w14:paraId="7FB87AD5" w14:textId="77777777" w:rsidTr="00D602A4">
        <w:trPr>
          <w:cantSplit/>
          <w:trHeight w:val="432"/>
        </w:trPr>
        <w:tc>
          <w:tcPr>
            <w:tcW w:w="3263" w:type="dxa"/>
            <w:shd w:val="clear" w:color="auto" w:fill="auto"/>
          </w:tcPr>
          <w:p w14:paraId="69CF0421" w14:textId="7A6CDD29" w:rsidR="00594C06" w:rsidRPr="009E799D" w:rsidRDefault="00594C06" w:rsidP="007D5282">
            <w:pPr>
              <w:pStyle w:val="TableText"/>
            </w:pPr>
            <w:r>
              <w:t>Testing</w:t>
            </w:r>
          </w:p>
        </w:tc>
        <w:tc>
          <w:tcPr>
            <w:tcW w:w="6189" w:type="dxa"/>
            <w:shd w:val="clear" w:color="auto" w:fill="auto"/>
          </w:tcPr>
          <w:p w14:paraId="45DE643E" w14:textId="6ED0A275" w:rsidR="00594C06" w:rsidRPr="009E799D" w:rsidRDefault="00F21A00" w:rsidP="007D5282">
            <w:pPr>
              <w:pStyle w:val="TableText"/>
            </w:pPr>
            <w:r>
              <w:t>Formalized testing is out of scope for this engagement</w:t>
            </w:r>
          </w:p>
        </w:tc>
      </w:tr>
      <w:tr w:rsidR="007D5282" w:rsidRPr="009E799D" w14:paraId="0B144A78" w14:textId="77777777" w:rsidTr="00E83BEE">
        <w:trPr>
          <w:cantSplit/>
          <w:trHeight w:val="37"/>
        </w:trPr>
        <w:tc>
          <w:tcPr>
            <w:tcW w:w="3263" w:type="dxa"/>
            <w:shd w:val="clear" w:color="auto" w:fill="auto"/>
          </w:tcPr>
          <w:p w14:paraId="04F65C7D" w14:textId="7102B935" w:rsidR="007D5282" w:rsidRPr="009E799D" w:rsidRDefault="007D5282" w:rsidP="007D5282">
            <w:pPr>
              <w:pStyle w:val="TableText"/>
              <w:spacing w:before="51" w:after="51"/>
            </w:pPr>
            <w:r w:rsidRPr="009E799D">
              <w:t>Product bugs and upgrades</w:t>
            </w:r>
          </w:p>
        </w:tc>
        <w:tc>
          <w:tcPr>
            <w:tcW w:w="6189" w:type="dxa"/>
            <w:shd w:val="clear" w:color="auto" w:fill="auto"/>
          </w:tcPr>
          <w:p w14:paraId="7A46D989" w14:textId="77777777" w:rsidR="007D5282" w:rsidRPr="009E799D" w:rsidRDefault="007D5282" w:rsidP="007D5282">
            <w:pPr>
              <w:pStyle w:val="TableText"/>
              <w:spacing w:before="51" w:after="51"/>
            </w:pPr>
            <w:r w:rsidRPr="009E799D">
              <w:t>Product upgrades, bugs, and design change requests for Microsoft products are not in scope for this project.</w:t>
            </w:r>
          </w:p>
        </w:tc>
      </w:tr>
      <w:tr w:rsidR="007D5282" w:rsidRPr="009E799D" w14:paraId="44B2067C" w14:textId="77777777" w:rsidTr="00D602A4">
        <w:trPr>
          <w:cantSplit/>
          <w:trHeight w:val="432"/>
        </w:trPr>
        <w:tc>
          <w:tcPr>
            <w:tcW w:w="3263" w:type="dxa"/>
            <w:shd w:val="clear" w:color="auto" w:fill="auto"/>
          </w:tcPr>
          <w:p w14:paraId="6BCC98D7" w14:textId="77777777" w:rsidR="007D5282" w:rsidRPr="009E799D" w:rsidRDefault="007D5282" w:rsidP="007D5282">
            <w:pPr>
              <w:pStyle w:val="TableText"/>
              <w:spacing w:before="51" w:after="51"/>
              <w:rPr>
                <w:rFonts w:cs="Segoe UI"/>
                <w:szCs w:val="18"/>
              </w:rPr>
            </w:pPr>
            <w:r w:rsidRPr="009E799D">
              <w:t>Process reengineering</w:t>
            </w:r>
          </w:p>
        </w:tc>
        <w:tc>
          <w:tcPr>
            <w:tcW w:w="6189" w:type="dxa"/>
            <w:shd w:val="clear" w:color="auto" w:fill="auto"/>
          </w:tcPr>
          <w:p w14:paraId="231055A3" w14:textId="77777777" w:rsidR="007D5282" w:rsidRPr="009E799D" w:rsidRDefault="007D5282" w:rsidP="007D5282">
            <w:pPr>
              <w:pStyle w:val="TableText"/>
              <w:spacing w:before="51" w:after="51"/>
              <w:rPr>
                <w:rFonts w:cs="Segoe UI"/>
                <w:szCs w:val="18"/>
              </w:rPr>
            </w:pPr>
            <w:r w:rsidRPr="009E799D">
              <w:t>Designing functional business components of the solution is not included.</w:t>
            </w:r>
          </w:p>
        </w:tc>
      </w:tr>
      <w:tr w:rsidR="007D5282" w:rsidRPr="009E799D" w14:paraId="42F0991C" w14:textId="77777777" w:rsidTr="00D602A4">
        <w:trPr>
          <w:cantSplit/>
          <w:trHeight w:val="432"/>
        </w:trPr>
        <w:tc>
          <w:tcPr>
            <w:tcW w:w="3263" w:type="dxa"/>
            <w:shd w:val="clear" w:color="auto" w:fill="auto"/>
          </w:tcPr>
          <w:p w14:paraId="7CAFACB1" w14:textId="77777777" w:rsidR="007D5282" w:rsidRPr="009E799D" w:rsidRDefault="007D5282" w:rsidP="007D5282">
            <w:pPr>
              <w:pStyle w:val="TableText"/>
              <w:spacing w:before="51" w:after="51"/>
              <w:rPr>
                <w:rFonts w:cs="Segoe UI"/>
                <w:szCs w:val="18"/>
              </w:rPr>
            </w:pPr>
            <w:r w:rsidRPr="009E799D">
              <w:t>Organizational change management</w:t>
            </w:r>
          </w:p>
        </w:tc>
        <w:tc>
          <w:tcPr>
            <w:tcW w:w="6189" w:type="dxa"/>
            <w:shd w:val="clear" w:color="auto" w:fill="auto"/>
          </w:tcPr>
          <w:p w14:paraId="7A8106D8" w14:textId="77777777" w:rsidR="007D5282" w:rsidRPr="009E799D" w:rsidRDefault="007D5282" w:rsidP="007D5282">
            <w:pPr>
              <w:pStyle w:val="TableText"/>
              <w:spacing w:before="51" w:after="51"/>
              <w:rPr>
                <w:rFonts w:cs="Segoe UI"/>
                <w:szCs w:val="18"/>
              </w:rPr>
            </w:pPr>
            <w:r w:rsidRPr="009E799D">
              <w:t>Designing—or redesigning—the Customer’s functional organization is not included.</w:t>
            </w:r>
          </w:p>
        </w:tc>
      </w:tr>
      <w:tr w:rsidR="007D5282" w:rsidRPr="009E799D" w14:paraId="2BB1DE4C" w14:textId="77777777" w:rsidTr="00D602A4">
        <w:trPr>
          <w:cantSplit/>
          <w:trHeight w:val="432"/>
        </w:trPr>
        <w:tc>
          <w:tcPr>
            <w:tcW w:w="3263" w:type="dxa"/>
            <w:shd w:val="clear" w:color="auto" w:fill="auto"/>
          </w:tcPr>
          <w:p w14:paraId="5C067E22" w14:textId="23AA836A" w:rsidR="007D5282" w:rsidRPr="009E799D" w:rsidRDefault="007D5282" w:rsidP="007D5282">
            <w:pPr>
              <w:pStyle w:val="TableText"/>
              <w:spacing w:before="51" w:after="51"/>
            </w:pPr>
            <w:r w:rsidRPr="009E799D">
              <w:t>Design</w:t>
            </w:r>
          </w:p>
        </w:tc>
        <w:tc>
          <w:tcPr>
            <w:tcW w:w="6189" w:type="dxa"/>
            <w:shd w:val="clear" w:color="auto" w:fill="auto"/>
          </w:tcPr>
          <w:p w14:paraId="0021CC93" w14:textId="69A1A87A" w:rsidR="007D5282" w:rsidRPr="009E799D" w:rsidRDefault="007D5282" w:rsidP="007D5282">
            <w:pPr>
              <w:pStyle w:val="TableText"/>
              <w:spacing w:before="51" w:after="51"/>
            </w:pPr>
            <w:r w:rsidRPr="009E799D">
              <w:t xml:space="preserve">Design of the overall Azure </w:t>
            </w:r>
            <w:r>
              <w:t>p</w:t>
            </w:r>
            <w:r w:rsidRPr="009E799D">
              <w:t>latform architecture, security, identity, networking</w:t>
            </w:r>
            <w:r>
              <w:t>,</w:t>
            </w:r>
            <w:r w:rsidRPr="009E799D">
              <w:t xml:space="preserve"> and governance is not included.</w:t>
            </w:r>
          </w:p>
        </w:tc>
      </w:tr>
      <w:tr w:rsidR="007D5282" w:rsidRPr="009E799D" w14:paraId="0DCF1F7E" w14:textId="77777777" w:rsidTr="00D602A4">
        <w:trPr>
          <w:cantSplit/>
          <w:trHeight w:val="432"/>
        </w:trPr>
        <w:tc>
          <w:tcPr>
            <w:tcW w:w="3263" w:type="dxa"/>
            <w:shd w:val="clear" w:color="auto" w:fill="auto"/>
          </w:tcPr>
          <w:p w14:paraId="5817F99F" w14:textId="4C5E6FA3" w:rsidR="007D5282" w:rsidRPr="009E799D" w:rsidRDefault="007D5282" w:rsidP="007D5282">
            <w:pPr>
              <w:pStyle w:val="TableText"/>
            </w:pPr>
            <w:r w:rsidRPr="009E799D">
              <w:t xml:space="preserve">Training and </w:t>
            </w:r>
            <w:r>
              <w:t>t</w:t>
            </w:r>
            <w:r w:rsidRPr="009E799D">
              <w:t>raining materials</w:t>
            </w:r>
          </w:p>
        </w:tc>
        <w:tc>
          <w:tcPr>
            <w:tcW w:w="6189" w:type="dxa"/>
            <w:shd w:val="clear" w:color="auto" w:fill="auto"/>
          </w:tcPr>
          <w:p w14:paraId="2AD022AD" w14:textId="34E469B2" w:rsidR="007D5282" w:rsidRPr="009E799D" w:rsidRDefault="007D5282" w:rsidP="007D5282">
            <w:pPr>
              <w:pStyle w:val="TableText"/>
            </w:pPr>
            <w:r w:rsidRPr="009E799D">
              <w:t>Training, creation</w:t>
            </w:r>
            <w:r>
              <w:t>,</w:t>
            </w:r>
            <w:r w:rsidRPr="009E799D">
              <w:t xml:space="preserve"> or delivery of training materials is out of scope.</w:t>
            </w:r>
          </w:p>
        </w:tc>
      </w:tr>
    </w:tbl>
    <w:p w14:paraId="7358911D" w14:textId="4D923F40" w:rsidR="004847E8" w:rsidRDefault="004847E8" w:rsidP="00D602A4">
      <w:bookmarkStart w:id="30" w:name="_Toc476167706"/>
      <w:bookmarkStart w:id="31" w:name="_Toc476168033"/>
    </w:p>
    <w:p w14:paraId="7E915330" w14:textId="77777777" w:rsidR="004847E8" w:rsidRDefault="004847E8">
      <w:pPr>
        <w:spacing w:before="0" w:after="160"/>
      </w:pPr>
      <w:r>
        <w:br w:type="page"/>
      </w:r>
    </w:p>
    <w:p w14:paraId="0162FD0B" w14:textId="77777777" w:rsidR="00C74E84" w:rsidRPr="00D602A4" w:rsidRDefault="00C74E84" w:rsidP="00D602A4"/>
    <w:p w14:paraId="232E9EC4" w14:textId="7ED4FED4" w:rsidR="00985694" w:rsidRPr="009E799D" w:rsidRDefault="00DD01E5">
      <w:pPr>
        <w:pStyle w:val="Heading1"/>
      </w:pPr>
      <w:bookmarkStart w:id="32" w:name="_Toc37330259"/>
      <w:r w:rsidRPr="00677AA9">
        <w:t>Project</w:t>
      </w:r>
      <w:r w:rsidRPr="009E799D">
        <w:t xml:space="preserve"> approach, timeline, and deliverable acceptance</w:t>
      </w:r>
      <w:bookmarkEnd w:id="30"/>
      <w:bookmarkEnd w:id="31"/>
      <w:bookmarkEnd w:id="32"/>
    </w:p>
    <w:p w14:paraId="4E8D85A4" w14:textId="77777777" w:rsidR="00985694" w:rsidRPr="009E799D" w:rsidRDefault="00DD01E5">
      <w:pPr>
        <w:pStyle w:val="Heading2"/>
      </w:pPr>
      <w:bookmarkStart w:id="33" w:name="_Toc476167707"/>
      <w:bookmarkStart w:id="34" w:name="_Toc476168034"/>
      <w:bookmarkStart w:id="35" w:name="_Ref477870375"/>
      <w:bookmarkStart w:id="36" w:name="_Ref477873467"/>
      <w:bookmarkStart w:id="37" w:name="_Ref477936654"/>
      <w:bookmarkStart w:id="38" w:name="_Ref477936937"/>
      <w:bookmarkStart w:id="39" w:name="_Toc37330260"/>
      <w:r w:rsidRPr="009E799D">
        <w:t>Approach</w:t>
      </w:r>
      <w:bookmarkEnd w:id="33"/>
      <w:bookmarkEnd w:id="34"/>
      <w:bookmarkEnd w:id="35"/>
      <w:bookmarkEnd w:id="36"/>
      <w:bookmarkEnd w:id="37"/>
      <w:bookmarkEnd w:id="38"/>
      <w:bookmarkEnd w:id="39"/>
    </w:p>
    <w:p w14:paraId="6A685293" w14:textId="2CF7F696" w:rsidR="00985694" w:rsidRPr="009E799D" w:rsidRDefault="00DD01E5">
      <w:r w:rsidRPr="009E799D">
        <w:t xml:space="preserve">The project will be structured following the delivery methodology across </w:t>
      </w:r>
      <w:r w:rsidR="00C959DA" w:rsidRPr="009E799D">
        <w:t>three</w:t>
      </w:r>
      <w:r w:rsidRPr="009E799D">
        <w:t xml:space="preserve"> distinct phases</w:t>
      </w:r>
      <w:r w:rsidR="00677AA9">
        <w:t>:</w:t>
      </w:r>
      <w:r w:rsidR="00677AA9" w:rsidRPr="009E799D">
        <w:t xml:space="preserve"> </w:t>
      </w:r>
      <w:r w:rsidR="00C959DA" w:rsidRPr="009E799D">
        <w:t>Initiation</w:t>
      </w:r>
      <w:r w:rsidR="004332A7" w:rsidRPr="009E799D">
        <w:t xml:space="preserve">, </w:t>
      </w:r>
      <w:r w:rsidR="00AC5EB6">
        <w:t>Design</w:t>
      </w:r>
      <w:r w:rsidR="00677AA9">
        <w:t>,</w:t>
      </w:r>
      <w:r w:rsidR="00C959DA" w:rsidRPr="009E799D">
        <w:t xml:space="preserve"> and</w:t>
      </w:r>
      <w:r w:rsidR="004332A7" w:rsidRPr="009E799D">
        <w:t xml:space="preserve"> Implement</w:t>
      </w:r>
      <w:r w:rsidR="00C959DA" w:rsidRPr="009E799D">
        <w:t>.</w:t>
      </w:r>
      <w:r w:rsidRPr="009E799D">
        <w:t xml:space="preserve"> Each phase has distinct activities and deliverables that are described in the following sections.</w:t>
      </w:r>
      <w:r w:rsidR="00A16C55" w:rsidRPr="009E799D">
        <w:t xml:space="preserve"> </w:t>
      </w:r>
      <w:r w:rsidRPr="009E799D">
        <w:t>When activities and deliverables are complete, the phase is considered complete.</w:t>
      </w:r>
    </w:p>
    <w:p w14:paraId="3F34BA14" w14:textId="437644BA" w:rsidR="00985694" w:rsidRPr="004F5E7D" w:rsidRDefault="00DD01E5" w:rsidP="00D602A4">
      <w:pPr>
        <w:pStyle w:val="Optional"/>
        <w:rPr>
          <w:rFonts w:ascii="Calibri" w:hAnsi="Calibri"/>
          <w:color w:val="auto"/>
        </w:rPr>
      </w:pPr>
      <w:r w:rsidRPr="004F5E7D">
        <w:rPr>
          <w:color w:val="auto"/>
        </w:rPr>
        <w:t>If a deliverable requires formal review and acceptance (a process described in</w:t>
      </w:r>
      <w:r w:rsidR="00C74E84" w:rsidRPr="004F5E7D">
        <w:rPr>
          <w:color w:val="auto"/>
        </w:rPr>
        <w:t xml:space="preserve"> the ‘Deliverable acceptance process’ section</w:t>
      </w:r>
      <w:r w:rsidRPr="004F5E7D">
        <w:rPr>
          <w:color w:val="auto"/>
        </w:rPr>
        <w:t>), this is indicated in the following sections.</w:t>
      </w:r>
      <w:r w:rsidRPr="004F5E7D">
        <w:rPr>
          <w:rFonts w:ascii="Calibri" w:hAnsi="Calibri"/>
          <w:color w:val="auto"/>
        </w:rPr>
        <w:t xml:space="preserve"> </w:t>
      </w:r>
    </w:p>
    <w:p w14:paraId="64D36196" w14:textId="6EA5A426" w:rsidR="00985694" w:rsidRPr="009E799D" w:rsidRDefault="00752A23" w:rsidP="00685ECA">
      <w:pPr>
        <w:jc w:val="center"/>
        <w:rPr>
          <w:b/>
          <w:color w:val="00B0F0"/>
        </w:rPr>
      </w:pPr>
      <w:r w:rsidRPr="00752A23">
        <w:rPr>
          <w:b/>
          <w:noProof/>
          <w:color w:val="00B0F0"/>
        </w:rPr>
        <w:drawing>
          <wp:inline distT="0" distB="0" distL="0" distR="0" wp14:anchorId="63973E96" wp14:editId="2D0BFACD">
            <wp:extent cx="5943600" cy="936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36625"/>
                    </a:xfrm>
                    <a:prstGeom prst="rect">
                      <a:avLst/>
                    </a:prstGeom>
                  </pic:spPr>
                </pic:pic>
              </a:graphicData>
            </a:graphic>
          </wp:inline>
        </w:drawing>
      </w:r>
    </w:p>
    <w:p w14:paraId="1C53ACE8" w14:textId="77777777" w:rsidR="00985694" w:rsidRPr="009E799D" w:rsidRDefault="00DD01E5">
      <w:pPr>
        <w:pStyle w:val="Heading3"/>
      </w:pPr>
      <w:bookmarkStart w:id="40" w:name="_Toc476168035"/>
      <w:r w:rsidRPr="009E799D">
        <w:t>Engagement initiation</w:t>
      </w:r>
      <w:bookmarkEnd w:id="40"/>
    </w:p>
    <w:p w14:paraId="511D0BF5" w14:textId="77777777" w:rsidR="00985694" w:rsidRPr="009E799D" w:rsidRDefault="00DD01E5">
      <w:r w:rsidRPr="009E799D">
        <w:t>Before beginning the project and dispatching resources, the following prerequisites must be completed, remotely where applicable.</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412"/>
        <w:gridCol w:w="6796"/>
        <w:gridCol w:w="13"/>
      </w:tblGrid>
      <w:tr w:rsidR="00985694" w:rsidRPr="009E799D" w14:paraId="345CBFE2" w14:textId="77777777" w:rsidTr="00D602A4">
        <w:trPr>
          <w:trHeight w:val="360"/>
          <w:tblHeader/>
        </w:trPr>
        <w:tc>
          <w:tcPr>
            <w:tcW w:w="2412" w:type="dxa"/>
            <w:shd w:val="clear" w:color="auto" w:fill="008272"/>
          </w:tcPr>
          <w:p w14:paraId="6260A160" w14:textId="77777777" w:rsidR="00985694" w:rsidRPr="009E799D" w:rsidRDefault="00DD01E5">
            <w:pPr>
              <w:pStyle w:val="Table-Header"/>
              <w:spacing w:before="51" w:after="51"/>
            </w:pPr>
            <w:r w:rsidRPr="009E799D">
              <w:t>Category</w:t>
            </w:r>
          </w:p>
        </w:tc>
        <w:tc>
          <w:tcPr>
            <w:tcW w:w="6809" w:type="dxa"/>
            <w:gridSpan w:val="2"/>
            <w:shd w:val="clear" w:color="auto" w:fill="008272"/>
          </w:tcPr>
          <w:p w14:paraId="301BC4E1" w14:textId="77777777" w:rsidR="00985694" w:rsidRPr="009E799D" w:rsidRDefault="00DD01E5">
            <w:pPr>
              <w:pStyle w:val="Table-Header"/>
              <w:spacing w:before="51" w:after="51"/>
            </w:pPr>
            <w:r w:rsidRPr="009E799D">
              <w:t>Description</w:t>
            </w:r>
          </w:p>
        </w:tc>
      </w:tr>
      <w:tr w:rsidR="00985694" w:rsidRPr="009E799D" w14:paraId="36DEC41C" w14:textId="77777777" w:rsidTr="00D602A4">
        <w:trPr>
          <w:gridAfter w:val="1"/>
          <w:wAfter w:w="13" w:type="dxa"/>
          <w:trHeight w:val="422"/>
        </w:trPr>
        <w:tc>
          <w:tcPr>
            <w:tcW w:w="2412" w:type="dxa"/>
            <w:shd w:val="clear" w:color="auto" w:fill="auto"/>
          </w:tcPr>
          <w:p w14:paraId="653A1A44" w14:textId="77777777" w:rsidR="00985694" w:rsidRPr="009E799D" w:rsidRDefault="00DD01E5">
            <w:pPr>
              <w:pStyle w:val="TableText"/>
              <w:spacing w:before="51" w:after="51"/>
            </w:pPr>
            <w:r w:rsidRPr="009E799D">
              <w:rPr>
                <w:b/>
              </w:rPr>
              <w:t>Microsoft activities</w:t>
            </w:r>
            <w:r w:rsidRPr="009E799D">
              <w:br/>
              <w:t xml:space="preserve">The activities to be performed by Microsoft </w:t>
            </w:r>
          </w:p>
        </w:tc>
        <w:tc>
          <w:tcPr>
            <w:tcW w:w="6796" w:type="dxa"/>
            <w:shd w:val="clear" w:color="auto" w:fill="auto"/>
          </w:tcPr>
          <w:p w14:paraId="010E8264" w14:textId="2A60B233" w:rsidR="00985694" w:rsidRPr="00710EAA" w:rsidRDefault="00DD01E5" w:rsidP="00D602A4">
            <w:pPr>
              <w:pStyle w:val="TableBullet1"/>
            </w:pPr>
            <w:r w:rsidRPr="00710EAA">
              <w:t>Conduct an initiation call</w:t>
            </w:r>
            <w:r w:rsidR="00A16C55" w:rsidRPr="00710EAA">
              <w:t xml:space="preserve"> </w:t>
            </w:r>
            <w:r w:rsidRPr="00710EAA">
              <w:t>to commence team formation and communicate expectations.</w:t>
            </w:r>
          </w:p>
          <w:p w14:paraId="5893BDA2" w14:textId="2B97EC95" w:rsidR="00985694" w:rsidRPr="00ED7036" w:rsidRDefault="00DD01E5" w:rsidP="00ED7036">
            <w:pPr>
              <w:pStyle w:val="TableBullet1"/>
            </w:pPr>
            <w:r w:rsidRPr="00710EAA">
              <w:t>Track the status of prerequisites and adjust the engagement initiation phase start date accordingly.</w:t>
            </w:r>
          </w:p>
        </w:tc>
      </w:tr>
      <w:tr w:rsidR="00985694" w:rsidRPr="009E799D" w14:paraId="3312CBFB" w14:textId="77777777" w:rsidTr="00D602A4">
        <w:trPr>
          <w:gridAfter w:val="1"/>
          <w:wAfter w:w="13" w:type="dxa"/>
          <w:trHeight w:val="422"/>
        </w:trPr>
        <w:tc>
          <w:tcPr>
            <w:tcW w:w="2412" w:type="dxa"/>
            <w:shd w:val="clear" w:color="auto" w:fill="auto"/>
          </w:tcPr>
          <w:p w14:paraId="1B1636A6" w14:textId="77777777" w:rsidR="00985694" w:rsidRPr="009E799D" w:rsidRDefault="00DD01E5">
            <w:pPr>
              <w:pStyle w:val="TableText"/>
              <w:spacing w:before="51" w:after="51"/>
            </w:pPr>
            <w:r w:rsidRPr="009E799D">
              <w:rPr>
                <w:b/>
              </w:rPr>
              <w:t>Customer activities</w:t>
            </w:r>
            <w:r w:rsidRPr="009E799D">
              <w:br/>
              <w:t>The activities to be performed by the Customer</w:t>
            </w:r>
          </w:p>
        </w:tc>
        <w:tc>
          <w:tcPr>
            <w:tcW w:w="6796" w:type="dxa"/>
            <w:shd w:val="clear" w:color="auto" w:fill="auto"/>
          </w:tcPr>
          <w:p w14:paraId="3E3B34EE" w14:textId="77777777" w:rsidR="00985694" w:rsidRPr="00710EAA" w:rsidRDefault="00DD01E5" w:rsidP="00D602A4">
            <w:pPr>
              <w:pStyle w:val="TableBullet1"/>
            </w:pPr>
            <w:r w:rsidRPr="00710EAA">
              <w:t>Attend and participate in the initiation call.</w:t>
            </w:r>
          </w:p>
          <w:p w14:paraId="006A51E7" w14:textId="5B5B43F6" w:rsidR="00985694" w:rsidRPr="00710EAA" w:rsidRDefault="00DD01E5" w:rsidP="00D602A4">
            <w:pPr>
              <w:pStyle w:val="TableBullet1"/>
            </w:pPr>
            <w:r w:rsidRPr="00710EAA">
              <w:t xml:space="preserve">Assign responsibilities for project initiation and launch prerequisites to accountable </w:t>
            </w:r>
            <w:r w:rsidR="00BC4E5C">
              <w:t>Customer</w:t>
            </w:r>
            <w:r w:rsidRPr="00710EAA">
              <w:t xml:space="preserve"> resources and establish target completion dates.</w:t>
            </w:r>
          </w:p>
          <w:p w14:paraId="09D4AA51" w14:textId="1EFB59E4" w:rsidR="00985694" w:rsidRDefault="00DD01E5" w:rsidP="00D602A4">
            <w:pPr>
              <w:pStyle w:val="TableBullet1"/>
            </w:pPr>
            <w:r w:rsidRPr="00710EAA">
              <w:t>Complete the project initiation and launch prerequisites.</w:t>
            </w:r>
          </w:p>
          <w:p w14:paraId="2BB44A3C" w14:textId="36BF3341" w:rsidR="003F67E7" w:rsidRPr="00710EAA" w:rsidRDefault="003F67E7" w:rsidP="00172392">
            <w:pPr>
              <w:pStyle w:val="TableBullet1"/>
              <w:numPr>
                <w:ilvl w:val="1"/>
                <w:numId w:val="5"/>
              </w:numPr>
            </w:pPr>
            <w:proofErr w:type="spellStart"/>
            <w:r>
              <w:t>GoQ</w:t>
            </w:r>
            <w:proofErr w:type="spellEnd"/>
            <w:r>
              <w:t xml:space="preserve"> </w:t>
            </w:r>
            <w:proofErr w:type="spellStart"/>
            <w:r>
              <w:t>Assessmet</w:t>
            </w:r>
            <w:proofErr w:type="spellEnd"/>
          </w:p>
          <w:p w14:paraId="3E969D06" w14:textId="574B1F70" w:rsidR="00985694" w:rsidRPr="00710EAA" w:rsidRDefault="00DD01E5" w:rsidP="00D602A4">
            <w:pPr>
              <w:pStyle w:val="TableBullet1"/>
            </w:pPr>
            <w:r w:rsidRPr="00710EAA">
              <w:t xml:space="preserve">Staff the project with the required </w:t>
            </w:r>
            <w:r w:rsidR="00BC4E5C">
              <w:t>Customer</w:t>
            </w:r>
            <w:r w:rsidRPr="00710EAA">
              <w:t xml:space="preserve"> resources in the time frames that were agreed upon in the initiation call.</w:t>
            </w:r>
          </w:p>
        </w:tc>
      </w:tr>
    </w:tbl>
    <w:p w14:paraId="7E2D51AD" w14:textId="62131B79" w:rsidR="000D1A57" w:rsidRDefault="000D1A57" w:rsidP="00A47DD3">
      <w:pPr>
        <w:spacing w:before="0" w:after="160"/>
      </w:pPr>
    </w:p>
    <w:p w14:paraId="1211CE9F" w14:textId="77777777" w:rsidR="000D1A57" w:rsidRDefault="000D1A57">
      <w:pPr>
        <w:spacing w:before="0" w:after="160"/>
      </w:pPr>
      <w:r>
        <w:br w:type="page"/>
      </w:r>
    </w:p>
    <w:p w14:paraId="2BA34453" w14:textId="4144FD76" w:rsidR="00A47DD3" w:rsidRPr="009E799D" w:rsidRDefault="00A47DD3" w:rsidP="00A47DD3">
      <w:pPr>
        <w:pStyle w:val="Heading3"/>
      </w:pPr>
      <w:r>
        <w:lastRenderedPageBreak/>
        <w:t>Discover</w:t>
      </w:r>
    </w:p>
    <w:p w14:paraId="3180DBFA" w14:textId="10E342B6" w:rsidR="00A47DD3" w:rsidRPr="009E799D" w:rsidRDefault="00A47DD3" w:rsidP="00A47DD3">
      <w:r w:rsidRPr="006A0C06">
        <w:t xml:space="preserve">During the </w:t>
      </w:r>
      <w:r w:rsidR="00563EDD">
        <w:t>d</w:t>
      </w:r>
      <w:r w:rsidR="00E56511">
        <w:t>iscover</w:t>
      </w:r>
      <w:r w:rsidR="00563EDD">
        <w:t>y</w:t>
      </w:r>
      <w:r w:rsidRPr="006A0C06">
        <w:t xml:space="preserve"> phase, Microsoft team will </w:t>
      </w:r>
      <w:r w:rsidR="00B82585">
        <w:t xml:space="preserve">conduct </w:t>
      </w:r>
      <w:r w:rsidR="00D85196">
        <w:t>d</w:t>
      </w:r>
      <w:r w:rsidR="00B82585" w:rsidRPr="00B82585">
        <w:t xml:space="preserve">iscovery Interviews and </w:t>
      </w:r>
      <w:r w:rsidR="00D85196">
        <w:t>w</w:t>
      </w:r>
      <w:r w:rsidR="00B82585" w:rsidRPr="00B82585">
        <w:t xml:space="preserve">hiteboarding </w:t>
      </w:r>
      <w:r w:rsidR="00D85196">
        <w:t>s</w:t>
      </w:r>
      <w:r w:rsidR="00B82585" w:rsidRPr="00B82585">
        <w:t>essions</w:t>
      </w:r>
      <w:r w:rsidRPr="00D602A4">
        <w:t xml:space="preserve"> </w:t>
      </w:r>
      <w:r>
        <w:t>for all the project streams</w:t>
      </w:r>
      <w:r w:rsidRPr="006A0C06">
        <w:t>.</w:t>
      </w:r>
    </w:p>
    <w:tbl>
      <w:tblPr>
        <w:tblStyle w:val="TableGrid1"/>
        <w:tblW w:w="9221"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412"/>
        <w:gridCol w:w="6796"/>
        <w:gridCol w:w="13"/>
      </w:tblGrid>
      <w:tr w:rsidR="00A47DD3" w:rsidRPr="009E799D" w14:paraId="5542B4F1" w14:textId="77777777" w:rsidTr="00BB41D4">
        <w:trPr>
          <w:cantSplit/>
          <w:trHeight w:val="542"/>
          <w:tblHeader/>
        </w:trPr>
        <w:tc>
          <w:tcPr>
            <w:tcW w:w="9221" w:type="dxa"/>
            <w:gridSpan w:val="3"/>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008272"/>
          </w:tcPr>
          <w:p w14:paraId="3783C5A9" w14:textId="4AA6B09D" w:rsidR="00A47DD3" w:rsidRPr="009E799D" w:rsidRDefault="00164F4A" w:rsidP="00BB41D4">
            <w:pPr>
              <w:spacing w:before="51" w:after="51"/>
              <w:rPr>
                <w:rFonts w:ascii="Segoe UI Semilight" w:hAnsi="Segoe UI Semilight" w:cs="Segoe UI"/>
                <w:color w:val="FFFFFF" w:themeColor="background1"/>
                <w:sz w:val="22"/>
                <w:szCs w:val="18"/>
              </w:rPr>
            </w:pPr>
            <w:r>
              <w:rPr>
                <w:rFonts w:ascii="Segoe UI Semilight" w:hAnsi="Segoe UI Semilight" w:cs="Segoe UI"/>
                <w:noProof/>
                <w:color w:val="FFFFFF" w:themeColor="background1"/>
                <w:szCs w:val="18"/>
              </w:rPr>
              <w:drawing>
                <wp:inline distT="0" distB="0" distL="0" distR="0" wp14:anchorId="77D24149" wp14:editId="581F8DF2">
                  <wp:extent cx="1139190" cy="217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r="39313" b="-2"/>
                          <a:stretch>
                            <a:fillRect/>
                          </a:stretch>
                        </pic:blipFill>
                        <pic:spPr bwMode="auto">
                          <a:xfrm>
                            <a:off x="0" y="0"/>
                            <a:ext cx="1139190" cy="217805"/>
                          </a:xfrm>
                          <a:prstGeom prst="rect">
                            <a:avLst/>
                          </a:prstGeom>
                          <a:noFill/>
                          <a:ln>
                            <a:noFill/>
                          </a:ln>
                        </pic:spPr>
                      </pic:pic>
                    </a:graphicData>
                  </a:graphic>
                </wp:inline>
              </w:drawing>
            </w:r>
          </w:p>
        </w:tc>
      </w:tr>
      <w:tr w:rsidR="00A47DD3" w:rsidRPr="009E799D" w14:paraId="2796F9B5" w14:textId="77777777" w:rsidTr="00BB41D4">
        <w:trPr>
          <w:cantSplit/>
          <w:trHeight w:val="542"/>
          <w:tblHeader/>
        </w:trPr>
        <w:tc>
          <w:tcPr>
            <w:tcW w:w="2412"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008272"/>
          </w:tcPr>
          <w:p w14:paraId="7B246580" w14:textId="77777777" w:rsidR="00A47DD3" w:rsidRPr="009E799D" w:rsidRDefault="00A47DD3" w:rsidP="00BB41D4">
            <w:pPr>
              <w:pStyle w:val="Table-Header"/>
              <w:spacing w:before="51" w:after="51"/>
            </w:pPr>
            <w:r w:rsidRPr="009E799D">
              <w:t>Category</w:t>
            </w:r>
          </w:p>
        </w:tc>
        <w:tc>
          <w:tcPr>
            <w:tcW w:w="6809" w:type="dxa"/>
            <w:gridSpan w:val="2"/>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008272"/>
          </w:tcPr>
          <w:p w14:paraId="3E56EB8B" w14:textId="77777777" w:rsidR="00A47DD3" w:rsidRPr="009E799D" w:rsidRDefault="00A47DD3" w:rsidP="00BB41D4">
            <w:pPr>
              <w:pStyle w:val="Table-Header"/>
              <w:spacing w:before="51" w:after="51"/>
            </w:pPr>
            <w:r w:rsidRPr="009E799D">
              <w:t>Description</w:t>
            </w:r>
          </w:p>
        </w:tc>
      </w:tr>
      <w:tr w:rsidR="00A47DD3" w:rsidRPr="009E799D" w14:paraId="42DA8D2D" w14:textId="77777777" w:rsidTr="00BB41D4">
        <w:trPr>
          <w:gridAfter w:val="1"/>
          <w:wAfter w:w="13" w:type="dxa"/>
          <w:cantSplit/>
          <w:trHeight w:val="422"/>
        </w:trPr>
        <w:tc>
          <w:tcPr>
            <w:tcW w:w="2412" w:type="dxa"/>
            <w:tcBorders>
              <w:top w:val="single" w:sz="2" w:space="0" w:color="auto"/>
              <w:left w:val="single" w:sz="2" w:space="0" w:color="auto"/>
              <w:bottom w:val="single" w:sz="2" w:space="0" w:color="auto"/>
              <w:right w:val="single" w:sz="2" w:space="0" w:color="auto"/>
            </w:tcBorders>
            <w:shd w:val="clear" w:color="auto" w:fill="auto"/>
          </w:tcPr>
          <w:p w14:paraId="65F64FCC" w14:textId="77777777" w:rsidR="00A47DD3" w:rsidRPr="009E799D" w:rsidRDefault="00A47DD3" w:rsidP="00BB41D4">
            <w:pPr>
              <w:pStyle w:val="TableText"/>
              <w:spacing w:before="51" w:after="51"/>
            </w:pPr>
            <w:r w:rsidRPr="009E799D">
              <w:rPr>
                <w:b/>
              </w:rPr>
              <w:t>Microsoft activities</w:t>
            </w:r>
            <w:r w:rsidRPr="009E799D">
              <w:rPr>
                <w:b/>
              </w:rPr>
              <w:br/>
            </w:r>
            <w:r w:rsidRPr="009E799D">
              <w:t>The activities to be performed by Microsoft</w:t>
            </w:r>
          </w:p>
        </w:tc>
        <w:tc>
          <w:tcPr>
            <w:tcW w:w="6796" w:type="dxa"/>
            <w:tcBorders>
              <w:top w:val="single" w:sz="2" w:space="0" w:color="auto"/>
              <w:left w:val="single" w:sz="2" w:space="0" w:color="auto"/>
              <w:bottom w:val="single" w:sz="2" w:space="0" w:color="auto"/>
              <w:right w:val="single" w:sz="2" w:space="0" w:color="auto"/>
            </w:tcBorders>
            <w:shd w:val="clear" w:color="auto" w:fill="auto"/>
          </w:tcPr>
          <w:p w14:paraId="3FC9FC22" w14:textId="4EA6818B" w:rsidR="00A47DD3" w:rsidRPr="009E799D" w:rsidRDefault="0077494F" w:rsidP="003E5908">
            <w:pPr>
              <w:pStyle w:val="TableBullet1"/>
            </w:pPr>
            <w:proofErr w:type="spellStart"/>
            <w:r>
              <w:t>GoC</w:t>
            </w:r>
            <w:proofErr w:type="spellEnd"/>
            <w:r>
              <w:t xml:space="preserve"> Assessment</w:t>
            </w:r>
          </w:p>
        </w:tc>
      </w:tr>
      <w:tr w:rsidR="00A47DD3" w:rsidRPr="009E799D" w14:paraId="7D5C49EB" w14:textId="77777777" w:rsidTr="00BB41D4">
        <w:trPr>
          <w:gridAfter w:val="1"/>
          <w:wAfter w:w="13" w:type="dxa"/>
          <w:cantSplit/>
          <w:trHeight w:val="422"/>
        </w:trPr>
        <w:tc>
          <w:tcPr>
            <w:tcW w:w="2412" w:type="dxa"/>
            <w:tcBorders>
              <w:top w:val="single" w:sz="2" w:space="0" w:color="auto"/>
              <w:left w:val="single" w:sz="2" w:space="0" w:color="auto"/>
              <w:bottom w:val="single" w:sz="2" w:space="0" w:color="auto"/>
              <w:right w:val="single" w:sz="2" w:space="0" w:color="auto"/>
            </w:tcBorders>
            <w:shd w:val="clear" w:color="auto" w:fill="auto"/>
          </w:tcPr>
          <w:p w14:paraId="5566D59B" w14:textId="77777777" w:rsidR="00A47DD3" w:rsidRPr="009E799D" w:rsidRDefault="00A47DD3" w:rsidP="00BB41D4">
            <w:pPr>
              <w:pStyle w:val="TableText"/>
              <w:spacing w:before="51" w:after="51"/>
            </w:pPr>
            <w:r w:rsidRPr="009E799D">
              <w:rPr>
                <w:b/>
              </w:rPr>
              <w:t>Customer activities</w:t>
            </w:r>
            <w:r w:rsidRPr="009E799D">
              <w:rPr>
                <w:b/>
              </w:rPr>
              <w:br/>
            </w:r>
            <w:r w:rsidRPr="009E799D">
              <w:t>The activities to be performed by the Customer</w:t>
            </w:r>
          </w:p>
        </w:tc>
        <w:tc>
          <w:tcPr>
            <w:tcW w:w="6796" w:type="dxa"/>
            <w:tcBorders>
              <w:top w:val="single" w:sz="2" w:space="0" w:color="auto"/>
              <w:left w:val="single" w:sz="2" w:space="0" w:color="auto"/>
              <w:bottom w:val="single" w:sz="2" w:space="0" w:color="auto"/>
              <w:right w:val="single" w:sz="2" w:space="0" w:color="auto"/>
            </w:tcBorders>
            <w:shd w:val="clear" w:color="auto" w:fill="auto"/>
          </w:tcPr>
          <w:p w14:paraId="3909A31C" w14:textId="42A6FDE0" w:rsidR="00A47DD3" w:rsidRPr="009E799D" w:rsidRDefault="00A47DD3" w:rsidP="00BB41D4">
            <w:pPr>
              <w:pStyle w:val="TableBullet1"/>
              <w:spacing w:before="51" w:after="51"/>
            </w:pPr>
            <w:r w:rsidRPr="009E799D">
              <w:t>Actively participate in the</w:t>
            </w:r>
            <w:r w:rsidR="001A3518">
              <w:t xml:space="preserve"> </w:t>
            </w:r>
            <w:r w:rsidR="001A3518" w:rsidRPr="00B078CA">
              <w:t>discovery interviews and whiteboarding sessions</w:t>
            </w:r>
            <w:r w:rsidR="001A3518" w:rsidRPr="009E799D">
              <w:t xml:space="preserve"> </w:t>
            </w:r>
            <w:r w:rsidRPr="009E799D">
              <w:t>to help Microsoft understand the Customer’s needs.</w:t>
            </w:r>
          </w:p>
          <w:p w14:paraId="7C8109A7" w14:textId="767CBA22" w:rsidR="00A47DD3" w:rsidRPr="009E799D" w:rsidRDefault="00A47DD3" w:rsidP="008657D8">
            <w:pPr>
              <w:pStyle w:val="TableBullet1"/>
              <w:spacing w:before="51" w:after="51"/>
            </w:pPr>
            <w:r w:rsidRPr="009E799D">
              <w:t xml:space="preserve">Facilitate participation from Customer </w:t>
            </w:r>
            <w:r>
              <w:t>subject matter experts (</w:t>
            </w:r>
            <w:r w:rsidRPr="009E799D">
              <w:t>SMEs</w:t>
            </w:r>
            <w:r>
              <w:t>)</w:t>
            </w:r>
            <w:r w:rsidRPr="009E799D">
              <w:t xml:space="preserve"> and decisions makers.</w:t>
            </w:r>
          </w:p>
        </w:tc>
      </w:tr>
      <w:tr w:rsidR="00A47DD3" w:rsidRPr="009E799D" w14:paraId="33D1D342" w14:textId="77777777" w:rsidTr="00BB41D4">
        <w:trPr>
          <w:gridAfter w:val="1"/>
          <w:wAfter w:w="13" w:type="dxa"/>
          <w:cantSplit/>
          <w:trHeight w:val="422"/>
        </w:trPr>
        <w:tc>
          <w:tcPr>
            <w:tcW w:w="2412" w:type="dxa"/>
            <w:tcBorders>
              <w:top w:val="single" w:sz="2" w:space="0" w:color="auto"/>
              <w:left w:val="single" w:sz="2" w:space="0" w:color="auto"/>
              <w:bottom w:val="single" w:sz="2" w:space="0" w:color="auto"/>
              <w:right w:val="single" w:sz="2" w:space="0" w:color="auto"/>
            </w:tcBorders>
            <w:shd w:val="clear" w:color="auto" w:fill="auto"/>
          </w:tcPr>
          <w:p w14:paraId="588CBF1F" w14:textId="77777777" w:rsidR="00A47DD3" w:rsidRPr="009E799D" w:rsidRDefault="00A47DD3" w:rsidP="00BB41D4">
            <w:pPr>
              <w:pStyle w:val="TableText"/>
              <w:spacing w:before="51" w:after="51"/>
            </w:pPr>
            <w:r w:rsidRPr="009E799D">
              <w:rPr>
                <w:b/>
              </w:rPr>
              <w:t>Key assumptions</w:t>
            </w:r>
            <w:r w:rsidRPr="009E799D">
              <w:rPr>
                <w:b/>
              </w:rPr>
              <w:br/>
            </w:r>
          </w:p>
        </w:tc>
        <w:tc>
          <w:tcPr>
            <w:tcW w:w="6796" w:type="dxa"/>
            <w:tcBorders>
              <w:top w:val="single" w:sz="2" w:space="0" w:color="auto"/>
              <w:left w:val="single" w:sz="2" w:space="0" w:color="auto"/>
              <w:bottom w:val="single" w:sz="2" w:space="0" w:color="auto"/>
              <w:right w:val="single" w:sz="2" w:space="0" w:color="auto"/>
            </w:tcBorders>
            <w:shd w:val="clear" w:color="auto" w:fill="auto"/>
          </w:tcPr>
          <w:p w14:paraId="79971371" w14:textId="4161DDA8" w:rsidR="00A47DD3" w:rsidRPr="009E799D" w:rsidRDefault="00A47DD3" w:rsidP="00BB41D4">
            <w:pPr>
              <w:pStyle w:val="TableText"/>
            </w:pPr>
            <w:r>
              <w:t xml:space="preserve">The </w:t>
            </w:r>
            <w:r w:rsidRPr="009E799D">
              <w:t xml:space="preserve">Customer will share </w:t>
            </w:r>
            <w:r w:rsidR="00B03621">
              <w:t xml:space="preserve">information and </w:t>
            </w:r>
            <w:r w:rsidRPr="009E799D">
              <w:t>requirements</w:t>
            </w:r>
            <w:r>
              <w:t>.</w:t>
            </w:r>
          </w:p>
        </w:tc>
      </w:tr>
    </w:tbl>
    <w:p w14:paraId="13A25289" w14:textId="77777777" w:rsidR="00A47DD3" w:rsidRPr="009E799D" w:rsidRDefault="00A47DD3" w:rsidP="00A47DD3">
      <w:pPr>
        <w:pStyle w:val="Heading4"/>
        <w:spacing w:before="240" w:after="120"/>
      </w:pPr>
      <w:r w:rsidRPr="009E799D">
        <w:t>Deliverables</w:t>
      </w:r>
    </w:p>
    <w:tbl>
      <w:tblPr>
        <w:tblStyle w:val="TableGrid1"/>
        <w:tblW w:w="9210"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85"/>
        <w:gridCol w:w="3947"/>
        <w:gridCol w:w="1587"/>
        <w:gridCol w:w="1591"/>
      </w:tblGrid>
      <w:tr w:rsidR="00A47DD3" w:rsidRPr="009E799D" w14:paraId="62530152" w14:textId="77777777" w:rsidTr="00BB41D4">
        <w:trPr>
          <w:trHeight w:val="361"/>
          <w:tblHeader/>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5451727" w14:textId="77777777" w:rsidR="00A47DD3" w:rsidRPr="009E799D" w:rsidRDefault="00A47DD3" w:rsidP="00BB41D4">
            <w:pPr>
              <w:pStyle w:val="Table-Header"/>
              <w:spacing w:before="51" w:after="51"/>
            </w:pPr>
            <w:r w:rsidRPr="009E799D">
              <w:t>Name</w:t>
            </w:r>
          </w:p>
        </w:tc>
        <w:tc>
          <w:tcPr>
            <w:tcW w:w="39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69614A6" w14:textId="77777777" w:rsidR="00A47DD3" w:rsidRPr="009E799D" w:rsidRDefault="00A47DD3" w:rsidP="00BB41D4">
            <w:pPr>
              <w:pStyle w:val="Table-Header"/>
              <w:spacing w:before="51" w:after="51"/>
            </w:pPr>
            <w:r w:rsidRPr="009E799D">
              <w:t>Description</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6A30A35" w14:textId="77777777" w:rsidR="00A47DD3" w:rsidRPr="009E799D" w:rsidRDefault="00A47DD3" w:rsidP="00BB41D4">
            <w:pPr>
              <w:pStyle w:val="Table-Header"/>
              <w:spacing w:before="51" w:after="51"/>
            </w:pPr>
            <w:r w:rsidRPr="009E799D">
              <w:t>Acceptance required?</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7CB6E4B" w14:textId="77777777" w:rsidR="00A47DD3" w:rsidRPr="009E799D" w:rsidRDefault="00A47DD3" w:rsidP="00BB41D4">
            <w:pPr>
              <w:pStyle w:val="Table-Header"/>
              <w:spacing w:before="51" w:after="51"/>
            </w:pPr>
            <w:r w:rsidRPr="009E799D">
              <w:t>Responsibility</w:t>
            </w:r>
          </w:p>
        </w:tc>
      </w:tr>
      <w:tr w:rsidR="00A47DD3" w:rsidRPr="009E799D" w14:paraId="76183235" w14:textId="77777777" w:rsidTr="00BB41D4">
        <w:trPr>
          <w:trHeight w:val="417"/>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5668AF8" w14:textId="74AA9E0F" w:rsidR="00A47DD3" w:rsidRPr="009E799D" w:rsidRDefault="0089098D" w:rsidP="00BB41D4">
            <w:pPr>
              <w:pStyle w:val="TableText"/>
            </w:pPr>
            <w:r>
              <w:t>None</w:t>
            </w:r>
          </w:p>
        </w:tc>
        <w:tc>
          <w:tcPr>
            <w:tcW w:w="39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9EE2050" w14:textId="279B5CFD" w:rsidR="00A47DD3" w:rsidRPr="009E799D" w:rsidRDefault="0089098D" w:rsidP="00BB41D4">
            <w:pPr>
              <w:pStyle w:val="TableText"/>
            </w:pPr>
            <w:r>
              <w:t>None</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F5A7D31" w14:textId="77777777" w:rsidR="00A47DD3" w:rsidRPr="009E799D" w:rsidRDefault="00A47DD3" w:rsidP="00BB41D4">
            <w:pPr>
              <w:pStyle w:val="TableText"/>
            </w:pPr>
            <w:r w:rsidRPr="009E799D">
              <w:t>No</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D81C2B9" w14:textId="77777777" w:rsidR="00A47DD3" w:rsidRPr="009E799D" w:rsidRDefault="00A47DD3" w:rsidP="00BB41D4">
            <w:pPr>
              <w:pStyle w:val="TableText"/>
            </w:pPr>
            <w:r w:rsidRPr="009E799D">
              <w:t>Microsoft</w:t>
            </w:r>
          </w:p>
        </w:tc>
      </w:tr>
    </w:tbl>
    <w:p w14:paraId="34FBD01E" w14:textId="51B95C59" w:rsidR="00A33511" w:rsidRDefault="00A33511">
      <w:pPr>
        <w:spacing w:before="0" w:after="160"/>
      </w:pPr>
    </w:p>
    <w:p w14:paraId="7328216A" w14:textId="7801FB2D" w:rsidR="00985694" w:rsidRPr="009E799D" w:rsidRDefault="00AC5EB6">
      <w:pPr>
        <w:pStyle w:val="Heading3"/>
      </w:pPr>
      <w:r>
        <w:t>Design</w:t>
      </w:r>
    </w:p>
    <w:p w14:paraId="6596D96A" w14:textId="1FD57C35" w:rsidR="00985694" w:rsidRPr="009E799D" w:rsidRDefault="00DD01E5">
      <w:r w:rsidRPr="006A0C06">
        <w:t xml:space="preserve">During the </w:t>
      </w:r>
      <w:r w:rsidR="000067CB">
        <w:t>d</w:t>
      </w:r>
      <w:r w:rsidR="00C959DA" w:rsidRPr="006A0C06">
        <w:t xml:space="preserve">esign </w:t>
      </w:r>
      <w:r w:rsidRPr="006A0C06">
        <w:t>phase, Microsoft</w:t>
      </w:r>
      <w:r w:rsidR="00B86D46" w:rsidRPr="006A0C06">
        <w:t xml:space="preserve"> </w:t>
      </w:r>
      <w:r w:rsidR="00C959DA" w:rsidRPr="006A0C06">
        <w:t xml:space="preserve">team will </w:t>
      </w:r>
      <w:r w:rsidR="00C74E84" w:rsidRPr="00C74E84">
        <w:t xml:space="preserve">identify </w:t>
      </w:r>
      <w:r w:rsidR="00C74E84">
        <w:t>Customer</w:t>
      </w:r>
      <w:r w:rsidR="00C74E84" w:rsidRPr="00C74E84">
        <w:t xml:space="preserve"> </w:t>
      </w:r>
      <w:r w:rsidR="00C959DA" w:rsidRPr="00D602A4">
        <w:t xml:space="preserve">requirements </w:t>
      </w:r>
      <w:r w:rsidR="00D9005A">
        <w:t>for all the project streams</w:t>
      </w:r>
      <w:r w:rsidR="00B86D46" w:rsidRPr="006A0C06">
        <w:t>.</w:t>
      </w:r>
    </w:p>
    <w:tbl>
      <w:tblPr>
        <w:tblStyle w:val="TableGrid1"/>
        <w:tblW w:w="9221"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412"/>
        <w:gridCol w:w="6796"/>
        <w:gridCol w:w="13"/>
      </w:tblGrid>
      <w:tr w:rsidR="00985694" w:rsidRPr="009E799D" w14:paraId="4425B1D4" w14:textId="77777777" w:rsidTr="00D602A4">
        <w:trPr>
          <w:cantSplit/>
          <w:trHeight w:val="542"/>
          <w:tblHeader/>
        </w:trPr>
        <w:tc>
          <w:tcPr>
            <w:tcW w:w="9221" w:type="dxa"/>
            <w:gridSpan w:val="3"/>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008272"/>
          </w:tcPr>
          <w:p w14:paraId="671FA5BA" w14:textId="640927CF" w:rsidR="00985694" w:rsidRPr="009E799D" w:rsidRDefault="00DE010D">
            <w:pPr>
              <w:spacing w:before="51" w:after="51"/>
              <w:rPr>
                <w:rFonts w:ascii="Segoe UI Semilight" w:hAnsi="Segoe UI Semilight" w:cs="Segoe UI"/>
                <w:color w:val="FFFFFF" w:themeColor="background1"/>
                <w:sz w:val="22"/>
                <w:szCs w:val="18"/>
              </w:rPr>
            </w:pPr>
            <w:r>
              <w:rPr>
                <w:rFonts w:ascii="Segoe UI Semilight" w:hAnsi="Segoe UI Semilight" w:cs="Segoe UI"/>
                <w:noProof/>
                <w:color w:val="FFFFFF" w:themeColor="background1"/>
                <w:szCs w:val="18"/>
              </w:rPr>
              <w:drawing>
                <wp:inline distT="0" distB="0" distL="0" distR="0" wp14:anchorId="4E491B1F" wp14:editId="65A255D1">
                  <wp:extent cx="1139190" cy="22479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r="40536"/>
                          <a:stretch>
                            <a:fillRect/>
                          </a:stretch>
                        </pic:blipFill>
                        <pic:spPr bwMode="auto">
                          <a:xfrm>
                            <a:off x="0" y="0"/>
                            <a:ext cx="1139190" cy="224790"/>
                          </a:xfrm>
                          <a:prstGeom prst="rect">
                            <a:avLst/>
                          </a:prstGeom>
                          <a:noFill/>
                          <a:ln>
                            <a:noFill/>
                          </a:ln>
                        </pic:spPr>
                      </pic:pic>
                    </a:graphicData>
                  </a:graphic>
                </wp:inline>
              </w:drawing>
            </w:r>
          </w:p>
        </w:tc>
      </w:tr>
      <w:tr w:rsidR="00985694" w:rsidRPr="009E799D" w14:paraId="3F199BBA" w14:textId="77777777" w:rsidTr="00D602A4">
        <w:trPr>
          <w:cantSplit/>
          <w:trHeight w:val="542"/>
          <w:tblHeader/>
        </w:trPr>
        <w:tc>
          <w:tcPr>
            <w:tcW w:w="2412"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008272"/>
          </w:tcPr>
          <w:p w14:paraId="7523E303" w14:textId="77777777" w:rsidR="00985694" w:rsidRPr="009E799D" w:rsidRDefault="00DD01E5">
            <w:pPr>
              <w:pStyle w:val="Table-Header"/>
              <w:spacing w:before="51" w:after="51"/>
            </w:pPr>
            <w:r w:rsidRPr="009E799D">
              <w:t>Category</w:t>
            </w:r>
          </w:p>
        </w:tc>
        <w:tc>
          <w:tcPr>
            <w:tcW w:w="6809" w:type="dxa"/>
            <w:gridSpan w:val="2"/>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008272"/>
          </w:tcPr>
          <w:p w14:paraId="7CC8D17D" w14:textId="77777777" w:rsidR="00985694" w:rsidRPr="009E799D" w:rsidRDefault="00DD01E5">
            <w:pPr>
              <w:pStyle w:val="Table-Header"/>
              <w:spacing w:before="51" w:after="51"/>
            </w:pPr>
            <w:r w:rsidRPr="009E799D">
              <w:t>Description</w:t>
            </w:r>
          </w:p>
        </w:tc>
      </w:tr>
      <w:tr w:rsidR="00985694" w:rsidRPr="009E799D" w14:paraId="29CFB5AF" w14:textId="77777777" w:rsidTr="00D602A4">
        <w:trPr>
          <w:gridAfter w:val="1"/>
          <w:wAfter w:w="13" w:type="dxa"/>
          <w:cantSplit/>
          <w:trHeight w:val="422"/>
        </w:trPr>
        <w:tc>
          <w:tcPr>
            <w:tcW w:w="2412" w:type="dxa"/>
            <w:tcBorders>
              <w:top w:val="single" w:sz="2" w:space="0" w:color="auto"/>
              <w:left w:val="single" w:sz="2" w:space="0" w:color="auto"/>
              <w:bottom w:val="single" w:sz="2" w:space="0" w:color="auto"/>
              <w:right w:val="single" w:sz="2" w:space="0" w:color="auto"/>
            </w:tcBorders>
            <w:shd w:val="clear" w:color="auto" w:fill="auto"/>
          </w:tcPr>
          <w:p w14:paraId="5477F706" w14:textId="77777777" w:rsidR="00985694" w:rsidRPr="009E799D" w:rsidRDefault="00DD01E5">
            <w:pPr>
              <w:pStyle w:val="TableText"/>
              <w:spacing w:before="51" w:after="51"/>
            </w:pPr>
            <w:r w:rsidRPr="009E799D">
              <w:rPr>
                <w:b/>
              </w:rPr>
              <w:t>Microsoft activities</w:t>
            </w:r>
            <w:r w:rsidRPr="009E799D">
              <w:rPr>
                <w:b/>
              </w:rPr>
              <w:br/>
            </w:r>
            <w:r w:rsidRPr="009E799D">
              <w:t>The activities to be performed by Microsoft</w:t>
            </w:r>
          </w:p>
        </w:tc>
        <w:tc>
          <w:tcPr>
            <w:tcW w:w="6796" w:type="dxa"/>
            <w:tcBorders>
              <w:top w:val="single" w:sz="2" w:space="0" w:color="auto"/>
              <w:left w:val="single" w:sz="2" w:space="0" w:color="auto"/>
              <w:bottom w:val="single" w:sz="2" w:space="0" w:color="auto"/>
              <w:right w:val="single" w:sz="2" w:space="0" w:color="auto"/>
            </w:tcBorders>
            <w:shd w:val="clear" w:color="auto" w:fill="auto"/>
          </w:tcPr>
          <w:p w14:paraId="748AD04D" w14:textId="0AF8B6BC" w:rsidR="00C959DA" w:rsidRPr="009E799D" w:rsidRDefault="008B79F7" w:rsidP="002C6141">
            <w:pPr>
              <w:pStyle w:val="TableBullet1"/>
            </w:pPr>
            <w:r>
              <w:t xml:space="preserve">Lead </w:t>
            </w:r>
            <w:r w:rsidR="002C6141" w:rsidRPr="002C6141">
              <w:t>Design Workshop - Design Review and Q/A</w:t>
            </w:r>
            <w:r w:rsidR="006A0C06">
              <w:t>.</w:t>
            </w:r>
          </w:p>
          <w:p w14:paraId="0C66019B" w14:textId="7A686EEF" w:rsidR="00C959DA" w:rsidRPr="009E799D" w:rsidRDefault="00C959DA" w:rsidP="00C959DA">
            <w:pPr>
              <w:pStyle w:val="TableBullet1"/>
            </w:pPr>
            <w:r w:rsidRPr="009E799D">
              <w:t xml:space="preserve">Identify </w:t>
            </w:r>
            <w:r w:rsidR="00456FD3">
              <w:t>remediation tasks</w:t>
            </w:r>
            <w:r w:rsidR="00E7264E">
              <w:t>.</w:t>
            </w:r>
            <w:r w:rsidRPr="009E799D">
              <w:t xml:space="preserve"> </w:t>
            </w:r>
          </w:p>
          <w:p w14:paraId="40584371" w14:textId="1AB92E57" w:rsidR="00C959DA" w:rsidRPr="009E799D" w:rsidRDefault="00C959DA" w:rsidP="00C959DA">
            <w:pPr>
              <w:pStyle w:val="TableBullet1"/>
            </w:pPr>
            <w:r w:rsidRPr="009E799D">
              <w:t xml:space="preserve">Design </w:t>
            </w:r>
            <w:r w:rsidR="00E7264E">
              <w:t>the</w:t>
            </w:r>
            <w:r w:rsidR="00E7264E" w:rsidRPr="009E799D">
              <w:t xml:space="preserve"> </w:t>
            </w:r>
            <w:r w:rsidR="007B2956" w:rsidRPr="009E799D">
              <w:t>solution</w:t>
            </w:r>
            <w:r w:rsidR="00E7264E">
              <w:t>.</w:t>
            </w:r>
          </w:p>
          <w:p w14:paraId="194C93D3" w14:textId="391D321C" w:rsidR="000A270E" w:rsidRPr="009E799D" w:rsidRDefault="00EB7CD7" w:rsidP="00D602A4">
            <w:pPr>
              <w:pStyle w:val="TableBullet1"/>
              <w:spacing w:before="51" w:after="51"/>
            </w:pPr>
            <w:r>
              <w:t>Conduct a</w:t>
            </w:r>
            <w:r w:rsidRPr="009E799D">
              <w:t>rchitect</w:t>
            </w:r>
            <w:r w:rsidR="00C774B5">
              <w:t>ure</w:t>
            </w:r>
            <w:r w:rsidR="00C959DA" w:rsidRPr="009E799D">
              <w:t xml:space="preserve"> </w:t>
            </w:r>
            <w:r w:rsidR="00A90B10">
              <w:t xml:space="preserve">session </w:t>
            </w:r>
            <w:r w:rsidR="00C959DA" w:rsidRPr="009E799D">
              <w:t xml:space="preserve">on </w:t>
            </w:r>
            <w:r>
              <w:t xml:space="preserve">the </w:t>
            </w:r>
            <w:r w:rsidR="00C959DA" w:rsidRPr="009E799D">
              <w:t xml:space="preserve">first day of </w:t>
            </w:r>
            <w:r>
              <w:t xml:space="preserve">the </w:t>
            </w:r>
            <w:r w:rsidR="00C959DA" w:rsidRPr="009E799D">
              <w:t xml:space="preserve">engagement to </w:t>
            </w:r>
            <w:r w:rsidR="00A90B10">
              <w:t xml:space="preserve">explain </w:t>
            </w:r>
            <w:r w:rsidR="00C959DA" w:rsidRPr="009E799D">
              <w:t>technology and capabilities and to drive design decisions</w:t>
            </w:r>
            <w:r>
              <w:t>.</w:t>
            </w:r>
          </w:p>
        </w:tc>
      </w:tr>
      <w:tr w:rsidR="00985694" w:rsidRPr="009E799D" w14:paraId="7A5A37EA" w14:textId="77777777" w:rsidTr="00D602A4">
        <w:trPr>
          <w:gridAfter w:val="1"/>
          <w:wAfter w:w="13" w:type="dxa"/>
          <w:cantSplit/>
          <w:trHeight w:val="422"/>
        </w:trPr>
        <w:tc>
          <w:tcPr>
            <w:tcW w:w="2412" w:type="dxa"/>
            <w:tcBorders>
              <w:top w:val="single" w:sz="2" w:space="0" w:color="auto"/>
              <w:left w:val="single" w:sz="2" w:space="0" w:color="auto"/>
              <w:bottom w:val="single" w:sz="2" w:space="0" w:color="auto"/>
              <w:right w:val="single" w:sz="2" w:space="0" w:color="auto"/>
            </w:tcBorders>
            <w:shd w:val="clear" w:color="auto" w:fill="auto"/>
          </w:tcPr>
          <w:p w14:paraId="2079BE9D" w14:textId="77777777" w:rsidR="00985694" w:rsidRPr="009E799D" w:rsidRDefault="00DD01E5">
            <w:pPr>
              <w:pStyle w:val="TableText"/>
              <w:spacing w:before="51" w:after="51"/>
            </w:pPr>
            <w:r w:rsidRPr="009E799D">
              <w:rPr>
                <w:b/>
              </w:rPr>
              <w:t>Customer activities</w:t>
            </w:r>
            <w:r w:rsidRPr="009E799D">
              <w:rPr>
                <w:b/>
              </w:rPr>
              <w:br/>
            </w:r>
            <w:r w:rsidRPr="009E799D">
              <w:t>The activities to be performed by the Customer</w:t>
            </w:r>
          </w:p>
        </w:tc>
        <w:tc>
          <w:tcPr>
            <w:tcW w:w="6796" w:type="dxa"/>
            <w:tcBorders>
              <w:top w:val="single" w:sz="2" w:space="0" w:color="auto"/>
              <w:left w:val="single" w:sz="2" w:space="0" w:color="auto"/>
              <w:bottom w:val="single" w:sz="2" w:space="0" w:color="auto"/>
              <w:right w:val="single" w:sz="2" w:space="0" w:color="auto"/>
            </w:tcBorders>
            <w:shd w:val="clear" w:color="auto" w:fill="auto"/>
          </w:tcPr>
          <w:p w14:paraId="25EBD727" w14:textId="2E003964" w:rsidR="006B65F5" w:rsidRPr="009E799D" w:rsidRDefault="006B65F5" w:rsidP="006B65F5">
            <w:pPr>
              <w:pStyle w:val="TableBullet1"/>
              <w:spacing w:before="51" w:after="51"/>
            </w:pPr>
            <w:r w:rsidRPr="009E799D">
              <w:t xml:space="preserve">Participate in </w:t>
            </w:r>
            <w:r w:rsidR="00EF40F8">
              <w:t>a</w:t>
            </w:r>
            <w:r w:rsidR="00EF40F8" w:rsidRPr="009E799D">
              <w:t xml:space="preserve"> </w:t>
            </w:r>
            <w:r w:rsidRPr="009E799D">
              <w:t xml:space="preserve">joint </w:t>
            </w:r>
            <w:r w:rsidR="00C62614" w:rsidRPr="002C6141">
              <w:t>Design Workshop - Design Review and Q/A</w:t>
            </w:r>
            <w:r w:rsidRPr="009E799D">
              <w:t xml:space="preserve"> </w:t>
            </w:r>
            <w:r w:rsidR="002277F9">
              <w:t>session</w:t>
            </w:r>
            <w:r w:rsidRPr="009E799D">
              <w:t>.</w:t>
            </w:r>
          </w:p>
          <w:p w14:paraId="63A9B4A7" w14:textId="2F3EFA10" w:rsidR="006B65F5" w:rsidRPr="009E799D" w:rsidRDefault="006B65F5" w:rsidP="006B65F5">
            <w:pPr>
              <w:pStyle w:val="TableBullet1"/>
              <w:spacing w:before="51" w:after="51"/>
            </w:pPr>
            <w:r w:rsidRPr="009E799D">
              <w:t xml:space="preserve">Actively participate in the discussions and whiteboarding sessions to help Microsoft understand the Customer’s </w:t>
            </w:r>
            <w:r w:rsidR="007F213E" w:rsidRPr="009E799D">
              <w:t>needs</w:t>
            </w:r>
            <w:r w:rsidRPr="009E799D">
              <w:t>.</w:t>
            </w:r>
          </w:p>
          <w:p w14:paraId="0084616F" w14:textId="1DF1CD43" w:rsidR="006B65F5" w:rsidRPr="009E799D" w:rsidRDefault="006B65F5" w:rsidP="006B65F5">
            <w:pPr>
              <w:pStyle w:val="TableBullet1"/>
              <w:spacing w:before="51" w:after="51"/>
            </w:pPr>
            <w:r w:rsidRPr="009E799D">
              <w:t xml:space="preserve">Facilitate participation from Customer </w:t>
            </w:r>
            <w:r w:rsidR="00551D11">
              <w:t>subject matter experts (</w:t>
            </w:r>
            <w:r w:rsidRPr="009E799D">
              <w:t>SMEs</w:t>
            </w:r>
            <w:r w:rsidR="00551D11">
              <w:t>)</w:t>
            </w:r>
            <w:r w:rsidRPr="009E799D">
              <w:t xml:space="preserve"> and decisions makers.</w:t>
            </w:r>
          </w:p>
          <w:p w14:paraId="79923DCF" w14:textId="5B650D71" w:rsidR="00C43BEA" w:rsidRPr="009E799D" w:rsidRDefault="00C959DA" w:rsidP="00C43BEA">
            <w:pPr>
              <w:pStyle w:val="TableBullet1"/>
              <w:spacing w:before="51" w:after="51"/>
            </w:pPr>
            <w:r w:rsidRPr="009E799D">
              <w:t>Review the design proposal</w:t>
            </w:r>
            <w:r w:rsidR="00D9005A">
              <w:t>s</w:t>
            </w:r>
            <w:r w:rsidR="00A37818">
              <w:t>.</w:t>
            </w:r>
          </w:p>
        </w:tc>
      </w:tr>
      <w:tr w:rsidR="00985694" w:rsidRPr="009E799D" w14:paraId="40811917" w14:textId="77777777" w:rsidTr="00D602A4">
        <w:trPr>
          <w:gridAfter w:val="1"/>
          <w:wAfter w:w="13" w:type="dxa"/>
          <w:cantSplit/>
          <w:trHeight w:val="422"/>
        </w:trPr>
        <w:tc>
          <w:tcPr>
            <w:tcW w:w="2412" w:type="dxa"/>
            <w:tcBorders>
              <w:top w:val="single" w:sz="2" w:space="0" w:color="auto"/>
              <w:left w:val="single" w:sz="2" w:space="0" w:color="auto"/>
              <w:bottom w:val="single" w:sz="2" w:space="0" w:color="auto"/>
              <w:right w:val="single" w:sz="2" w:space="0" w:color="auto"/>
            </w:tcBorders>
            <w:shd w:val="clear" w:color="auto" w:fill="auto"/>
          </w:tcPr>
          <w:p w14:paraId="722006D0" w14:textId="77777777" w:rsidR="00985694" w:rsidRPr="009E799D" w:rsidRDefault="00DD01E5">
            <w:pPr>
              <w:pStyle w:val="TableText"/>
              <w:spacing w:before="51" w:after="51"/>
            </w:pPr>
            <w:r w:rsidRPr="009E799D">
              <w:rPr>
                <w:b/>
              </w:rPr>
              <w:lastRenderedPageBreak/>
              <w:t>Key assumptions</w:t>
            </w:r>
            <w:r w:rsidRPr="009E799D">
              <w:rPr>
                <w:b/>
              </w:rPr>
              <w:br/>
            </w:r>
          </w:p>
        </w:tc>
        <w:tc>
          <w:tcPr>
            <w:tcW w:w="6796" w:type="dxa"/>
            <w:tcBorders>
              <w:top w:val="single" w:sz="2" w:space="0" w:color="auto"/>
              <w:left w:val="single" w:sz="2" w:space="0" w:color="auto"/>
              <w:bottom w:val="single" w:sz="2" w:space="0" w:color="auto"/>
              <w:right w:val="single" w:sz="2" w:space="0" w:color="auto"/>
            </w:tcBorders>
            <w:shd w:val="clear" w:color="auto" w:fill="auto"/>
          </w:tcPr>
          <w:p w14:paraId="3BED3B50" w14:textId="53D5D7C0" w:rsidR="0013327B" w:rsidRDefault="004F1678" w:rsidP="0013327B">
            <w:pPr>
              <w:pStyle w:val="TableText"/>
            </w:pPr>
            <w:r>
              <w:t xml:space="preserve">The </w:t>
            </w:r>
            <w:r w:rsidR="007B2956" w:rsidRPr="009E799D">
              <w:t>Customer will share requirements</w:t>
            </w:r>
            <w:r>
              <w:t>.</w:t>
            </w:r>
          </w:p>
          <w:p w14:paraId="51B24EAD" w14:textId="055A2BAF" w:rsidR="0013327B" w:rsidRPr="009E799D" w:rsidRDefault="0013327B" w:rsidP="00D602A4">
            <w:pPr>
              <w:pStyle w:val="TableText"/>
            </w:pPr>
            <w:r>
              <w:t xml:space="preserve">Customer will remediate identified </w:t>
            </w:r>
            <w:r w:rsidR="00C242AA">
              <w:t>issues</w:t>
            </w:r>
            <w:r>
              <w:t>.</w:t>
            </w:r>
          </w:p>
        </w:tc>
      </w:tr>
    </w:tbl>
    <w:p w14:paraId="777E284E" w14:textId="77777777" w:rsidR="00985694" w:rsidRPr="009E799D" w:rsidRDefault="00DD01E5" w:rsidP="00D602A4">
      <w:pPr>
        <w:pStyle w:val="Heading4"/>
        <w:spacing w:before="240" w:after="120"/>
      </w:pPr>
      <w:bookmarkStart w:id="41" w:name="_Toc476168037"/>
      <w:r w:rsidRPr="009E799D">
        <w:t>Deliverables</w:t>
      </w:r>
    </w:p>
    <w:tbl>
      <w:tblPr>
        <w:tblStyle w:val="TableGrid1"/>
        <w:tblW w:w="9210"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85"/>
        <w:gridCol w:w="3947"/>
        <w:gridCol w:w="1587"/>
        <w:gridCol w:w="1591"/>
      </w:tblGrid>
      <w:tr w:rsidR="00985694" w:rsidRPr="009E799D" w14:paraId="16997872" w14:textId="77777777" w:rsidTr="00D602A4">
        <w:trPr>
          <w:trHeight w:val="361"/>
          <w:tblHeader/>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2683870" w14:textId="77777777" w:rsidR="00985694" w:rsidRPr="009E799D" w:rsidRDefault="00DD01E5">
            <w:pPr>
              <w:pStyle w:val="Table-Header"/>
              <w:spacing w:before="51" w:after="51"/>
            </w:pPr>
            <w:r w:rsidRPr="009E799D">
              <w:t>Name</w:t>
            </w:r>
          </w:p>
        </w:tc>
        <w:tc>
          <w:tcPr>
            <w:tcW w:w="39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7349CE2B" w14:textId="77777777" w:rsidR="00985694" w:rsidRPr="009E799D" w:rsidRDefault="00DD01E5">
            <w:pPr>
              <w:pStyle w:val="Table-Header"/>
              <w:spacing w:before="51" w:after="51"/>
            </w:pPr>
            <w:r w:rsidRPr="009E799D">
              <w:t>Description</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71772B46" w14:textId="77777777" w:rsidR="00985694" w:rsidRPr="009E799D" w:rsidRDefault="00DD01E5">
            <w:pPr>
              <w:pStyle w:val="Table-Header"/>
              <w:spacing w:before="51" w:after="51"/>
            </w:pPr>
            <w:r w:rsidRPr="009E799D">
              <w:t>Acceptance required?</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3C423AE" w14:textId="77777777" w:rsidR="00985694" w:rsidRPr="009E799D" w:rsidRDefault="00DD01E5">
            <w:pPr>
              <w:pStyle w:val="Table-Header"/>
              <w:spacing w:before="51" w:after="51"/>
            </w:pPr>
            <w:r w:rsidRPr="009E799D">
              <w:t>Responsibility</w:t>
            </w:r>
          </w:p>
        </w:tc>
      </w:tr>
      <w:tr w:rsidR="00A0085A" w:rsidRPr="009E799D" w14:paraId="74508D5F" w14:textId="77777777">
        <w:trPr>
          <w:trHeight w:val="417"/>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23CEB6C" w14:textId="2DA28184" w:rsidR="00A0085A" w:rsidRPr="009E799D" w:rsidRDefault="00AA6D61" w:rsidP="00C959DA">
            <w:pPr>
              <w:pStyle w:val="TableText"/>
            </w:pPr>
            <w:r w:rsidRPr="009E799D">
              <w:t>One</w:t>
            </w:r>
            <w:r>
              <w:t>-p</w:t>
            </w:r>
            <w:r w:rsidRPr="009E799D">
              <w:t xml:space="preserve">age </w:t>
            </w:r>
            <w:r>
              <w:t>d</w:t>
            </w:r>
            <w:r w:rsidRPr="009E799D">
              <w:t xml:space="preserve">esign </w:t>
            </w:r>
            <w:r>
              <w:t>d</w:t>
            </w:r>
            <w:r w:rsidRPr="009E799D">
              <w:t>ocument</w:t>
            </w:r>
          </w:p>
        </w:tc>
        <w:tc>
          <w:tcPr>
            <w:tcW w:w="39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62062AE" w14:textId="570A550F" w:rsidR="00A0085A" w:rsidRPr="009E799D" w:rsidRDefault="00302C44" w:rsidP="00C959DA">
            <w:pPr>
              <w:pStyle w:val="TableText"/>
            </w:pPr>
            <w:r>
              <w:t>1</w:t>
            </w:r>
            <w:r w:rsidR="009E799D" w:rsidRPr="009E799D">
              <w:t>-page</w:t>
            </w:r>
            <w:r w:rsidR="00C959DA" w:rsidRPr="009E799D">
              <w:t xml:space="preserve"> document</w:t>
            </w:r>
            <w:r w:rsidR="005B5270" w:rsidRPr="009E799D">
              <w:t xml:space="preserve"> </w:t>
            </w:r>
            <w:r w:rsidR="00013C4A">
              <w:t>that contains</w:t>
            </w:r>
            <w:r w:rsidR="00013C4A" w:rsidRPr="009E799D">
              <w:t xml:space="preserve"> </w:t>
            </w:r>
            <w:r w:rsidR="005B5270" w:rsidRPr="009E799D">
              <w:t>the solution design</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3767BE4" w14:textId="644BA718" w:rsidR="00A0085A" w:rsidRPr="009E799D" w:rsidRDefault="001E4C67" w:rsidP="00C959DA">
            <w:pPr>
              <w:pStyle w:val="TableText"/>
            </w:pPr>
            <w:r w:rsidRPr="009E799D">
              <w:t>No</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37B82AA" w14:textId="4B0592F2" w:rsidR="00A0085A" w:rsidRPr="009E799D" w:rsidRDefault="001E4C67" w:rsidP="00C959DA">
            <w:pPr>
              <w:pStyle w:val="TableText"/>
            </w:pPr>
            <w:r w:rsidRPr="009E799D">
              <w:t>Microsoft</w:t>
            </w:r>
          </w:p>
        </w:tc>
      </w:tr>
    </w:tbl>
    <w:bookmarkEnd w:id="41"/>
    <w:p w14:paraId="1AA024A2" w14:textId="37353F1C" w:rsidR="00985694" w:rsidRPr="009E799D" w:rsidRDefault="005B5270">
      <w:pPr>
        <w:pStyle w:val="Heading3"/>
      </w:pPr>
      <w:r w:rsidRPr="009E799D">
        <w:t>Implement</w:t>
      </w:r>
    </w:p>
    <w:p w14:paraId="0CAA2901" w14:textId="40477CDE" w:rsidR="00985694" w:rsidRPr="009E799D" w:rsidRDefault="00DD01E5">
      <w:r w:rsidRPr="009E799D">
        <w:t xml:space="preserve">During the </w:t>
      </w:r>
      <w:r w:rsidR="005B5270" w:rsidRPr="009E799D">
        <w:t xml:space="preserve">Implementation </w:t>
      </w:r>
      <w:r w:rsidRPr="009E799D">
        <w:t xml:space="preserve">phase, </w:t>
      </w:r>
      <w:r w:rsidR="00D3299D" w:rsidRPr="009E799D">
        <w:t>Microsoft</w:t>
      </w:r>
      <w:r w:rsidRPr="009E799D">
        <w:t xml:space="preserve"> </w:t>
      </w:r>
      <w:r w:rsidR="005B5270" w:rsidRPr="009E799D">
        <w:t xml:space="preserve">team </w:t>
      </w:r>
      <w:r w:rsidRPr="009E799D">
        <w:t>will</w:t>
      </w:r>
      <w:r w:rsidR="005B5270" w:rsidRPr="009E799D">
        <w:t xml:space="preserve"> </w:t>
      </w:r>
      <w:r w:rsidR="00BC4E5C">
        <w:t>d</w:t>
      </w:r>
      <w:r w:rsidR="005B5270" w:rsidRPr="009E799D">
        <w:t>eploy the designed solution.</w:t>
      </w:r>
    </w:p>
    <w:tbl>
      <w:tblPr>
        <w:tblStyle w:val="TableGrid1"/>
        <w:tblW w:w="9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270"/>
        <w:gridCol w:w="6938"/>
      </w:tblGrid>
      <w:tr w:rsidR="00985694" w:rsidRPr="009E799D" w14:paraId="028511E8" w14:textId="77777777">
        <w:trPr>
          <w:trHeight w:val="542"/>
          <w:tblHeader/>
        </w:trPr>
        <w:tc>
          <w:tcPr>
            <w:tcW w:w="9208" w:type="dxa"/>
            <w:gridSpan w:val="2"/>
            <w:shd w:val="clear" w:color="auto" w:fill="008272"/>
          </w:tcPr>
          <w:p w14:paraId="76F3D025" w14:textId="2DDF5A77" w:rsidR="00985694" w:rsidRPr="009E799D" w:rsidRDefault="0013300C">
            <w:pPr>
              <w:spacing w:before="51" w:after="51"/>
              <w:rPr>
                <w:rFonts w:ascii="Segoe UI Semilight" w:hAnsi="Segoe UI Semilight" w:cs="Segoe UI"/>
                <w:color w:val="FFFFFF" w:themeColor="background1"/>
                <w:sz w:val="22"/>
                <w:szCs w:val="18"/>
              </w:rPr>
            </w:pPr>
            <w:r>
              <w:rPr>
                <w:rFonts w:ascii="Segoe UI Semilight" w:hAnsi="Segoe UI Semilight" w:cs="Segoe UI"/>
                <w:noProof/>
                <w:color w:val="FFFFFF" w:themeColor="background1"/>
                <w:szCs w:val="18"/>
              </w:rPr>
              <w:drawing>
                <wp:inline distT="0" distB="0" distL="0" distR="0" wp14:anchorId="6C9E5DC5" wp14:editId="128046E8">
                  <wp:extent cx="1139190" cy="2247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r="40536"/>
                          <a:stretch>
                            <a:fillRect/>
                          </a:stretch>
                        </pic:blipFill>
                        <pic:spPr bwMode="auto">
                          <a:xfrm>
                            <a:off x="0" y="0"/>
                            <a:ext cx="1139190" cy="224790"/>
                          </a:xfrm>
                          <a:prstGeom prst="rect">
                            <a:avLst/>
                          </a:prstGeom>
                          <a:noFill/>
                          <a:ln>
                            <a:noFill/>
                          </a:ln>
                        </pic:spPr>
                      </pic:pic>
                    </a:graphicData>
                  </a:graphic>
                </wp:inline>
              </w:drawing>
            </w:r>
          </w:p>
        </w:tc>
      </w:tr>
      <w:tr w:rsidR="00985694" w:rsidRPr="009E799D" w14:paraId="26E4745C" w14:textId="77777777" w:rsidTr="00D602A4">
        <w:trPr>
          <w:trHeight w:val="542"/>
          <w:tblHeader/>
        </w:trPr>
        <w:tc>
          <w:tcPr>
            <w:tcW w:w="2270" w:type="dxa"/>
            <w:shd w:val="clear" w:color="auto" w:fill="008272"/>
          </w:tcPr>
          <w:p w14:paraId="460CAB80" w14:textId="77777777" w:rsidR="00985694" w:rsidRPr="009E799D" w:rsidRDefault="00DD01E5">
            <w:pPr>
              <w:pStyle w:val="Table-Header"/>
              <w:spacing w:before="51" w:after="51"/>
            </w:pPr>
            <w:r w:rsidRPr="009E799D">
              <w:t>Category</w:t>
            </w:r>
          </w:p>
        </w:tc>
        <w:tc>
          <w:tcPr>
            <w:tcW w:w="6938" w:type="dxa"/>
            <w:shd w:val="clear" w:color="auto" w:fill="008272"/>
          </w:tcPr>
          <w:p w14:paraId="6F1C2C82" w14:textId="77777777" w:rsidR="00985694" w:rsidRPr="009E799D" w:rsidRDefault="00DD01E5">
            <w:pPr>
              <w:pStyle w:val="Table-Header"/>
              <w:spacing w:before="51" w:after="51"/>
            </w:pPr>
            <w:r w:rsidRPr="009E799D">
              <w:t>Description</w:t>
            </w:r>
          </w:p>
        </w:tc>
      </w:tr>
      <w:tr w:rsidR="00B81458" w:rsidRPr="009E799D" w14:paraId="02EF7C38" w14:textId="77777777" w:rsidTr="00D602A4">
        <w:trPr>
          <w:trHeight w:val="422"/>
        </w:trPr>
        <w:tc>
          <w:tcPr>
            <w:tcW w:w="2270" w:type="dxa"/>
            <w:shd w:val="clear" w:color="auto" w:fill="auto"/>
          </w:tcPr>
          <w:p w14:paraId="2550AE16" w14:textId="2524B286" w:rsidR="00B81458" w:rsidRPr="009E799D" w:rsidRDefault="00B81458" w:rsidP="00B81458">
            <w:pPr>
              <w:pStyle w:val="TableText"/>
              <w:spacing w:before="51" w:after="51"/>
            </w:pPr>
            <w:r w:rsidRPr="009E799D">
              <w:rPr>
                <w:b/>
              </w:rPr>
              <w:t>Microsoft activities</w:t>
            </w:r>
            <w:r w:rsidRPr="009E799D">
              <w:rPr>
                <w:b/>
              </w:rPr>
              <w:br/>
            </w:r>
            <w:r w:rsidRPr="009E799D">
              <w:t>The activities to be performed by Microsoft</w:t>
            </w:r>
          </w:p>
        </w:tc>
        <w:tc>
          <w:tcPr>
            <w:tcW w:w="6938" w:type="dxa"/>
            <w:shd w:val="clear" w:color="auto" w:fill="auto"/>
          </w:tcPr>
          <w:p w14:paraId="1D4F5E20" w14:textId="77777777" w:rsidR="008548C3" w:rsidRDefault="008548C3" w:rsidP="008548C3">
            <w:pPr>
              <w:pStyle w:val="Bulletlist"/>
            </w:pPr>
            <w:r>
              <w:t>Deliver enablement services for each in-scope component, per General project scope above and associated WBS</w:t>
            </w:r>
          </w:p>
          <w:p w14:paraId="3043A8B4" w14:textId="44AD0A48" w:rsidR="00B81458" w:rsidRPr="00A80D68" w:rsidRDefault="00B81458" w:rsidP="008548C3">
            <w:pPr>
              <w:pStyle w:val="Bulletlist"/>
            </w:pPr>
            <w:r w:rsidRPr="00A80D68">
              <w:t>Install and configure Azure Active Directory Connect</w:t>
            </w:r>
            <w:r w:rsidR="005207F0">
              <w:t>.</w:t>
            </w:r>
          </w:p>
          <w:p w14:paraId="2EABCA5F" w14:textId="77777777" w:rsidR="00B81458" w:rsidRPr="00A80D68" w:rsidRDefault="00B81458" w:rsidP="008548C3">
            <w:pPr>
              <w:pStyle w:val="Bulletlist"/>
            </w:pPr>
            <w:r w:rsidRPr="00A80D68">
              <w:t xml:space="preserve">Complete </w:t>
            </w:r>
            <w:r>
              <w:t xml:space="preserve">the </w:t>
            </w:r>
            <w:r w:rsidRPr="00A80D68">
              <w:t xml:space="preserve">initial synchronization </w:t>
            </w:r>
            <w:r>
              <w:t>with</w:t>
            </w:r>
            <w:r w:rsidRPr="00A80D68">
              <w:t xml:space="preserve"> Azure Active Directory and </w:t>
            </w:r>
            <w:r>
              <w:t>implement</w:t>
            </w:r>
            <w:r w:rsidRPr="00A80D68">
              <w:t xml:space="preserve"> ongoing regular synchronization</w:t>
            </w:r>
            <w:r>
              <w:t>.</w:t>
            </w:r>
          </w:p>
          <w:p w14:paraId="125D1E22" w14:textId="4D349248" w:rsidR="00B81458" w:rsidRPr="009B4943" w:rsidRDefault="00B81458" w:rsidP="008548C3">
            <w:pPr>
              <w:pStyle w:val="Bulletlist"/>
            </w:pPr>
            <w:r w:rsidRPr="00A80D68">
              <w:t xml:space="preserve">Configure the Azure Active Directory </w:t>
            </w:r>
            <w:r>
              <w:t xml:space="preserve">seamless </w:t>
            </w:r>
            <w:r w:rsidRPr="009B4943">
              <w:t>SSO feature</w:t>
            </w:r>
            <w:r>
              <w:t>.</w:t>
            </w:r>
          </w:p>
          <w:p w14:paraId="1959BCD8" w14:textId="77777777" w:rsidR="00B81458" w:rsidRPr="00AA09CF" w:rsidRDefault="00B81458" w:rsidP="008548C3">
            <w:pPr>
              <w:pStyle w:val="Bulletlist"/>
            </w:pPr>
            <w:r w:rsidRPr="009B4943">
              <w:t xml:space="preserve">Configure authentication </w:t>
            </w:r>
            <w:r>
              <w:t>of</w:t>
            </w:r>
            <w:r w:rsidRPr="009B4943">
              <w:t xml:space="preserve"> Customer domains in Azure Active Directory</w:t>
            </w:r>
            <w:r>
              <w:t>.</w:t>
            </w:r>
          </w:p>
          <w:p w14:paraId="3BF67405" w14:textId="77777777" w:rsidR="00B81458" w:rsidRPr="00AA09CF" w:rsidRDefault="00B81458" w:rsidP="008548C3">
            <w:pPr>
              <w:pStyle w:val="Bulletlist"/>
            </w:pPr>
            <w:r w:rsidRPr="0010406A">
              <w:t>Complete validation testing for the solution</w:t>
            </w:r>
            <w:r>
              <w:t>.</w:t>
            </w:r>
          </w:p>
          <w:p w14:paraId="78CDB184" w14:textId="77777777" w:rsidR="00B81458" w:rsidRPr="00AA09CF" w:rsidRDefault="00B81458" w:rsidP="008548C3">
            <w:pPr>
              <w:pStyle w:val="Bulletlist"/>
            </w:pPr>
            <w:r w:rsidRPr="0010406A">
              <w:t>Produce a delivery summary document</w:t>
            </w:r>
            <w:r>
              <w:t>.</w:t>
            </w:r>
          </w:p>
          <w:p w14:paraId="7C6C26A4" w14:textId="77777777" w:rsidR="00B81458" w:rsidRPr="0010406A" w:rsidRDefault="00B81458" w:rsidP="008548C3">
            <w:pPr>
              <w:pStyle w:val="Bulletlist"/>
            </w:pPr>
            <w:r w:rsidRPr="0010406A">
              <w:t>Configure Azure MFA.</w:t>
            </w:r>
          </w:p>
          <w:p w14:paraId="5C135FD5" w14:textId="0F460468" w:rsidR="00B81458" w:rsidRPr="0010406A" w:rsidRDefault="00B81458" w:rsidP="008548C3">
            <w:pPr>
              <w:pStyle w:val="Bulletlist"/>
            </w:pPr>
            <w:r w:rsidRPr="0010406A">
              <w:t xml:space="preserve">Implement </w:t>
            </w:r>
            <w:r>
              <w:t xml:space="preserve">the </w:t>
            </w:r>
            <w:r w:rsidRPr="0010406A">
              <w:t>Azure Active Directory conditional access policies</w:t>
            </w:r>
            <w:r>
              <w:t xml:space="preserve"> that were </w:t>
            </w:r>
            <w:r w:rsidRPr="0010406A">
              <w:t>initially scoped.</w:t>
            </w:r>
          </w:p>
          <w:p w14:paraId="6E504AC3" w14:textId="77777777" w:rsidR="00B81458" w:rsidRPr="0010406A" w:rsidRDefault="00B81458" w:rsidP="008548C3">
            <w:pPr>
              <w:pStyle w:val="Bulletlist"/>
            </w:pPr>
            <w:r>
              <w:t>Implement</w:t>
            </w:r>
            <w:r w:rsidRPr="0010406A">
              <w:t xml:space="preserve"> and configure Azure Active Directory Identity Protection.</w:t>
            </w:r>
          </w:p>
          <w:p w14:paraId="1951199F" w14:textId="77777777" w:rsidR="00B81458" w:rsidRPr="0010406A" w:rsidRDefault="00B81458" w:rsidP="008548C3">
            <w:pPr>
              <w:pStyle w:val="Bulletlist"/>
            </w:pPr>
            <w:r w:rsidRPr="0010406A">
              <w:t xml:space="preserve">Complete validation testing </w:t>
            </w:r>
            <w:r>
              <w:t>of</w:t>
            </w:r>
            <w:r w:rsidRPr="0010406A">
              <w:t xml:space="preserve"> the solution.</w:t>
            </w:r>
          </w:p>
          <w:p w14:paraId="5750A920" w14:textId="0107558C" w:rsidR="00B81458" w:rsidRPr="0010406A" w:rsidRDefault="00B81458" w:rsidP="008548C3">
            <w:pPr>
              <w:pStyle w:val="Bulletlist"/>
            </w:pPr>
            <w:r w:rsidRPr="0010406A">
              <w:t xml:space="preserve">Apply the MFA and conditional access solution to </w:t>
            </w:r>
            <w:r w:rsidR="00047F99">
              <w:t xml:space="preserve">agreed </w:t>
            </w:r>
            <w:r w:rsidRPr="0010406A">
              <w:t>users</w:t>
            </w:r>
            <w:r w:rsidR="00047F99">
              <w:t>.</w:t>
            </w:r>
          </w:p>
          <w:p w14:paraId="1DB2563C" w14:textId="1FE6F1F1" w:rsidR="0013300C" w:rsidRPr="00D640E3" w:rsidRDefault="0013300C" w:rsidP="00D640E3">
            <w:pPr>
              <w:pStyle w:val="ListParagraph"/>
              <w:numPr>
                <w:ilvl w:val="0"/>
                <w:numId w:val="39"/>
              </w:numPr>
              <w:rPr>
                <w:b/>
              </w:rPr>
            </w:pPr>
            <w:r>
              <w:t>Implement Office 365 Exchange Online Protection (EOP) and Advanced Threat Protection (ATP), including:</w:t>
            </w:r>
          </w:p>
          <w:p w14:paraId="5963A205" w14:textId="77777777" w:rsidR="00906F4E" w:rsidRPr="00906F4E" w:rsidRDefault="0013300C" w:rsidP="00786543">
            <w:pPr>
              <w:pStyle w:val="ListParagraph"/>
              <w:numPr>
                <w:ilvl w:val="0"/>
                <w:numId w:val="38"/>
              </w:numPr>
            </w:pPr>
            <w:r w:rsidRPr="00906F4E">
              <w:t>EOP setup and configuration for antispam, antimalware, and anti-phishing or spoofing functions. This activity is limited to a single default policy configuration for each function.</w:t>
            </w:r>
          </w:p>
          <w:p w14:paraId="6BC379B6" w14:textId="24CCA1B0" w:rsidR="0013300C" w:rsidRPr="0013300C" w:rsidRDefault="0013300C" w:rsidP="00786543">
            <w:pPr>
              <w:pStyle w:val="ListParagraph"/>
              <w:numPr>
                <w:ilvl w:val="0"/>
                <w:numId w:val="38"/>
              </w:numPr>
            </w:pPr>
            <w:r w:rsidRPr="00906F4E">
              <w:t>Setup and configuration of ATP-based safe attachments and safe links limited to a single default policy configuration for each.</w:t>
            </w:r>
          </w:p>
          <w:p w14:paraId="23335278" w14:textId="3A900783" w:rsidR="00E115A3" w:rsidRPr="009E799D" w:rsidRDefault="00E115A3" w:rsidP="009E1D09">
            <w:pPr>
              <w:pStyle w:val="TableBullet1"/>
              <w:tabs>
                <w:tab w:val="left" w:pos="720"/>
              </w:tabs>
            </w:pPr>
          </w:p>
        </w:tc>
      </w:tr>
      <w:tr w:rsidR="00985694" w:rsidRPr="009E799D" w14:paraId="27CBE879" w14:textId="77777777" w:rsidTr="00D602A4">
        <w:trPr>
          <w:trHeight w:val="422"/>
        </w:trPr>
        <w:tc>
          <w:tcPr>
            <w:tcW w:w="2270" w:type="dxa"/>
            <w:shd w:val="clear" w:color="auto" w:fill="auto"/>
          </w:tcPr>
          <w:p w14:paraId="387D33C8" w14:textId="77777777" w:rsidR="00985694" w:rsidRPr="009E799D" w:rsidRDefault="00DD01E5">
            <w:pPr>
              <w:pStyle w:val="TableText"/>
              <w:spacing w:before="51" w:after="51"/>
            </w:pPr>
            <w:r w:rsidRPr="009E799D">
              <w:rPr>
                <w:b/>
              </w:rPr>
              <w:lastRenderedPageBreak/>
              <w:t>Customer activities</w:t>
            </w:r>
            <w:r w:rsidRPr="009E799D">
              <w:br/>
              <w:t>The activities to be performed by the Customer</w:t>
            </w:r>
          </w:p>
        </w:tc>
        <w:tc>
          <w:tcPr>
            <w:tcW w:w="6938" w:type="dxa"/>
            <w:shd w:val="clear" w:color="auto" w:fill="auto"/>
          </w:tcPr>
          <w:p w14:paraId="2D809A1C" w14:textId="57E0EB42" w:rsidR="007B2956" w:rsidRPr="009E799D" w:rsidRDefault="007B2956" w:rsidP="007B2956">
            <w:pPr>
              <w:pStyle w:val="TableBullet1"/>
            </w:pPr>
            <w:r w:rsidRPr="009E799D">
              <w:t>Assist Microsoft, as necessary, during implementation tasks</w:t>
            </w:r>
            <w:r w:rsidR="002B7901">
              <w:t>.</w:t>
            </w:r>
          </w:p>
          <w:p w14:paraId="106FD64B" w14:textId="65BF328F" w:rsidR="007B2956" w:rsidRDefault="00472A33" w:rsidP="007B2956">
            <w:pPr>
              <w:pStyle w:val="TableBullet1"/>
            </w:pPr>
            <w:r>
              <w:t>Conduct</w:t>
            </w:r>
            <w:r w:rsidRPr="009E799D">
              <w:t xml:space="preserve"> </w:t>
            </w:r>
            <w:r w:rsidR="007B2956" w:rsidRPr="009E799D">
              <w:t>solution testing</w:t>
            </w:r>
            <w:r>
              <w:t>.</w:t>
            </w:r>
          </w:p>
          <w:p w14:paraId="59D30B5F" w14:textId="74622DF4" w:rsidR="009C79CD" w:rsidRDefault="009C79CD" w:rsidP="009C79CD">
            <w:pPr>
              <w:pStyle w:val="TableBullet1"/>
            </w:pPr>
            <w:r w:rsidRPr="0010406A">
              <w:t>Ma</w:t>
            </w:r>
            <w:r w:rsidR="00E869A9">
              <w:t>n</w:t>
            </w:r>
            <w:r w:rsidRPr="0010406A">
              <w:t>age all</w:t>
            </w:r>
            <w:r>
              <w:t xml:space="preserve"> </w:t>
            </w:r>
            <w:r w:rsidRPr="0010406A">
              <w:t>user communication related to the rollout of the MFA and conditional access solution</w:t>
            </w:r>
            <w:r>
              <w:t>.</w:t>
            </w:r>
          </w:p>
          <w:p w14:paraId="2DECC746" w14:textId="2D648F69" w:rsidR="009A24EE" w:rsidRPr="0010406A" w:rsidRDefault="009A24EE" w:rsidP="00AB76BA">
            <w:pPr>
              <w:pStyle w:val="TableBullet1"/>
            </w:pPr>
            <w:r w:rsidRPr="0010406A">
              <w:t xml:space="preserve">If deploying the solution to users </w:t>
            </w:r>
            <w:r>
              <w:t>through</w:t>
            </w:r>
            <w:r w:rsidRPr="0010406A">
              <w:t xml:space="preserve"> a phased rollout </w:t>
            </w:r>
            <w:r>
              <w:t>longer than the duration of this project</w:t>
            </w:r>
            <w:r w:rsidRPr="0010406A">
              <w:t>, complete the rollout to users after Microsoft disengages</w:t>
            </w:r>
            <w:r>
              <w:t>.</w:t>
            </w:r>
          </w:p>
          <w:p w14:paraId="3638456B" w14:textId="11D05E04" w:rsidR="007B2956" w:rsidRPr="009E799D" w:rsidRDefault="007B2956" w:rsidP="007B2956">
            <w:pPr>
              <w:pStyle w:val="TableBullet1"/>
            </w:pPr>
            <w:r w:rsidRPr="009E799D">
              <w:t>Take ownership of the solution for ongoing management and support</w:t>
            </w:r>
            <w:r w:rsidR="002B7901">
              <w:t>.</w:t>
            </w:r>
          </w:p>
        </w:tc>
      </w:tr>
      <w:tr w:rsidR="00985694" w:rsidRPr="009E799D" w14:paraId="2C664F16" w14:textId="77777777" w:rsidTr="00D602A4">
        <w:trPr>
          <w:trHeight w:val="422"/>
        </w:trPr>
        <w:tc>
          <w:tcPr>
            <w:tcW w:w="2270" w:type="dxa"/>
            <w:shd w:val="clear" w:color="auto" w:fill="auto"/>
          </w:tcPr>
          <w:p w14:paraId="54A23230" w14:textId="77777777" w:rsidR="00985694" w:rsidRPr="009E799D" w:rsidRDefault="00DD01E5">
            <w:pPr>
              <w:pStyle w:val="TableText"/>
              <w:spacing w:before="51" w:after="51"/>
              <w:rPr>
                <w:b/>
              </w:rPr>
            </w:pPr>
            <w:r w:rsidRPr="009E799D">
              <w:rPr>
                <w:b/>
              </w:rPr>
              <w:t>Key assumptions</w:t>
            </w:r>
          </w:p>
          <w:p w14:paraId="6D6C392C" w14:textId="77777777" w:rsidR="00985694" w:rsidRPr="009E799D" w:rsidRDefault="00985694">
            <w:pPr>
              <w:pStyle w:val="TableText"/>
              <w:spacing w:before="51" w:after="51"/>
            </w:pPr>
          </w:p>
        </w:tc>
        <w:tc>
          <w:tcPr>
            <w:tcW w:w="6938" w:type="dxa"/>
            <w:shd w:val="clear" w:color="auto" w:fill="auto"/>
          </w:tcPr>
          <w:p w14:paraId="30D1AFE8" w14:textId="6BB9B768" w:rsidR="007B2956" w:rsidRPr="009E799D" w:rsidRDefault="007B2956" w:rsidP="00E0408F">
            <w:pPr>
              <w:pStyle w:val="Bulletlist"/>
            </w:pPr>
            <w:r w:rsidRPr="009E799D">
              <w:t>Implementation will be limited to a single Azure region and single Azure tenant</w:t>
            </w:r>
            <w:r w:rsidR="009B78BB">
              <w:t>.</w:t>
            </w:r>
          </w:p>
          <w:p w14:paraId="08E1C82B" w14:textId="1E757FA2" w:rsidR="00062C2F" w:rsidRPr="009E799D" w:rsidRDefault="00AA6D61" w:rsidP="00E0408F">
            <w:pPr>
              <w:pStyle w:val="Bulletlist"/>
            </w:pPr>
            <w:r>
              <w:t xml:space="preserve">The </w:t>
            </w:r>
            <w:r w:rsidR="007B2956" w:rsidRPr="009E799D">
              <w:t>Customer already has connectivity to Azure</w:t>
            </w:r>
            <w:r w:rsidR="009B78BB">
              <w:t>.</w:t>
            </w:r>
          </w:p>
          <w:p w14:paraId="288EF859" w14:textId="71E3C7BF" w:rsidR="007F213E" w:rsidRPr="009E799D" w:rsidRDefault="007F213E" w:rsidP="00E0408F">
            <w:pPr>
              <w:pStyle w:val="Bulletlist"/>
            </w:pPr>
            <w:r w:rsidRPr="009E799D">
              <w:t xml:space="preserve">If </w:t>
            </w:r>
            <w:r w:rsidR="006038EF">
              <w:t>a h</w:t>
            </w:r>
            <w:r w:rsidR="006038EF" w:rsidRPr="009E799D">
              <w:t xml:space="preserve">ybrid </w:t>
            </w:r>
            <w:r w:rsidR="006038EF">
              <w:t>s</w:t>
            </w:r>
            <w:r w:rsidR="006038EF" w:rsidRPr="009E799D">
              <w:t xml:space="preserve">etup </w:t>
            </w:r>
            <w:r w:rsidR="006038EF">
              <w:t xml:space="preserve">is </w:t>
            </w:r>
            <w:r w:rsidRPr="009E799D">
              <w:t xml:space="preserve">required, </w:t>
            </w:r>
            <w:r w:rsidR="006038EF">
              <w:t xml:space="preserve">the </w:t>
            </w:r>
            <w:r w:rsidRPr="009E799D">
              <w:t xml:space="preserve">Customer has </w:t>
            </w:r>
            <w:r w:rsidR="007863E0">
              <w:t xml:space="preserve">a </w:t>
            </w:r>
            <w:r w:rsidR="007863E0" w:rsidRPr="007863E0">
              <w:t>service</w:t>
            </w:r>
            <w:r w:rsidR="007863E0">
              <w:t>-</w:t>
            </w:r>
            <w:r w:rsidR="007863E0" w:rsidRPr="007863E0">
              <w:t>to</w:t>
            </w:r>
            <w:r w:rsidR="007863E0">
              <w:t>-</w:t>
            </w:r>
            <w:r w:rsidR="007863E0" w:rsidRPr="007863E0">
              <w:t>service</w:t>
            </w:r>
            <w:r w:rsidR="007863E0">
              <w:t xml:space="preserve"> </w:t>
            </w:r>
            <w:r w:rsidR="004C41E1" w:rsidRPr="004C41E1">
              <w:t>virtual private network</w:t>
            </w:r>
            <w:r w:rsidR="004C41E1">
              <w:t xml:space="preserve"> </w:t>
            </w:r>
            <w:r w:rsidRPr="009E799D">
              <w:t>or ExpressRoute enabled between Azure and</w:t>
            </w:r>
            <w:r w:rsidR="004C41E1">
              <w:t xml:space="preserve"> the </w:t>
            </w:r>
            <w:r w:rsidRPr="009E799D">
              <w:t xml:space="preserve">Customer </w:t>
            </w:r>
            <w:r w:rsidR="004C41E1">
              <w:t>d</w:t>
            </w:r>
            <w:r w:rsidR="004C41E1" w:rsidRPr="009E799D">
              <w:t>atacenter</w:t>
            </w:r>
            <w:r w:rsidR="009B78BB">
              <w:t>.</w:t>
            </w:r>
          </w:p>
          <w:p w14:paraId="0FDA4986" w14:textId="2C34DED0" w:rsidR="007F213E" w:rsidRDefault="009B78BB" w:rsidP="00E0408F">
            <w:pPr>
              <w:pStyle w:val="Bulletlist"/>
            </w:pPr>
            <w:r>
              <w:t xml:space="preserve">The </w:t>
            </w:r>
            <w:r w:rsidR="007F213E" w:rsidRPr="009E799D">
              <w:t>Customer has procured an Azure subscription and has provided access to Microsoft team.</w:t>
            </w:r>
          </w:p>
          <w:p w14:paraId="6BDA2FBD" w14:textId="12B75DE4" w:rsidR="007F213E" w:rsidRPr="009E799D" w:rsidRDefault="007F213E" w:rsidP="00724EE2">
            <w:pPr>
              <w:pStyle w:val="Instructional"/>
            </w:pPr>
          </w:p>
        </w:tc>
      </w:tr>
    </w:tbl>
    <w:p w14:paraId="28B6D181" w14:textId="77777777" w:rsidR="00985694" w:rsidRPr="009E799D" w:rsidRDefault="00DD01E5" w:rsidP="00D602A4">
      <w:pPr>
        <w:pStyle w:val="Heading4"/>
        <w:spacing w:before="240" w:after="120"/>
      </w:pPr>
      <w:bookmarkStart w:id="42" w:name="_Toc476168038"/>
      <w:r w:rsidRPr="009E799D">
        <w:t>Deliverables</w:t>
      </w:r>
    </w:p>
    <w:tbl>
      <w:tblPr>
        <w:tblStyle w:val="TableGrid1"/>
        <w:tblW w:w="9210"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1721"/>
        <w:gridCol w:w="3013"/>
        <w:gridCol w:w="1667"/>
        <w:gridCol w:w="2809"/>
      </w:tblGrid>
      <w:tr w:rsidR="00985694" w:rsidRPr="009E799D" w14:paraId="1D5BDF2C" w14:textId="77777777" w:rsidTr="00D602A4">
        <w:trPr>
          <w:trHeight w:val="373"/>
          <w:tblHeader/>
        </w:trPr>
        <w:tc>
          <w:tcPr>
            <w:tcW w:w="172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DEAC631" w14:textId="77777777" w:rsidR="00985694" w:rsidRPr="009E799D" w:rsidRDefault="00DD01E5" w:rsidP="00D602A4">
            <w:pPr>
              <w:pStyle w:val="Table-Header"/>
              <w:keepLines/>
              <w:spacing w:before="51" w:after="51"/>
            </w:pPr>
            <w:r w:rsidRPr="009E799D">
              <w:t>Name</w:t>
            </w:r>
          </w:p>
        </w:tc>
        <w:tc>
          <w:tcPr>
            <w:tcW w:w="301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2C23F2F" w14:textId="77777777" w:rsidR="00985694" w:rsidRPr="009E799D" w:rsidRDefault="00DD01E5" w:rsidP="00D602A4">
            <w:pPr>
              <w:pStyle w:val="Table-Header"/>
              <w:keepLines/>
              <w:spacing w:before="51" w:after="51"/>
            </w:pPr>
            <w:r w:rsidRPr="009E799D">
              <w:t>Description</w:t>
            </w:r>
          </w:p>
        </w:tc>
        <w:tc>
          <w:tcPr>
            <w:tcW w:w="16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0FED1CE" w14:textId="77777777" w:rsidR="00985694" w:rsidRPr="009E799D" w:rsidRDefault="00DD01E5" w:rsidP="00D602A4">
            <w:pPr>
              <w:pStyle w:val="Table-Header"/>
              <w:keepLines/>
              <w:spacing w:before="51" w:after="51"/>
            </w:pPr>
            <w:r w:rsidRPr="009E799D">
              <w:t>Acceptance required?</w:t>
            </w:r>
          </w:p>
        </w:tc>
        <w:tc>
          <w:tcPr>
            <w:tcW w:w="2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AC39C9B" w14:textId="77777777" w:rsidR="00985694" w:rsidRPr="009E799D" w:rsidRDefault="00DD01E5" w:rsidP="00D602A4">
            <w:pPr>
              <w:pStyle w:val="Table-Header"/>
              <w:keepLines/>
              <w:spacing w:before="51" w:after="51"/>
            </w:pPr>
            <w:r w:rsidRPr="009E799D">
              <w:t>Responsibility</w:t>
            </w:r>
          </w:p>
        </w:tc>
      </w:tr>
      <w:tr w:rsidR="00115A5F" w:rsidRPr="009E799D" w14:paraId="419CF373" w14:textId="77777777">
        <w:trPr>
          <w:trHeight w:val="431"/>
        </w:trPr>
        <w:tc>
          <w:tcPr>
            <w:tcW w:w="172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88D4DEF" w14:textId="2C1DC04C" w:rsidR="00115A5F" w:rsidRPr="009E799D" w:rsidRDefault="00115A5F" w:rsidP="00115A5F">
            <w:pPr>
              <w:pStyle w:val="TableText"/>
              <w:keepLines/>
            </w:pPr>
            <w:r w:rsidRPr="00D96EC6">
              <w:t>Delivery summary</w:t>
            </w:r>
          </w:p>
        </w:tc>
        <w:tc>
          <w:tcPr>
            <w:tcW w:w="301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FF3B773" w14:textId="0C66EC71" w:rsidR="00115A5F" w:rsidRPr="009E799D" w:rsidRDefault="00115A5F" w:rsidP="00115A5F">
            <w:pPr>
              <w:pStyle w:val="TableText"/>
              <w:keepLines/>
              <w:rPr>
                <w:color w:val="00B0F0"/>
              </w:rPr>
            </w:pPr>
            <w:r>
              <w:t xml:space="preserve">A </w:t>
            </w:r>
            <w:r w:rsidRPr="00D96EC6">
              <w:t>Word document that summarizes the work completed, provides relevant maintenance guidance, and documents recommended next steps.</w:t>
            </w:r>
          </w:p>
        </w:tc>
        <w:tc>
          <w:tcPr>
            <w:tcW w:w="16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3D1604A" w14:textId="2B2C8DFD" w:rsidR="00115A5F" w:rsidRPr="009E799D" w:rsidRDefault="00115A5F" w:rsidP="00115A5F">
            <w:pPr>
              <w:pStyle w:val="TableText"/>
              <w:keepLines/>
            </w:pPr>
            <w:r w:rsidRPr="00D96EC6">
              <w:t>No</w:t>
            </w:r>
          </w:p>
        </w:tc>
        <w:tc>
          <w:tcPr>
            <w:tcW w:w="2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267C27C" w14:textId="7FA385D2" w:rsidR="00115A5F" w:rsidRPr="009E799D" w:rsidRDefault="00115A5F" w:rsidP="00115A5F">
            <w:pPr>
              <w:pStyle w:val="TableText"/>
              <w:keepLines/>
            </w:pPr>
            <w:r w:rsidRPr="00D96EC6">
              <w:t>Microsoft</w:t>
            </w:r>
          </w:p>
        </w:tc>
      </w:tr>
    </w:tbl>
    <w:p w14:paraId="30D3207D" w14:textId="3AAE842D" w:rsidR="000D1A57" w:rsidRDefault="000D1A57" w:rsidP="00D602A4">
      <w:bookmarkStart w:id="43" w:name="_Toc476167708"/>
      <w:bookmarkStart w:id="44" w:name="_Toc476168041"/>
      <w:bookmarkEnd w:id="42"/>
    </w:p>
    <w:p w14:paraId="541190D5" w14:textId="77777777" w:rsidR="000D1A57" w:rsidRDefault="000D1A57">
      <w:pPr>
        <w:spacing w:before="0" w:after="160"/>
      </w:pPr>
      <w:r>
        <w:br w:type="page"/>
      </w:r>
    </w:p>
    <w:p w14:paraId="6A5E31EF" w14:textId="77777777" w:rsidR="00B64A11" w:rsidRPr="00D602A4" w:rsidRDefault="00B64A11" w:rsidP="00D602A4"/>
    <w:p w14:paraId="2D26C920" w14:textId="10F3AABA" w:rsidR="00985694" w:rsidRPr="009E799D" w:rsidRDefault="00DD01E5">
      <w:pPr>
        <w:pStyle w:val="Heading2"/>
      </w:pPr>
      <w:bookmarkStart w:id="45" w:name="_Toc37330261"/>
      <w:r w:rsidRPr="009E799D">
        <w:t>Timeline</w:t>
      </w:r>
      <w:bookmarkEnd w:id="43"/>
      <w:bookmarkEnd w:id="44"/>
      <w:bookmarkEnd w:id="45"/>
    </w:p>
    <w:p w14:paraId="43FE908A" w14:textId="2D960704" w:rsidR="00985694" w:rsidRPr="009E799D" w:rsidRDefault="00DD01E5">
      <w:r w:rsidRPr="009E799D">
        <w:t>During project planning, a detailed timeline will be developed. The</w:t>
      </w:r>
      <w:r w:rsidR="00DD5F69">
        <w:t xml:space="preserve"> following</w:t>
      </w:r>
      <w:r w:rsidRPr="009E799D">
        <w:t xml:space="preserve"> timeline is a high-level representation</w:t>
      </w:r>
      <w:r w:rsidR="00DD5F69">
        <w:t>;</w:t>
      </w:r>
      <w:r w:rsidR="00DD5F69" w:rsidRPr="009E799D">
        <w:t xml:space="preserve"> </w:t>
      </w:r>
      <w:r w:rsidRPr="009E799D">
        <w:t xml:space="preserve">all dates, and durations are relative to the project start date and are estimates only. If the project timeline changes significantly, a change request may be issued following the </w:t>
      </w:r>
      <w:r w:rsidR="00DD5F69">
        <w:fldChar w:fldCharType="begin"/>
      </w:r>
      <w:r w:rsidR="00DD5F69">
        <w:instrText xml:space="preserve"> REF _Ref35524133 \h </w:instrText>
      </w:r>
      <w:r w:rsidR="00DD5F69">
        <w:fldChar w:fldCharType="separate"/>
      </w:r>
      <w:r w:rsidR="00DD5F69" w:rsidRPr="009E799D">
        <w:t>Change management process</w:t>
      </w:r>
      <w:r w:rsidR="00DD5F69">
        <w:fldChar w:fldCharType="end"/>
      </w:r>
      <w:r w:rsidRPr="009E799D">
        <w:t>.</w:t>
      </w:r>
    </w:p>
    <w:p w14:paraId="33402124" w14:textId="7F7696B0" w:rsidR="00985694" w:rsidRDefault="00DD01E5" w:rsidP="00BC3070">
      <w:r w:rsidRPr="009E799D">
        <w:rPr>
          <w:noProof/>
          <w:lang w:eastAsia="ja-JP"/>
        </w:rPr>
        <w:drawing>
          <wp:inline distT="0" distB="0" distL="0" distR="0" wp14:anchorId="138C590E" wp14:editId="7554A0D8">
            <wp:extent cx="5704114" cy="829945"/>
            <wp:effectExtent l="38100" t="0" r="0" b="2730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37FE0C4" w14:textId="77777777" w:rsidR="00B64A11" w:rsidRPr="009E799D" w:rsidRDefault="00B64A11" w:rsidP="00BC3070"/>
    <w:p w14:paraId="3E4421C5" w14:textId="65BEF2E3" w:rsidR="00985694" w:rsidRPr="006D7E30" w:rsidRDefault="00DD01E5">
      <w:pPr>
        <w:pStyle w:val="Heading2"/>
      </w:pPr>
      <w:bookmarkStart w:id="46" w:name="_Toc35522384"/>
      <w:bookmarkStart w:id="47" w:name="_Toc476167709"/>
      <w:bookmarkStart w:id="48" w:name="_Toc476168042"/>
      <w:bookmarkStart w:id="49" w:name="_Ref477932041"/>
      <w:bookmarkStart w:id="50" w:name="_Toc37330262"/>
      <w:bookmarkEnd w:id="46"/>
      <w:r w:rsidRPr="006D7E30">
        <w:t>Deliverable acceptance process</w:t>
      </w:r>
      <w:bookmarkEnd w:id="47"/>
      <w:bookmarkEnd w:id="48"/>
      <w:bookmarkEnd w:id="49"/>
      <w:bookmarkEnd w:id="50"/>
    </w:p>
    <w:p w14:paraId="56D0452D" w14:textId="2E143E87" w:rsidR="00985694" w:rsidRPr="006D7E30" w:rsidRDefault="00DD01E5">
      <w:r w:rsidRPr="006D7E30">
        <w:t xml:space="preserve">During the project, Microsoft will submit certain deliverables (listed in the </w:t>
      </w:r>
      <w:r w:rsidRPr="006D7E30">
        <w:fldChar w:fldCharType="begin"/>
      </w:r>
      <w:r w:rsidRPr="006D7E30">
        <w:instrText xml:space="preserve"> REF _Ref477873467 \h  \* MERGEFORMAT </w:instrText>
      </w:r>
      <w:r w:rsidRPr="006D7E30">
        <w:fldChar w:fldCharType="separate"/>
      </w:r>
      <w:r w:rsidRPr="006D7E30">
        <w:t>Approach</w:t>
      </w:r>
      <w:r w:rsidRPr="006D7E30">
        <w:fldChar w:fldCharType="end"/>
      </w:r>
      <w:r w:rsidRPr="006D7E30">
        <w:t xml:space="preserve"> section as deliverables with “Acceptance required?” equal to “Yes”) for the </w:t>
      </w:r>
      <w:r w:rsidR="00BC4E5C" w:rsidRPr="006D7E30">
        <w:t>C</w:t>
      </w:r>
      <w:r w:rsidRPr="006D7E30">
        <w:t>ustomer’s review and approval.</w:t>
      </w:r>
    </w:p>
    <w:p w14:paraId="0EFABB8C" w14:textId="59AF8321" w:rsidR="00985694" w:rsidRPr="006D7E30" w:rsidRDefault="00DD01E5">
      <w:r w:rsidRPr="006D7E30">
        <w:t xml:space="preserve">Within three (3) business days after the date of submittal, the </w:t>
      </w:r>
      <w:r w:rsidR="00BC4E5C" w:rsidRPr="006D7E30">
        <w:t>C</w:t>
      </w:r>
      <w:r w:rsidRPr="006D7E30">
        <w:t>ustomer is required to:</w:t>
      </w:r>
    </w:p>
    <w:p w14:paraId="43F9A86D" w14:textId="77777777" w:rsidR="00985694" w:rsidRPr="006D7E30" w:rsidRDefault="00DD01E5">
      <w:pPr>
        <w:pStyle w:val="Bulletlist"/>
      </w:pPr>
      <w:r w:rsidRPr="006D7E30">
        <w:rPr>
          <w:b/>
        </w:rPr>
        <w:t>Accept the deliverable</w:t>
      </w:r>
      <w:r w:rsidRPr="006D7E30">
        <w:t xml:space="preserve"> by signing, dating, and returning a service deliverable acceptance form, which can be sent by email, or by using (or partially using) the deliverable</w:t>
      </w:r>
    </w:p>
    <w:p w14:paraId="5BBF2AC6" w14:textId="77777777" w:rsidR="00985694" w:rsidRPr="006D7E30" w:rsidRDefault="00DD01E5">
      <w:pPr>
        <w:ind w:firstLine="360"/>
      </w:pPr>
      <w:r w:rsidRPr="006D7E30">
        <w:t xml:space="preserve">Or </w:t>
      </w:r>
    </w:p>
    <w:p w14:paraId="4FD8CB37" w14:textId="3D466AC5" w:rsidR="00985694" w:rsidRPr="006D7E30" w:rsidRDefault="00DD01E5">
      <w:pPr>
        <w:pStyle w:val="Bulletlist"/>
      </w:pPr>
      <w:r w:rsidRPr="006D7E30">
        <w:rPr>
          <w:b/>
        </w:rPr>
        <w:t>Reject the deliverable</w:t>
      </w:r>
      <w:r w:rsidRPr="006D7E30">
        <w:t xml:space="preserve"> by notifying Microsoft in writing; the </w:t>
      </w:r>
      <w:r w:rsidR="00BC4E5C" w:rsidRPr="006D7E30">
        <w:t>C</w:t>
      </w:r>
      <w:r w:rsidRPr="006D7E30">
        <w:t>ustomer must include a complete list of reasons for rejection.</w:t>
      </w:r>
    </w:p>
    <w:p w14:paraId="7E6AFCE1" w14:textId="77777777" w:rsidR="006457EC" w:rsidRDefault="006457EC">
      <w:pPr>
        <w:pStyle w:val="Bulletlist"/>
        <w:numPr>
          <w:ilvl w:val="0"/>
          <w:numId w:val="0"/>
        </w:numPr>
        <w:contextualSpacing w:val="0"/>
      </w:pPr>
    </w:p>
    <w:p w14:paraId="3C9073C7" w14:textId="0DB89CFB" w:rsidR="00985694" w:rsidRPr="009E799D" w:rsidRDefault="00DD01E5">
      <w:pPr>
        <w:pStyle w:val="Bulletlist"/>
        <w:numPr>
          <w:ilvl w:val="0"/>
          <w:numId w:val="0"/>
        </w:numPr>
        <w:contextualSpacing w:val="0"/>
      </w:pPr>
      <w:r w:rsidRPr="009E799D">
        <w:t>Deliverables shall be deemed accepted unless the written rejection notification is received by Microsoft in the time</w:t>
      </w:r>
      <w:r w:rsidR="00DD5F69">
        <w:t xml:space="preserve"> </w:t>
      </w:r>
      <w:r w:rsidRPr="009E799D">
        <w:t xml:space="preserve">frame specified. </w:t>
      </w:r>
    </w:p>
    <w:p w14:paraId="0CB65C82" w14:textId="77777777" w:rsidR="00985694" w:rsidRPr="009E799D" w:rsidRDefault="00DD01E5" w:rsidP="00D602A4">
      <w:r w:rsidRPr="009E799D">
        <w:t>If a rejection notification is received, Microsoft will correct problems with deliverable(s) that are in scope for the project (and documented in this SOW), after which the deliverable is deemed accepted.</w:t>
      </w:r>
    </w:p>
    <w:p w14:paraId="7D622196" w14:textId="41677EA4" w:rsidR="00985694" w:rsidRDefault="00DD01E5">
      <w:r w:rsidRPr="009E799D">
        <w:t xml:space="preserve">Problems that are outside the scope of this SOW, and issues provided after a deliverable has been accepted will be addressed as a change request, and managed as described in the </w:t>
      </w:r>
      <w:r w:rsidRPr="009E799D">
        <w:fldChar w:fldCharType="begin"/>
      </w:r>
      <w:r w:rsidRPr="009E799D">
        <w:instrText xml:space="preserve"> REF _Ref477932885 \h  \* MERGEFORMAT </w:instrText>
      </w:r>
      <w:r w:rsidRPr="009E799D">
        <w:fldChar w:fldCharType="separate"/>
      </w:r>
      <w:r w:rsidRPr="009E799D">
        <w:t xml:space="preserve">Change management process </w:t>
      </w:r>
      <w:r w:rsidRPr="009E799D">
        <w:fldChar w:fldCharType="end"/>
      </w:r>
      <w:r w:rsidRPr="009E799D">
        <w:t xml:space="preserve"> section.</w:t>
      </w:r>
    </w:p>
    <w:p w14:paraId="3A721F69" w14:textId="4187CDA3" w:rsidR="00B64A11" w:rsidRPr="009E799D" w:rsidRDefault="00B64A11" w:rsidP="00D602A4"/>
    <w:p w14:paraId="38AF6E08" w14:textId="77777777" w:rsidR="00985694" w:rsidRPr="009E799D" w:rsidRDefault="00DD01E5">
      <w:pPr>
        <w:pStyle w:val="Heading2"/>
      </w:pPr>
      <w:bookmarkStart w:id="51" w:name="_Toc476167710"/>
      <w:bookmarkStart w:id="52" w:name="_Toc476168043"/>
      <w:bookmarkStart w:id="53" w:name="_Toc37330263"/>
      <w:r w:rsidRPr="009E799D">
        <w:t>Project governance</w:t>
      </w:r>
      <w:bookmarkEnd w:id="51"/>
      <w:bookmarkEnd w:id="52"/>
      <w:bookmarkEnd w:id="53"/>
    </w:p>
    <w:p w14:paraId="3D1CEA2B" w14:textId="77777777" w:rsidR="00985694" w:rsidRPr="009E799D" w:rsidRDefault="00DD01E5">
      <w:r w:rsidRPr="009E799D">
        <w:t>The governance structure and processes the team will adhere to for the project are described in the following sections:</w:t>
      </w:r>
    </w:p>
    <w:p w14:paraId="1950557B" w14:textId="77777777" w:rsidR="00985694" w:rsidRPr="009E799D" w:rsidRDefault="00DD01E5">
      <w:pPr>
        <w:pStyle w:val="Heading3"/>
      </w:pPr>
      <w:bookmarkStart w:id="54" w:name="_Toc476168044"/>
      <w:r w:rsidRPr="009E799D">
        <w:lastRenderedPageBreak/>
        <w:t>Project communication</w:t>
      </w:r>
      <w:bookmarkEnd w:id="54"/>
    </w:p>
    <w:p w14:paraId="39EC0BB4" w14:textId="77777777" w:rsidR="00985694" w:rsidRPr="009E799D" w:rsidRDefault="00DD01E5">
      <w:r w:rsidRPr="009E799D">
        <w:t>The following will be used to communicate during the project:</w:t>
      </w:r>
    </w:p>
    <w:p w14:paraId="2F89BED3" w14:textId="124BEF0E" w:rsidR="00985694" w:rsidRPr="009E799D" w:rsidRDefault="00DD01E5">
      <w:pPr>
        <w:pStyle w:val="Bulletlist"/>
      </w:pPr>
      <w:r w:rsidRPr="009E799D">
        <w:rPr>
          <w:b/>
        </w:rPr>
        <w:t>Communication plan</w:t>
      </w:r>
      <w:r w:rsidRPr="009E799D">
        <w:t xml:space="preserve">: this document will describe the frequency, audience, and content of communication with the team and stakeholders. It will be developed by Microsoft and the </w:t>
      </w:r>
      <w:r w:rsidR="00BC4E5C">
        <w:t>C</w:t>
      </w:r>
      <w:r w:rsidRPr="009E799D">
        <w:t>ustomer as part of project planning.</w:t>
      </w:r>
    </w:p>
    <w:p w14:paraId="526A749A" w14:textId="77777777" w:rsidR="00985694" w:rsidRPr="009E799D" w:rsidRDefault="00DD01E5">
      <w:pPr>
        <w:pStyle w:val="Bulletlist"/>
      </w:pPr>
      <w:r w:rsidRPr="009E799D">
        <w:rPr>
          <w:b/>
        </w:rPr>
        <w:t>Status reports</w:t>
      </w:r>
      <w:r w:rsidRPr="009E799D">
        <w:t>: the Microsoft team will prepare and issue regular status reports to project stakeholders per the frequency defined in the communication plan.</w:t>
      </w:r>
    </w:p>
    <w:p w14:paraId="59080A84" w14:textId="77777777" w:rsidR="00985694" w:rsidRPr="009E799D" w:rsidRDefault="00DD01E5">
      <w:pPr>
        <w:pStyle w:val="Bulletlist"/>
      </w:pPr>
      <w:r w:rsidRPr="009E799D">
        <w:rPr>
          <w:b/>
        </w:rPr>
        <w:t>Status meetings</w:t>
      </w:r>
      <w:r w:rsidRPr="009E799D">
        <w:t>: the Microsoft team will schedule regular status meetings, per the frequency defined in the communication plan, to review the overall project status, the acceptance of deliverables, and review open issues and risks.</w:t>
      </w:r>
    </w:p>
    <w:p w14:paraId="24884A3D" w14:textId="77777777" w:rsidR="00985694" w:rsidRPr="009E799D" w:rsidRDefault="00DD01E5">
      <w:pPr>
        <w:pStyle w:val="Heading3"/>
      </w:pPr>
      <w:bookmarkStart w:id="55" w:name="_Toc476168045"/>
      <w:r w:rsidRPr="009E799D">
        <w:t>Risk and issue management</w:t>
      </w:r>
      <w:bookmarkEnd w:id="55"/>
    </w:p>
    <w:p w14:paraId="1B94C94C" w14:textId="77777777" w:rsidR="00985694" w:rsidRPr="009E799D" w:rsidRDefault="00DD01E5">
      <w:r w:rsidRPr="009E799D">
        <w:t>The following general procedure will be used to manage active project issues and risks during the project:</w:t>
      </w:r>
    </w:p>
    <w:p w14:paraId="35FB38DC" w14:textId="77777777" w:rsidR="00985694" w:rsidRPr="009E799D" w:rsidRDefault="00DD01E5">
      <w:pPr>
        <w:pStyle w:val="Bulletlist"/>
      </w:pPr>
      <w:r w:rsidRPr="009E799D">
        <w:rPr>
          <w:b/>
        </w:rPr>
        <w:t>Identify</w:t>
      </w:r>
      <w:r w:rsidRPr="009E799D">
        <w:t>: identify and document project issues and risks (potential issues that could affect the project).</w:t>
      </w:r>
    </w:p>
    <w:p w14:paraId="01C11802" w14:textId="77777777" w:rsidR="00985694" w:rsidRPr="009E799D" w:rsidRDefault="00DD01E5">
      <w:pPr>
        <w:pStyle w:val="Bulletlist"/>
      </w:pPr>
      <w:r w:rsidRPr="009E799D">
        <w:rPr>
          <w:b/>
        </w:rPr>
        <w:t xml:space="preserve">Analyze and </w:t>
      </w:r>
      <w:proofErr w:type="gramStart"/>
      <w:r w:rsidRPr="009E799D">
        <w:rPr>
          <w:b/>
        </w:rPr>
        <w:t>prioritize</w:t>
      </w:r>
      <w:r w:rsidRPr="009E799D">
        <w:t>:</w:t>
      </w:r>
      <w:proofErr w:type="gramEnd"/>
      <w:r w:rsidRPr="009E799D">
        <w:t xml:space="preserve"> assess the potential impact and determine the highest priority risks and issues that will be actively managed.</w:t>
      </w:r>
    </w:p>
    <w:p w14:paraId="67C2AE29" w14:textId="77777777" w:rsidR="00985694" w:rsidRPr="009E799D" w:rsidRDefault="00DD01E5">
      <w:pPr>
        <w:pStyle w:val="Bulletlist"/>
      </w:pPr>
      <w:r w:rsidRPr="009E799D">
        <w:rPr>
          <w:b/>
        </w:rPr>
        <w:t>Plan and schedule</w:t>
      </w:r>
      <w:r w:rsidRPr="009E799D">
        <w:t xml:space="preserve">: determine the strategy for managing priority risks and </w:t>
      </w:r>
      <w:proofErr w:type="gramStart"/>
      <w:r w:rsidRPr="009E799D">
        <w:t>issues, and</w:t>
      </w:r>
      <w:proofErr w:type="gramEnd"/>
      <w:r w:rsidRPr="009E799D">
        <w:t xml:space="preserve"> identify a resource who can take responsibility for mitigation and remediation.</w:t>
      </w:r>
    </w:p>
    <w:p w14:paraId="32A045E5" w14:textId="77777777" w:rsidR="00985694" w:rsidRPr="009E799D" w:rsidRDefault="00DD01E5">
      <w:pPr>
        <w:pStyle w:val="Bulletlist"/>
      </w:pPr>
      <w:r w:rsidRPr="009E799D">
        <w:rPr>
          <w:b/>
        </w:rPr>
        <w:t>Track and report</w:t>
      </w:r>
      <w:r w:rsidRPr="009E799D">
        <w:t>: monitor and report the status of risks and issues.</w:t>
      </w:r>
    </w:p>
    <w:p w14:paraId="49A63B5B" w14:textId="77777777" w:rsidR="00985694" w:rsidRPr="009E799D" w:rsidRDefault="00DD01E5">
      <w:pPr>
        <w:pStyle w:val="Bulletlist"/>
      </w:pPr>
      <w:r w:rsidRPr="009E799D">
        <w:rPr>
          <w:b/>
        </w:rPr>
        <w:t>Escalate</w:t>
      </w:r>
      <w:r w:rsidRPr="009E799D">
        <w:t>: escalate to project sponsors the high impact issues and risks that the team is unable to resolve.</w:t>
      </w:r>
    </w:p>
    <w:p w14:paraId="093FF1BF" w14:textId="77777777" w:rsidR="00985694" w:rsidRPr="009E799D" w:rsidRDefault="00DD01E5">
      <w:pPr>
        <w:pStyle w:val="Bulletlist"/>
      </w:pPr>
      <w:r w:rsidRPr="009E799D">
        <w:rPr>
          <w:b/>
        </w:rPr>
        <w:t>Control</w:t>
      </w:r>
      <w:r w:rsidRPr="009E799D">
        <w:t>: review the effectiveness of risk and issue management actions.</w:t>
      </w:r>
    </w:p>
    <w:p w14:paraId="7529DE23" w14:textId="77777777" w:rsidR="00985694" w:rsidRPr="009E799D" w:rsidRDefault="00985694">
      <w:pPr>
        <w:pStyle w:val="Bulletlist"/>
        <w:numPr>
          <w:ilvl w:val="0"/>
          <w:numId w:val="0"/>
        </w:numPr>
        <w:ind w:left="360" w:hanging="360"/>
      </w:pPr>
    </w:p>
    <w:p w14:paraId="623BD5EE" w14:textId="77777777" w:rsidR="00985694" w:rsidRPr="009E799D" w:rsidRDefault="00DD01E5">
      <w:pPr>
        <w:pStyle w:val="Bulletlist"/>
        <w:numPr>
          <w:ilvl w:val="0"/>
          <w:numId w:val="0"/>
        </w:numPr>
        <w:ind w:left="360" w:hanging="360"/>
      </w:pPr>
      <w:r w:rsidRPr="009E799D">
        <w:t>Active issues and risks will be regularly monitored during the project.</w:t>
      </w:r>
    </w:p>
    <w:p w14:paraId="2C8AF6FC" w14:textId="77777777" w:rsidR="00985694" w:rsidRPr="009E799D" w:rsidRDefault="00DD01E5">
      <w:pPr>
        <w:pStyle w:val="Heading3"/>
      </w:pPr>
      <w:bookmarkStart w:id="56" w:name="_Toc476168046"/>
      <w:bookmarkStart w:id="57" w:name="_Ref477866682"/>
      <w:bookmarkStart w:id="58" w:name="_Ref477932885"/>
      <w:bookmarkStart w:id="59" w:name="_Ref477934302"/>
      <w:bookmarkStart w:id="60" w:name="_Ref19085088"/>
      <w:bookmarkStart w:id="61" w:name="_Ref35524133"/>
      <w:r w:rsidRPr="009E799D">
        <w:t>Change management process</w:t>
      </w:r>
      <w:bookmarkEnd w:id="56"/>
      <w:bookmarkEnd w:id="57"/>
      <w:bookmarkEnd w:id="58"/>
      <w:bookmarkEnd w:id="59"/>
      <w:bookmarkEnd w:id="60"/>
      <w:bookmarkEnd w:id="61"/>
    </w:p>
    <w:p w14:paraId="6A31EE1F" w14:textId="77777777" w:rsidR="00985694" w:rsidRPr="009E799D" w:rsidRDefault="00DD01E5">
      <w:r w:rsidRPr="009E799D">
        <w:t xml:space="preserve">During the project, either party </w:t>
      </w:r>
      <w:proofErr w:type="gramStart"/>
      <w:r w:rsidRPr="009E799D">
        <w:t>is able to</w:t>
      </w:r>
      <w:proofErr w:type="gramEnd"/>
      <w:r w:rsidRPr="009E799D">
        <w:t xml:space="preserve"> request modifications to the Services described in this SOW. These changes only take effect when the proposed change is agreed upon by both parties. The change management process steps are:</w:t>
      </w:r>
    </w:p>
    <w:p w14:paraId="18890D88" w14:textId="77777777" w:rsidR="00985694" w:rsidRPr="009E799D" w:rsidRDefault="00DD01E5">
      <w:pPr>
        <w:pStyle w:val="Bulletlist"/>
      </w:pPr>
      <w:r w:rsidRPr="009E799D">
        <w:rPr>
          <w:b/>
        </w:rPr>
        <w:t>The change is documented</w:t>
      </w:r>
      <w:r w:rsidRPr="009E799D">
        <w:t>: all change requests will be documented by Microsoft in a Microsoft change request form and submitted to the Customer. The change request form includes:</w:t>
      </w:r>
    </w:p>
    <w:p w14:paraId="5CD8CDF5" w14:textId="77777777" w:rsidR="00985694" w:rsidRPr="009E799D" w:rsidRDefault="00DD01E5" w:rsidP="006F47D1">
      <w:pPr>
        <w:pStyle w:val="Bulletlist"/>
        <w:numPr>
          <w:ilvl w:val="1"/>
          <w:numId w:val="5"/>
        </w:numPr>
      </w:pPr>
      <w:r w:rsidRPr="009E799D">
        <w:t>A description of the change.</w:t>
      </w:r>
    </w:p>
    <w:p w14:paraId="046208A6" w14:textId="77777777" w:rsidR="00985694" w:rsidRPr="009E799D" w:rsidRDefault="00DD01E5" w:rsidP="006F47D1">
      <w:pPr>
        <w:pStyle w:val="Bulletlist"/>
        <w:numPr>
          <w:ilvl w:val="1"/>
          <w:numId w:val="5"/>
        </w:numPr>
      </w:pPr>
      <w:r w:rsidRPr="009E799D">
        <w:t xml:space="preserve">The estimated effect of implementing the change including impact on the project scope, schedule, and fees. </w:t>
      </w:r>
    </w:p>
    <w:p w14:paraId="3FF27736" w14:textId="77777777" w:rsidR="00985694" w:rsidRPr="009E799D" w:rsidRDefault="00DD01E5">
      <w:pPr>
        <w:pStyle w:val="Bulletlist"/>
      </w:pPr>
      <w:r w:rsidRPr="009E799D">
        <w:rPr>
          <w:b/>
        </w:rPr>
        <w:t>The change is submitted</w:t>
      </w:r>
      <w:r w:rsidRPr="009E799D">
        <w:t>: the change request form will be provided to the Customer.</w:t>
      </w:r>
    </w:p>
    <w:p w14:paraId="53D42137" w14:textId="77777777" w:rsidR="00985694" w:rsidRPr="009E799D" w:rsidRDefault="00DD01E5">
      <w:pPr>
        <w:pStyle w:val="Bulletlist"/>
      </w:pPr>
      <w:r w:rsidRPr="009E799D">
        <w:rPr>
          <w:b/>
        </w:rPr>
        <w:t>The change is accepted or rejected</w:t>
      </w:r>
      <w:r w:rsidRPr="009E799D">
        <w:t xml:space="preserve">: </w:t>
      </w:r>
      <w:proofErr w:type="gramStart"/>
      <w:r w:rsidRPr="009E799D">
        <w:t>the</w:t>
      </w:r>
      <w:proofErr w:type="gramEnd"/>
      <w:r w:rsidRPr="009E799D">
        <w:t xml:space="preserve"> Customer has three (3) business days to confirm the following to Microsoft:</w:t>
      </w:r>
    </w:p>
    <w:p w14:paraId="0C0B2994" w14:textId="77777777" w:rsidR="00985694" w:rsidRPr="009E799D" w:rsidRDefault="00DD01E5" w:rsidP="006F47D1">
      <w:pPr>
        <w:pStyle w:val="Bulletlist"/>
        <w:numPr>
          <w:ilvl w:val="1"/>
          <w:numId w:val="5"/>
        </w:numPr>
      </w:pPr>
      <w:r w:rsidRPr="009E799D">
        <w:t>Acceptance—the Customer must sign and return change request form.</w:t>
      </w:r>
    </w:p>
    <w:p w14:paraId="13F8485C" w14:textId="15E2C458" w:rsidR="00985694" w:rsidRPr="00B351C7" w:rsidRDefault="00DD01E5" w:rsidP="00B351C7">
      <w:pPr>
        <w:pStyle w:val="Bulletlist"/>
        <w:numPr>
          <w:ilvl w:val="1"/>
          <w:numId w:val="5"/>
        </w:numPr>
      </w:pPr>
      <w:r w:rsidRPr="009E799D">
        <w:t>Rejection—if the Customer does not want to proceed with the change or does not provide an approval within three business days, no changes will be performed.</w:t>
      </w:r>
    </w:p>
    <w:p w14:paraId="6BEB1BB3" w14:textId="1B03B3F7" w:rsidR="00985694" w:rsidRPr="009E799D" w:rsidRDefault="00DD01E5">
      <w:pPr>
        <w:pStyle w:val="Heading3"/>
      </w:pPr>
      <w:bookmarkStart w:id="62" w:name="_Toc476168047"/>
      <w:r w:rsidRPr="009E799D">
        <w:lastRenderedPageBreak/>
        <w:t>Executive steering committee</w:t>
      </w:r>
      <w:bookmarkEnd w:id="62"/>
      <w:r w:rsidR="00D64092">
        <w:t xml:space="preserve"> </w:t>
      </w:r>
    </w:p>
    <w:p w14:paraId="51C60CE0" w14:textId="77777777" w:rsidR="00985694" w:rsidRPr="009E799D" w:rsidRDefault="00DD01E5">
      <w:r w:rsidRPr="009E799D">
        <w:t>The executive steering committee provides overall senior management oversight and strategic direction for the project. The executive steering committee for the project will meet per the frequency defined in the communication plan and will include the roles listed in the following table. The responsibilities for the committee include:</w:t>
      </w:r>
    </w:p>
    <w:p w14:paraId="35E8E184" w14:textId="77777777" w:rsidR="00985694" w:rsidRPr="009E799D" w:rsidRDefault="00DD01E5">
      <w:pPr>
        <w:pStyle w:val="Bulletlist"/>
      </w:pPr>
      <w:r w:rsidRPr="009E799D">
        <w:t>Making decisions about project’s strategic direction.</w:t>
      </w:r>
    </w:p>
    <w:p w14:paraId="42204D42" w14:textId="77777777" w:rsidR="00985694" w:rsidRPr="009E799D" w:rsidRDefault="00DD01E5">
      <w:pPr>
        <w:pStyle w:val="Bulletlist"/>
      </w:pPr>
      <w:r w:rsidRPr="009E799D">
        <w:t>Serving as a final arbiter of project issues.</w:t>
      </w:r>
    </w:p>
    <w:p w14:paraId="6C40C1AE" w14:textId="77777777" w:rsidR="00985694" w:rsidRPr="009E799D" w:rsidRDefault="00DD01E5">
      <w:pPr>
        <w:pStyle w:val="Bulletlist"/>
      </w:pPr>
      <w:r w:rsidRPr="009E799D">
        <w:t>Approving significant change requests.</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6482"/>
        <w:gridCol w:w="2870"/>
        <w:gridCol w:w="19"/>
      </w:tblGrid>
      <w:tr w:rsidR="00985694" w:rsidRPr="009E799D" w14:paraId="5AC362F4" w14:textId="77777777">
        <w:trPr>
          <w:trHeight w:val="360"/>
          <w:tblHeader/>
        </w:trPr>
        <w:tc>
          <w:tcPr>
            <w:tcW w:w="6482" w:type="dxa"/>
            <w:shd w:val="clear" w:color="auto" w:fill="008272"/>
          </w:tcPr>
          <w:p w14:paraId="0B530ED9" w14:textId="77777777" w:rsidR="00985694" w:rsidRPr="009E799D" w:rsidRDefault="00DD01E5">
            <w:pPr>
              <w:pStyle w:val="Table-Header"/>
              <w:spacing w:before="51" w:after="51"/>
            </w:pPr>
            <w:r w:rsidRPr="009E799D">
              <w:t>Role</w:t>
            </w:r>
          </w:p>
        </w:tc>
        <w:tc>
          <w:tcPr>
            <w:tcW w:w="2889" w:type="dxa"/>
            <w:gridSpan w:val="2"/>
            <w:shd w:val="clear" w:color="auto" w:fill="008272"/>
          </w:tcPr>
          <w:p w14:paraId="0C6D5E32" w14:textId="77777777" w:rsidR="00985694" w:rsidRPr="009E799D" w:rsidRDefault="00DD01E5">
            <w:pPr>
              <w:pStyle w:val="Table-Header"/>
              <w:spacing w:before="51" w:after="51"/>
            </w:pPr>
            <w:r w:rsidRPr="009E799D">
              <w:t>Organization</w:t>
            </w:r>
          </w:p>
        </w:tc>
      </w:tr>
      <w:tr w:rsidR="00985694" w:rsidRPr="009E799D" w14:paraId="16A5606D" w14:textId="77777777">
        <w:trPr>
          <w:gridAfter w:val="1"/>
          <w:wAfter w:w="19" w:type="dxa"/>
          <w:trHeight w:val="432"/>
        </w:trPr>
        <w:tc>
          <w:tcPr>
            <w:tcW w:w="6482" w:type="dxa"/>
            <w:shd w:val="clear" w:color="auto" w:fill="auto"/>
          </w:tcPr>
          <w:p w14:paraId="14B80CBA" w14:textId="77777777" w:rsidR="00985694" w:rsidRPr="009E799D" w:rsidRDefault="00DD01E5">
            <w:pPr>
              <w:pStyle w:val="TableText"/>
              <w:spacing w:before="51" w:after="51"/>
            </w:pPr>
            <w:r w:rsidRPr="009E799D">
              <w:t>Project sponsor</w:t>
            </w:r>
          </w:p>
        </w:tc>
        <w:tc>
          <w:tcPr>
            <w:tcW w:w="2870" w:type="dxa"/>
            <w:shd w:val="clear" w:color="auto" w:fill="auto"/>
          </w:tcPr>
          <w:p w14:paraId="73CCE620" w14:textId="77777777" w:rsidR="00985694" w:rsidRPr="009E799D" w:rsidRDefault="00DD01E5">
            <w:pPr>
              <w:pStyle w:val="TableText"/>
              <w:spacing w:before="51" w:after="51"/>
              <w:rPr>
                <w:szCs w:val="18"/>
              </w:rPr>
            </w:pPr>
            <w:r w:rsidRPr="009E799D">
              <w:rPr>
                <w:szCs w:val="18"/>
              </w:rPr>
              <w:t>Customer</w:t>
            </w:r>
          </w:p>
        </w:tc>
      </w:tr>
      <w:tr w:rsidR="00985694" w:rsidRPr="009E799D" w14:paraId="7FD39879" w14:textId="77777777">
        <w:trPr>
          <w:gridAfter w:val="1"/>
          <w:wAfter w:w="19" w:type="dxa"/>
          <w:trHeight w:val="432"/>
        </w:trPr>
        <w:tc>
          <w:tcPr>
            <w:tcW w:w="6482" w:type="dxa"/>
            <w:shd w:val="clear" w:color="auto" w:fill="auto"/>
          </w:tcPr>
          <w:p w14:paraId="6170E061" w14:textId="77777777" w:rsidR="00985694" w:rsidRPr="009E799D" w:rsidRDefault="00DD01E5">
            <w:pPr>
              <w:pStyle w:val="TableText"/>
              <w:spacing w:before="51" w:after="51"/>
              <w:rPr>
                <w:szCs w:val="18"/>
              </w:rPr>
            </w:pPr>
            <w:r w:rsidRPr="009E799D">
              <w:rPr>
                <w:szCs w:val="18"/>
              </w:rPr>
              <w:t>Delivery manager</w:t>
            </w:r>
          </w:p>
        </w:tc>
        <w:tc>
          <w:tcPr>
            <w:tcW w:w="2870" w:type="dxa"/>
            <w:shd w:val="clear" w:color="auto" w:fill="auto"/>
          </w:tcPr>
          <w:p w14:paraId="425CDE93" w14:textId="77777777" w:rsidR="00985694" w:rsidRPr="009E799D" w:rsidRDefault="00DD01E5">
            <w:pPr>
              <w:pStyle w:val="TableText"/>
              <w:spacing w:before="51" w:after="51"/>
              <w:rPr>
                <w:szCs w:val="18"/>
              </w:rPr>
            </w:pPr>
            <w:r w:rsidRPr="009E799D">
              <w:rPr>
                <w:szCs w:val="18"/>
              </w:rPr>
              <w:t>Microsoft</w:t>
            </w:r>
          </w:p>
        </w:tc>
      </w:tr>
    </w:tbl>
    <w:p w14:paraId="738D4973" w14:textId="77777777" w:rsidR="00985694" w:rsidRPr="009E799D" w:rsidRDefault="00DD01E5">
      <w:pPr>
        <w:pStyle w:val="Heading3"/>
      </w:pPr>
      <w:bookmarkStart w:id="63" w:name="_Toc476168048"/>
      <w:bookmarkStart w:id="64" w:name="_Ref12619697"/>
      <w:r w:rsidRPr="009E799D">
        <w:t>Escalation path</w:t>
      </w:r>
      <w:bookmarkEnd w:id="63"/>
      <w:bookmarkEnd w:id="64"/>
    </w:p>
    <w:p w14:paraId="6DA15E85" w14:textId="301856A4" w:rsidR="00985694" w:rsidRPr="009E799D" w:rsidRDefault="00DD01E5">
      <w:r w:rsidRPr="009E799D">
        <w:t xml:space="preserve">The Microsoft project manager will work closely with the </w:t>
      </w:r>
      <w:r w:rsidR="00BC4E5C">
        <w:t>C</w:t>
      </w:r>
      <w:r w:rsidRPr="009E799D">
        <w:t xml:space="preserve">ustomer project manager, sponsor, and other designees to manage project issues, risks, and change requests as described previously. The </w:t>
      </w:r>
      <w:r w:rsidR="00BC4E5C">
        <w:t>C</w:t>
      </w:r>
      <w:r w:rsidRPr="009E799D">
        <w:t>ustomer will provide reasonable access to the sponsor or sponsors in order to expedite resolution. The standard escalation path for review, approval, or dispute resolution is as follows:</w:t>
      </w:r>
    </w:p>
    <w:p w14:paraId="62B4090E" w14:textId="77777777" w:rsidR="00985694" w:rsidRPr="009E799D" w:rsidRDefault="00DD01E5" w:rsidP="00354644">
      <w:pPr>
        <w:pStyle w:val="Bulletlist"/>
        <w:ind w:left="357" w:hanging="357"/>
      </w:pPr>
      <w:r w:rsidRPr="009E799D">
        <w:t>Project team member (Microsoft or the Customer)</w:t>
      </w:r>
    </w:p>
    <w:p w14:paraId="2FCC37ED" w14:textId="77777777" w:rsidR="00985694" w:rsidRPr="009E799D" w:rsidRDefault="00DD01E5" w:rsidP="00354644">
      <w:pPr>
        <w:pStyle w:val="Bulletlist"/>
        <w:ind w:left="357" w:hanging="357"/>
      </w:pPr>
      <w:r w:rsidRPr="009E799D">
        <w:t>Project manager (Microsoft and the Customer)</w:t>
      </w:r>
    </w:p>
    <w:p w14:paraId="488A50C5" w14:textId="77777777" w:rsidR="00985694" w:rsidRPr="009E799D" w:rsidRDefault="00DD01E5" w:rsidP="00354644">
      <w:pPr>
        <w:pStyle w:val="Bulletlist"/>
        <w:ind w:left="357" w:hanging="357"/>
      </w:pPr>
      <w:r w:rsidRPr="009E799D">
        <w:t>Microsoft delivery manager</w:t>
      </w:r>
    </w:p>
    <w:p w14:paraId="61C3A116" w14:textId="77777777" w:rsidR="00354644" w:rsidRPr="009F3592" w:rsidRDefault="00DD01E5" w:rsidP="00211285">
      <w:pPr>
        <w:pStyle w:val="Bulletlist"/>
        <w:ind w:left="357" w:hanging="357"/>
      </w:pPr>
      <w:r w:rsidRPr="009E799D">
        <w:t>Microsoft and the Customer project sponsor</w:t>
      </w:r>
    </w:p>
    <w:p w14:paraId="05327B3C" w14:textId="0EC61FEE" w:rsidR="00985694" w:rsidRPr="009E799D" w:rsidRDefault="00DD01E5" w:rsidP="009F3592">
      <w:pPr>
        <w:pStyle w:val="Bulletlist"/>
        <w:ind w:left="357" w:hanging="357"/>
      </w:pPr>
      <w:r w:rsidRPr="009E799D">
        <w:t>Executive steering committee</w:t>
      </w:r>
    </w:p>
    <w:p w14:paraId="1565C10D" w14:textId="77777777" w:rsidR="00B64A11" w:rsidRPr="00D602A4" w:rsidRDefault="00B64A11" w:rsidP="00D602A4">
      <w:bookmarkStart w:id="65" w:name="_Toc476167711"/>
      <w:bookmarkStart w:id="66" w:name="_Toc476168049"/>
    </w:p>
    <w:p w14:paraId="7CAE522F" w14:textId="1814435F" w:rsidR="00985694" w:rsidRPr="009E799D" w:rsidRDefault="00DD01E5">
      <w:pPr>
        <w:pStyle w:val="Heading2"/>
      </w:pPr>
      <w:bookmarkStart w:id="67" w:name="_Toc37330264"/>
      <w:r w:rsidRPr="009E799D">
        <w:t>Project completion</w:t>
      </w:r>
      <w:bookmarkEnd w:id="65"/>
      <w:bookmarkEnd w:id="66"/>
      <w:bookmarkEnd w:id="67"/>
    </w:p>
    <w:p w14:paraId="2E560E8B" w14:textId="0C818E5E" w:rsidR="00985694" w:rsidRPr="005B75A2" w:rsidRDefault="00DD01E5" w:rsidP="002D086E">
      <w:pPr>
        <w:pStyle w:val="Instructional"/>
        <w:rPr>
          <w:color w:val="auto"/>
        </w:rPr>
      </w:pPr>
      <w:r w:rsidRPr="005B75A2">
        <w:rPr>
          <w:color w:val="auto"/>
        </w:rPr>
        <w:t>Time and materials</w:t>
      </w:r>
    </w:p>
    <w:p w14:paraId="3678A697" w14:textId="54AB45AD" w:rsidR="00985694" w:rsidRPr="005B75A2" w:rsidRDefault="00DD01E5">
      <w:pPr>
        <w:pStyle w:val="Optional"/>
        <w:rPr>
          <w:b/>
          <w:color w:val="auto"/>
        </w:rPr>
      </w:pPr>
      <w:r w:rsidRPr="005B75A2">
        <w:rPr>
          <w:color w:val="auto"/>
        </w:rPr>
        <w:t xml:space="preserve">Microsoft will provide Services defined in this SOW to the extent of the fees available and the term specified in the Work Order. If additional </w:t>
      </w:r>
      <w:r w:rsidR="00B64601" w:rsidRPr="005B75A2">
        <w:rPr>
          <w:color w:val="auto"/>
        </w:rPr>
        <w:t>S</w:t>
      </w:r>
      <w:r w:rsidRPr="005B75A2">
        <w:rPr>
          <w:color w:val="auto"/>
        </w:rPr>
        <w:t xml:space="preserve">ervices are required, the </w:t>
      </w:r>
      <w:r w:rsidRPr="005B75A2">
        <w:rPr>
          <w:b/>
          <w:color w:val="auto"/>
        </w:rPr>
        <w:fldChar w:fldCharType="begin"/>
      </w:r>
      <w:r w:rsidRPr="005B75A2">
        <w:rPr>
          <w:color w:val="auto"/>
        </w:rPr>
        <w:instrText xml:space="preserve"> REF _Ref477934302 \h  \* MERGEFORMAT </w:instrText>
      </w:r>
      <w:r w:rsidRPr="005B75A2">
        <w:rPr>
          <w:b/>
          <w:color w:val="auto"/>
        </w:rPr>
      </w:r>
      <w:r w:rsidRPr="005B75A2">
        <w:rPr>
          <w:b/>
          <w:color w:val="auto"/>
        </w:rPr>
        <w:fldChar w:fldCharType="separate"/>
      </w:r>
      <w:r w:rsidR="00894B91" w:rsidRPr="005B75A2">
        <w:rPr>
          <w:color w:val="auto"/>
        </w:rPr>
        <w:t>Change management process</w:t>
      </w:r>
      <w:r w:rsidRPr="005B75A2">
        <w:rPr>
          <w:b/>
          <w:color w:val="auto"/>
        </w:rPr>
        <w:fldChar w:fldCharType="end"/>
      </w:r>
      <w:r w:rsidRPr="005B75A2">
        <w:rPr>
          <w:color w:val="auto"/>
        </w:rPr>
        <w:t xml:space="preserve"> will be followed and the contract modified. The project will be considered complete when at least one of the following conditions has been met:</w:t>
      </w:r>
    </w:p>
    <w:p w14:paraId="4D9BBC42" w14:textId="77777777" w:rsidR="00985694" w:rsidRPr="009F3592" w:rsidRDefault="00DD01E5">
      <w:pPr>
        <w:pStyle w:val="BlueText-BulletStyle2"/>
        <w:rPr>
          <w:b w:val="0"/>
          <w:bCs/>
          <w:color w:val="auto"/>
        </w:rPr>
      </w:pPr>
      <w:r w:rsidRPr="009F3592">
        <w:rPr>
          <w:b w:val="0"/>
          <w:bCs/>
          <w:color w:val="auto"/>
        </w:rPr>
        <w:t>All fees available have been utilized for Services delivered and expenses incurred.</w:t>
      </w:r>
    </w:p>
    <w:p w14:paraId="6A91FBCD" w14:textId="77777777" w:rsidR="00985694" w:rsidRPr="009F3592" w:rsidRDefault="00DD01E5">
      <w:pPr>
        <w:pStyle w:val="BlueText-BulletStyle2"/>
        <w:rPr>
          <w:b w:val="0"/>
          <w:bCs/>
          <w:color w:val="auto"/>
        </w:rPr>
      </w:pPr>
      <w:r w:rsidRPr="009F3592">
        <w:rPr>
          <w:b w:val="0"/>
          <w:bCs/>
          <w:color w:val="auto"/>
        </w:rPr>
        <w:t>The term of the project has expired.</w:t>
      </w:r>
    </w:p>
    <w:p w14:paraId="7D75E0C7" w14:textId="77777777" w:rsidR="00985694" w:rsidRPr="009F3592" w:rsidRDefault="00DD01E5">
      <w:pPr>
        <w:pStyle w:val="BlueText-BulletStyle2"/>
        <w:rPr>
          <w:b w:val="0"/>
          <w:bCs/>
          <w:color w:val="auto"/>
        </w:rPr>
      </w:pPr>
      <w:r w:rsidRPr="009F3592">
        <w:rPr>
          <w:b w:val="0"/>
          <w:bCs/>
          <w:color w:val="auto"/>
        </w:rPr>
        <w:t>All Microsoft activities and in-scope items have been completed.</w:t>
      </w:r>
    </w:p>
    <w:p w14:paraId="2E3D356B" w14:textId="77777777" w:rsidR="00985694" w:rsidRPr="009F3592" w:rsidRDefault="00DD01E5">
      <w:pPr>
        <w:pStyle w:val="BlueText-BulletStyle2"/>
        <w:rPr>
          <w:b w:val="0"/>
          <w:bCs/>
          <w:color w:val="auto"/>
        </w:rPr>
      </w:pPr>
      <w:r w:rsidRPr="009F3592">
        <w:rPr>
          <w:b w:val="0"/>
          <w:bCs/>
          <w:color w:val="auto"/>
        </w:rPr>
        <w:t>The Work Order has been terminated.</w:t>
      </w:r>
    </w:p>
    <w:p w14:paraId="259841AB" w14:textId="77777777" w:rsidR="00B64A11" w:rsidRPr="00D602A4" w:rsidRDefault="00B64A11" w:rsidP="00D602A4">
      <w:bookmarkStart w:id="68" w:name="_Toc476167712"/>
      <w:bookmarkStart w:id="69" w:name="_Toc476168050"/>
    </w:p>
    <w:p w14:paraId="2FE824B7" w14:textId="259B7A6F" w:rsidR="00985694" w:rsidRPr="009E799D" w:rsidRDefault="00DD01E5">
      <w:pPr>
        <w:pStyle w:val="Heading1"/>
      </w:pPr>
      <w:bookmarkStart w:id="70" w:name="_Toc37330265"/>
      <w:r w:rsidRPr="009E799D">
        <w:lastRenderedPageBreak/>
        <w:t>Project organization</w:t>
      </w:r>
      <w:bookmarkEnd w:id="68"/>
      <w:bookmarkEnd w:id="69"/>
      <w:bookmarkEnd w:id="70"/>
    </w:p>
    <w:p w14:paraId="4E2D9683" w14:textId="77777777" w:rsidR="00985694" w:rsidRPr="009E799D" w:rsidRDefault="00DD01E5">
      <w:pPr>
        <w:pStyle w:val="Heading2"/>
      </w:pPr>
      <w:bookmarkStart w:id="71" w:name="_Toc476167713"/>
      <w:bookmarkStart w:id="72" w:name="_Toc476168051"/>
      <w:bookmarkStart w:id="73" w:name="_Toc37330266"/>
      <w:r w:rsidRPr="009E799D">
        <w:t>Project roles and responsibilities</w:t>
      </w:r>
      <w:bookmarkEnd w:id="71"/>
      <w:bookmarkEnd w:id="72"/>
      <w:bookmarkEnd w:id="73"/>
    </w:p>
    <w:p w14:paraId="3EA02102" w14:textId="77777777" w:rsidR="00985694" w:rsidRPr="009E799D" w:rsidRDefault="00DD01E5">
      <w:r w:rsidRPr="009E799D">
        <w:t>The key project and leadership roles and the responsibilities are as follows.</w:t>
      </w:r>
    </w:p>
    <w:p w14:paraId="201F25D1" w14:textId="77777777" w:rsidR="00985694" w:rsidRPr="009E799D" w:rsidRDefault="00DD01E5">
      <w:pPr>
        <w:pStyle w:val="Heading4"/>
      </w:pPr>
      <w:r w:rsidRPr="009E799D">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57"/>
        <w:gridCol w:w="7200"/>
      </w:tblGrid>
      <w:tr w:rsidR="00985694" w:rsidRPr="009E799D" w14:paraId="4A069B84" w14:textId="77777777">
        <w:trPr>
          <w:trHeight w:val="360"/>
          <w:tblHeader/>
        </w:trPr>
        <w:tc>
          <w:tcPr>
            <w:tcW w:w="2157" w:type="dxa"/>
            <w:shd w:val="clear" w:color="auto" w:fill="008272"/>
          </w:tcPr>
          <w:p w14:paraId="65FA7F77" w14:textId="77777777" w:rsidR="00985694" w:rsidRPr="009E799D" w:rsidRDefault="00DD01E5">
            <w:pPr>
              <w:pStyle w:val="Table-Header"/>
              <w:spacing w:before="51" w:after="51"/>
            </w:pPr>
            <w:r w:rsidRPr="009E799D">
              <w:t>Role</w:t>
            </w:r>
          </w:p>
        </w:tc>
        <w:tc>
          <w:tcPr>
            <w:tcW w:w="7200" w:type="dxa"/>
            <w:shd w:val="clear" w:color="auto" w:fill="008272"/>
          </w:tcPr>
          <w:p w14:paraId="55F8EF71" w14:textId="77777777" w:rsidR="00985694" w:rsidRPr="009E799D" w:rsidRDefault="00DD01E5">
            <w:pPr>
              <w:pStyle w:val="Table-Header"/>
              <w:spacing w:before="51" w:after="51"/>
            </w:pPr>
            <w:r w:rsidRPr="009E799D">
              <w:t>Responsibilities</w:t>
            </w:r>
          </w:p>
        </w:tc>
      </w:tr>
      <w:tr w:rsidR="00985694" w:rsidRPr="009E799D" w14:paraId="2EF1486C" w14:textId="77777777">
        <w:trPr>
          <w:trHeight w:val="432"/>
        </w:trPr>
        <w:tc>
          <w:tcPr>
            <w:tcW w:w="2157" w:type="dxa"/>
            <w:shd w:val="clear" w:color="auto" w:fill="auto"/>
          </w:tcPr>
          <w:p w14:paraId="7A88EC25" w14:textId="77777777" w:rsidR="00985694" w:rsidRPr="009E799D" w:rsidRDefault="00DD01E5">
            <w:pPr>
              <w:pStyle w:val="TableText"/>
              <w:spacing w:before="51" w:after="51"/>
            </w:pPr>
            <w:r w:rsidRPr="009E799D">
              <w:t>Project sponsor</w:t>
            </w:r>
          </w:p>
        </w:tc>
        <w:tc>
          <w:tcPr>
            <w:tcW w:w="7200" w:type="dxa"/>
            <w:shd w:val="clear" w:color="auto" w:fill="auto"/>
          </w:tcPr>
          <w:p w14:paraId="71D8356F" w14:textId="77554FF4" w:rsidR="00985694" w:rsidRPr="00634F87" w:rsidRDefault="00DD01E5" w:rsidP="00D602A4">
            <w:pPr>
              <w:pStyle w:val="TableBullet1"/>
              <w:rPr>
                <w:i/>
              </w:rPr>
            </w:pPr>
            <w:r w:rsidRPr="00634F87">
              <w:t>Provide the</w:t>
            </w:r>
            <w:r w:rsidRPr="009E799D">
              <w:t xml:space="preserve"> estimated project commitment: </w:t>
            </w:r>
            <w:r w:rsidR="009F3592" w:rsidRPr="00634F87">
              <w:rPr>
                <w:i/>
              </w:rPr>
              <w:t xml:space="preserve">4 hours per week </w:t>
            </w:r>
            <w:r w:rsidR="00634F87" w:rsidRPr="00634F87">
              <w:rPr>
                <w:i/>
              </w:rPr>
              <w:t>approximately</w:t>
            </w:r>
          </w:p>
          <w:p w14:paraId="0E86D60B" w14:textId="77777777" w:rsidR="00985694" w:rsidRPr="009E799D" w:rsidRDefault="00DD01E5" w:rsidP="00D602A4">
            <w:pPr>
              <w:pStyle w:val="TableBullet1"/>
              <w:rPr>
                <w:szCs w:val="18"/>
              </w:rPr>
            </w:pPr>
            <w:r w:rsidRPr="009E799D">
              <w:t>Make key project decisions.</w:t>
            </w:r>
          </w:p>
          <w:p w14:paraId="65CE1B11" w14:textId="77777777" w:rsidR="00985694" w:rsidRPr="009E799D" w:rsidRDefault="00DD01E5" w:rsidP="00D602A4">
            <w:pPr>
              <w:pStyle w:val="TableBullet1"/>
              <w:rPr>
                <w:szCs w:val="18"/>
              </w:rPr>
            </w:pPr>
            <w:r w:rsidRPr="009E799D">
              <w:t>Serve as a point of escalation to support clearing project roadblocks.</w:t>
            </w:r>
          </w:p>
        </w:tc>
      </w:tr>
      <w:tr w:rsidR="00985694" w:rsidRPr="009E799D" w14:paraId="12C6213A" w14:textId="77777777">
        <w:trPr>
          <w:trHeight w:val="432"/>
        </w:trPr>
        <w:tc>
          <w:tcPr>
            <w:tcW w:w="2157" w:type="dxa"/>
            <w:shd w:val="clear" w:color="auto" w:fill="auto"/>
          </w:tcPr>
          <w:p w14:paraId="79742AA0" w14:textId="77777777" w:rsidR="00985694" w:rsidRPr="009E799D" w:rsidRDefault="00DD01E5">
            <w:pPr>
              <w:pStyle w:val="TableText"/>
              <w:spacing w:before="51" w:after="51"/>
              <w:rPr>
                <w:szCs w:val="18"/>
              </w:rPr>
            </w:pPr>
            <w:r w:rsidRPr="009E799D">
              <w:rPr>
                <w:szCs w:val="18"/>
              </w:rPr>
              <w:t>Project manager</w:t>
            </w:r>
          </w:p>
        </w:tc>
        <w:tc>
          <w:tcPr>
            <w:tcW w:w="7200" w:type="dxa"/>
            <w:shd w:val="clear" w:color="auto" w:fill="auto"/>
          </w:tcPr>
          <w:p w14:paraId="0788EA02" w14:textId="77777777" w:rsidR="00634F87" w:rsidRPr="00634F87" w:rsidRDefault="00DD01E5" w:rsidP="00634F87">
            <w:pPr>
              <w:pStyle w:val="TableBullet1"/>
            </w:pPr>
            <w:r w:rsidRPr="00710EAA">
              <w:t>Provide</w:t>
            </w:r>
            <w:r w:rsidRPr="009E799D">
              <w:t xml:space="preserve"> the estimated project commitment: </w:t>
            </w:r>
            <w:r w:rsidR="00634F87" w:rsidRPr="00634F87">
              <w:t>4 hours per week approximately</w:t>
            </w:r>
          </w:p>
          <w:p w14:paraId="6ACF8931" w14:textId="2A85FAA3" w:rsidR="00985694" w:rsidRPr="00710EAA" w:rsidRDefault="00DD01E5" w:rsidP="00D602A4">
            <w:pPr>
              <w:pStyle w:val="TableBullet1"/>
            </w:pPr>
            <w:r w:rsidRPr="00710EAA">
              <w:t>Serve as primary point of contact for the Microsoft team</w:t>
            </w:r>
            <w:r w:rsidR="008A6E4B">
              <w:t>.</w:t>
            </w:r>
          </w:p>
          <w:p w14:paraId="36CF179C" w14:textId="77777777" w:rsidR="00985694" w:rsidRPr="00710EAA" w:rsidRDefault="00DD01E5" w:rsidP="00D602A4">
            <w:pPr>
              <w:pStyle w:val="TableBullet1"/>
            </w:pPr>
            <w:r w:rsidRPr="00710EAA">
              <w:t>Manage the overall project.</w:t>
            </w:r>
          </w:p>
          <w:p w14:paraId="41C98A6C" w14:textId="77777777" w:rsidR="00985694" w:rsidRPr="00710EAA" w:rsidRDefault="00DD01E5" w:rsidP="00D602A4">
            <w:pPr>
              <w:pStyle w:val="TableBullet1"/>
            </w:pPr>
            <w:r w:rsidRPr="00710EAA">
              <w:t>Deliver the project on schedule.</w:t>
            </w:r>
          </w:p>
          <w:p w14:paraId="6BD02766" w14:textId="3A35D544" w:rsidR="00985694" w:rsidRPr="00710EAA" w:rsidRDefault="00DD01E5" w:rsidP="00D602A4">
            <w:pPr>
              <w:pStyle w:val="TableBullet1"/>
            </w:pPr>
            <w:r w:rsidRPr="00710EAA">
              <w:t xml:space="preserve">Take responsibility for </w:t>
            </w:r>
            <w:r w:rsidR="00BC4E5C">
              <w:t>Customer</w:t>
            </w:r>
            <w:r w:rsidRPr="00710EAA">
              <w:t xml:space="preserve"> resource allocation, risk management, and project priorities.</w:t>
            </w:r>
          </w:p>
          <w:p w14:paraId="2B846FEA" w14:textId="77777777" w:rsidR="00985694" w:rsidRPr="009E799D" w:rsidRDefault="00DD01E5" w:rsidP="00D602A4">
            <w:pPr>
              <w:pStyle w:val="TableBullet1"/>
            </w:pPr>
            <w:r w:rsidRPr="00710EAA">
              <w:t>Communicate with executive stakeholders.</w:t>
            </w:r>
          </w:p>
        </w:tc>
      </w:tr>
      <w:tr w:rsidR="00985694" w:rsidRPr="009E799D" w14:paraId="6E34BCA3" w14:textId="77777777">
        <w:trPr>
          <w:trHeight w:val="432"/>
        </w:trPr>
        <w:tc>
          <w:tcPr>
            <w:tcW w:w="2157" w:type="dxa"/>
            <w:shd w:val="clear" w:color="auto" w:fill="auto"/>
          </w:tcPr>
          <w:p w14:paraId="55F570E8" w14:textId="77777777" w:rsidR="00985694" w:rsidRPr="009E799D" w:rsidRDefault="00DD01E5" w:rsidP="007F213E">
            <w:pPr>
              <w:pStyle w:val="TableText"/>
            </w:pPr>
            <w:r w:rsidRPr="009E799D">
              <w:t>Technical team lead</w:t>
            </w:r>
          </w:p>
        </w:tc>
        <w:tc>
          <w:tcPr>
            <w:tcW w:w="7200" w:type="dxa"/>
            <w:shd w:val="clear" w:color="auto" w:fill="auto"/>
          </w:tcPr>
          <w:p w14:paraId="3E3C6477" w14:textId="3E436D31" w:rsidR="007F213E" w:rsidRPr="00710EAA" w:rsidRDefault="008A6E4B" w:rsidP="00710EAA">
            <w:pPr>
              <w:pStyle w:val="TableBullet1"/>
            </w:pPr>
            <w:r>
              <w:t>Serve as p</w:t>
            </w:r>
            <w:r w:rsidRPr="00710EAA">
              <w:t xml:space="preserve">rimary </w:t>
            </w:r>
            <w:r w:rsidR="007F213E" w:rsidRPr="00710EAA">
              <w:t>contact person for the Microsoft consultants.</w:t>
            </w:r>
          </w:p>
          <w:p w14:paraId="2DE702C5" w14:textId="77777777" w:rsidR="007F213E" w:rsidRPr="00710EAA" w:rsidRDefault="007F213E" w:rsidP="00710EAA">
            <w:pPr>
              <w:pStyle w:val="TableBullet1"/>
            </w:pPr>
            <w:r w:rsidRPr="00710EAA">
              <w:t>Has in-depth knowledge of the Customer environment.</w:t>
            </w:r>
          </w:p>
          <w:p w14:paraId="12621BBB" w14:textId="3BC0C253" w:rsidR="007F213E" w:rsidRPr="00710EAA" w:rsidRDefault="007F213E" w:rsidP="00710EAA">
            <w:pPr>
              <w:pStyle w:val="TableBullet1"/>
            </w:pPr>
            <w:r w:rsidRPr="00710EAA">
              <w:t>Help resolve technical problems.</w:t>
            </w:r>
          </w:p>
          <w:p w14:paraId="52ADBCE7" w14:textId="66568A72" w:rsidR="00985694" w:rsidRPr="00710EAA" w:rsidRDefault="007F213E" w:rsidP="00710EAA">
            <w:pPr>
              <w:pStyle w:val="TableBullet1"/>
            </w:pPr>
            <w:r w:rsidRPr="00710EAA">
              <w:t xml:space="preserve">Receive and </w:t>
            </w:r>
            <w:r w:rsidR="008A6E4B">
              <w:t>takes responsibility for</w:t>
            </w:r>
            <w:r w:rsidR="008A6E4B" w:rsidRPr="00710EAA">
              <w:t xml:space="preserve"> </w:t>
            </w:r>
            <w:r w:rsidRPr="00710EAA">
              <w:t xml:space="preserve">escalations of technical </w:t>
            </w:r>
            <w:r w:rsidR="009E799D" w:rsidRPr="00710EAA">
              <w:t>problems.</w:t>
            </w:r>
          </w:p>
        </w:tc>
      </w:tr>
      <w:tr w:rsidR="007F213E" w:rsidRPr="009E799D" w14:paraId="56048BC9" w14:textId="77777777">
        <w:trPr>
          <w:trHeight w:val="432"/>
        </w:trPr>
        <w:tc>
          <w:tcPr>
            <w:tcW w:w="2157" w:type="dxa"/>
            <w:shd w:val="clear" w:color="auto" w:fill="auto"/>
          </w:tcPr>
          <w:p w14:paraId="7835A76E" w14:textId="15A322A5" w:rsidR="007F213E" w:rsidRPr="009E799D" w:rsidRDefault="007F213E" w:rsidP="007F213E">
            <w:pPr>
              <w:pStyle w:val="TableText"/>
              <w:rPr>
                <w:szCs w:val="18"/>
              </w:rPr>
            </w:pPr>
            <w:r w:rsidRPr="009E799D">
              <w:t>Server, database, network, security, and systems management administrators (infrastructure SMEs)</w:t>
            </w:r>
          </w:p>
        </w:tc>
        <w:tc>
          <w:tcPr>
            <w:tcW w:w="7200" w:type="dxa"/>
            <w:shd w:val="clear" w:color="auto" w:fill="auto"/>
          </w:tcPr>
          <w:p w14:paraId="69A5BF2A" w14:textId="210A1860" w:rsidR="007F213E" w:rsidRPr="00710EAA" w:rsidRDefault="007F213E" w:rsidP="00710EAA">
            <w:pPr>
              <w:pStyle w:val="TableBullet1"/>
            </w:pPr>
            <w:r w:rsidRPr="00710EAA">
              <w:t>Provide remote access connection for the remote team.</w:t>
            </w:r>
          </w:p>
          <w:p w14:paraId="16A38ADF" w14:textId="1B55D000" w:rsidR="007F213E" w:rsidRPr="00710EAA" w:rsidRDefault="007F213E" w:rsidP="00710EAA">
            <w:pPr>
              <w:pStyle w:val="TableBullet1"/>
            </w:pPr>
            <w:r w:rsidRPr="00710EAA">
              <w:t xml:space="preserve">Perform network configurations in support of </w:t>
            </w:r>
            <w:r w:rsidR="00973DF7">
              <w:t xml:space="preserve">the </w:t>
            </w:r>
            <w:r w:rsidRPr="00710EAA">
              <w:t>deployment.</w:t>
            </w:r>
          </w:p>
          <w:p w14:paraId="1B1353F9" w14:textId="46196186" w:rsidR="007F213E" w:rsidRPr="00710EAA" w:rsidRDefault="007F213E" w:rsidP="00710EAA">
            <w:pPr>
              <w:pStyle w:val="TableBullet1"/>
            </w:pPr>
            <w:r w:rsidRPr="00710EAA">
              <w:t>Provide access to Azure</w:t>
            </w:r>
            <w:r w:rsidR="00973DF7">
              <w:t>.</w:t>
            </w:r>
          </w:p>
          <w:p w14:paraId="4F892B75" w14:textId="56BF1D22" w:rsidR="007F213E" w:rsidRPr="00710EAA" w:rsidRDefault="007F213E" w:rsidP="00710EAA">
            <w:pPr>
              <w:pStyle w:val="TableBullet1"/>
            </w:pPr>
            <w:r w:rsidRPr="00710EAA">
              <w:t xml:space="preserve">Perform storage and network configurations in </w:t>
            </w:r>
            <w:r w:rsidR="00973DF7">
              <w:t xml:space="preserve">the </w:t>
            </w:r>
            <w:r w:rsidRPr="00710EAA">
              <w:t>Azure IaaS environment to support deployment activities.</w:t>
            </w:r>
          </w:p>
          <w:p w14:paraId="5C550397" w14:textId="034BD658" w:rsidR="007F213E" w:rsidRPr="00710EAA" w:rsidRDefault="00973DF7" w:rsidP="00710EAA">
            <w:pPr>
              <w:pStyle w:val="TableBullet1"/>
            </w:pPr>
            <w:r>
              <w:t>Verify that</w:t>
            </w:r>
            <w:r w:rsidR="007F213E" w:rsidRPr="00710EAA">
              <w:t xml:space="preserve"> IT </w:t>
            </w:r>
            <w:r>
              <w:t>s</w:t>
            </w:r>
            <w:r w:rsidRPr="00710EAA">
              <w:t xml:space="preserve">ecurity </w:t>
            </w:r>
            <w:r w:rsidR="007F213E" w:rsidRPr="00710EAA">
              <w:t xml:space="preserve">policies are known by </w:t>
            </w:r>
            <w:r>
              <w:t xml:space="preserve">the </w:t>
            </w:r>
            <w:r w:rsidR="007F213E" w:rsidRPr="00710EAA">
              <w:t>team; manage security approvals.</w:t>
            </w:r>
          </w:p>
          <w:p w14:paraId="44779AC3" w14:textId="0F6AB262" w:rsidR="007F213E" w:rsidRPr="00710EAA" w:rsidRDefault="007F213E" w:rsidP="00710EAA">
            <w:pPr>
              <w:pStyle w:val="TableBullet1"/>
            </w:pPr>
            <w:r w:rsidRPr="00710EAA">
              <w:t>Get necessary approvals from internal IT, risk management, security, and change management teams.</w:t>
            </w:r>
          </w:p>
          <w:p w14:paraId="6DBBBB12" w14:textId="0B4A06DD" w:rsidR="007F213E" w:rsidRPr="00710EAA" w:rsidRDefault="007F213E" w:rsidP="00710EAA">
            <w:pPr>
              <w:pStyle w:val="TableBullet1"/>
            </w:pPr>
            <w:r w:rsidRPr="00710EAA">
              <w:t>Perform client configurations in support of deployment activities.</w:t>
            </w:r>
          </w:p>
        </w:tc>
      </w:tr>
    </w:tbl>
    <w:p w14:paraId="77115ED4" w14:textId="3E544AD8" w:rsidR="00985694" w:rsidRPr="009E799D" w:rsidRDefault="00DD01E5">
      <w:pPr>
        <w:pStyle w:val="Heading4"/>
      </w:pPr>
      <w:r w:rsidRPr="009E799D">
        <w:t>Microsoft</w:t>
      </w:r>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74"/>
        <w:gridCol w:w="7163"/>
        <w:gridCol w:w="23"/>
      </w:tblGrid>
      <w:tr w:rsidR="00985694" w:rsidRPr="009E799D" w14:paraId="43CB3500" w14:textId="77777777" w:rsidTr="00D602A4">
        <w:trPr>
          <w:trHeight w:val="360"/>
          <w:tblHeader/>
        </w:trPr>
        <w:tc>
          <w:tcPr>
            <w:tcW w:w="2174" w:type="dxa"/>
            <w:shd w:val="clear" w:color="auto" w:fill="008272"/>
          </w:tcPr>
          <w:p w14:paraId="706FDCAE" w14:textId="77777777" w:rsidR="00985694" w:rsidRPr="009E799D" w:rsidRDefault="00DD01E5">
            <w:pPr>
              <w:pStyle w:val="Table-Header"/>
              <w:spacing w:before="51" w:after="51"/>
            </w:pPr>
            <w:r w:rsidRPr="009E799D">
              <w:t>Role</w:t>
            </w:r>
          </w:p>
        </w:tc>
        <w:tc>
          <w:tcPr>
            <w:tcW w:w="7186" w:type="dxa"/>
            <w:gridSpan w:val="2"/>
            <w:shd w:val="clear" w:color="auto" w:fill="008272"/>
          </w:tcPr>
          <w:p w14:paraId="0E71EE2F" w14:textId="77777777" w:rsidR="00985694" w:rsidRPr="009E799D" w:rsidRDefault="00DD01E5">
            <w:pPr>
              <w:pStyle w:val="Table-Header"/>
              <w:spacing w:before="51" w:after="51"/>
            </w:pPr>
            <w:r w:rsidRPr="009E799D">
              <w:t>Responsibilities</w:t>
            </w:r>
          </w:p>
        </w:tc>
      </w:tr>
      <w:tr w:rsidR="00985694" w:rsidRPr="009E799D" w14:paraId="124EB8FB" w14:textId="77777777" w:rsidTr="00D602A4">
        <w:trPr>
          <w:gridAfter w:val="1"/>
          <w:wAfter w:w="23" w:type="dxa"/>
          <w:trHeight w:val="441"/>
        </w:trPr>
        <w:tc>
          <w:tcPr>
            <w:tcW w:w="2174" w:type="dxa"/>
            <w:shd w:val="clear" w:color="auto" w:fill="auto"/>
          </w:tcPr>
          <w:p w14:paraId="65BD161E" w14:textId="77777777" w:rsidR="00985694" w:rsidRPr="009E799D" w:rsidRDefault="00DD01E5">
            <w:pPr>
              <w:pStyle w:val="TableText"/>
              <w:spacing w:before="51" w:after="51"/>
            </w:pPr>
            <w:r w:rsidRPr="009E799D">
              <w:t>Delivery manager</w:t>
            </w:r>
          </w:p>
        </w:tc>
        <w:tc>
          <w:tcPr>
            <w:tcW w:w="7163" w:type="dxa"/>
            <w:shd w:val="clear" w:color="auto" w:fill="auto"/>
          </w:tcPr>
          <w:p w14:paraId="220663ED" w14:textId="77777777" w:rsidR="00985694" w:rsidRPr="00D602A4" w:rsidRDefault="00DD01E5" w:rsidP="00D602A4">
            <w:pPr>
              <w:pStyle w:val="TableBullet1"/>
              <w:rPr>
                <w:rStyle w:val="InstructionalChar"/>
                <w:i w:val="0"/>
                <w:color w:val="auto"/>
              </w:rPr>
            </w:pPr>
            <w:r w:rsidRPr="00710EAA">
              <w:t xml:space="preserve">Manage and coordinate the overall Microsoft project. </w:t>
            </w:r>
          </w:p>
          <w:p w14:paraId="6A344B92" w14:textId="71271393" w:rsidR="00985694" w:rsidRPr="00710EAA" w:rsidRDefault="00DD01E5" w:rsidP="00D602A4">
            <w:pPr>
              <w:pStyle w:val="TableBullet1"/>
            </w:pPr>
            <w:r w:rsidRPr="00710EAA">
              <w:t>Drive delivery governance and operational excellence</w:t>
            </w:r>
            <w:r w:rsidR="00D85BF6">
              <w:t>.</w:t>
            </w:r>
          </w:p>
          <w:p w14:paraId="7343FD06" w14:textId="77777777" w:rsidR="00985694" w:rsidRPr="00710EAA" w:rsidRDefault="00DD01E5" w:rsidP="00D602A4">
            <w:pPr>
              <w:pStyle w:val="TableBullet1"/>
            </w:pPr>
            <w:r w:rsidRPr="00710EAA">
              <w:t>Serve as a single point of contact for escalations, billing issues, personnel matters, and contract extensions.</w:t>
            </w:r>
          </w:p>
        </w:tc>
      </w:tr>
      <w:tr w:rsidR="00985694" w:rsidRPr="009E799D" w14:paraId="1950DAC8" w14:textId="77777777" w:rsidTr="00D602A4">
        <w:trPr>
          <w:gridAfter w:val="1"/>
          <w:wAfter w:w="23" w:type="dxa"/>
          <w:trHeight w:val="441"/>
        </w:trPr>
        <w:tc>
          <w:tcPr>
            <w:tcW w:w="2174" w:type="dxa"/>
            <w:shd w:val="clear" w:color="auto" w:fill="auto"/>
          </w:tcPr>
          <w:p w14:paraId="711B3AF0" w14:textId="77777777" w:rsidR="00985694" w:rsidRPr="009E799D" w:rsidRDefault="00DD01E5">
            <w:pPr>
              <w:pStyle w:val="TableText"/>
              <w:spacing w:before="51" w:after="51"/>
            </w:pPr>
            <w:r w:rsidRPr="009E799D">
              <w:t>Microsoft project manager</w:t>
            </w:r>
          </w:p>
        </w:tc>
        <w:tc>
          <w:tcPr>
            <w:tcW w:w="7163" w:type="dxa"/>
            <w:shd w:val="clear" w:color="auto" w:fill="auto"/>
          </w:tcPr>
          <w:p w14:paraId="3CB10D83" w14:textId="77777777" w:rsidR="00985694" w:rsidRPr="00710EAA" w:rsidRDefault="00DD01E5" w:rsidP="00D602A4">
            <w:pPr>
              <w:pStyle w:val="TableBullet1"/>
            </w:pPr>
            <w:r w:rsidRPr="00710EAA">
              <w:t xml:space="preserve">Manage and coordinate Microsoft project delivery. </w:t>
            </w:r>
          </w:p>
          <w:p w14:paraId="6F602C09" w14:textId="77777777" w:rsidR="00985694" w:rsidRPr="00710EAA" w:rsidRDefault="00DD01E5" w:rsidP="00D602A4">
            <w:pPr>
              <w:pStyle w:val="TableBullet1"/>
            </w:pPr>
            <w:r w:rsidRPr="00710EAA">
              <w:lastRenderedPageBreak/>
              <w:t>Take responsibility for issue and risk management, change management, project priorities, status communications, and status meetings.</w:t>
            </w:r>
          </w:p>
          <w:p w14:paraId="5786401E" w14:textId="31F60BAD" w:rsidR="00985694" w:rsidRPr="00710EAA" w:rsidRDefault="00DD01E5" w:rsidP="00D602A4">
            <w:pPr>
              <w:pStyle w:val="TableBullet1"/>
            </w:pPr>
            <w:r w:rsidRPr="00710EAA">
              <w:t xml:space="preserve">Coordinate Microsoft and Microsoft subcontractor resources but not </w:t>
            </w:r>
            <w:r w:rsidR="00BC4E5C">
              <w:t>Customer</w:t>
            </w:r>
            <w:r w:rsidRPr="00710EAA">
              <w:t xml:space="preserve"> resources.</w:t>
            </w:r>
          </w:p>
          <w:p w14:paraId="545699A3" w14:textId="07CF4B7E" w:rsidR="00985694" w:rsidRPr="00710EAA" w:rsidRDefault="00DD01E5" w:rsidP="00D602A4">
            <w:pPr>
              <w:pStyle w:val="TableBullet1"/>
            </w:pPr>
            <w:r w:rsidRPr="00710EAA">
              <w:t>Project management may be delivered remotely</w:t>
            </w:r>
            <w:r w:rsidR="00D85BF6">
              <w:t>.</w:t>
            </w:r>
          </w:p>
        </w:tc>
      </w:tr>
      <w:tr w:rsidR="00985694" w:rsidRPr="009E799D" w14:paraId="5025246D" w14:textId="77777777" w:rsidTr="00D602A4">
        <w:trPr>
          <w:gridAfter w:val="1"/>
          <w:wAfter w:w="23" w:type="dxa"/>
          <w:trHeight w:val="441"/>
        </w:trPr>
        <w:tc>
          <w:tcPr>
            <w:tcW w:w="2174" w:type="dxa"/>
            <w:shd w:val="clear" w:color="auto" w:fill="auto"/>
          </w:tcPr>
          <w:p w14:paraId="4DE5F8F5" w14:textId="77777777" w:rsidR="00985694" w:rsidRPr="009E799D" w:rsidRDefault="00DD01E5">
            <w:pPr>
              <w:pStyle w:val="TableText"/>
              <w:spacing w:before="51" w:after="51"/>
            </w:pPr>
            <w:r w:rsidRPr="009E799D">
              <w:lastRenderedPageBreak/>
              <w:t>Microsoft lead architect</w:t>
            </w:r>
          </w:p>
        </w:tc>
        <w:tc>
          <w:tcPr>
            <w:tcW w:w="7163" w:type="dxa"/>
            <w:shd w:val="clear" w:color="auto" w:fill="auto"/>
          </w:tcPr>
          <w:p w14:paraId="0A8CA1BA" w14:textId="275C6966" w:rsidR="00985694" w:rsidRPr="009E799D" w:rsidRDefault="00DD01E5" w:rsidP="00D602A4">
            <w:pPr>
              <w:pStyle w:val="TableBullet1"/>
              <w:rPr>
                <w:szCs w:val="18"/>
              </w:rPr>
            </w:pPr>
            <w:r w:rsidRPr="009E799D">
              <w:t>Design the overall solution.</w:t>
            </w:r>
            <w:r w:rsidR="00A16C55" w:rsidRPr="009E799D">
              <w:t xml:space="preserve"> </w:t>
            </w:r>
            <w:r w:rsidRPr="009E799D">
              <w:t>Provide guidance based on Microsoft-recommended practices.</w:t>
            </w:r>
          </w:p>
        </w:tc>
      </w:tr>
      <w:tr w:rsidR="00985694" w:rsidRPr="009E799D" w14:paraId="48C3836E" w14:textId="77777777" w:rsidTr="00D602A4">
        <w:trPr>
          <w:trHeight w:val="75"/>
        </w:trPr>
        <w:tc>
          <w:tcPr>
            <w:tcW w:w="2174" w:type="dxa"/>
            <w:shd w:val="clear" w:color="auto" w:fill="auto"/>
          </w:tcPr>
          <w:p w14:paraId="3BF34ADB" w14:textId="77777777" w:rsidR="00985694" w:rsidRPr="009E799D" w:rsidRDefault="00DD01E5">
            <w:pPr>
              <w:pStyle w:val="TableText"/>
              <w:spacing w:before="51" w:after="51"/>
            </w:pPr>
            <w:r w:rsidRPr="009E799D">
              <w:t>Consultant</w:t>
            </w:r>
          </w:p>
        </w:tc>
        <w:tc>
          <w:tcPr>
            <w:tcW w:w="7186" w:type="dxa"/>
            <w:gridSpan w:val="2"/>
            <w:shd w:val="clear" w:color="auto" w:fill="auto"/>
          </w:tcPr>
          <w:p w14:paraId="7F8B848D" w14:textId="472AB8F3" w:rsidR="00985694" w:rsidRPr="00710EAA" w:rsidRDefault="00DD01E5" w:rsidP="00710EAA">
            <w:pPr>
              <w:pStyle w:val="TableBullet1"/>
            </w:pPr>
            <w:r w:rsidRPr="00710EAA">
              <w:t>Provide technical advice and guidance for in-scope Microsoft products and technologies based on Microsoft</w:t>
            </w:r>
            <w:r w:rsidR="00624941">
              <w:t>-</w:t>
            </w:r>
            <w:r w:rsidRPr="00710EAA">
              <w:t>recommended practices.</w:t>
            </w:r>
          </w:p>
          <w:p w14:paraId="266922FD" w14:textId="4D061898" w:rsidR="00985694" w:rsidRPr="00710EAA" w:rsidRDefault="00D85BF6" w:rsidP="00710EAA">
            <w:pPr>
              <w:pStyle w:val="TableBullet1"/>
            </w:pPr>
            <w:r>
              <w:t>Help</w:t>
            </w:r>
            <w:r w:rsidR="00DD01E5" w:rsidRPr="00710EAA">
              <w:t xml:space="preserve"> develop and build technical solutions.</w:t>
            </w:r>
          </w:p>
          <w:p w14:paraId="2A7010DD" w14:textId="46A311AF" w:rsidR="00985694" w:rsidRPr="00710EAA" w:rsidRDefault="00DD01E5" w:rsidP="00710EAA">
            <w:pPr>
              <w:pStyle w:val="TableBullet1"/>
            </w:pPr>
            <w:r w:rsidRPr="00710EAA">
              <w:t xml:space="preserve">Assist in </w:t>
            </w:r>
            <w:r w:rsidR="00D85BF6">
              <w:t xml:space="preserve">the </w:t>
            </w:r>
            <w:r w:rsidRPr="00710EAA">
              <w:t>development of architectural designs.</w:t>
            </w:r>
          </w:p>
          <w:p w14:paraId="2843B6AB" w14:textId="7DEA62A5" w:rsidR="00985694" w:rsidRPr="009E799D" w:rsidRDefault="00DD01E5" w:rsidP="00710EAA">
            <w:pPr>
              <w:pStyle w:val="TableBullet1"/>
            </w:pPr>
            <w:r w:rsidRPr="00710EAA">
              <w:t xml:space="preserve">Assist in </w:t>
            </w:r>
            <w:r w:rsidR="00D85BF6">
              <w:t xml:space="preserve">the </w:t>
            </w:r>
            <w:r w:rsidRPr="00710EAA">
              <w:t xml:space="preserve">preparation and delivery of technical presentations to </w:t>
            </w:r>
            <w:r w:rsidR="00D85BF6">
              <w:t xml:space="preserve">the </w:t>
            </w:r>
            <w:r w:rsidR="00BC4E5C">
              <w:t>C</w:t>
            </w:r>
            <w:r w:rsidRPr="00710EAA">
              <w:t>ustomer.</w:t>
            </w:r>
          </w:p>
        </w:tc>
      </w:tr>
    </w:tbl>
    <w:p w14:paraId="5DAF61DE" w14:textId="77777777" w:rsidR="00FB57A8" w:rsidRPr="00D602A4" w:rsidRDefault="00FB57A8" w:rsidP="00D602A4">
      <w:bookmarkStart w:id="74" w:name="_Toc476167714"/>
      <w:bookmarkStart w:id="75" w:name="_Toc476168052"/>
    </w:p>
    <w:p w14:paraId="0F95ED7A" w14:textId="6F291099" w:rsidR="00985694" w:rsidRPr="009E799D" w:rsidRDefault="00DD01E5">
      <w:pPr>
        <w:pStyle w:val="Heading1"/>
      </w:pPr>
      <w:bookmarkStart w:id="76" w:name="_Toc37330267"/>
      <w:r w:rsidRPr="009E799D">
        <w:t>Customer responsibilities and project assumptions</w:t>
      </w:r>
      <w:bookmarkEnd w:id="74"/>
      <w:bookmarkEnd w:id="75"/>
      <w:bookmarkEnd w:id="76"/>
    </w:p>
    <w:p w14:paraId="05C424FC" w14:textId="77777777" w:rsidR="00985694" w:rsidRPr="009E799D" w:rsidRDefault="00DD01E5">
      <w:pPr>
        <w:pStyle w:val="Heading2"/>
      </w:pPr>
      <w:bookmarkStart w:id="77" w:name="_Toc476167715"/>
      <w:bookmarkStart w:id="78" w:name="_Toc476168053"/>
      <w:bookmarkStart w:id="79" w:name="_Toc37330268"/>
      <w:r w:rsidRPr="009E799D">
        <w:t>Customer responsibilities</w:t>
      </w:r>
      <w:bookmarkEnd w:id="77"/>
      <w:bookmarkEnd w:id="78"/>
      <w:bookmarkEnd w:id="79"/>
    </w:p>
    <w:p w14:paraId="2BC0D56E" w14:textId="77777777" w:rsidR="00985694" w:rsidRPr="009E799D" w:rsidRDefault="00DD01E5">
      <w:r w:rsidRPr="009E799D">
        <w:t xml:space="preserve">In addition to Customer activities defined elsewhere in this SOW, the Customer will also be required to: </w:t>
      </w:r>
    </w:p>
    <w:p w14:paraId="1FC8AF62" w14:textId="77777777" w:rsidR="00985694" w:rsidRPr="009E799D" w:rsidRDefault="00DD01E5">
      <w:pPr>
        <w:pStyle w:val="Bulletlist"/>
      </w:pPr>
      <w:r w:rsidRPr="009E799D">
        <w:t xml:space="preserve">Provide information: </w:t>
      </w:r>
    </w:p>
    <w:p w14:paraId="70FD14F2" w14:textId="06C8189C" w:rsidR="00985694" w:rsidRPr="009E799D" w:rsidRDefault="00DD01E5" w:rsidP="006F47D1">
      <w:pPr>
        <w:pStyle w:val="Bulletlist"/>
        <w:numPr>
          <w:ilvl w:val="1"/>
          <w:numId w:val="5"/>
        </w:numPr>
      </w:pPr>
      <w:r w:rsidRPr="009E799D">
        <w:t xml:space="preserve">This includes accurate, timely (within </w:t>
      </w:r>
      <w:r w:rsidRPr="009F3592">
        <w:t xml:space="preserve">three (3) business days </w:t>
      </w:r>
      <w:r w:rsidRPr="009E799D">
        <w:t>or as mutually agreed</w:t>
      </w:r>
      <w:r w:rsidR="002C265C">
        <w:t xml:space="preserve"> </w:t>
      </w:r>
      <w:r w:rsidRPr="009E799D">
        <w:t>upon), and complete information required for the engagement.</w:t>
      </w:r>
    </w:p>
    <w:p w14:paraId="381979A8" w14:textId="77777777" w:rsidR="00985694" w:rsidRPr="009E799D" w:rsidRDefault="00DD01E5">
      <w:pPr>
        <w:pStyle w:val="Bulletlist"/>
      </w:pPr>
      <w:r w:rsidRPr="009E799D">
        <w:t xml:space="preserve">Provide access to people and resources. </w:t>
      </w:r>
    </w:p>
    <w:p w14:paraId="445CF1AE" w14:textId="4564D54A" w:rsidR="00985694" w:rsidRPr="009E799D" w:rsidRDefault="00DD01E5" w:rsidP="006F47D1">
      <w:pPr>
        <w:pStyle w:val="Bulletlist"/>
        <w:numPr>
          <w:ilvl w:val="1"/>
          <w:numId w:val="5"/>
        </w:numPr>
      </w:pPr>
      <w:r w:rsidRPr="009E799D">
        <w:t xml:space="preserve">This includes access to knowledgeable </w:t>
      </w:r>
      <w:r w:rsidR="00BC4E5C">
        <w:t>C</w:t>
      </w:r>
      <w:r w:rsidRPr="009E799D">
        <w:t>ustomer personnel, including business user representatives, and access to funding if additional budget is needed to deliver project scope.</w:t>
      </w:r>
    </w:p>
    <w:p w14:paraId="3CB07D46" w14:textId="77777777" w:rsidR="00985694" w:rsidRPr="009E799D" w:rsidRDefault="00DD01E5">
      <w:pPr>
        <w:pStyle w:val="Bulletlist"/>
      </w:pPr>
      <w:r w:rsidRPr="009E799D">
        <w:t xml:space="preserve">Provide access to systems. </w:t>
      </w:r>
    </w:p>
    <w:p w14:paraId="59C2B0D5" w14:textId="58995B5F" w:rsidR="00985694" w:rsidRPr="009E799D" w:rsidRDefault="00DD01E5" w:rsidP="006F47D1">
      <w:pPr>
        <w:pStyle w:val="Bulletlist"/>
        <w:numPr>
          <w:ilvl w:val="1"/>
          <w:numId w:val="5"/>
        </w:numPr>
      </w:pPr>
      <w:r w:rsidRPr="009E799D">
        <w:t xml:space="preserve">This includes access to all necessary </w:t>
      </w:r>
      <w:r w:rsidR="0040656E">
        <w:t>C</w:t>
      </w:r>
      <w:r w:rsidRPr="009E799D">
        <w:t>ustomer work locations, networks, systems, and applications (remote and onsite).</w:t>
      </w:r>
    </w:p>
    <w:p w14:paraId="1D06C362" w14:textId="77777777" w:rsidR="00985694" w:rsidRPr="009E799D" w:rsidRDefault="00DD01E5">
      <w:pPr>
        <w:pStyle w:val="Bulletlist"/>
      </w:pPr>
      <w:r w:rsidRPr="009E799D">
        <w:t>Provide a work environment.</w:t>
      </w:r>
    </w:p>
    <w:p w14:paraId="27823E93" w14:textId="77777777" w:rsidR="00985694" w:rsidRPr="009E799D" w:rsidRDefault="00DD01E5" w:rsidP="006F47D1">
      <w:pPr>
        <w:pStyle w:val="Bulletlist"/>
        <w:numPr>
          <w:ilvl w:val="1"/>
          <w:numId w:val="5"/>
        </w:numPr>
      </w:pPr>
      <w:r w:rsidRPr="009E799D">
        <w:t>This consists of suitable workspaces, including desks, chairs, and Internet access.</w:t>
      </w:r>
    </w:p>
    <w:p w14:paraId="4AA75B2D" w14:textId="77777777" w:rsidR="00985694" w:rsidRPr="009E799D" w:rsidRDefault="00DD01E5">
      <w:pPr>
        <w:pStyle w:val="Bulletlist"/>
      </w:pPr>
      <w:r w:rsidRPr="009E799D">
        <w:t>Manage non-Microsoft resources.</w:t>
      </w:r>
    </w:p>
    <w:p w14:paraId="1161BC05" w14:textId="0A28BEC6" w:rsidR="00985694" w:rsidRPr="009E799D" w:rsidRDefault="00DD01E5" w:rsidP="006F47D1">
      <w:pPr>
        <w:pStyle w:val="Bulletlist"/>
        <w:numPr>
          <w:ilvl w:val="1"/>
          <w:numId w:val="5"/>
        </w:numPr>
      </w:pPr>
      <w:r w:rsidRPr="009E799D">
        <w:t xml:space="preserve">The </w:t>
      </w:r>
      <w:r w:rsidR="0040656E">
        <w:t>C</w:t>
      </w:r>
      <w:r w:rsidRPr="009E799D">
        <w:t xml:space="preserve">ustomer will assume responsibility for the management of all </w:t>
      </w:r>
      <w:r w:rsidR="0040656E">
        <w:t>C</w:t>
      </w:r>
      <w:r w:rsidRPr="009E799D">
        <w:t>ustomer personnel and vendors who are not managed by Microsoft.</w:t>
      </w:r>
    </w:p>
    <w:p w14:paraId="6D76CA28" w14:textId="77777777" w:rsidR="00985694" w:rsidRPr="009E799D" w:rsidRDefault="00DD01E5">
      <w:pPr>
        <w:pStyle w:val="Bulletlist"/>
      </w:pPr>
      <w:r w:rsidRPr="009E799D">
        <w:t>Manage external dependencies.</w:t>
      </w:r>
    </w:p>
    <w:p w14:paraId="01363F2B" w14:textId="582B6ACD" w:rsidR="00985694" w:rsidRPr="009E799D" w:rsidRDefault="00DD01E5" w:rsidP="006F47D1">
      <w:pPr>
        <w:pStyle w:val="Bulletlist"/>
        <w:numPr>
          <w:ilvl w:val="1"/>
          <w:numId w:val="5"/>
        </w:numPr>
      </w:pPr>
      <w:r w:rsidRPr="009E799D">
        <w:t xml:space="preserve">The </w:t>
      </w:r>
      <w:r w:rsidR="0040656E">
        <w:t>Customer</w:t>
      </w:r>
      <w:r w:rsidRPr="009E799D">
        <w:t xml:space="preserve"> will facilitate any interactions with related projects or programs to manage external project dependencies.</w:t>
      </w:r>
    </w:p>
    <w:p w14:paraId="192217FC" w14:textId="77777777" w:rsidR="00985694" w:rsidRPr="009E799D" w:rsidRDefault="00DD01E5">
      <w:pPr>
        <w:pStyle w:val="Heading2"/>
      </w:pPr>
      <w:bookmarkStart w:id="80" w:name="_Toc476167716"/>
      <w:bookmarkStart w:id="81" w:name="_Toc476168054"/>
      <w:bookmarkStart w:id="82" w:name="_Toc37330269"/>
      <w:r w:rsidRPr="009E799D">
        <w:t xml:space="preserve">Project </w:t>
      </w:r>
      <w:bookmarkEnd w:id="80"/>
      <w:bookmarkEnd w:id="81"/>
      <w:r w:rsidRPr="009E799D">
        <w:t>assumptions</w:t>
      </w:r>
      <w:bookmarkEnd w:id="82"/>
    </w:p>
    <w:p w14:paraId="0B7E19D4" w14:textId="14AD0F25" w:rsidR="00985694" w:rsidRPr="009E799D" w:rsidRDefault="00DD01E5">
      <w:r w:rsidRPr="009E799D">
        <w:t xml:space="preserve">The project scope, </w:t>
      </w:r>
      <w:r w:rsidR="00B64601">
        <w:t>S</w:t>
      </w:r>
      <w:r w:rsidRPr="009E799D">
        <w:t xml:space="preserve">ervices, fees, timeline, and our detailed solution are based on the information provided by the Customer to date. During the project, the information and assumptions in this SOW will </w:t>
      </w:r>
      <w:r w:rsidRPr="009E799D">
        <w:lastRenderedPageBreak/>
        <w:t>be validated, and if a material difference is present, this could result in Microsoft initiating a change request to cover additional work or extend the project duration. In addition, the following assumptions have been made:</w:t>
      </w:r>
    </w:p>
    <w:p w14:paraId="7FB19342" w14:textId="34B0D9CE" w:rsidR="00985694" w:rsidRPr="009E799D" w:rsidRDefault="009F3592">
      <w:pPr>
        <w:pStyle w:val="Bulletlist"/>
      </w:pPr>
      <w:r w:rsidRPr="009E799D">
        <w:t>Workday</w:t>
      </w:r>
      <w:r w:rsidR="00DD01E5" w:rsidRPr="009E799D">
        <w:t xml:space="preserve">: </w:t>
      </w:r>
    </w:p>
    <w:p w14:paraId="5FE28475" w14:textId="23F59DA5" w:rsidR="00985694" w:rsidRPr="009E799D" w:rsidRDefault="00DD01E5" w:rsidP="006F47D1">
      <w:pPr>
        <w:pStyle w:val="Bulletlist"/>
        <w:numPr>
          <w:ilvl w:val="1"/>
          <w:numId w:val="5"/>
        </w:numPr>
      </w:pPr>
      <w:r w:rsidRPr="009E799D">
        <w:t xml:space="preserve">The standard </w:t>
      </w:r>
      <w:r w:rsidR="00C2538D" w:rsidRPr="009E799D">
        <w:t>workday</w:t>
      </w:r>
      <w:r w:rsidRPr="009E799D">
        <w:t xml:space="preserve"> for the Microsoft project team is between 8 AM and 5 PM, Monday through Friday.</w:t>
      </w:r>
    </w:p>
    <w:p w14:paraId="10006E8C" w14:textId="77777777" w:rsidR="00985694" w:rsidRPr="009E799D" w:rsidRDefault="00DD01E5">
      <w:pPr>
        <w:pStyle w:val="Bulletlist"/>
      </w:pPr>
      <w:r w:rsidRPr="009E799D">
        <w:t>Standard holidays:</w:t>
      </w:r>
    </w:p>
    <w:p w14:paraId="7B9DB5DD" w14:textId="77777777" w:rsidR="00985694" w:rsidRPr="009E799D" w:rsidRDefault="00DD01E5" w:rsidP="006F47D1">
      <w:pPr>
        <w:pStyle w:val="Bulletlist"/>
        <w:numPr>
          <w:ilvl w:val="1"/>
          <w:numId w:val="5"/>
        </w:numPr>
      </w:pPr>
      <w:r w:rsidRPr="009E799D">
        <w:t>Observance of consultants’ country-of-residence holidays is assumed and has been factored into the project timeline.</w:t>
      </w:r>
    </w:p>
    <w:p w14:paraId="6C56EAA6" w14:textId="77777777" w:rsidR="00985694" w:rsidRPr="009E799D" w:rsidRDefault="00DD01E5">
      <w:pPr>
        <w:pStyle w:val="Bulletlist"/>
      </w:pPr>
      <w:r w:rsidRPr="009E799D">
        <w:t>Remote working:</w:t>
      </w:r>
    </w:p>
    <w:p w14:paraId="5D74DCD0" w14:textId="4E2ABBA8" w:rsidR="00985694" w:rsidRPr="009E799D" w:rsidRDefault="00DD01E5" w:rsidP="006F47D1">
      <w:pPr>
        <w:pStyle w:val="Bulletlist"/>
        <w:numPr>
          <w:ilvl w:val="1"/>
          <w:numId w:val="5"/>
        </w:numPr>
      </w:pPr>
      <w:r w:rsidRPr="009E799D">
        <w:t xml:space="preserve">The Microsoft project team </w:t>
      </w:r>
      <w:r w:rsidR="002B744E" w:rsidRPr="009E799D">
        <w:t>will</w:t>
      </w:r>
      <w:r w:rsidRPr="009E799D">
        <w:t xml:space="preserve"> perform </w:t>
      </w:r>
      <w:r w:rsidR="002B744E" w:rsidRPr="009E799D">
        <w:t xml:space="preserve">the </w:t>
      </w:r>
      <w:r w:rsidR="00B64601">
        <w:t>S</w:t>
      </w:r>
      <w:r w:rsidRPr="009E799D">
        <w:t>ervices remotely.</w:t>
      </w:r>
    </w:p>
    <w:p w14:paraId="6747F0CD" w14:textId="586E053B" w:rsidR="00985694" w:rsidRPr="009E799D" w:rsidRDefault="00DD01E5" w:rsidP="006F47D1">
      <w:pPr>
        <w:pStyle w:val="Bulletlist"/>
        <w:numPr>
          <w:ilvl w:val="1"/>
          <w:numId w:val="5"/>
        </w:numPr>
      </w:pPr>
      <w:r w:rsidRPr="009E799D">
        <w:t xml:space="preserve">If the Microsoft project team is required to be present at the </w:t>
      </w:r>
      <w:r w:rsidR="0040656E">
        <w:t>C</w:t>
      </w:r>
      <w:r w:rsidRPr="009E799D">
        <w:t>ustomer location on a weekly basis, resources will typically be on site for three nights and four days, arriving on a Mondays and leaving on a Thursday.</w:t>
      </w:r>
    </w:p>
    <w:p w14:paraId="40AFE8FD" w14:textId="77777777" w:rsidR="00985694" w:rsidRPr="009E799D" w:rsidRDefault="00DD01E5">
      <w:pPr>
        <w:pStyle w:val="Bulletlist"/>
      </w:pPr>
      <w:r w:rsidRPr="009E799D">
        <w:t>Language:</w:t>
      </w:r>
    </w:p>
    <w:p w14:paraId="378A19D6" w14:textId="120E1A54" w:rsidR="00985694" w:rsidRPr="009E799D" w:rsidRDefault="00DD01E5" w:rsidP="006F47D1">
      <w:pPr>
        <w:pStyle w:val="Bulletlist"/>
        <w:numPr>
          <w:ilvl w:val="1"/>
          <w:numId w:val="5"/>
        </w:numPr>
      </w:pPr>
      <w:r w:rsidRPr="009E799D">
        <w:t xml:space="preserve">All project communications </w:t>
      </w:r>
      <w:r w:rsidR="00A07620">
        <w:t xml:space="preserve">will be in French </w:t>
      </w:r>
      <w:r w:rsidRPr="009E799D">
        <w:t>and documentation will be in</w:t>
      </w:r>
      <w:r w:rsidR="00A07620">
        <w:t xml:space="preserve"> English</w:t>
      </w:r>
      <w:r w:rsidRPr="009E799D">
        <w:rPr>
          <w:rStyle w:val="InstructionalChar"/>
        </w:rPr>
        <w:t>.</w:t>
      </w:r>
      <w:r w:rsidRPr="009E799D">
        <w:t xml:space="preserve"> Local language support and translations will be provided by the Customer.</w:t>
      </w:r>
    </w:p>
    <w:p w14:paraId="480DFE1C" w14:textId="77777777" w:rsidR="00985694" w:rsidRPr="009E799D" w:rsidRDefault="00DD01E5">
      <w:pPr>
        <w:pStyle w:val="Bulletlist"/>
      </w:pPr>
      <w:r w:rsidRPr="009E799D">
        <w:t>Staffing:</w:t>
      </w:r>
    </w:p>
    <w:p w14:paraId="5BDA4A11" w14:textId="77777777" w:rsidR="00985694" w:rsidRPr="009E799D" w:rsidRDefault="00DD01E5" w:rsidP="006F47D1">
      <w:pPr>
        <w:pStyle w:val="Bulletlist"/>
        <w:numPr>
          <w:ilvl w:val="1"/>
          <w:numId w:val="5"/>
        </w:numPr>
      </w:pPr>
      <w:r w:rsidRPr="009E799D">
        <w:t>If necessary, Microsoft will make staffing changes. These can include, but are not limited to, the number of resources, individuals, and project roles.</w:t>
      </w:r>
    </w:p>
    <w:p w14:paraId="60585C78" w14:textId="6686E7E6" w:rsidR="00985694" w:rsidRPr="00A07620" w:rsidRDefault="00DD01E5" w:rsidP="001828F1">
      <w:pPr>
        <w:pStyle w:val="BlueText-BulletList"/>
        <w:rPr>
          <w:b w:val="0"/>
          <w:color w:val="auto"/>
        </w:rPr>
      </w:pPr>
      <w:r w:rsidRPr="00A07620">
        <w:rPr>
          <w:b w:val="0"/>
          <w:color w:val="auto"/>
        </w:rPr>
        <w:t>Resource availability and dispatch may affect timelines</w:t>
      </w:r>
      <w:r w:rsidR="009F158E" w:rsidRPr="00A07620">
        <w:rPr>
          <w:b w:val="0"/>
          <w:color w:val="auto"/>
        </w:rPr>
        <w:t>.</w:t>
      </w:r>
      <w:r w:rsidRPr="00A07620">
        <w:rPr>
          <w:b w:val="0"/>
          <w:color w:val="auto"/>
        </w:rPr>
        <w:t xml:space="preserve"> </w:t>
      </w:r>
    </w:p>
    <w:p w14:paraId="38E04FD2" w14:textId="4F306424" w:rsidR="00985694" w:rsidRPr="00A07620" w:rsidRDefault="00DD01E5" w:rsidP="001828F1">
      <w:pPr>
        <w:pStyle w:val="BlueText-BulletList"/>
        <w:rPr>
          <w:b w:val="0"/>
          <w:color w:val="auto"/>
        </w:rPr>
      </w:pPr>
      <w:r w:rsidRPr="00A07620">
        <w:rPr>
          <w:b w:val="0"/>
          <w:color w:val="auto"/>
        </w:rPr>
        <w:t>Microsoft will engage specific resources as deemed necessary by Microsoft to support a specific technical area.</w:t>
      </w:r>
      <w:r w:rsidR="00A16C55" w:rsidRPr="00A07620">
        <w:rPr>
          <w:b w:val="0"/>
          <w:color w:val="auto"/>
        </w:rPr>
        <w:t xml:space="preserve"> </w:t>
      </w:r>
      <w:r w:rsidRPr="00A07620">
        <w:rPr>
          <w:b w:val="0"/>
          <w:color w:val="auto"/>
        </w:rPr>
        <w:t>This could require multiple individuals engaged to support the engagement, based on technical specialty.</w:t>
      </w:r>
    </w:p>
    <w:p w14:paraId="3FD74B09" w14:textId="77777777" w:rsidR="00985694" w:rsidRPr="00A07620" w:rsidRDefault="00DD01E5" w:rsidP="001828F1">
      <w:pPr>
        <w:pStyle w:val="BlueText-BulletList"/>
        <w:rPr>
          <w:b w:val="0"/>
          <w:color w:val="auto"/>
        </w:rPr>
      </w:pPr>
      <w:r w:rsidRPr="00A07620">
        <w:rPr>
          <w:b w:val="0"/>
          <w:color w:val="auto"/>
        </w:rPr>
        <w:t>The number of hours per role are estimated for this project and the actual number of hours by role may vary during the project life but will be monitored by Microsoft project team members. Significant variations in estimated hours should be managed using the change management process.</w:t>
      </w:r>
    </w:p>
    <w:p w14:paraId="2825568C" w14:textId="77777777" w:rsidR="00985694" w:rsidRPr="009E799D" w:rsidRDefault="00DD01E5">
      <w:pPr>
        <w:pStyle w:val="Bulletlist"/>
      </w:pPr>
      <w:r w:rsidRPr="009E799D">
        <w:t>Informal knowledge transfer:</w:t>
      </w:r>
    </w:p>
    <w:p w14:paraId="3B760A9B" w14:textId="77777777" w:rsidR="00985694" w:rsidRPr="009E799D" w:rsidRDefault="00DD01E5" w:rsidP="006F47D1">
      <w:pPr>
        <w:pStyle w:val="Bulletlist"/>
        <w:numPr>
          <w:ilvl w:val="1"/>
          <w:numId w:val="5"/>
        </w:numPr>
      </w:pPr>
      <w:r w:rsidRPr="009E799D">
        <w:t>Customer staff members who work alongside Microsoft staff will be provided with information knowledge transfer throughout the project. No formal training materials will be developed or delivered as part of this informal knowledge transfer.</w:t>
      </w:r>
    </w:p>
    <w:p w14:paraId="1E2FB63A" w14:textId="77777777" w:rsidR="00985694" w:rsidRPr="009E799D" w:rsidRDefault="00DD01E5">
      <w:pPr>
        <w:pStyle w:val="Bulletlist"/>
      </w:pPr>
      <w:r w:rsidRPr="009E799D">
        <w:t>Other assumptions:</w:t>
      </w:r>
    </w:p>
    <w:p w14:paraId="276E9B33" w14:textId="6D678C2C" w:rsidR="00985694" w:rsidRPr="009E799D" w:rsidRDefault="00DD01E5" w:rsidP="006F47D1">
      <w:pPr>
        <w:numPr>
          <w:ilvl w:val="1"/>
          <w:numId w:val="5"/>
        </w:numPr>
        <w:contextualSpacing/>
      </w:pPr>
      <w:r w:rsidRPr="009E799D">
        <w:t>All work is to be contiguously scheduled.</w:t>
      </w:r>
      <w:r w:rsidR="00A16C55" w:rsidRPr="009E799D">
        <w:t xml:space="preserve"> </w:t>
      </w:r>
      <w:r w:rsidRPr="009E799D">
        <w:t xml:space="preserve">Any breaks in the engagement calendar must be </w:t>
      </w:r>
      <w:r w:rsidRPr="001F7F30">
        <w:t xml:space="preserve">scheduled </w:t>
      </w:r>
      <w:r w:rsidRPr="001F7F30">
        <w:rPr>
          <w:rStyle w:val="OptionalChar"/>
          <w:color w:val="auto"/>
        </w:rPr>
        <w:t>four (4)</w:t>
      </w:r>
      <w:r w:rsidRPr="001F7F30">
        <w:t xml:space="preserve"> </w:t>
      </w:r>
      <w:r w:rsidR="00A07620">
        <w:t>days</w:t>
      </w:r>
      <w:r w:rsidRPr="009E799D">
        <w:t xml:space="preserve"> in advance or will be billed without interruption.</w:t>
      </w:r>
    </w:p>
    <w:p w14:paraId="5944BBFB" w14:textId="77777777" w:rsidR="00985694" w:rsidRPr="009E799D" w:rsidRDefault="00DD01E5" w:rsidP="006F47D1">
      <w:pPr>
        <w:numPr>
          <w:ilvl w:val="1"/>
          <w:numId w:val="5"/>
        </w:numPr>
        <w:contextualSpacing/>
      </w:pPr>
      <w:r w:rsidRPr="009E799D">
        <w:t>Customer Lab and / or development facility is available.</w:t>
      </w:r>
    </w:p>
    <w:p w14:paraId="3CEC7ED3" w14:textId="10B00345" w:rsidR="00985694" w:rsidRPr="009E799D" w:rsidRDefault="00DD01E5" w:rsidP="006F47D1">
      <w:pPr>
        <w:numPr>
          <w:ilvl w:val="1"/>
          <w:numId w:val="5"/>
        </w:numPr>
        <w:contextualSpacing/>
      </w:pPr>
      <w:r w:rsidRPr="009E799D">
        <w:t xml:space="preserve">Any delay on delivering </w:t>
      </w:r>
      <w:r w:rsidR="0040656E">
        <w:t>C</w:t>
      </w:r>
      <w:r w:rsidRPr="009E799D">
        <w:t>ustomer required items could impact the delivery schedule.</w:t>
      </w:r>
    </w:p>
    <w:p w14:paraId="15886644" w14:textId="26E7F506" w:rsidR="00F34C24" w:rsidRPr="00BF4315" w:rsidRDefault="0001761A" w:rsidP="002E608C">
      <w:pPr>
        <w:numPr>
          <w:ilvl w:val="1"/>
          <w:numId w:val="5"/>
        </w:numPr>
        <w:contextualSpacing/>
      </w:pPr>
      <w:r w:rsidRPr="00BF4315">
        <w:t xml:space="preserve">The </w:t>
      </w:r>
      <w:r w:rsidR="006F47D1" w:rsidRPr="00BF4315">
        <w:t>Customer agrees that Microsoft, under this Work Order, may associate Customer’s Online Services with Professional Services accounts through configuration of the Customer’s subscriptions or Azure resources.</w:t>
      </w:r>
    </w:p>
    <w:bookmarkEnd w:id="0"/>
    <w:p w14:paraId="06247609" w14:textId="77777777" w:rsidR="00F34C24" w:rsidRPr="009E799D" w:rsidRDefault="00F34C24" w:rsidP="00F34C24">
      <w:pPr>
        <w:pStyle w:val="BlueText-BulletList"/>
        <w:numPr>
          <w:ilvl w:val="0"/>
          <w:numId w:val="0"/>
        </w:numPr>
        <w:ind w:left="720"/>
        <w:rPr>
          <w:i/>
        </w:rPr>
      </w:pPr>
    </w:p>
    <w:sectPr w:rsidR="00F34C24" w:rsidRPr="009E799D">
      <w:headerReference w:type="even" r:id="rId21"/>
      <w:headerReference w:type="default" r:id="rId22"/>
      <w:footerReference w:type="default" r:id="rId23"/>
      <w:headerReference w:type="first" r:id="rId24"/>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64C48" w14:textId="77777777" w:rsidR="00F96C95" w:rsidRDefault="00F96C95">
      <w:pPr>
        <w:spacing w:after="0" w:line="240" w:lineRule="auto"/>
      </w:pPr>
      <w:r>
        <w:separator/>
      </w:r>
    </w:p>
    <w:p w14:paraId="05E934D6" w14:textId="77777777" w:rsidR="00F96C95" w:rsidRDefault="00F96C95"/>
  </w:endnote>
  <w:endnote w:type="continuationSeparator" w:id="0">
    <w:p w14:paraId="397C6D61" w14:textId="77777777" w:rsidR="00F96C95" w:rsidRDefault="00F96C95">
      <w:pPr>
        <w:spacing w:after="0" w:line="240" w:lineRule="auto"/>
      </w:pPr>
      <w:r>
        <w:continuationSeparator/>
      </w:r>
    </w:p>
    <w:p w14:paraId="757D055E" w14:textId="77777777" w:rsidR="00F96C95" w:rsidRDefault="00F96C95"/>
  </w:endnote>
  <w:endnote w:type="continuationNotice" w:id="1">
    <w:p w14:paraId="3C18872B" w14:textId="77777777" w:rsidR="00F96C95" w:rsidRDefault="00F96C95">
      <w:pPr>
        <w:spacing w:after="0" w:line="240" w:lineRule="auto"/>
      </w:pPr>
    </w:p>
    <w:p w14:paraId="140660E1" w14:textId="77777777" w:rsidR="00F96C95" w:rsidRDefault="00F96C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w:altName w:val="Arial"/>
    <w:charset w:val="00"/>
    <w:family w:val="swiss"/>
    <w:pitch w:val="variable"/>
    <w:sig w:usb0="A00002AF" w:usb1="4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Black">
    <w:altName w:val="Arial"/>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Light">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A00002AF" w:usb1="4000205B" w:usb2="00000000" w:usb3="00000000" w:csb0="0000009F" w:csb1="00000000"/>
  </w:font>
  <w:font w:name="Yu Mincho">
    <w:charset w:val="80"/>
    <w:family w:val="roman"/>
    <w:pitch w:val="variable"/>
    <w:sig w:usb0="800002E7" w:usb1="2AC7FCFF" w:usb2="00000012" w:usb3="00000000" w:csb0="0002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34E25" w14:textId="24689E9F" w:rsidR="00F45458" w:rsidRPr="0083016F" w:rsidRDefault="00F45458" w:rsidP="008301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7CF5D" w14:textId="77777777" w:rsidR="00F45458" w:rsidRPr="0083016F" w:rsidRDefault="00F45458" w:rsidP="00830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65318" w14:textId="77777777" w:rsidR="00F96C95" w:rsidRDefault="00F96C95">
      <w:pPr>
        <w:spacing w:after="0" w:line="240" w:lineRule="auto"/>
      </w:pPr>
      <w:r>
        <w:separator/>
      </w:r>
    </w:p>
    <w:p w14:paraId="3C9E80E8" w14:textId="77777777" w:rsidR="00F96C95" w:rsidRDefault="00F96C95"/>
  </w:footnote>
  <w:footnote w:type="continuationSeparator" w:id="0">
    <w:p w14:paraId="29EC9B20" w14:textId="77777777" w:rsidR="00F96C95" w:rsidRDefault="00F96C95">
      <w:pPr>
        <w:spacing w:after="0" w:line="240" w:lineRule="auto"/>
      </w:pPr>
      <w:r>
        <w:continuationSeparator/>
      </w:r>
    </w:p>
    <w:p w14:paraId="7507E0AE" w14:textId="77777777" w:rsidR="00F96C95" w:rsidRDefault="00F96C95"/>
  </w:footnote>
  <w:footnote w:type="continuationNotice" w:id="1">
    <w:p w14:paraId="17BB2653" w14:textId="77777777" w:rsidR="00F96C95" w:rsidRDefault="00F96C95">
      <w:pPr>
        <w:spacing w:after="0" w:line="240" w:lineRule="auto"/>
      </w:pPr>
    </w:p>
    <w:p w14:paraId="01BA0424" w14:textId="77777777" w:rsidR="00F96C95" w:rsidRDefault="00F96C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635AA" w14:textId="10F0B209" w:rsidR="0010257A" w:rsidRDefault="001025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48554" w14:textId="7CEABCF6" w:rsidR="0010257A" w:rsidRDefault="001025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4CEAD" w14:textId="4A35E721" w:rsidR="0010257A" w:rsidRDefault="001025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E83BF" w14:textId="075E60D8" w:rsidR="0010257A" w:rsidRDefault="0010257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00400" w14:textId="4AB5E608" w:rsidR="0010257A" w:rsidRDefault="0010257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CE8A4" w14:textId="54602453" w:rsidR="0010257A" w:rsidRDefault="001025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 w15:restartNumberingAfterBreak="0">
    <w:nsid w:val="052E72D1"/>
    <w:multiLevelType w:val="hybridMultilevel"/>
    <w:tmpl w:val="1B18D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E1DA5"/>
    <w:multiLevelType w:val="hybridMultilevel"/>
    <w:tmpl w:val="FCC2686E"/>
    <w:lvl w:ilvl="0" w:tplc="C4E0718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CB62B9E"/>
    <w:multiLevelType w:val="hybridMultilevel"/>
    <w:tmpl w:val="1C4A9F3A"/>
    <w:lvl w:ilvl="0" w:tplc="E3A23968">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E65336"/>
    <w:multiLevelType w:val="hybridMultilevel"/>
    <w:tmpl w:val="FC4E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5D52"/>
    <w:multiLevelType w:val="hybridMultilevel"/>
    <w:tmpl w:val="B52026FA"/>
    <w:lvl w:ilvl="0" w:tplc="C4E0718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21057DCF"/>
    <w:multiLevelType w:val="hybridMultilevel"/>
    <w:tmpl w:val="10E2FA6C"/>
    <w:lvl w:ilvl="0" w:tplc="EAAC5AAE">
      <w:start w:val="1"/>
      <w:numFmt w:val="bullet"/>
      <w:lvlText w:val=""/>
      <w:lvlJc w:val="left"/>
      <w:pPr>
        <w:ind w:left="360" w:hanging="360"/>
      </w:pPr>
      <w:rPr>
        <w:rFonts w:ascii="Symbol" w:hAnsi="Symbol" w:hint="default"/>
        <w:sz w:val="19"/>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9" w15:restartNumberingAfterBreak="0">
    <w:nsid w:val="25002425"/>
    <w:multiLevelType w:val="hybridMultilevel"/>
    <w:tmpl w:val="2B6404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967028A"/>
    <w:multiLevelType w:val="hybridMultilevel"/>
    <w:tmpl w:val="2F588C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99A2911"/>
    <w:multiLevelType w:val="hybridMultilevel"/>
    <w:tmpl w:val="64EC214A"/>
    <w:lvl w:ilvl="0" w:tplc="C4E0718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A02478"/>
    <w:multiLevelType w:val="multilevel"/>
    <w:tmpl w:val="E05608B0"/>
    <w:lvl w:ilvl="0">
      <w:start w:val="1"/>
      <w:numFmt w:val="bullet"/>
      <w:lvlText w:val="▪"/>
      <w:lvlJc w:val="left"/>
      <w:pPr>
        <w:ind w:left="216" w:hanging="216"/>
      </w:pPr>
      <w:rPr>
        <w:rFonts w:ascii="Segoe" w:hAnsi="Segoe" w:hint="default"/>
        <w:b w:val="0"/>
        <w:i w:val="0"/>
        <w:color w:val="000000"/>
        <w:sz w:val="20"/>
      </w:rPr>
    </w:lvl>
    <w:lvl w:ilvl="1">
      <w:start w:val="1"/>
      <w:numFmt w:val="bullet"/>
      <w:lvlText w:val=""/>
      <w:lvlJc w:val="left"/>
      <w:pPr>
        <w:ind w:left="432" w:hanging="216"/>
      </w:pPr>
      <w:rPr>
        <w:rFonts w:ascii="Symbol" w:hAnsi="Symbol" w:hint="default"/>
        <w:b w:val="0"/>
        <w:i w:val="0"/>
        <w:color w:val="auto"/>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3"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0321B"/>
    <w:multiLevelType w:val="multilevel"/>
    <w:tmpl w:val="87F67182"/>
    <w:lvl w:ilvl="0">
      <w:start w:val="1"/>
      <w:numFmt w:val="decimal"/>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5" w15:restartNumberingAfterBreak="0">
    <w:nsid w:val="37336D70"/>
    <w:multiLevelType w:val="hybridMultilevel"/>
    <w:tmpl w:val="4D484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58395C"/>
    <w:multiLevelType w:val="hybridMultilevel"/>
    <w:tmpl w:val="35EACE42"/>
    <w:lvl w:ilvl="0" w:tplc="3A74E212">
      <w:start w:val="1"/>
      <w:numFmt w:val="bullet"/>
      <w:pStyle w:val="BlueText-BulletStyle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901CB9"/>
    <w:multiLevelType w:val="multilevel"/>
    <w:tmpl w:val="0409001F"/>
    <w:numStyleLink w:val="Style1"/>
  </w:abstractNum>
  <w:abstractNum w:abstractNumId="18" w15:restartNumberingAfterBreak="0">
    <w:nsid w:val="3C497284"/>
    <w:multiLevelType w:val="hybridMultilevel"/>
    <w:tmpl w:val="035089B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9" w15:restartNumberingAfterBreak="0">
    <w:nsid w:val="3F9B6D9F"/>
    <w:multiLevelType w:val="hybridMultilevel"/>
    <w:tmpl w:val="62DE3E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22" w15:restartNumberingAfterBreak="0">
    <w:nsid w:val="48D13FCE"/>
    <w:multiLevelType w:val="hybridMultilevel"/>
    <w:tmpl w:val="F14A2AA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B776B48"/>
    <w:multiLevelType w:val="hybridMultilevel"/>
    <w:tmpl w:val="750A9518"/>
    <w:lvl w:ilvl="0" w:tplc="04090001">
      <w:start w:val="1"/>
      <w:numFmt w:val="bullet"/>
      <w:lvlText w:val=""/>
      <w:lvlJc w:val="left"/>
      <w:pPr>
        <w:ind w:left="4320" w:hanging="360"/>
      </w:pPr>
      <w:rPr>
        <w:rFonts w:ascii="Symbol" w:hAnsi="Symbol"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4" w15:restartNumberingAfterBreak="0">
    <w:nsid w:val="54BB4156"/>
    <w:multiLevelType w:val="hybridMultilevel"/>
    <w:tmpl w:val="A934D0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6BD46D1"/>
    <w:multiLevelType w:val="hybridMultilevel"/>
    <w:tmpl w:val="F8FEE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 w15:restartNumberingAfterBreak="0">
    <w:nsid w:val="5BE118B5"/>
    <w:multiLevelType w:val="hybridMultilevel"/>
    <w:tmpl w:val="AC70E9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5C043ECC"/>
    <w:multiLevelType w:val="multilevel"/>
    <w:tmpl w:val="B1C0B846"/>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9" w15:restartNumberingAfterBreak="0">
    <w:nsid w:val="5F237A32"/>
    <w:multiLevelType w:val="hybridMultilevel"/>
    <w:tmpl w:val="61B828E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0"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142D76"/>
    <w:multiLevelType w:val="hybridMultilevel"/>
    <w:tmpl w:val="1ED42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A0F7CD7"/>
    <w:multiLevelType w:val="hybridMultilevel"/>
    <w:tmpl w:val="286C409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4" w15:restartNumberingAfterBreak="0">
    <w:nsid w:val="710A5134"/>
    <w:multiLevelType w:val="hybridMultilevel"/>
    <w:tmpl w:val="1386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97205F"/>
    <w:multiLevelType w:val="hybridMultilevel"/>
    <w:tmpl w:val="388E2152"/>
    <w:lvl w:ilvl="0" w:tplc="7974CA7E">
      <w:start w:val="1"/>
      <w:numFmt w:val="bullet"/>
      <w:pStyle w:val="BlueText-BulletLis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30"/>
  </w:num>
  <w:num w:numId="3">
    <w:abstractNumId w:val="17"/>
  </w:num>
  <w:num w:numId="4">
    <w:abstractNumId w:val="8"/>
  </w:num>
  <w:num w:numId="5">
    <w:abstractNumId w:val="4"/>
  </w:num>
  <w:num w:numId="6">
    <w:abstractNumId w:val="0"/>
  </w:num>
  <w:num w:numId="7">
    <w:abstractNumId w:val="26"/>
  </w:num>
  <w:num w:numId="8">
    <w:abstractNumId w:val="31"/>
  </w:num>
  <w:num w:numId="9">
    <w:abstractNumId w:val="20"/>
  </w:num>
  <w:num w:numId="10">
    <w:abstractNumId w:val="13"/>
  </w:num>
  <w:num w:numId="11">
    <w:abstractNumId w:val="2"/>
  </w:num>
  <w:num w:numId="12">
    <w:abstractNumId w:val="16"/>
  </w:num>
  <w:num w:numId="13">
    <w:abstractNumId w:val="35"/>
  </w:num>
  <w:num w:numId="14">
    <w:abstractNumId w:val="16"/>
  </w:num>
  <w:num w:numId="15">
    <w:abstractNumId w:val="5"/>
  </w:num>
  <w:num w:numId="16">
    <w:abstractNumId w:val="15"/>
  </w:num>
  <w:num w:numId="17">
    <w:abstractNumId w:val="32"/>
  </w:num>
  <w:num w:numId="18">
    <w:abstractNumId w:val="28"/>
  </w:num>
  <w:num w:numId="19">
    <w:abstractNumId w:val="23"/>
  </w:num>
  <w:num w:numId="20">
    <w:abstractNumId w:val="14"/>
  </w:num>
  <w:num w:numId="21">
    <w:abstractNumId w:val="1"/>
  </w:num>
  <w:num w:numId="22">
    <w:abstractNumId w:val="25"/>
  </w:num>
  <w:num w:numId="23">
    <w:abstractNumId w:val="3"/>
  </w:num>
  <w:num w:numId="24">
    <w:abstractNumId w:val="6"/>
  </w:num>
  <w:num w:numId="25">
    <w:abstractNumId w:val="11"/>
  </w:num>
  <w:num w:numId="26">
    <w:abstractNumId w:val="4"/>
  </w:num>
  <w:num w:numId="27">
    <w:abstractNumId w:val="9"/>
  </w:num>
  <w:num w:numId="28">
    <w:abstractNumId w:val="22"/>
  </w:num>
  <w:num w:numId="29">
    <w:abstractNumId w:val="10"/>
  </w:num>
  <w:num w:numId="30">
    <w:abstractNumId w:val="24"/>
  </w:num>
  <w:num w:numId="31">
    <w:abstractNumId w:val="18"/>
  </w:num>
  <w:num w:numId="32">
    <w:abstractNumId w:val="12"/>
  </w:num>
  <w:num w:numId="33">
    <w:abstractNumId w:val="34"/>
  </w:num>
  <w:num w:numId="34">
    <w:abstractNumId w:val="27"/>
  </w:num>
  <w:num w:numId="35">
    <w:abstractNumId w:val="4"/>
  </w:num>
  <w:num w:numId="36">
    <w:abstractNumId w:val="19"/>
  </w:num>
  <w:num w:numId="37">
    <w:abstractNumId w:val="7"/>
  </w:num>
  <w:num w:numId="38">
    <w:abstractNumId w:val="29"/>
  </w:num>
  <w:num w:numId="39">
    <w:abstractNumId w:val="33"/>
  </w:num>
  <w:num w:numId="4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694"/>
    <w:rsid w:val="000004A4"/>
    <w:rsid w:val="00001C71"/>
    <w:rsid w:val="000067CB"/>
    <w:rsid w:val="00007B10"/>
    <w:rsid w:val="00013C4A"/>
    <w:rsid w:val="00014555"/>
    <w:rsid w:val="0001761A"/>
    <w:rsid w:val="000211F9"/>
    <w:rsid w:val="00026B9C"/>
    <w:rsid w:val="00034BB0"/>
    <w:rsid w:val="00036B49"/>
    <w:rsid w:val="00037BF8"/>
    <w:rsid w:val="00042D45"/>
    <w:rsid w:val="0004520B"/>
    <w:rsid w:val="0004520C"/>
    <w:rsid w:val="000460F3"/>
    <w:rsid w:val="000463D1"/>
    <w:rsid w:val="00046B1E"/>
    <w:rsid w:val="00046E32"/>
    <w:rsid w:val="00047F99"/>
    <w:rsid w:val="00057071"/>
    <w:rsid w:val="00057CCD"/>
    <w:rsid w:val="000615E6"/>
    <w:rsid w:val="00062C2F"/>
    <w:rsid w:val="00062F3E"/>
    <w:rsid w:val="000645FA"/>
    <w:rsid w:val="00067872"/>
    <w:rsid w:val="00067E4E"/>
    <w:rsid w:val="000711D9"/>
    <w:rsid w:val="00071971"/>
    <w:rsid w:val="00075A50"/>
    <w:rsid w:val="00082942"/>
    <w:rsid w:val="00083927"/>
    <w:rsid w:val="000869E5"/>
    <w:rsid w:val="00094A66"/>
    <w:rsid w:val="000954C5"/>
    <w:rsid w:val="00095EE4"/>
    <w:rsid w:val="00097B35"/>
    <w:rsid w:val="000A05CD"/>
    <w:rsid w:val="000A222D"/>
    <w:rsid w:val="000A270E"/>
    <w:rsid w:val="000A2CF3"/>
    <w:rsid w:val="000A5183"/>
    <w:rsid w:val="000A5BE2"/>
    <w:rsid w:val="000A7047"/>
    <w:rsid w:val="000B0B31"/>
    <w:rsid w:val="000B0FAD"/>
    <w:rsid w:val="000B3CAE"/>
    <w:rsid w:val="000B4834"/>
    <w:rsid w:val="000B5EAA"/>
    <w:rsid w:val="000B772E"/>
    <w:rsid w:val="000B7B79"/>
    <w:rsid w:val="000C23BF"/>
    <w:rsid w:val="000C632E"/>
    <w:rsid w:val="000C650E"/>
    <w:rsid w:val="000C7663"/>
    <w:rsid w:val="000D041D"/>
    <w:rsid w:val="000D1A57"/>
    <w:rsid w:val="000D6081"/>
    <w:rsid w:val="000D67E6"/>
    <w:rsid w:val="000E123B"/>
    <w:rsid w:val="000E1441"/>
    <w:rsid w:val="000E44C9"/>
    <w:rsid w:val="000E5673"/>
    <w:rsid w:val="000F0541"/>
    <w:rsid w:val="000F065E"/>
    <w:rsid w:val="000F0FB1"/>
    <w:rsid w:val="000F3253"/>
    <w:rsid w:val="000F36A1"/>
    <w:rsid w:val="000F51B8"/>
    <w:rsid w:val="000F7F90"/>
    <w:rsid w:val="0010257A"/>
    <w:rsid w:val="001056C9"/>
    <w:rsid w:val="00105F8D"/>
    <w:rsid w:val="001071AB"/>
    <w:rsid w:val="001107D2"/>
    <w:rsid w:val="00115A5F"/>
    <w:rsid w:val="00120734"/>
    <w:rsid w:val="0012239B"/>
    <w:rsid w:val="00124A73"/>
    <w:rsid w:val="00124BFC"/>
    <w:rsid w:val="00131991"/>
    <w:rsid w:val="0013300C"/>
    <w:rsid w:val="0013327B"/>
    <w:rsid w:val="001363F4"/>
    <w:rsid w:val="00141755"/>
    <w:rsid w:val="001443D9"/>
    <w:rsid w:val="0014441B"/>
    <w:rsid w:val="00144BA9"/>
    <w:rsid w:val="00147C57"/>
    <w:rsid w:val="0015011D"/>
    <w:rsid w:val="0015294E"/>
    <w:rsid w:val="00156351"/>
    <w:rsid w:val="001563F7"/>
    <w:rsid w:val="00157319"/>
    <w:rsid w:val="0016042C"/>
    <w:rsid w:val="00160D9B"/>
    <w:rsid w:val="001618CD"/>
    <w:rsid w:val="00164F4A"/>
    <w:rsid w:val="00165860"/>
    <w:rsid w:val="00165AF3"/>
    <w:rsid w:val="00165F0B"/>
    <w:rsid w:val="00167572"/>
    <w:rsid w:val="0017037D"/>
    <w:rsid w:val="00170B2B"/>
    <w:rsid w:val="00172392"/>
    <w:rsid w:val="00172721"/>
    <w:rsid w:val="00172BB5"/>
    <w:rsid w:val="00177B81"/>
    <w:rsid w:val="00181DB7"/>
    <w:rsid w:val="001828F1"/>
    <w:rsid w:val="00182D63"/>
    <w:rsid w:val="00183A50"/>
    <w:rsid w:val="00184EBF"/>
    <w:rsid w:val="001A059E"/>
    <w:rsid w:val="001A0DD3"/>
    <w:rsid w:val="001A1629"/>
    <w:rsid w:val="001A3518"/>
    <w:rsid w:val="001A43EF"/>
    <w:rsid w:val="001A7C25"/>
    <w:rsid w:val="001B0707"/>
    <w:rsid w:val="001B376F"/>
    <w:rsid w:val="001B5C3F"/>
    <w:rsid w:val="001C1040"/>
    <w:rsid w:val="001C2F1C"/>
    <w:rsid w:val="001D1592"/>
    <w:rsid w:val="001D19D1"/>
    <w:rsid w:val="001D4694"/>
    <w:rsid w:val="001D47E8"/>
    <w:rsid w:val="001E189C"/>
    <w:rsid w:val="001E4755"/>
    <w:rsid w:val="001E4C67"/>
    <w:rsid w:val="001F7072"/>
    <w:rsid w:val="001F7F30"/>
    <w:rsid w:val="00200C86"/>
    <w:rsid w:val="00201E4A"/>
    <w:rsid w:val="0020415A"/>
    <w:rsid w:val="00204526"/>
    <w:rsid w:val="002049FA"/>
    <w:rsid w:val="00205561"/>
    <w:rsid w:val="00207FD9"/>
    <w:rsid w:val="00210B42"/>
    <w:rsid w:val="00211216"/>
    <w:rsid w:val="00211285"/>
    <w:rsid w:val="0021278F"/>
    <w:rsid w:val="00214134"/>
    <w:rsid w:val="0021494E"/>
    <w:rsid w:val="002173D9"/>
    <w:rsid w:val="00220259"/>
    <w:rsid w:val="00222580"/>
    <w:rsid w:val="00225FB5"/>
    <w:rsid w:val="00226176"/>
    <w:rsid w:val="002277F9"/>
    <w:rsid w:val="0023192A"/>
    <w:rsid w:val="00235CF3"/>
    <w:rsid w:val="00236667"/>
    <w:rsid w:val="0024021A"/>
    <w:rsid w:val="00242C2B"/>
    <w:rsid w:val="0024433B"/>
    <w:rsid w:val="002446AF"/>
    <w:rsid w:val="002458F1"/>
    <w:rsid w:val="0024641B"/>
    <w:rsid w:val="0024712E"/>
    <w:rsid w:val="002512C4"/>
    <w:rsid w:val="00251737"/>
    <w:rsid w:val="00253EF8"/>
    <w:rsid w:val="00255925"/>
    <w:rsid w:val="00255AEE"/>
    <w:rsid w:val="002614D5"/>
    <w:rsid w:val="00261A7E"/>
    <w:rsid w:val="00264C1C"/>
    <w:rsid w:val="00267F56"/>
    <w:rsid w:val="00271343"/>
    <w:rsid w:val="00272D6B"/>
    <w:rsid w:val="00273BFC"/>
    <w:rsid w:val="0027538E"/>
    <w:rsid w:val="002757AF"/>
    <w:rsid w:val="00275B18"/>
    <w:rsid w:val="00275D55"/>
    <w:rsid w:val="0028000D"/>
    <w:rsid w:val="00286C74"/>
    <w:rsid w:val="00292017"/>
    <w:rsid w:val="002959DD"/>
    <w:rsid w:val="002A1438"/>
    <w:rsid w:val="002A22B5"/>
    <w:rsid w:val="002A262F"/>
    <w:rsid w:val="002A5233"/>
    <w:rsid w:val="002A6FD3"/>
    <w:rsid w:val="002A745E"/>
    <w:rsid w:val="002A7DCE"/>
    <w:rsid w:val="002B0D86"/>
    <w:rsid w:val="002B1C0B"/>
    <w:rsid w:val="002B26A2"/>
    <w:rsid w:val="002B3E10"/>
    <w:rsid w:val="002B744E"/>
    <w:rsid w:val="002B775E"/>
    <w:rsid w:val="002B7901"/>
    <w:rsid w:val="002B7DB8"/>
    <w:rsid w:val="002B7F4D"/>
    <w:rsid w:val="002C15A9"/>
    <w:rsid w:val="002C265C"/>
    <w:rsid w:val="002C52F3"/>
    <w:rsid w:val="002C6141"/>
    <w:rsid w:val="002D086E"/>
    <w:rsid w:val="002D0A10"/>
    <w:rsid w:val="002E0F37"/>
    <w:rsid w:val="002E1B44"/>
    <w:rsid w:val="002E4661"/>
    <w:rsid w:val="002E5193"/>
    <w:rsid w:val="002E608C"/>
    <w:rsid w:val="002E624D"/>
    <w:rsid w:val="002E7A0F"/>
    <w:rsid w:val="00302C44"/>
    <w:rsid w:val="00313797"/>
    <w:rsid w:val="00316868"/>
    <w:rsid w:val="00317DDC"/>
    <w:rsid w:val="003203FC"/>
    <w:rsid w:val="003217B6"/>
    <w:rsid w:val="00322E05"/>
    <w:rsid w:val="00324FF8"/>
    <w:rsid w:val="00325E1A"/>
    <w:rsid w:val="00326D5E"/>
    <w:rsid w:val="00327384"/>
    <w:rsid w:val="003319A4"/>
    <w:rsid w:val="00331DC7"/>
    <w:rsid w:val="00332CAF"/>
    <w:rsid w:val="0033549F"/>
    <w:rsid w:val="00335B5A"/>
    <w:rsid w:val="00335CB6"/>
    <w:rsid w:val="003433C7"/>
    <w:rsid w:val="00344F59"/>
    <w:rsid w:val="00351AA9"/>
    <w:rsid w:val="00354644"/>
    <w:rsid w:val="00357D7D"/>
    <w:rsid w:val="0036083A"/>
    <w:rsid w:val="00360881"/>
    <w:rsid w:val="00362084"/>
    <w:rsid w:val="00362C79"/>
    <w:rsid w:val="003674AD"/>
    <w:rsid w:val="00367F9D"/>
    <w:rsid w:val="00370DF4"/>
    <w:rsid w:val="00372EB4"/>
    <w:rsid w:val="00382BE4"/>
    <w:rsid w:val="003914C5"/>
    <w:rsid w:val="00392328"/>
    <w:rsid w:val="00393195"/>
    <w:rsid w:val="00394154"/>
    <w:rsid w:val="0039530E"/>
    <w:rsid w:val="003A3247"/>
    <w:rsid w:val="003B252F"/>
    <w:rsid w:val="003B4134"/>
    <w:rsid w:val="003B5B9E"/>
    <w:rsid w:val="003C066F"/>
    <w:rsid w:val="003C16F1"/>
    <w:rsid w:val="003C2254"/>
    <w:rsid w:val="003C2384"/>
    <w:rsid w:val="003D1E82"/>
    <w:rsid w:val="003D264F"/>
    <w:rsid w:val="003D27C4"/>
    <w:rsid w:val="003D49AE"/>
    <w:rsid w:val="003D5971"/>
    <w:rsid w:val="003E0DA8"/>
    <w:rsid w:val="003E2D34"/>
    <w:rsid w:val="003E44B3"/>
    <w:rsid w:val="003E5908"/>
    <w:rsid w:val="003E7D06"/>
    <w:rsid w:val="003F5D23"/>
    <w:rsid w:val="003F5FED"/>
    <w:rsid w:val="003F67E7"/>
    <w:rsid w:val="003F79AF"/>
    <w:rsid w:val="00400F89"/>
    <w:rsid w:val="00403E54"/>
    <w:rsid w:val="0040656E"/>
    <w:rsid w:val="00406E55"/>
    <w:rsid w:val="00414185"/>
    <w:rsid w:val="004152CE"/>
    <w:rsid w:val="00421C1E"/>
    <w:rsid w:val="00421EBA"/>
    <w:rsid w:val="00426339"/>
    <w:rsid w:val="0043217F"/>
    <w:rsid w:val="004329D1"/>
    <w:rsid w:val="00432E0C"/>
    <w:rsid w:val="004332A7"/>
    <w:rsid w:val="00433E58"/>
    <w:rsid w:val="00440F5B"/>
    <w:rsid w:val="00451D04"/>
    <w:rsid w:val="004520D2"/>
    <w:rsid w:val="00452431"/>
    <w:rsid w:val="00452660"/>
    <w:rsid w:val="0045473A"/>
    <w:rsid w:val="004556F6"/>
    <w:rsid w:val="00455F85"/>
    <w:rsid w:val="00456FD3"/>
    <w:rsid w:val="004601FC"/>
    <w:rsid w:val="00461356"/>
    <w:rsid w:val="00462EFD"/>
    <w:rsid w:val="00464EB8"/>
    <w:rsid w:val="00466CA6"/>
    <w:rsid w:val="004677A8"/>
    <w:rsid w:val="00470666"/>
    <w:rsid w:val="00471890"/>
    <w:rsid w:val="00472A33"/>
    <w:rsid w:val="00474A4E"/>
    <w:rsid w:val="0047632F"/>
    <w:rsid w:val="00480743"/>
    <w:rsid w:val="00481DD9"/>
    <w:rsid w:val="004824FA"/>
    <w:rsid w:val="004847E8"/>
    <w:rsid w:val="00485D6B"/>
    <w:rsid w:val="00486C67"/>
    <w:rsid w:val="004879D9"/>
    <w:rsid w:val="00493271"/>
    <w:rsid w:val="00494D09"/>
    <w:rsid w:val="004A61B2"/>
    <w:rsid w:val="004B20F5"/>
    <w:rsid w:val="004B2309"/>
    <w:rsid w:val="004B2B83"/>
    <w:rsid w:val="004B4DDE"/>
    <w:rsid w:val="004B79A2"/>
    <w:rsid w:val="004C0891"/>
    <w:rsid w:val="004C41E1"/>
    <w:rsid w:val="004C62BD"/>
    <w:rsid w:val="004C65DD"/>
    <w:rsid w:val="004D1589"/>
    <w:rsid w:val="004D4F5F"/>
    <w:rsid w:val="004E072A"/>
    <w:rsid w:val="004F0CCF"/>
    <w:rsid w:val="004F1678"/>
    <w:rsid w:val="004F253E"/>
    <w:rsid w:val="004F310E"/>
    <w:rsid w:val="004F4507"/>
    <w:rsid w:val="004F490B"/>
    <w:rsid w:val="004F5E7D"/>
    <w:rsid w:val="004F6BA4"/>
    <w:rsid w:val="00502C75"/>
    <w:rsid w:val="00503530"/>
    <w:rsid w:val="00504B78"/>
    <w:rsid w:val="00505CD9"/>
    <w:rsid w:val="005104D3"/>
    <w:rsid w:val="00510FFF"/>
    <w:rsid w:val="00516887"/>
    <w:rsid w:val="00517345"/>
    <w:rsid w:val="0051753E"/>
    <w:rsid w:val="005207F0"/>
    <w:rsid w:val="00521377"/>
    <w:rsid w:val="00522D74"/>
    <w:rsid w:val="005248AD"/>
    <w:rsid w:val="00524F25"/>
    <w:rsid w:val="00525075"/>
    <w:rsid w:val="00525DB0"/>
    <w:rsid w:val="0052626B"/>
    <w:rsid w:val="00531A67"/>
    <w:rsid w:val="00531A6E"/>
    <w:rsid w:val="0053468B"/>
    <w:rsid w:val="00540766"/>
    <w:rsid w:val="00540C6B"/>
    <w:rsid w:val="0054188D"/>
    <w:rsid w:val="0054466A"/>
    <w:rsid w:val="005472D1"/>
    <w:rsid w:val="0054733C"/>
    <w:rsid w:val="00547DAB"/>
    <w:rsid w:val="005514B4"/>
    <w:rsid w:val="00551D11"/>
    <w:rsid w:val="005579E4"/>
    <w:rsid w:val="00561390"/>
    <w:rsid w:val="00561DA8"/>
    <w:rsid w:val="00562716"/>
    <w:rsid w:val="005628FB"/>
    <w:rsid w:val="00563EDD"/>
    <w:rsid w:val="00565EA3"/>
    <w:rsid w:val="00567C98"/>
    <w:rsid w:val="00570D36"/>
    <w:rsid w:val="00571FB8"/>
    <w:rsid w:val="00572427"/>
    <w:rsid w:val="00572801"/>
    <w:rsid w:val="00573956"/>
    <w:rsid w:val="00573AA5"/>
    <w:rsid w:val="00581617"/>
    <w:rsid w:val="00586861"/>
    <w:rsid w:val="00592229"/>
    <w:rsid w:val="00592F18"/>
    <w:rsid w:val="00594C06"/>
    <w:rsid w:val="005A208F"/>
    <w:rsid w:val="005A4088"/>
    <w:rsid w:val="005A53FB"/>
    <w:rsid w:val="005B5270"/>
    <w:rsid w:val="005B75A2"/>
    <w:rsid w:val="005C05B6"/>
    <w:rsid w:val="005C21A5"/>
    <w:rsid w:val="005C56AA"/>
    <w:rsid w:val="005C7466"/>
    <w:rsid w:val="005D2C11"/>
    <w:rsid w:val="005D5862"/>
    <w:rsid w:val="005D65EC"/>
    <w:rsid w:val="005D687A"/>
    <w:rsid w:val="005D6B0C"/>
    <w:rsid w:val="005E09A9"/>
    <w:rsid w:val="005E12B9"/>
    <w:rsid w:val="005E239E"/>
    <w:rsid w:val="005E28E3"/>
    <w:rsid w:val="005E567D"/>
    <w:rsid w:val="005F4C9E"/>
    <w:rsid w:val="005F5D30"/>
    <w:rsid w:val="006008AD"/>
    <w:rsid w:val="006038EF"/>
    <w:rsid w:val="006049A5"/>
    <w:rsid w:val="00605EA4"/>
    <w:rsid w:val="00610F8B"/>
    <w:rsid w:val="00614520"/>
    <w:rsid w:val="00624941"/>
    <w:rsid w:val="0062566E"/>
    <w:rsid w:val="00627C33"/>
    <w:rsid w:val="006317ED"/>
    <w:rsid w:val="00631985"/>
    <w:rsid w:val="006349AA"/>
    <w:rsid w:val="00634F87"/>
    <w:rsid w:val="00637016"/>
    <w:rsid w:val="00637C08"/>
    <w:rsid w:val="00641FEB"/>
    <w:rsid w:val="00642745"/>
    <w:rsid w:val="006433D3"/>
    <w:rsid w:val="006457EC"/>
    <w:rsid w:val="00657DF4"/>
    <w:rsid w:val="00660FB3"/>
    <w:rsid w:val="00661FAB"/>
    <w:rsid w:val="00662EE9"/>
    <w:rsid w:val="00664DEB"/>
    <w:rsid w:val="006713D9"/>
    <w:rsid w:val="006721FE"/>
    <w:rsid w:val="00675A08"/>
    <w:rsid w:val="00675A0B"/>
    <w:rsid w:val="00676363"/>
    <w:rsid w:val="00677AA9"/>
    <w:rsid w:val="00680B6C"/>
    <w:rsid w:val="00682A91"/>
    <w:rsid w:val="00685CCA"/>
    <w:rsid w:val="00685ECA"/>
    <w:rsid w:val="00686373"/>
    <w:rsid w:val="00686861"/>
    <w:rsid w:val="006874EF"/>
    <w:rsid w:val="00693660"/>
    <w:rsid w:val="00693BDD"/>
    <w:rsid w:val="006945A9"/>
    <w:rsid w:val="0069506F"/>
    <w:rsid w:val="006967F4"/>
    <w:rsid w:val="006970BF"/>
    <w:rsid w:val="006A0620"/>
    <w:rsid w:val="006A0C06"/>
    <w:rsid w:val="006A16E7"/>
    <w:rsid w:val="006A1934"/>
    <w:rsid w:val="006A549E"/>
    <w:rsid w:val="006B13D5"/>
    <w:rsid w:val="006B166C"/>
    <w:rsid w:val="006B1E5D"/>
    <w:rsid w:val="006B6125"/>
    <w:rsid w:val="006B62AC"/>
    <w:rsid w:val="006B65F5"/>
    <w:rsid w:val="006B7528"/>
    <w:rsid w:val="006B7A86"/>
    <w:rsid w:val="006C0ADA"/>
    <w:rsid w:val="006C19C8"/>
    <w:rsid w:val="006C2067"/>
    <w:rsid w:val="006C3A4C"/>
    <w:rsid w:val="006C4C34"/>
    <w:rsid w:val="006D2B70"/>
    <w:rsid w:val="006D3A76"/>
    <w:rsid w:val="006D5F45"/>
    <w:rsid w:val="006D7E30"/>
    <w:rsid w:val="006E437F"/>
    <w:rsid w:val="006F47D1"/>
    <w:rsid w:val="006F681A"/>
    <w:rsid w:val="006F6A3D"/>
    <w:rsid w:val="006F766B"/>
    <w:rsid w:val="007024A9"/>
    <w:rsid w:val="00703759"/>
    <w:rsid w:val="00705B8C"/>
    <w:rsid w:val="007064EB"/>
    <w:rsid w:val="00710A5D"/>
    <w:rsid w:val="00710EAA"/>
    <w:rsid w:val="007116C0"/>
    <w:rsid w:val="00713681"/>
    <w:rsid w:val="00714B01"/>
    <w:rsid w:val="00716631"/>
    <w:rsid w:val="00722E1D"/>
    <w:rsid w:val="00724EE2"/>
    <w:rsid w:val="00730865"/>
    <w:rsid w:val="00730D2C"/>
    <w:rsid w:val="00731179"/>
    <w:rsid w:val="0073262E"/>
    <w:rsid w:val="00733B60"/>
    <w:rsid w:val="00734928"/>
    <w:rsid w:val="007349FA"/>
    <w:rsid w:val="0073548E"/>
    <w:rsid w:val="00737149"/>
    <w:rsid w:val="00743516"/>
    <w:rsid w:val="00744BAB"/>
    <w:rsid w:val="0074577C"/>
    <w:rsid w:val="007474AF"/>
    <w:rsid w:val="00750483"/>
    <w:rsid w:val="00751188"/>
    <w:rsid w:val="007526AB"/>
    <w:rsid w:val="00752A23"/>
    <w:rsid w:val="00761A7A"/>
    <w:rsid w:val="0076795C"/>
    <w:rsid w:val="0077158D"/>
    <w:rsid w:val="007727C2"/>
    <w:rsid w:val="0077494F"/>
    <w:rsid w:val="00777852"/>
    <w:rsid w:val="00780F11"/>
    <w:rsid w:val="00782F41"/>
    <w:rsid w:val="007852F9"/>
    <w:rsid w:val="007863E0"/>
    <w:rsid w:val="00786543"/>
    <w:rsid w:val="007873CB"/>
    <w:rsid w:val="007903DA"/>
    <w:rsid w:val="00793762"/>
    <w:rsid w:val="00794BF1"/>
    <w:rsid w:val="007957E0"/>
    <w:rsid w:val="007A097D"/>
    <w:rsid w:val="007A143B"/>
    <w:rsid w:val="007A2A3B"/>
    <w:rsid w:val="007A41F1"/>
    <w:rsid w:val="007A4A94"/>
    <w:rsid w:val="007A4D60"/>
    <w:rsid w:val="007B2956"/>
    <w:rsid w:val="007B6F14"/>
    <w:rsid w:val="007B7A9F"/>
    <w:rsid w:val="007C0B10"/>
    <w:rsid w:val="007C386E"/>
    <w:rsid w:val="007D076B"/>
    <w:rsid w:val="007D4B6E"/>
    <w:rsid w:val="007D5282"/>
    <w:rsid w:val="007D5649"/>
    <w:rsid w:val="007D56A8"/>
    <w:rsid w:val="007D7A83"/>
    <w:rsid w:val="007E119A"/>
    <w:rsid w:val="007E133E"/>
    <w:rsid w:val="007E275B"/>
    <w:rsid w:val="007E412D"/>
    <w:rsid w:val="007E7910"/>
    <w:rsid w:val="007F213E"/>
    <w:rsid w:val="007F2C2D"/>
    <w:rsid w:val="00800738"/>
    <w:rsid w:val="00803238"/>
    <w:rsid w:val="00804BB4"/>
    <w:rsid w:val="00804D17"/>
    <w:rsid w:val="00807BF4"/>
    <w:rsid w:val="00813AC5"/>
    <w:rsid w:val="00813E79"/>
    <w:rsid w:val="00814E4D"/>
    <w:rsid w:val="00823A18"/>
    <w:rsid w:val="00824358"/>
    <w:rsid w:val="0082449D"/>
    <w:rsid w:val="0082638D"/>
    <w:rsid w:val="00826AFB"/>
    <w:rsid w:val="0083016F"/>
    <w:rsid w:val="00830B64"/>
    <w:rsid w:val="008361E7"/>
    <w:rsid w:val="008362C2"/>
    <w:rsid w:val="00836C75"/>
    <w:rsid w:val="00836E4A"/>
    <w:rsid w:val="008375C2"/>
    <w:rsid w:val="00845FB3"/>
    <w:rsid w:val="0084624B"/>
    <w:rsid w:val="0084686C"/>
    <w:rsid w:val="008548C3"/>
    <w:rsid w:val="0085612B"/>
    <w:rsid w:val="00860856"/>
    <w:rsid w:val="0086235D"/>
    <w:rsid w:val="00864482"/>
    <w:rsid w:val="008657D8"/>
    <w:rsid w:val="0086688A"/>
    <w:rsid w:val="00871905"/>
    <w:rsid w:val="008719EF"/>
    <w:rsid w:val="0087325B"/>
    <w:rsid w:val="008734F4"/>
    <w:rsid w:val="00874A00"/>
    <w:rsid w:val="008775D2"/>
    <w:rsid w:val="00880DF9"/>
    <w:rsid w:val="008828D3"/>
    <w:rsid w:val="00882F76"/>
    <w:rsid w:val="0089098D"/>
    <w:rsid w:val="008915C4"/>
    <w:rsid w:val="008919EB"/>
    <w:rsid w:val="008936B8"/>
    <w:rsid w:val="00894B91"/>
    <w:rsid w:val="00896AD7"/>
    <w:rsid w:val="008A0526"/>
    <w:rsid w:val="008A140E"/>
    <w:rsid w:val="008A5D99"/>
    <w:rsid w:val="008A6E4B"/>
    <w:rsid w:val="008B1C15"/>
    <w:rsid w:val="008B5D3E"/>
    <w:rsid w:val="008B6CC5"/>
    <w:rsid w:val="008B79F7"/>
    <w:rsid w:val="008B7ACD"/>
    <w:rsid w:val="008C0552"/>
    <w:rsid w:val="008C4567"/>
    <w:rsid w:val="008D1CEB"/>
    <w:rsid w:val="008D1D7F"/>
    <w:rsid w:val="008D3697"/>
    <w:rsid w:val="008D3E28"/>
    <w:rsid w:val="008D4301"/>
    <w:rsid w:val="008D5947"/>
    <w:rsid w:val="008D662E"/>
    <w:rsid w:val="008E1DE8"/>
    <w:rsid w:val="008E436C"/>
    <w:rsid w:val="008E5856"/>
    <w:rsid w:val="008E5AB7"/>
    <w:rsid w:val="008E75ED"/>
    <w:rsid w:val="008E7EA5"/>
    <w:rsid w:val="008F0E00"/>
    <w:rsid w:val="008F15F6"/>
    <w:rsid w:val="008F1B1D"/>
    <w:rsid w:val="008F2F63"/>
    <w:rsid w:val="008F3577"/>
    <w:rsid w:val="008F4197"/>
    <w:rsid w:val="008F7D53"/>
    <w:rsid w:val="00901DDE"/>
    <w:rsid w:val="0090268B"/>
    <w:rsid w:val="00903860"/>
    <w:rsid w:val="009049F1"/>
    <w:rsid w:val="00904A34"/>
    <w:rsid w:val="00906F4E"/>
    <w:rsid w:val="00910A26"/>
    <w:rsid w:val="0091230F"/>
    <w:rsid w:val="009132D0"/>
    <w:rsid w:val="00925C00"/>
    <w:rsid w:val="00927D7A"/>
    <w:rsid w:val="00930461"/>
    <w:rsid w:val="00930E5E"/>
    <w:rsid w:val="0093402A"/>
    <w:rsid w:val="00934B9C"/>
    <w:rsid w:val="009354C6"/>
    <w:rsid w:val="00936608"/>
    <w:rsid w:val="00936E7A"/>
    <w:rsid w:val="00937327"/>
    <w:rsid w:val="009379C4"/>
    <w:rsid w:val="00941174"/>
    <w:rsid w:val="009420D5"/>
    <w:rsid w:val="0094231A"/>
    <w:rsid w:val="00942B7E"/>
    <w:rsid w:val="0095280D"/>
    <w:rsid w:val="00953AE6"/>
    <w:rsid w:val="009568BD"/>
    <w:rsid w:val="00957480"/>
    <w:rsid w:val="009601B1"/>
    <w:rsid w:val="00960A54"/>
    <w:rsid w:val="00961A7E"/>
    <w:rsid w:val="009627C1"/>
    <w:rsid w:val="00966A92"/>
    <w:rsid w:val="00971DBE"/>
    <w:rsid w:val="00973DF7"/>
    <w:rsid w:val="00975009"/>
    <w:rsid w:val="009751FD"/>
    <w:rsid w:val="00977EB2"/>
    <w:rsid w:val="00982E11"/>
    <w:rsid w:val="0098361B"/>
    <w:rsid w:val="00984A33"/>
    <w:rsid w:val="009853EA"/>
    <w:rsid w:val="00985694"/>
    <w:rsid w:val="0098571B"/>
    <w:rsid w:val="00985870"/>
    <w:rsid w:val="009877DC"/>
    <w:rsid w:val="009907F6"/>
    <w:rsid w:val="00994049"/>
    <w:rsid w:val="00994364"/>
    <w:rsid w:val="0099530E"/>
    <w:rsid w:val="009A04A9"/>
    <w:rsid w:val="009A0FA6"/>
    <w:rsid w:val="009A1463"/>
    <w:rsid w:val="009A24EE"/>
    <w:rsid w:val="009A33CB"/>
    <w:rsid w:val="009A373E"/>
    <w:rsid w:val="009B2C3B"/>
    <w:rsid w:val="009B3042"/>
    <w:rsid w:val="009B34A0"/>
    <w:rsid w:val="009B43A0"/>
    <w:rsid w:val="009B519C"/>
    <w:rsid w:val="009B78BB"/>
    <w:rsid w:val="009C421E"/>
    <w:rsid w:val="009C62ED"/>
    <w:rsid w:val="009C7992"/>
    <w:rsid w:val="009C79CD"/>
    <w:rsid w:val="009D2EF8"/>
    <w:rsid w:val="009D7962"/>
    <w:rsid w:val="009E02DA"/>
    <w:rsid w:val="009E0E33"/>
    <w:rsid w:val="009E1D09"/>
    <w:rsid w:val="009E6093"/>
    <w:rsid w:val="009E6577"/>
    <w:rsid w:val="009E693C"/>
    <w:rsid w:val="009E73E8"/>
    <w:rsid w:val="009E7462"/>
    <w:rsid w:val="009E799D"/>
    <w:rsid w:val="009F11EA"/>
    <w:rsid w:val="009F158E"/>
    <w:rsid w:val="009F3592"/>
    <w:rsid w:val="009F7A39"/>
    <w:rsid w:val="00A0085A"/>
    <w:rsid w:val="00A02685"/>
    <w:rsid w:val="00A037F6"/>
    <w:rsid w:val="00A0597A"/>
    <w:rsid w:val="00A067F2"/>
    <w:rsid w:val="00A07620"/>
    <w:rsid w:val="00A103CE"/>
    <w:rsid w:val="00A12A03"/>
    <w:rsid w:val="00A13C82"/>
    <w:rsid w:val="00A155DC"/>
    <w:rsid w:val="00A16C55"/>
    <w:rsid w:val="00A1795E"/>
    <w:rsid w:val="00A20170"/>
    <w:rsid w:val="00A201B6"/>
    <w:rsid w:val="00A22B55"/>
    <w:rsid w:val="00A262E8"/>
    <w:rsid w:val="00A2653F"/>
    <w:rsid w:val="00A266E5"/>
    <w:rsid w:val="00A27E3F"/>
    <w:rsid w:val="00A312D5"/>
    <w:rsid w:val="00A33511"/>
    <w:rsid w:val="00A338B0"/>
    <w:rsid w:val="00A33D56"/>
    <w:rsid w:val="00A37818"/>
    <w:rsid w:val="00A40A6C"/>
    <w:rsid w:val="00A45C59"/>
    <w:rsid w:val="00A47DD3"/>
    <w:rsid w:val="00A659B4"/>
    <w:rsid w:val="00A66632"/>
    <w:rsid w:val="00A7305F"/>
    <w:rsid w:val="00A735A2"/>
    <w:rsid w:val="00A74A45"/>
    <w:rsid w:val="00A75335"/>
    <w:rsid w:val="00A757B5"/>
    <w:rsid w:val="00A75AF7"/>
    <w:rsid w:val="00A81559"/>
    <w:rsid w:val="00A90B10"/>
    <w:rsid w:val="00A90F32"/>
    <w:rsid w:val="00A91DE3"/>
    <w:rsid w:val="00A94AFF"/>
    <w:rsid w:val="00A94C0E"/>
    <w:rsid w:val="00AA0D5A"/>
    <w:rsid w:val="00AA4DB1"/>
    <w:rsid w:val="00AA665F"/>
    <w:rsid w:val="00AA6D61"/>
    <w:rsid w:val="00AA76B3"/>
    <w:rsid w:val="00AA7FA3"/>
    <w:rsid w:val="00AB6373"/>
    <w:rsid w:val="00AB76BA"/>
    <w:rsid w:val="00AC1410"/>
    <w:rsid w:val="00AC493E"/>
    <w:rsid w:val="00AC5EB6"/>
    <w:rsid w:val="00AD009C"/>
    <w:rsid w:val="00AD0822"/>
    <w:rsid w:val="00AD271B"/>
    <w:rsid w:val="00AD4C8B"/>
    <w:rsid w:val="00AE276B"/>
    <w:rsid w:val="00AE5BD7"/>
    <w:rsid w:val="00AE6158"/>
    <w:rsid w:val="00AE65F1"/>
    <w:rsid w:val="00AF02FB"/>
    <w:rsid w:val="00AF72D1"/>
    <w:rsid w:val="00AF769C"/>
    <w:rsid w:val="00B03621"/>
    <w:rsid w:val="00B078CA"/>
    <w:rsid w:val="00B07AE7"/>
    <w:rsid w:val="00B10CDB"/>
    <w:rsid w:val="00B14284"/>
    <w:rsid w:val="00B166B6"/>
    <w:rsid w:val="00B1676C"/>
    <w:rsid w:val="00B234CE"/>
    <w:rsid w:val="00B27B51"/>
    <w:rsid w:val="00B27F22"/>
    <w:rsid w:val="00B31E6C"/>
    <w:rsid w:val="00B32B16"/>
    <w:rsid w:val="00B34CDF"/>
    <w:rsid w:val="00B351C7"/>
    <w:rsid w:val="00B413E5"/>
    <w:rsid w:val="00B42C83"/>
    <w:rsid w:val="00B42F26"/>
    <w:rsid w:val="00B46756"/>
    <w:rsid w:val="00B50891"/>
    <w:rsid w:val="00B527E7"/>
    <w:rsid w:val="00B56FF5"/>
    <w:rsid w:val="00B5710F"/>
    <w:rsid w:val="00B61065"/>
    <w:rsid w:val="00B62560"/>
    <w:rsid w:val="00B6383B"/>
    <w:rsid w:val="00B64601"/>
    <w:rsid w:val="00B64A11"/>
    <w:rsid w:val="00B65379"/>
    <w:rsid w:val="00B717B7"/>
    <w:rsid w:val="00B73074"/>
    <w:rsid w:val="00B74ADF"/>
    <w:rsid w:val="00B74EC9"/>
    <w:rsid w:val="00B801AE"/>
    <w:rsid w:val="00B81458"/>
    <w:rsid w:val="00B82585"/>
    <w:rsid w:val="00B82662"/>
    <w:rsid w:val="00B85FD2"/>
    <w:rsid w:val="00B869FE"/>
    <w:rsid w:val="00B86D46"/>
    <w:rsid w:val="00B87CE0"/>
    <w:rsid w:val="00B93D53"/>
    <w:rsid w:val="00B9643C"/>
    <w:rsid w:val="00B97604"/>
    <w:rsid w:val="00BA15B8"/>
    <w:rsid w:val="00BA7024"/>
    <w:rsid w:val="00BA79DA"/>
    <w:rsid w:val="00BB04BB"/>
    <w:rsid w:val="00BB18A5"/>
    <w:rsid w:val="00BB1E57"/>
    <w:rsid w:val="00BB2BF8"/>
    <w:rsid w:val="00BB5691"/>
    <w:rsid w:val="00BB5C98"/>
    <w:rsid w:val="00BC193B"/>
    <w:rsid w:val="00BC1ADD"/>
    <w:rsid w:val="00BC3070"/>
    <w:rsid w:val="00BC3A78"/>
    <w:rsid w:val="00BC4E5C"/>
    <w:rsid w:val="00BC56D8"/>
    <w:rsid w:val="00BC77FF"/>
    <w:rsid w:val="00BC79B0"/>
    <w:rsid w:val="00BE3749"/>
    <w:rsid w:val="00BE3BB7"/>
    <w:rsid w:val="00BE40F3"/>
    <w:rsid w:val="00BE7FDA"/>
    <w:rsid w:val="00BF15BE"/>
    <w:rsid w:val="00BF2AB8"/>
    <w:rsid w:val="00BF33E3"/>
    <w:rsid w:val="00BF4315"/>
    <w:rsid w:val="00BF55A2"/>
    <w:rsid w:val="00C007BE"/>
    <w:rsid w:val="00C00965"/>
    <w:rsid w:val="00C02EFD"/>
    <w:rsid w:val="00C02F22"/>
    <w:rsid w:val="00C05C3A"/>
    <w:rsid w:val="00C06A75"/>
    <w:rsid w:val="00C06ED3"/>
    <w:rsid w:val="00C07031"/>
    <w:rsid w:val="00C14C45"/>
    <w:rsid w:val="00C15CFF"/>
    <w:rsid w:val="00C16588"/>
    <w:rsid w:val="00C174EE"/>
    <w:rsid w:val="00C21721"/>
    <w:rsid w:val="00C242AA"/>
    <w:rsid w:val="00C2538D"/>
    <w:rsid w:val="00C33036"/>
    <w:rsid w:val="00C33F2D"/>
    <w:rsid w:val="00C34CDA"/>
    <w:rsid w:val="00C35EE3"/>
    <w:rsid w:val="00C3627E"/>
    <w:rsid w:val="00C36B7E"/>
    <w:rsid w:val="00C36CD7"/>
    <w:rsid w:val="00C37231"/>
    <w:rsid w:val="00C37628"/>
    <w:rsid w:val="00C377A3"/>
    <w:rsid w:val="00C41D8E"/>
    <w:rsid w:val="00C434CD"/>
    <w:rsid w:val="00C43BEA"/>
    <w:rsid w:val="00C4617B"/>
    <w:rsid w:val="00C46ACE"/>
    <w:rsid w:val="00C52BC7"/>
    <w:rsid w:val="00C52C48"/>
    <w:rsid w:val="00C52F5E"/>
    <w:rsid w:val="00C53D38"/>
    <w:rsid w:val="00C62614"/>
    <w:rsid w:val="00C6355D"/>
    <w:rsid w:val="00C63F78"/>
    <w:rsid w:val="00C67F67"/>
    <w:rsid w:val="00C72A21"/>
    <w:rsid w:val="00C72A2E"/>
    <w:rsid w:val="00C72DFD"/>
    <w:rsid w:val="00C73C54"/>
    <w:rsid w:val="00C7453C"/>
    <w:rsid w:val="00C74E84"/>
    <w:rsid w:val="00C774B5"/>
    <w:rsid w:val="00C8459C"/>
    <w:rsid w:val="00C84FD7"/>
    <w:rsid w:val="00C86A45"/>
    <w:rsid w:val="00C91EC6"/>
    <w:rsid w:val="00C93E11"/>
    <w:rsid w:val="00C94D73"/>
    <w:rsid w:val="00C9530F"/>
    <w:rsid w:val="00C959DA"/>
    <w:rsid w:val="00C960E6"/>
    <w:rsid w:val="00C96491"/>
    <w:rsid w:val="00C9680B"/>
    <w:rsid w:val="00CA37C0"/>
    <w:rsid w:val="00CA513A"/>
    <w:rsid w:val="00CA5347"/>
    <w:rsid w:val="00CB0253"/>
    <w:rsid w:val="00CB2D47"/>
    <w:rsid w:val="00CB43D2"/>
    <w:rsid w:val="00CB54B6"/>
    <w:rsid w:val="00CB68C8"/>
    <w:rsid w:val="00CC39A5"/>
    <w:rsid w:val="00CC3C0C"/>
    <w:rsid w:val="00CD051F"/>
    <w:rsid w:val="00CD4ECB"/>
    <w:rsid w:val="00CD5372"/>
    <w:rsid w:val="00CD58BD"/>
    <w:rsid w:val="00CD5993"/>
    <w:rsid w:val="00CE21B0"/>
    <w:rsid w:val="00CE3574"/>
    <w:rsid w:val="00CE3C0F"/>
    <w:rsid w:val="00CE3E7D"/>
    <w:rsid w:val="00CF036F"/>
    <w:rsid w:val="00D018B3"/>
    <w:rsid w:val="00D118E8"/>
    <w:rsid w:val="00D11D1C"/>
    <w:rsid w:val="00D1367C"/>
    <w:rsid w:val="00D17175"/>
    <w:rsid w:val="00D17BC5"/>
    <w:rsid w:val="00D201EC"/>
    <w:rsid w:val="00D26304"/>
    <w:rsid w:val="00D27328"/>
    <w:rsid w:val="00D275E8"/>
    <w:rsid w:val="00D318D3"/>
    <w:rsid w:val="00D32887"/>
    <w:rsid w:val="00D3299D"/>
    <w:rsid w:val="00D329DD"/>
    <w:rsid w:val="00D33239"/>
    <w:rsid w:val="00D33C6F"/>
    <w:rsid w:val="00D35E5A"/>
    <w:rsid w:val="00D42426"/>
    <w:rsid w:val="00D45400"/>
    <w:rsid w:val="00D50B68"/>
    <w:rsid w:val="00D5275A"/>
    <w:rsid w:val="00D533FF"/>
    <w:rsid w:val="00D53AA5"/>
    <w:rsid w:val="00D53D8F"/>
    <w:rsid w:val="00D56F07"/>
    <w:rsid w:val="00D602A4"/>
    <w:rsid w:val="00D60A39"/>
    <w:rsid w:val="00D60B28"/>
    <w:rsid w:val="00D620DC"/>
    <w:rsid w:val="00D625BC"/>
    <w:rsid w:val="00D63300"/>
    <w:rsid w:val="00D63962"/>
    <w:rsid w:val="00D64092"/>
    <w:rsid w:val="00D640E3"/>
    <w:rsid w:val="00D65A89"/>
    <w:rsid w:val="00D66449"/>
    <w:rsid w:val="00D66B0C"/>
    <w:rsid w:val="00D705B0"/>
    <w:rsid w:val="00D70D11"/>
    <w:rsid w:val="00D72C78"/>
    <w:rsid w:val="00D7385D"/>
    <w:rsid w:val="00D73BEB"/>
    <w:rsid w:val="00D759DC"/>
    <w:rsid w:val="00D76104"/>
    <w:rsid w:val="00D8297A"/>
    <w:rsid w:val="00D8354D"/>
    <w:rsid w:val="00D85196"/>
    <w:rsid w:val="00D85BF6"/>
    <w:rsid w:val="00D9005A"/>
    <w:rsid w:val="00D914C4"/>
    <w:rsid w:val="00D92AB7"/>
    <w:rsid w:val="00D9534B"/>
    <w:rsid w:val="00D96B60"/>
    <w:rsid w:val="00DA1AB7"/>
    <w:rsid w:val="00DA4691"/>
    <w:rsid w:val="00DA6C79"/>
    <w:rsid w:val="00DB1BAF"/>
    <w:rsid w:val="00DC264B"/>
    <w:rsid w:val="00DC4A9D"/>
    <w:rsid w:val="00DC662F"/>
    <w:rsid w:val="00DC6686"/>
    <w:rsid w:val="00DC70E6"/>
    <w:rsid w:val="00DD01E5"/>
    <w:rsid w:val="00DD4D51"/>
    <w:rsid w:val="00DD5551"/>
    <w:rsid w:val="00DD5F69"/>
    <w:rsid w:val="00DE010D"/>
    <w:rsid w:val="00DE08BC"/>
    <w:rsid w:val="00DE3BA3"/>
    <w:rsid w:val="00DE3D45"/>
    <w:rsid w:val="00DE4CB9"/>
    <w:rsid w:val="00DF1948"/>
    <w:rsid w:val="00DF226E"/>
    <w:rsid w:val="00DF5338"/>
    <w:rsid w:val="00DF709A"/>
    <w:rsid w:val="00DF70F8"/>
    <w:rsid w:val="00E019E2"/>
    <w:rsid w:val="00E01FC7"/>
    <w:rsid w:val="00E03B87"/>
    <w:rsid w:val="00E0408F"/>
    <w:rsid w:val="00E0441D"/>
    <w:rsid w:val="00E05885"/>
    <w:rsid w:val="00E067C7"/>
    <w:rsid w:val="00E06B78"/>
    <w:rsid w:val="00E105B6"/>
    <w:rsid w:val="00E115A3"/>
    <w:rsid w:val="00E11B25"/>
    <w:rsid w:val="00E13B36"/>
    <w:rsid w:val="00E144FE"/>
    <w:rsid w:val="00E2252B"/>
    <w:rsid w:val="00E24A36"/>
    <w:rsid w:val="00E26062"/>
    <w:rsid w:val="00E276DA"/>
    <w:rsid w:val="00E303AB"/>
    <w:rsid w:val="00E3093F"/>
    <w:rsid w:val="00E41B33"/>
    <w:rsid w:val="00E4540F"/>
    <w:rsid w:val="00E46CE1"/>
    <w:rsid w:val="00E5028A"/>
    <w:rsid w:val="00E52A59"/>
    <w:rsid w:val="00E532B0"/>
    <w:rsid w:val="00E56511"/>
    <w:rsid w:val="00E57974"/>
    <w:rsid w:val="00E64369"/>
    <w:rsid w:val="00E7264E"/>
    <w:rsid w:val="00E72D71"/>
    <w:rsid w:val="00E74565"/>
    <w:rsid w:val="00E772D8"/>
    <w:rsid w:val="00E82420"/>
    <w:rsid w:val="00E832FB"/>
    <w:rsid w:val="00E83BEE"/>
    <w:rsid w:val="00E85876"/>
    <w:rsid w:val="00E869A9"/>
    <w:rsid w:val="00E942A1"/>
    <w:rsid w:val="00EA3957"/>
    <w:rsid w:val="00EA61C2"/>
    <w:rsid w:val="00EA6CFD"/>
    <w:rsid w:val="00EB0110"/>
    <w:rsid w:val="00EB7CD7"/>
    <w:rsid w:val="00EC020C"/>
    <w:rsid w:val="00ED1375"/>
    <w:rsid w:val="00ED2271"/>
    <w:rsid w:val="00ED41D9"/>
    <w:rsid w:val="00ED7036"/>
    <w:rsid w:val="00ED718A"/>
    <w:rsid w:val="00EE0158"/>
    <w:rsid w:val="00EE12D3"/>
    <w:rsid w:val="00EE1F54"/>
    <w:rsid w:val="00EF27C8"/>
    <w:rsid w:val="00EF3DBC"/>
    <w:rsid w:val="00EF40F8"/>
    <w:rsid w:val="00EF4A26"/>
    <w:rsid w:val="00EF708A"/>
    <w:rsid w:val="00EF7AC3"/>
    <w:rsid w:val="00F03B56"/>
    <w:rsid w:val="00F07600"/>
    <w:rsid w:val="00F134F9"/>
    <w:rsid w:val="00F205FF"/>
    <w:rsid w:val="00F21A00"/>
    <w:rsid w:val="00F227E2"/>
    <w:rsid w:val="00F22DFB"/>
    <w:rsid w:val="00F319EF"/>
    <w:rsid w:val="00F32083"/>
    <w:rsid w:val="00F33247"/>
    <w:rsid w:val="00F33E5E"/>
    <w:rsid w:val="00F34355"/>
    <w:rsid w:val="00F34C24"/>
    <w:rsid w:val="00F42B48"/>
    <w:rsid w:val="00F44242"/>
    <w:rsid w:val="00F45458"/>
    <w:rsid w:val="00F45AA9"/>
    <w:rsid w:val="00F5065C"/>
    <w:rsid w:val="00F50EE9"/>
    <w:rsid w:val="00F50F84"/>
    <w:rsid w:val="00F51C6E"/>
    <w:rsid w:val="00F534CA"/>
    <w:rsid w:val="00F5563B"/>
    <w:rsid w:val="00F57F97"/>
    <w:rsid w:val="00F61959"/>
    <w:rsid w:val="00F64DA5"/>
    <w:rsid w:val="00F67873"/>
    <w:rsid w:val="00F70964"/>
    <w:rsid w:val="00F72C47"/>
    <w:rsid w:val="00F73BDF"/>
    <w:rsid w:val="00F809BB"/>
    <w:rsid w:val="00F82E68"/>
    <w:rsid w:val="00F8309B"/>
    <w:rsid w:val="00F837D9"/>
    <w:rsid w:val="00F84D89"/>
    <w:rsid w:val="00F87C80"/>
    <w:rsid w:val="00F9055C"/>
    <w:rsid w:val="00F94FC0"/>
    <w:rsid w:val="00F954DC"/>
    <w:rsid w:val="00F96555"/>
    <w:rsid w:val="00F96C95"/>
    <w:rsid w:val="00F97B7F"/>
    <w:rsid w:val="00FA0B18"/>
    <w:rsid w:val="00FA143B"/>
    <w:rsid w:val="00FA290F"/>
    <w:rsid w:val="00FA62E4"/>
    <w:rsid w:val="00FB0250"/>
    <w:rsid w:val="00FB57A8"/>
    <w:rsid w:val="00FB6212"/>
    <w:rsid w:val="00FC1CEF"/>
    <w:rsid w:val="00FC4994"/>
    <w:rsid w:val="00FC5EBD"/>
    <w:rsid w:val="00FD3049"/>
    <w:rsid w:val="00FD32C0"/>
    <w:rsid w:val="00FD4494"/>
    <w:rsid w:val="00FD520F"/>
    <w:rsid w:val="00FD758D"/>
    <w:rsid w:val="00FD79B8"/>
    <w:rsid w:val="00FE10D6"/>
    <w:rsid w:val="00FE1B4C"/>
    <w:rsid w:val="00FE2F6B"/>
    <w:rsid w:val="00FE5221"/>
    <w:rsid w:val="00FF0536"/>
    <w:rsid w:val="00FF10E5"/>
    <w:rsid w:val="00FF5C77"/>
    <w:rsid w:val="00FF7FC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623C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9C4"/>
    <w:pPr>
      <w:spacing w:before="120" w:after="120"/>
    </w:pPr>
    <w:rPr>
      <w:rFonts w:ascii="Segoe UI" w:hAnsi="Segoe UI"/>
      <w:sz w:val="20"/>
    </w:rPr>
  </w:style>
  <w:style w:type="paragraph" w:styleId="Heading1">
    <w:name w:val="heading 1"/>
    <w:basedOn w:val="Heading2"/>
    <w:next w:val="Normal"/>
    <w:link w:val="Heading1Char"/>
    <w:uiPriority w:val="9"/>
    <w:qFormat/>
    <w:pPr>
      <w:numPr>
        <w:ilvl w:val="0"/>
      </w:numPr>
      <w:outlineLvl w:val="0"/>
    </w:pPr>
    <w:rPr>
      <w:sz w:val="32"/>
    </w:rPr>
  </w:style>
  <w:style w:type="paragraph" w:styleId="Heading2">
    <w:name w:val="heading 2"/>
    <w:basedOn w:val="Normal"/>
    <w:next w:val="Normal"/>
    <w:link w:val="Heading2Char"/>
    <w:uiPriority w:val="9"/>
    <w:unhideWhenUsed/>
    <w:qFormat/>
    <w:pPr>
      <w:keepNext/>
      <w:keepLines/>
      <w:numPr>
        <w:ilvl w:val="1"/>
        <w:numId w:val="3"/>
      </w:numPr>
      <w:spacing w:before="240" w:after="0"/>
      <w:ind w:left="432"/>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2"/>
    <w:unhideWhenUsed/>
    <w:qFormat/>
    <w:pPr>
      <w:numPr>
        <w:ilvl w:val="2"/>
      </w:numPr>
      <w:outlineLvl w:val="2"/>
    </w:pPr>
    <w:rPr>
      <w:sz w:val="26"/>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Pr>
      <w:color w:val="0563C1" w:themeColor="hyperlink"/>
      <w:u w:val="single"/>
    </w:rPr>
  </w:style>
  <w:style w:type="paragraph" w:styleId="FootnoteText">
    <w:name w:val="footnote text"/>
    <w:basedOn w:val="Normal"/>
    <w:link w:val="FootnoteTextChar"/>
    <w:uiPriority w:val="99"/>
    <w:unhideWhenUsed/>
    <w:pPr>
      <w:spacing w:after="0" w:line="240" w:lineRule="auto"/>
    </w:pPr>
    <w:rPr>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spacing w:line="240" w:lineRule="auto"/>
    </w:pPr>
    <w:rPr>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ing1Char">
    <w:name w:val="Heading 1 Char"/>
    <w:basedOn w:val="DefaultParagraphFont"/>
    <w:link w:val="Heading1"/>
    <w:uiPriority w:val="9"/>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pPr>
      <w:outlineLvl w:val="9"/>
    </w:pPr>
    <w:rPr>
      <w:rFonts w:asciiTheme="majorHAnsi" w:hAnsiTheme="majorHAnsi"/>
    </w:rPr>
  </w:style>
  <w:style w:type="character" w:customStyle="1" w:styleId="Heading4Char">
    <w:name w:val="Heading 4 Char"/>
    <w:basedOn w:val="DefaultParagraphFont"/>
    <w:link w:val="Heading4"/>
    <w:uiPriority w:val="9"/>
    <w:rPr>
      <w:rFonts w:ascii="Segoe UI" w:eastAsiaTheme="majorEastAsia" w:hAnsi="Segoe UI" w:cstheme="majorBidi"/>
      <w:b/>
      <w:iCs/>
      <w:sz w:val="24"/>
    </w:rPr>
  </w:style>
  <w:style w:type="numbering" w:customStyle="1" w:styleId="NumberBulletStylesMS">
    <w:name w:val="Number Bullet Styles MS"/>
    <w:uiPriority w:val="99"/>
    <w:pPr>
      <w:numPr>
        <w:numId w:val="1"/>
      </w:numPr>
    </w:pPr>
  </w:style>
  <w:style w:type="character" w:styleId="FollowedHyperlink">
    <w:name w:val="FollowedHyperlink"/>
    <w:basedOn w:val="DefaultParagraphFont"/>
    <w:uiPriority w:val="99"/>
    <w:semiHidden/>
    <w:unhideWhenUsed/>
    <w:rPr>
      <w:color w:val="954F72" w:themeColor="followedHyperlink"/>
      <w:u w:val="single"/>
    </w:rPr>
  </w:style>
  <w:style w:type="paragraph" w:styleId="Revision">
    <w:name w:val="Revision"/>
    <w:hidden/>
    <w:uiPriority w:val="99"/>
    <w:semiHidden/>
    <w:pPr>
      <w:spacing w:after="0" w:line="240" w:lineRule="auto"/>
    </w:pPr>
    <w:rPr>
      <w:rFonts w:ascii="Segoe Pro" w:hAnsi="Segoe Pro"/>
      <w:sz w:val="20"/>
    </w:rPr>
  </w:style>
  <w:style w:type="paragraph" w:styleId="Title">
    <w:name w:val="Title"/>
    <w:basedOn w:val="Normal"/>
    <w:next w:val="Normal"/>
    <w:link w:val="TitleChar"/>
    <w:autoRedefine/>
    <w:uiPriority w:val="10"/>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Pr>
      <w:rFonts w:ascii="Segoe Pro" w:eastAsiaTheme="minorEastAsia" w:hAnsi="Segoe Pro"/>
      <w:color w:val="5A5A5A" w:themeColor="text1" w:themeTint="A5"/>
      <w:spacing w:val="15"/>
    </w:rPr>
  </w:style>
  <w:style w:type="paragraph" w:customStyle="1" w:styleId="SOWTitle">
    <w:name w:val="SOW_Title"/>
    <w:basedOn w:val="Title"/>
    <w:link w:val="SOWTitleChar"/>
    <w:qFormat/>
  </w:style>
  <w:style w:type="paragraph" w:styleId="ListParagraph">
    <w:name w:val="List Paragraph"/>
    <w:aliases w:val="Num Bullet 1,Bullet Number,List Paragraph1,lp1,lp11,List Paragraph11,Bullet 1,Use Case List Paragraph,Bullet List,FooterText,numbered,Paragraphe de liste1,Bulletr List Paragraph,列出段落,列出段落1,List Paragraph2,List Paragraph21"/>
    <w:basedOn w:val="Normal"/>
    <w:link w:val="ListParagraphChar"/>
    <w:uiPriority w:val="34"/>
    <w:qFormat/>
    <w:pPr>
      <w:ind w:left="720"/>
      <w:contextualSpacing/>
    </w:pPr>
  </w:style>
  <w:style w:type="character" w:customStyle="1" w:styleId="SOWTitleChar">
    <w:name w:val="SOW_Title Char"/>
    <w:basedOn w:val="Heading1Char"/>
    <w:link w:val="SOWTitle"/>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pPr>
      <w:numPr>
        <w:numId w:val="2"/>
      </w:numPr>
    </w:pPr>
  </w:style>
  <w:style w:type="table" w:customStyle="1" w:styleId="TableGrid1">
    <w:name w:val="Table Grid1"/>
    <w:basedOn w:val="TableNormal"/>
    <w:next w:val="TableGrid"/>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2D086E"/>
    <w:rPr>
      <w:i/>
      <w:color w:val="FF00FF"/>
    </w:rPr>
  </w:style>
  <w:style w:type="paragraph" w:customStyle="1" w:styleId="Optional">
    <w:name w:val="Optional"/>
    <w:basedOn w:val="Normal"/>
    <w:next w:val="Normal"/>
    <w:link w:val="OptionalChar"/>
    <w:qFormat/>
    <w:rsid w:val="004C65DD"/>
    <w:rPr>
      <w:color w:val="00B0F0"/>
    </w:rPr>
  </w:style>
  <w:style w:type="character" w:customStyle="1" w:styleId="InstructionalChar">
    <w:name w:val="Instructional Char"/>
    <w:basedOn w:val="DefaultParagraphFont"/>
    <w:link w:val="Instructional"/>
    <w:rsid w:val="002D086E"/>
    <w:rPr>
      <w:rFonts w:ascii="Segoe UI" w:hAnsi="Segoe UI"/>
      <w:i/>
      <w:color w:val="FF00FF"/>
      <w:sz w:val="20"/>
    </w:rPr>
  </w:style>
  <w:style w:type="character" w:customStyle="1" w:styleId="OptionalChar">
    <w:name w:val="Optional Char"/>
    <w:basedOn w:val="DefaultParagraphFont"/>
    <w:link w:val="Optional"/>
    <w:rsid w:val="004C65DD"/>
    <w:rPr>
      <w:rFonts w:ascii="Segoe UI" w:hAnsi="Segoe UI"/>
      <w:color w:val="00B0F0"/>
      <w:sz w:val="20"/>
    </w:rPr>
  </w:style>
  <w:style w:type="paragraph" w:customStyle="1" w:styleId="TableText">
    <w:name w:val="Table Text"/>
    <w:basedOn w:val="Normal"/>
    <w:link w:val="TableTextChar"/>
    <w:qFormat/>
    <w:pPr>
      <w:spacing w:line="240" w:lineRule="auto"/>
    </w:pPr>
  </w:style>
  <w:style w:type="paragraph" w:styleId="ListBullet">
    <w:name w:val="List Bullet"/>
    <w:basedOn w:val="Normal"/>
    <w:uiPriority w:val="4"/>
    <w:qFormat/>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pPr>
      <w:numPr>
        <w:numId w:val="5"/>
      </w:numPr>
    </w:pPr>
  </w:style>
  <w:style w:type="character" w:customStyle="1" w:styleId="ListParagraphChar">
    <w:name w:val="List Paragraph Char"/>
    <w:aliases w:val="Num Bullet 1 Char,Bullet Number Char,List Paragraph1 Char,lp1 Char,lp11 Char,List Paragraph11 Char,Bullet 1 Char,Use Case List Paragraph Char,Bullet List Char,FooterText Char,numbered Char,Paragraphe de liste1 Char,列出段落 Char"/>
    <w:basedOn w:val="DefaultParagraphFont"/>
    <w:link w:val="ListParagraph"/>
    <w:uiPriority w:val="34"/>
    <w:rPr>
      <w:rFonts w:ascii="Segoe UI" w:hAnsi="Segoe UI"/>
      <w:sz w:val="20"/>
    </w:rPr>
  </w:style>
  <w:style w:type="character" w:customStyle="1" w:styleId="BulletlistChar">
    <w:name w:val="Bullet list Char"/>
    <w:basedOn w:val="ListParagraphChar"/>
    <w:link w:val="Bulletlist"/>
    <w:rPr>
      <w:rFonts w:ascii="Segoe UI" w:hAnsi="Segoe UI"/>
      <w:sz w:val="20"/>
    </w:rPr>
  </w:style>
  <w:style w:type="numbering" w:customStyle="1" w:styleId="TableBullets">
    <w:name w:val="Table Bullets"/>
    <w:uiPriority w:val="99"/>
    <w:pPr>
      <w:numPr>
        <w:numId w:val="6"/>
      </w:numPr>
    </w:pPr>
  </w:style>
  <w:style w:type="paragraph" w:customStyle="1" w:styleId="TableBullet1MS">
    <w:name w:val="Table Bullet 1 MS"/>
    <w:basedOn w:val="TableText"/>
    <w:pPr>
      <w:numPr>
        <w:numId w:val="6"/>
      </w:numPr>
      <w:spacing w:before="0" w:after="0"/>
    </w:pPr>
  </w:style>
  <w:style w:type="paragraph" w:customStyle="1" w:styleId="TableBullet2MS">
    <w:name w:val="Table Bullet 2 MS"/>
    <w:basedOn w:val="TableText"/>
    <w:pPr>
      <w:numPr>
        <w:ilvl w:val="1"/>
        <w:numId w:val="6"/>
      </w:numPr>
      <w:spacing w:before="0" w:after="0"/>
    </w:pPr>
  </w:style>
  <w:style w:type="paragraph" w:customStyle="1" w:styleId="TableBullet1">
    <w:name w:val="Table Bullet 1"/>
    <w:basedOn w:val="Bulletlist"/>
    <w:qFormat/>
    <w:pPr>
      <w:spacing w:line="240" w:lineRule="auto"/>
    </w:pPr>
  </w:style>
  <w:style w:type="numbering" w:customStyle="1" w:styleId="BulletsTable">
    <w:name w:val="Bullets Table"/>
    <w:basedOn w:val="NoList"/>
  </w:style>
  <w:style w:type="paragraph" w:customStyle="1" w:styleId="NumBullet3">
    <w:name w:val="Num Bullet 3"/>
    <w:basedOn w:val="Normal"/>
    <w:uiPriority w:val="3"/>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pPr>
      <w:tabs>
        <w:tab w:val="left" w:pos="400"/>
        <w:tab w:val="right" w:leader="dot" w:pos="9350"/>
      </w:tabs>
      <w:spacing w:after="100"/>
    </w:pPr>
  </w:style>
  <w:style w:type="paragraph" w:styleId="TOC2">
    <w:name w:val="toc 2"/>
    <w:basedOn w:val="Normal"/>
    <w:next w:val="Normal"/>
    <w:autoRedefine/>
    <w:uiPriority w:val="39"/>
    <w:unhideWhenUsed/>
    <w:pPr>
      <w:spacing w:after="100"/>
      <w:ind w:left="200"/>
    </w:pPr>
  </w:style>
  <w:style w:type="paragraph" w:styleId="TOC3">
    <w:name w:val="toc 3"/>
    <w:basedOn w:val="Normal"/>
    <w:next w:val="Normal"/>
    <w:autoRedefine/>
    <w:uiPriority w:val="39"/>
    <w:unhideWhenUsed/>
    <w:pPr>
      <w:spacing w:after="100"/>
      <w:ind w:left="400"/>
    </w:pPr>
  </w:style>
  <w:style w:type="paragraph" w:customStyle="1" w:styleId="BodyMS">
    <w:name w:val="Body MS"/>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pPr>
      <w:numPr>
        <w:numId w:val="8"/>
      </w:numPr>
    </w:pPr>
  </w:style>
  <w:style w:type="character" w:customStyle="1" w:styleId="NumberedlistChar">
    <w:name w:val="Numbered list Char"/>
    <w:basedOn w:val="BulletlistChar"/>
    <w:link w:val="Numberedlist"/>
    <w:rPr>
      <w:rFonts w:ascii="Segoe UI" w:hAnsi="Segoe UI"/>
      <w:sz w:val="20"/>
    </w:rPr>
  </w:style>
  <w:style w:type="paragraph" w:styleId="TOC5">
    <w:name w:val="toc 5"/>
    <w:basedOn w:val="Normal"/>
    <w:next w:val="Normal"/>
    <w:autoRedefine/>
    <w:uiPriority w:val="39"/>
    <w:semiHidden/>
    <w:unhideWhenUsed/>
    <w:pPr>
      <w:spacing w:after="100"/>
      <w:ind w:left="800"/>
    </w:pPr>
  </w:style>
  <w:style w:type="paragraph" w:customStyle="1" w:styleId="Table-Header">
    <w:name w:val="Table - Header"/>
    <w:basedOn w:val="Normal"/>
    <w:link w:val="Table-HeaderChar"/>
    <w:qFormat/>
    <w:pPr>
      <w:spacing w:line="240" w:lineRule="auto"/>
    </w:pPr>
    <w:rPr>
      <w:b/>
      <w:color w:val="FFFFFF" w:themeColor="background1"/>
    </w:rPr>
  </w:style>
  <w:style w:type="character" w:customStyle="1" w:styleId="Table-HeaderChar">
    <w:name w:val="Table - Header Char"/>
    <w:basedOn w:val="DefaultParagraphFont"/>
    <w:link w:val="Table-Header"/>
    <w:rPr>
      <w:rFonts w:ascii="Segoe UI" w:hAnsi="Segoe UI"/>
      <w:b/>
      <w:color w:val="FFFFFF" w:themeColor="background1"/>
      <w:sz w:val="20"/>
    </w:rPr>
  </w:style>
  <w:style w:type="character" w:customStyle="1" w:styleId="highlightwordmagenta">
    <w:name w:val="highlightword_magenta"/>
    <w:basedOn w:val="DefaultParagraphFont"/>
  </w:style>
  <w:style w:type="character" w:customStyle="1" w:styleId="highlightwordyellow">
    <w:name w:val="highlightword_yellow"/>
    <w:basedOn w:val="DefaultParagraphFont"/>
  </w:style>
  <w:style w:type="character" w:styleId="Emphasis">
    <w:name w:val="Emphasis"/>
    <w:basedOn w:val="DefaultParagraphFont"/>
    <w:uiPriority w:val="20"/>
    <w:rPr>
      <w:i/>
      <w:iCs/>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pPr>
      <w:numPr>
        <w:numId w:val="0"/>
      </w:numPr>
    </w:pPr>
  </w:style>
  <w:style w:type="paragraph" w:customStyle="1" w:styleId="Subject">
    <w:name w:val="Subject"/>
    <w:basedOn w:val="Heading1nonumbers"/>
    <w:link w:val="SubjectChar"/>
  </w:style>
  <w:style w:type="character" w:customStyle="1" w:styleId="Heading1nonumbersChar">
    <w:name w:val="Heading 1 (no numbers) Char"/>
    <w:basedOn w:val="Heading1Char"/>
    <w:link w:val="Heading1nonumbers"/>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Pr>
      <w:rFonts w:ascii="Segoe UI Semibold" w:eastAsiaTheme="majorEastAsia" w:hAnsi="Segoe UI Semibold" w:cstheme="majorBidi"/>
      <w:color w:val="008272"/>
      <w:sz w:val="32"/>
      <w:szCs w:val="32"/>
    </w:rPr>
  </w:style>
  <w:style w:type="character" w:customStyle="1" w:styleId="Mention1">
    <w:name w:val="Mention1"/>
    <w:basedOn w:val="DefaultParagraphFont"/>
    <w:uiPriority w:val="99"/>
    <w:unhideWhenUsed/>
    <w:rPr>
      <w:color w:val="2B579A"/>
      <w:shd w:val="clear" w:color="auto" w:fill="E6E6E6"/>
    </w:rPr>
  </w:style>
  <w:style w:type="character" w:customStyle="1" w:styleId="UnresolvedMention1">
    <w:name w:val="Unresolved Mention1"/>
    <w:basedOn w:val="DefaultParagraphFont"/>
    <w:uiPriority w:val="99"/>
    <w:unhideWhenUsed/>
    <w:rPr>
      <w:color w:val="605E5C"/>
      <w:shd w:val="clear" w:color="auto" w:fill="E1DFDD"/>
    </w:rPr>
  </w:style>
  <w:style w:type="table" w:customStyle="1" w:styleId="TableGrid11">
    <w:name w:val="Table Grid11"/>
    <w:basedOn w:val="TableNormal"/>
    <w:next w:val="TableGrid"/>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ueText-BulletList">
    <w:name w:val="Blue Text - Bullet List"/>
    <w:basedOn w:val="Normal"/>
    <w:next w:val="Normal"/>
    <w:link w:val="BlueText-BulletListChar"/>
    <w:qFormat/>
    <w:rsid w:val="001828F1"/>
    <w:pPr>
      <w:numPr>
        <w:numId w:val="13"/>
      </w:numPr>
      <w:ind w:left="1094" w:hanging="357"/>
    </w:pPr>
    <w:rPr>
      <w:b/>
      <w:color w:val="00B0F0"/>
    </w:rPr>
  </w:style>
  <w:style w:type="paragraph" w:customStyle="1" w:styleId="BlueText-BulletStyle2">
    <w:name w:val="Blue Text - Bullet Style 2"/>
    <w:basedOn w:val="Bulletlist"/>
    <w:link w:val="BlueText-BulletStyle2Char"/>
    <w:qFormat/>
    <w:rsid w:val="00627C33"/>
    <w:pPr>
      <w:numPr>
        <w:numId w:val="12"/>
      </w:numPr>
      <w:ind w:left="284" w:hanging="284"/>
    </w:pPr>
    <w:rPr>
      <w:b/>
      <w:color w:val="00B0F0"/>
    </w:rPr>
  </w:style>
  <w:style w:type="character" w:customStyle="1" w:styleId="BlueText-BulletListChar">
    <w:name w:val="Blue Text - Bullet List Char"/>
    <w:basedOn w:val="BulletlistChar"/>
    <w:link w:val="BlueText-BulletList"/>
    <w:rsid w:val="001828F1"/>
    <w:rPr>
      <w:rFonts w:ascii="Segoe UI" w:hAnsi="Segoe UI"/>
      <w:b/>
      <w:color w:val="00B0F0"/>
      <w:sz w:val="20"/>
    </w:rPr>
  </w:style>
  <w:style w:type="paragraph" w:customStyle="1" w:styleId="PinkText-Style2">
    <w:name w:val="Pink Text - Style 2"/>
    <w:basedOn w:val="Bulletlist"/>
    <w:link w:val="PinkText-Style2Char"/>
    <w:qFormat/>
    <w:rsid w:val="00354644"/>
    <w:pPr>
      <w:numPr>
        <w:numId w:val="0"/>
      </w:numPr>
      <w:ind w:left="720"/>
    </w:pPr>
    <w:rPr>
      <w:i/>
      <w:color w:val="FF00FF"/>
    </w:rPr>
  </w:style>
  <w:style w:type="character" w:customStyle="1" w:styleId="BlueText-BulletStyle2Char">
    <w:name w:val="Blue Text - Bullet Style 2 Char"/>
    <w:basedOn w:val="BulletlistChar"/>
    <w:link w:val="BlueText-BulletStyle2"/>
    <w:rsid w:val="00627C33"/>
    <w:rPr>
      <w:rFonts w:ascii="Segoe UI" w:hAnsi="Segoe UI"/>
      <w:b/>
      <w:color w:val="00B0F0"/>
      <w:sz w:val="20"/>
    </w:rPr>
  </w:style>
  <w:style w:type="character" w:customStyle="1" w:styleId="PinkText-Style2Char">
    <w:name w:val="Pink Text - Style 2 Char"/>
    <w:basedOn w:val="BulletlistChar"/>
    <w:link w:val="PinkText-Style2"/>
    <w:rsid w:val="00354644"/>
    <w:rPr>
      <w:rFonts w:ascii="Segoe UI" w:hAnsi="Segoe UI"/>
      <w:i/>
      <w:color w:val="FF00FF"/>
      <w:sz w:val="20"/>
    </w:rPr>
  </w:style>
  <w:style w:type="paragraph" w:customStyle="1" w:styleId="NumHeading1">
    <w:name w:val="Num Heading 1"/>
    <w:basedOn w:val="Heading1"/>
    <w:next w:val="Normal"/>
    <w:semiHidden/>
    <w:rsid w:val="0087325B"/>
    <w:pPr>
      <w:keepLines w:val="0"/>
      <w:pageBreakBefore/>
      <w:numPr>
        <w:numId w:val="0"/>
      </w:numPr>
      <w:tabs>
        <w:tab w:val="left" w:pos="1440"/>
      </w:tabs>
      <w:spacing w:before="120" w:after="120" w:line="240" w:lineRule="auto"/>
    </w:pPr>
    <w:rPr>
      <w:rFonts w:ascii="Segoe Black" w:eastAsia="Segoe Black" w:hAnsi="Segoe Black" w:cs="Segoe Black"/>
      <w:b/>
      <w:bCs/>
      <w:smallCaps/>
      <w:color w:val="333333"/>
      <w:kern w:val="32"/>
      <w:lang w:eastAsia="en-AU"/>
    </w:rPr>
  </w:style>
  <w:style w:type="table" w:styleId="TableGridLight">
    <w:name w:val="Grid Table Light"/>
    <w:basedOn w:val="TableNormal"/>
    <w:uiPriority w:val="40"/>
    <w:rsid w:val="00BA15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A815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81559"/>
  </w:style>
  <w:style w:type="character" w:customStyle="1" w:styleId="eop">
    <w:name w:val="eop"/>
    <w:basedOn w:val="DefaultParagraphFont"/>
    <w:rsid w:val="00A81559"/>
  </w:style>
  <w:style w:type="paragraph" w:styleId="NoSpacing">
    <w:name w:val="No Spacing"/>
    <w:uiPriority w:val="1"/>
    <w:qFormat/>
    <w:rsid w:val="00631985"/>
    <w:pPr>
      <w:spacing w:before="60" w:after="0" w:line="240" w:lineRule="auto"/>
    </w:pPr>
  </w:style>
  <w:style w:type="character" w:customStyle="1" w:styleId="TableTextChar">
    <w:name w:val="Table Text Char"/>
    <w:basedOn w:val="DefaultParagraphFont"/>
    <w:link w:val="TableText"/>
    <w:locked/>
    <w:rsid w:val="00631985"/>
    <w:rPr>
      <w:rFonts w:ascii="Segoe UI" w:hAnsi="Segoe UI"/>
      <w:sz w:val="20"/>
    </w:rPr>
  </w:style>
  <w:style w:type="character" w:styleId="UnresolvedMention">
    <w:name w:val="Unresolved Mention"/>
    <w:basedOn w:val="DefaultParagraphFont"/>
    <w:uiPriority w:val="99"/>
    <w:unhideWhenUsed/>
    <w:rsid w:val="00273BFC"/>
    <w:rPr>
      <w:color w:val="605E5C"/>
      <w:shd w:val="clear" w:color="auto" w:fill="E1DFDD"/>
    </w:rPr>
  </w:style>
  <w:style w:type="character" w:styleId="Mention">
    <w:name w:val="Mention"/>
    <w:basedOn w:val="DefaultParagraphFont"/>
    <w:uiPriority w:val="99"/>
    <w:unhideWhenUsed/>
    <w:rsid w:val="001C104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041716">
      <w:bodyDiv w:val="1"/>
      <w:marLeft w:val="0"/>
      <w:marRight w:val="0"/>
      <w:marTop w:val="0"/>
      <w:marBottom w:val="0"/>
      <w:divBdr>
        <w:top w:val="none" w:sz="0" w:space="0" w:color="auto"/>
        <w:left w:val="none" w:sz="0" w:space="0" w:color="auto"/>
        <w:bottom w:val="none" w:sz="0" w:space="0" w:color="auto"/>
        <w:right w:val="none" w:sz="0" w:space="0" w:color="auto"/>
      </w:divBdr>
    </w:div>
    <w:div w:id="228460728">
      <w:bodyDiv w:val="1"/>
      <w:marLeft w:val="0"/>
      <w:marRight w:val="0"/>
      <w:marTop w:val="0"/>
      <w:marBottom w:val="0"/>
      <w:divBdr>
        <w:top w:val="none" w:sz="0" w:space="0" w:color="auto"/>
        <w:left w:val="none" w:sz="0" w:space="0" w:color="auto"/>
        <w:bottom w:val="none" w:sz="0" w:space="0" w:color="auto"/>
        <w:right w:val="none" w:sz="0" w:space="0" w:color="auto"/>
      </w:divBdr>
      <w:divsChild>
        <w:div w:id="524907815">
          <w:marLeft w:val="0"/>
          <w:marRight w:val="0"/>
          <w:marTop w:val="0"/>
          <w:marBottom w:val="0"/>
          <w:divBdr>
            <w:top w:val="none" w:sz="0" w:space="0" w:color="auto"/>
            <w:left w:val="none" w:sz="0" w:space="0" w:color="auto"/>
            <w:bottom w:val="none" w:sz="0" w:space="0" w:color="auto"/>
            <w:right w:val="none" w:sz="0" w:space="0" w:color="auto"/>
          </w:divBdr>
        </w:div>
      </w:divsChild>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270674235">
      <w:bodyDiv w:val="1"/>
      <w:marLeft w:val="0"/>
      <w:marRight w:val="0"/>
      <w:marTop w:val="0"/>
      <w:marBottom w:val="0"/>
      <w:divBdr>
        <w:top w:val="none" w:sz="0" w:space="0" w:color="auto"/>
        <w:left w:val="none" w:sz="0" w:space="0" w:color="auto"/>
        <w:bottom w:val="none" w:sz="0" w:space="0" w:color="auto"/>
        <w:right w:val="none" w:sz="0" w:space="0" w:color="auto"/>
      </w:divBdr>
      <w:divsChild>
        <w:div w:id="759789320">
          <w:marLeft w:val="0"/>
          <w:marRight w:val="0"/>
          <w:marTop w:val="0"/>
          <w:marBottom w:val="0"/>
          <w:divBdr>
            <w:top w:val="none" w:sz="0" w:space="0" w:color="auto"/>
            <w:left w:val="none" w:sz="0" w:space="0" w:color="auto"/>
            <w:bottom w:val="none" w:sz="0" w:space="0" w:color="auto"/>
            <w:right w:val="none" w:sz="0" w:space="0" w:color="auto"/>
          </w:divBdr>
        </w:div>
        <w:div w:id="883520085">
          <w:marLeft w:val="0"/>
          <w:marRight w:val="0"/>
          <w:marTop w:val="0"/>
          <w:marBottom w:val="0"/>
          <w:divBdr>
            <w:top w:val="none" w:sz="0" w:space="0" w:color="auto"/>
            <w:left w:val="none" w:sz="0" w:space="0" w:color="auto"/>
            <w:bottom w:val="none" w:sz="0" w:space="0" w:color="auto"/>
            <w:right w:val="none" w:sz="0" w:space="0" w:color="auto"/>
          </w:divBdr>
        </w:div>
        <w:div w:id="1558517149">
          <w:marLeft w:val="0"/>
          <w:marRight w:val="0"/>
          <w:marTop w:val="0"/>
          <w:marBottom w:val="0"/>
          <w:divBdr>
            <w:top w:val="none" w:sz="0" w:space="0" w:color="auto"/>
            <w:left w:val="none" w:sz="0" w:space="0" w:color="auto"/>
            <w:bottom w:val="none" w:sz="0" w:space="0" w:color="auto"/>
            <w:right w:val="none" w:sz="0" w:space="0" w:color="auto"/>
          </w:divBdr>
        </w:div>
      </w:divsChild>
    </w:div>
    <w:div w:id="358821165">
      <w:bodyDiv w:val="1"/>
      <w:marLeft w:val="0"/>
      <w:marRight w:val="0"/>
      <w:marTop w:val="0"/>
      <w:marBottom w:val="0"/>
      <w:divBdr>
        <w:top w:val="none" w:sz="0" w:space="0" w:color="auto"/>
        <w:left w:val="none" w:sz="0" w:space="0" w:color="auto"/>
        <w:bottom w:val="none" w:sz="0" w:space="0" w:color="auto"/>
        <w:right w:val="none" w:sz="0" w:space="0" w:color="auto"/>
      </w:divBdr>
      <w:divsChild>
        <w:div w:id="489103069">
          <w:marLeft w:val="0"/>
          <w:marRight w:val="0"/>
          <w:marTop w:val="0"/>
          <w:marBottom w:val="0"/>
          <w:divBdr>
            <w:top w:val="none" w:sz="0" w:space="0" w:color="auto"/>
            <w:left w:val="none" w:sz="0" w:space="0" w:color="auto"/>
            <w:bottom w:val="none" w:sz="0" w:space="0" w:color="auto"/>
            <w:right w:val="none" w:sz="0" w:space="0" w:color="auto"/>
          </w:divBdr>
          <w:divsChild>
            <w:div w:id="390540362">
              <w:marLeft w:val="0"/>
              <w:marRight w:val="0"/>
              <w:marTop w:val="0"/>
              <w:marBottom w:val="0"/>
              <w:divBdr>
                <w:top w:val="none" w:sz="0" w:space="0" w:color="auto"/>
                <w:left w:val="none" w:sz="0" w:space="0" w:color="auto"/>
                <w:bottom w:val="none" w:sz="0" w:space="0" w:color="auto"/>
                <w:right w:val="none" w:sz="0" w:space="0" w:color="auto"/>
              </w:divBdr>
            </w:div>
            <w:div w:id="462770903">
              <w:marLeft w:val="0"/>
              <w:marRight w:val="0"/>
              <w:marTop w:val="0"/>
              <w:marBottom w:val="0"/>
              <w:divBdr>
                <w:top w:val="none" w:sz="0" w:space="0" w:color="auto"/>
                <w:left w:val="none" w:sz="0" w:space="0" w:color="auto"/>
                <w:bottom w:val="none" w:sz="0" w:space="0" w:color="auto"/>
                <w:right w:val="none" w:sz="0" w:space="0" w:color="auto"/>
              </w:divBdr>
            </w:div>
            <w:div w:id="6721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69633048">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772870341">
      <w:bodyDiv w:val="1"/>
      <w:marLeft w:val="0"/>
      <w:marRight w:val="0"/>
      <w:marTop w:val="0"/>
      <w:marBottom w:val="0"/>
      <w:divBdr>
        <w:top w:val="none" w:sz="0" w:space="0" w:color="auto"/>
        <w:left w:val="none" w:sz="0" w:space="0" w:color="auto"/>
        <w:bottom w:val="none" w:sz="0" w:space="0" w:color="auto"/>
        <w:right w:val="none" w:sz="0" w:space="0" w:color="auto"/>
      </w:divBdr>
    </w:div>
    <w:div w:id="820777388">
      <w:bodyDiv w:val="1"/>
      <w:marLeft w:val="0"/>
      <w:marRight w:val="0"/>
      <w:marTop w:val="0"/>
      <w:marBottom w:val="0"/>
      <w:divBdr>
        <w:top w:val="none" w:sz="0" w:space="0" w:color="auto"/>
        <w:left w:val="none" w:sz="0" w:space="0" w:color="auto"/>
        <w:bottom w:val="none" w:sz="0" w:space="0" w:color="auto"/>
        <w:right w:val="none" w:sz="0" w:space="0" w:color="auto"/>
      </w:divBdr>
    </w:div>
    <w:div w:id="942959930">
      <w:bodyDiv w:val="1"/>
      <w:marLeft w:val="0"/>
      <w:marRight w:val="0"/>
      <w:marTop w:val="0"/>
      <w:marBottom w:val="0"/>
      <w:divBdr>
        <w:top w:val="none" w:sz="0" w:space="0" w:color="auto"/>
        <w:left w:val="none" w:sz="0" w:space="0" w:color="auto"/>
        <w:bottom w:val="none" w:sz="0" w:space="0" w:color="auto"/>
        <w:right w:val="none" w:sz="0" w:space="0" w:color="auto"/>
      </w:divBdr>
      <w:divsChild>
        <w:div w:id="1955867239">
          <w:marLeft w:val="0"/>
          <w:marRight w:val="0"/>
          <w:marTop w:val="0"/>
          <w:marBottom w:val="0"/>
          <w:divBdr>
            <w:top w:val="none" w:sz="0" w:space="0" w:color="auto"/>
            <w:left w:val="none" w:sz="0" w:space="0" w:color="auto"/>
            <w:bottom w:val="none" w:sz="0" w:space="0" w:color="auto"/>
            <w:right w:val="none" w:sz="0" w:space="0" w:color="auto"/>
          </w:divBdr>
        </w:div>
      </w:divsChild>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077439484">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5780681">
      <w:bodyDiv w:val="1"/>
      <w:marLeft w:val="0"/>
      <w:marRight w:val="0"/>
      <w:marTop w:val="0"/>
      <w:marBottom w:val="0"/>
      <w:divBdr>
        <w:top w:val="none" w:sz="0" w:space="0" w:color="auto"/>
        <w:left w:val="none" w:sz="0" w:space="0" w:color="auto"/>
        <w:bottom w:val="none" w:sz="0" w:space="0" w:color="auto"/>
        <w:right w:val="none" w:sz="0" w:space="0" w:color="auto"/>
      </w:divBdr>
    </w:div>
    <w:div w:id="1186286468">
      <w:bodyDiv w:val="1"/>
      <w:marLeft w:val="0"/>
      <w:marRight w:val="0"/>
      <w:marTop w:val="0"/>
      <w:marBottom w:val="0"/>
      <w:divBdr>
        <w:top w:val="none" w:sz="0" w:space="0" w:color="auto"/>
        <w:left w:val="none" w:sz="0" w:space="0" w:color="auto"/>
        <w:bottom w:val="none" w:sz="0" w:space="0" w:color="auto"/>
        <w:right w:val="none" w:sz="0" w:space="0" w:color="auto"/>
      </w:divBdr>
      <w:divsChild>
        <w:div w:id="219631633">
          <w:marLeft w:val="0"/>
          <w:marRight w:val="0"/>
          <w:marTop w:val="0"/>
          <w:marBottom w:val="0"/>
          <w:divBdr>
            <w:top w:val="none" w:sz="0" w:space="0" w:color="auto"/>
            <w:left w:val="none" w:sz="0" w:space="0" w:color="auto"/>
            <w:bottom w:val="none" w:sz="0" w:space="0" w:color="auto"/>
            <w:right w:val="none" w:sz="0" w:space="0" w:color="auto"/>
          </w:divBdr>
          <w:divsChild>
            <w:div w:id="231624761">
              <w:marLeft w:val="0"/>
              <w:marRight w:val="0"/>
              <w:marTop w:val="0"/>
              <w:marBottom w:val="0"/>
              <w:divBdr>
                <w:top w:val="none" w:sz="0" w:space="0" w:color="auto"/>
                <w:left w:val="none" w:sz="0" w:space="0" w:color="auto"/>
                <w:bottom w:val="none" w:sz="0" w:space="0" w:color="auto"/>
                <w:right w:val="none" w:sz="0" w:space="0" w:color="auto"/>
              </w:divBdr>
            </w:div>
            <w:div w:id="403644233">
              <w:marLeft w:val="0"/>
              <w:marRight w:val="0"/>
              <w:marTop w:val="0"/>
              <w:marBottom w:val="0"/>
              <w:divBdr>
                <w:top w:val="none" w:sz="0" w:space="0" w:color="auto"/>
                <w:left w:val="none" w:sz="0" w:space="0" w:color="auto"/>
                <w:bottom w:val="none" w:sz="0" w:space="0" w:color="auto"/>
                <w:right w:val="none" w:sz="0" w:space="0" w:color="auto"/>
              </w:divBdr>
            </w:div>
            <w:div w:id="488982230">
              <w:marLeft w:val="0"/>
              <w:marRight w:val="0"/>
              <w:marTop w:val="0"/>
              <w:marBottom w:val="0"/>
              <w:divBdr>
                <w:top w:val="none" w:sz="0" w:space="0" w:color="auto"/>
                <w:left w:val="none" w:sz="0" w:space="0" w:color="auto"/>
                <w:bottom w:val="none" w:sz="0" w:space="0" w:color="auto"/>
                <w:right w:val="none" w:sz="0" w:space="0" w:color="auto"/>
              </w:divBdr>
            </w:div>
            <w:div w:id="571545786">
              <w:marLeft w:val="0"/>
              <w:marRight w:val="0"/>
              <w:marTop w:val="0"/>
              <w:marBottom w:val="0"/>
              <w:divBdr>
                <w:top w:val="none" w:sz="0" w:space="0" w:color="auto"/>
                <w:left w:val="none" w:sz="0" w:space="0" w:color="auto"/>
                <w:bottom w:val="none" w:sz="0" w:space="0" w:color="auto"/>
                <w:right w:val="none" w:sz="0" w:space="0" w:color="auto"/>
              </w:divBdr>
            </w:div>
            <w:div w:id="689842249">
              <w:marLeft w:val="0"/>
              <w:marRight w:val="0"/>
              <w:marTop w:val="0"/>
              <w:marBottom w:val="0"/>
              <w:divBdr>
                <w:top w:val="none" w:sz="0" w:space="0" w:color="auto"/>
                <w:left w:val="none" w:sz="0" w:space="0" w:color="auto"/>
                <w:bottom w:val="none" w:sz="0" w:space="0" w:color="auto"/>
                <w:right w:val="none" w:sz="0" w:space="0" w:color="auto"/>
              </w:divBdr>
            </w:div>
            <w:div w:id="863325454">
              <w:marLeft w:val="0"/>
              <w:marRight w:val="0"/>
              <w:marTop w:val="0"/>
              <w:marBottom w:val="0"/>
              <w:divBdr>
                <w:top w:val="none" w:sz="0" w:space="0" w:color="auto"/>
                <w:left w:val="none" w:sz="0" w:space="0" w:color="auto"/>
                <w:bottom w:val="none" w:sz="0" w:space="0" w:color="auto"/>
                <w:right w:val="none" w:sz="0" w:space="0" w:color="auto"/>
              </w:divBdr>
            </w:div>
            <w:div w:id="890113466">
              <w:marLeft w:val="0"/>
              <w:marRight w:val="0"/>
              <w:marTop w:val="0"/>
              <w:marBottom w:val="0"/>
              <w:divBdr>
                <w:top w:val="none" w:sz="0" w:space="0" w:color="auto"/>
                <w:left w:val="none" w:sz="0" w:space="0" w:color="auto"/>
                <w:bottom w:val="none" w:sz="0" w:space="0" w:color="auto"/>
                <w:right w:val="none" w:sz="0" w:space="0" w:color="auto"/>
              </w:divBdr>
            </w:div>
            <w:div w:id="1444494645">
              <w:marLeft w:val="0"/>
              <w:marRight w:val="0"/>
              <w:marTop w:val="0"/>
              <w:marBottom w:val="0"/>
              <w:divBdr>
                <w:top w:val="none" w:sz="0" w:space="0" w:color="auto"/>
                <w:left w:val="none" w:sz="0" w:space="0" w:color="auto"/>
                <w:bottom w:val="none" w:sz="0" w:space="0" w:color="auto"/>
                <w:right w:val="none" w:sz="0" w:space="0" w:color="auto"/>
              </w:divBdr>
            </w:div>
            <w:div w:id="1725374460">
              <w:marLeft w:val="0"/>
              <w:marRight w:val="0"/>
              <w:marTop w:val="0"/>
              <w:marBottom w:val="0"/>
              <w:divBdr>
                <w:top w:val="none" w:sz="0" w:space="0" w:color="auto"/>
                <w:left w:val="none" w:sz="0" w:space="0" w:color="auto"/>
                <w:bottom w:val="none" w:sz="0" w:space="0" w:color="auto"/>
                <w:right w:val="none" w:sz="0" w:space="0" w:color="auto"/>
              </w:divBdr>
              <w:divsChild>
                <w:div w:id="11349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0452385">
      <w:bodyDiv w:val="1"/>
      <w:marLeft w:val="0"/>
      <w:marRight w:val="0"/>
      <w:marTop w:val="0"/>
      <w:marBottom w:val="0"/>
      <w:divBdr>
        <w:top w:val="none" w:sz="0" w:space="0" w:color="auto"/>
        <w:left w:val="none" w:sz="0" w:space="0" w:color="auto"/>
        <w:bottom w:val="none" w:sz="0" w:space="0" w:color="auto"/>
        <w:right w:val="none" w:sz="0" w:space="0" w:color="auto"/>
      </w:divBdr>
      <w:divsChild>
        <w:div w:id="1496843270">
          <w:marLeft w:val="0"/>
          <w:marRight w:val="0"/>
          <w:marTop w:val="0"/>
          <w:marBottom w:val="0"/>
          <w:divBdr>
            <w:top w:val="none" w:sz="0" w:space="0" w:color="auto"/>
            <w:left w:val="none" w:sz="0" w:space="0" w:color="auto"/>
            <w:bottom w:val="none" w:sz="0" w:space="0" w:color="auto"/>
            <w:right w:val="none" w:sz="0" w:space="0" w:color="auto"/>
          </w:divBdr>
        </w:div>
      </w:divsChild>
    </w:div>
    <w:div w:id="1434521615">
      <w:bodyDiv w:val="1"/>
      <w:marLeft w:val="0"/>
      <w:marRight w:val="0"/>
      <w:marTop w:val="0"/>
      <w:marBottom w:val="0"/>
      <w:divBdr>
        <w:top w:val="none" w:sz="0" w:space="0" w:color="auto"/>
        <w:left w:val="none" w:sz="0" w:space="0" w:color="auto"/>
        <w:bottom w:val="none" w:sz="0" w:space="0" w:color="auto"/>
        <w:right w:val="none" w:sz="0" w:space="0" w:color="auto"/>
      </w:divBdr>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48617802">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15923260">
      <w:bodyDiv w:val="1"/>
      <w:marLeft w:val="0"/>
      <w:marRight w:val="0"/>
      <w:marTop w:val="0"/>
      <w:marBottom w:val="0"/>
      <w:divBdr>
        <w:top w:val="none" w:sz="0" w:space="0" w:color="auto"/>
        <w:left w:val="none" w:sz="0" w:space="0" w:color="auto"/>
        <w:bottom w:val="none" w:sz="0" w:space="0" w:color="auto"/>
        <w:right w:val="none" w:sz="0" w:space="0" w:color="auto"/>
      </w:divBdr>
      <w:divsChild>
        <w:div w:id="802772497">
          <w:marLeft w:val="0"/>
          <w:marRight w:val="0"/>
          <w:marTop w:val="0"/>
          <w:marBottom w:val="0"/>
          <w:divBdr>
            <w:top w:val="none" w:sz="0" w:space="0" w:color="auto"/>
            <w:left w:val="none" w:sz="0" w:space="0" w:color="auto"/>
            <w:bottom w:val="none" w:sz="0" w:space="0" w:color="auto"/>
            <w:right w:val="none" w:sz="0" w:space="0" w:color="auto"/>
          </w:divBdr>
        </w:div>
      </w:divsChild>
    </w:div>
    <w:div w:id="1531456436">
      <w:bodyDiv w:val="1"/>
      <w:marLeft w:val="0"/>
      <w:marRight w:val="0"/>
      <w:marTop w:val="0"/>
      <w:marBottom w:val="0"/>
      <w:divBdr>
        <w:top w:val="none" w:sz="0" w:space="0" w:color="auto"/>
        <w:left w:val="none" w:sz="0" w:space="0" w:color="auto"/>
        <w:bottom w:val="none" w:sz="0" w:space="0" w:color="auto"/>
        <w:right w:val="none" w:sz="0" w:space="0" w:color="auto"/>
      </w:divBdr>
    </w:div>
    <w:div w:id="1536886185">
      <w:bodyDiv w:val="1"/>
      <w:marLeft w:val="0"/>
      <w:marRight w:val="0"/>
      <w:marTop w:val="0"/>
      <w:marBottom w:val="0"/>
      <w:divBdr>
        <w:top w:val="none" w:sz="0" w:space="0" w:color="auto"/>
        <w:left w:val="none" w:sz="0" w:space="0" w:color="auto"/>
        <w:bottom w:val="none" w:sz="0" w:space="0" w:color="auto"/>
        <w:right w:val="none" w:sz="0" w:space="0" w:color="auto"/>
      </w:divBdr>
      <w:divsChild>
        <w:div w:id="1551333427">
          <w:marLeft w:val="0"/>
          <w:marRight w:val="0"/>
          <w:marTop w:val="0"/>
          <w:marBottom w:val="0"/>
          <w:divBdr>
            <w:top w:val="none" w:sz="0" w:space="0" w:color="auto"/>
            <w:left w:val="none" w:sz="0" w:space="0" w:color="auto"/>
            <w:bottom w:val="none" w:sz="0" w:space="0" w:color="auto"/>
            <w:right w:val="none" w:sz="0" w:space="0" w:color="auto"/>
          </w:divBdr>
        </w:div>
      </w:divsChild>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785536441">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1287105">
      <w:bodyDiv w:val="1"/>
      <w:marLeft w:val="0"/>
      <w:marRight w:val="0"/>
      <w:marTop w:val="0"/>
      <w:marBottom w:val="0"/>
      <w:divBdr>
        <w:top w:val="none" w:sz="0" w:space="0" w:color="auto"/>
        <w:left w:val="none" w:sz="0" w:space="0" w:color="auto"/>
        <w:bottom w:val="none" w:sz="0" w:space="0" w:color="auto"/>
        <w:right w:val="none" w:sz="0" w:space="0" w:color="auto"/>
      </w:divBdr>
      <w:divsChild>
        <w:div w:id="1572739624">
          <w:marLeft w:val="0"/>
          <w:marRight w:val="0"/>
          <w:marTop w:val="0"/>
          <w:marBottom w:val="0"/>
          <w:divBdr>
            <w:top w:val="none" w:sz="0" w:space="0" w:color="auto"/>
            <w:left w:val="none" w:sz="0" w:space="0" w:color="auto"/>
            <w:bottom w:val="none" w:sz="0" w:space="0" w:color="auto"/>
            <w:right w:val="none" w:sz="0" w:space="0" w:color="auto"/>
          </w:divBdr>
          <w:divsChild>
            <w:div w:id="302589046">
              <w:marLeft w:val="0"/>
              <w:marRight w:val="0"/>
              <w:marTop w:val="0"/>
              <w:marBottom w:val="0"/>
              <w:divBdr>
                <w:top w:val="none" w:sz="0" w:space="0" w:color="auto"/>
                <w:left w:val="none" w:sz="0" w:space="0" w:color="auto"/>
                <w:bottom w:val="none" w:sz="0" w:space="0" w:color="auto"/>
                <w:right w:val="none" w:sz="0" w:space="0" w:color="auto"/>
              </w:divBdr>
              <w:divsChild>
                <w:div w:id="1555694412">
                  <w:marLeft w:val="0"/>
                  <w:marRight w:val="0"/>
                  <w:marTop w:val="0"/>
                  <w:marBottom w:val="0"/>
                  <w:divBdr>
                    <w:top w:val="none" w:sz="0" w:space="0" w:color="auto"/>
                    <w:left w:val="none" w:sz="0" w:space="0" w:color="auto"/>
                    <w:bottom w:val="none" w:sz="0" w:space="0" w:color="auto"/>
                    <w:right w:val="none" w:sz="0" w:space="0" w:color="auto"/>
                  </w:divBdr>
                </w:div>
              </w:divsChild>
            </w:div>
            <w:div w:id="341051341">
              <w:marLeft w:val="0"/>
              <w:marRight w:val="0"/>
              <w:marTop w:val="0"/>
              <w:marBottom w:val="0"/>
              <w:divBdr>
                <w:top w:val="none" w:sz="0" w:space="0" w:color="auto"/>
                <w:left w:val="none" w:sz="0" w:space="0" w:color="auto"/>
                <w:bottom w:val="none" w:sz="0" w:space="0" w:color="auto"/>
                <w:right w:val="none" w:sz="0" w:space="0" w:color="auto"/>
              </w:divBdr>
            </w:div>
            <w:div w:id="781337094">
              <w:marLeft w:val="0"/>
              <w:marRight w:val="0"/>
              <w:marTop w:val="0"/>
              <w:marBottom w:val="0"/>
              <w:divBdr>
                <w:top w:val="none" w:sz="0" w:space="0" w:color="auto"/>
                <w:left w:val="none" w:sz="0" w:space="0" w:color="auto"/>
                <w:bottom w:val="none" w:sz="0" w:space="0" w:color="auto"/>
                <w:right w:val="none" w:sz="0" w:space="0" w:color="auto"/>
              </w:divBdr>
            </w:div>
            <w:div w:id="1090928026">
              <w:marLeft w:val="0"/>
              <w:marRight w:val="0"/>
              <w:marTop w:val="0"/>
              <w:marBottom w:val="0"/>
              <w:divBdr>
                <w:top w:val="none" w:sz="0" w:space="0" w:color="auto"/>
                <w:left w:val="none" w:sz="0" w:space="0" w:color="auto"/>
                <w:bottom w:val="none" w:sz="0" w:space="0" w:color="auto"/>
                <w:right w:val="none" w:sz="0" w:space="0" w:color="auto"/>
              </w:divBdr>
            </w:div>
            <w:div w:id="1229653933">
              <w:marLeft w:val="0"/>
              <w:marRight w:val="0"/>
              <w:marTop w:val="0"/>
              <w:marBottom w:val="0"/>
              <w:divBdr>
                <w:top w:val="none" w:sz="0" w:space="0" w:color="auto"/>
                <w:left w:val="none" w:sz="0" w:space="0" w:color="auto"/>
                <w:bottom w:val="none" w:sz="0" w:space="0" w:color="auto"/>
                <w:right w:val="none" w:sz="0" w:space="0" w:color="auto"/>
              </w:divBdr>
            </w:div>
            <w:div w:id="1364212876">
              <w:marLeft w:val="0"/>
              <w:marRight w:val="0"/>
              <w:marTop w:val="0"/>
              <w:marBottom w:val="0"/>
              <w:divBdr>
                <w:top w:val="none" w:sz="0" w:space="0" w:color="auto"/>
                <w:left w:val="none" w:sz="0" w:space="0" w:color="auto"/>
                <w:bottom w:val="none" w:sz="0" w:space="0" w:color="auto"/>
                <w:right w:val="none" w:sz="0" w:space="0" w:color="auto"/>
              </w:divBdr>
            </w:div>
            <w:div w:id="1592348199">
              <w:marLeft w:val="0"/>
              <w:marRight w:val="0"/>
              <w:marTop w:val="0"/>
              <w:marBottom w:val="0"/>
              <w:divBdr>
                <w:top w:val="none" w:sz="0" w:space="0" w:color="auto"/>
                <w:left w:val="none" w:sz="0" w:space="0" w:color="auto"/>
                <w:bottom w:val="none" w:sz="0" w:space="0" w:color="auto"/>
                <w:right w:val="none" w:sz="0" w:space="0" w:color="auto"/>
              </w:divBdr>
            </w:div>
            <w:div w:id="19193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5426">
      <w:bodyDiv w:val="1"/>
      <w:marLeft w:val="0"/>
      <w:marRight w:val="0"/>
      <w:marTop w:val="0"/>
      <w:marBottom w:val="0"/>
      <w:divBdr>
        <w:top w:val="none" w:sz="0" w:space="0" w:color="auto"/>
        <w:left w:val="none" w:sz="0" w:space="0" w:color="auto"/>
        <w:bottom w:val="none" w:sz="0" w:space="0" w:color="auto"/>
        <w:right w:val="none" w:sz="0" w:space="0" w:color="auto"/>
      </w:divBdr>
    </w:div>
    <w:div w:id="2136243971">
      <w:bodyDiv w:val="1"/>
      <w:marLeft w:val="0"/>
      <w:marRight w:val="0"/>
      <w:marTop w:val="0"/>
      <w:marBottom w:val="0"/>
      <w:divBdr>
        <w:top w:val="none" w:sz="0" w:space="0" w:color="auto"/>
        <w:left w:val="none" w:sz="0" w:space="0" w:color="auto"/>
        <w:bottom w:val="none" w:sz="0" w:space="0" w:color="auto"/>
        <w:right w:val="none" w:sz="0" w:space="0" w:color="auto"/>
      </w:divBdr>
      <w:divsChild>
        <w:div w:id="1881279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Layout" Target="diagrams/layou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28" Type="http://schemas.openxmlformats.org/officeDocument/2006/relationships/customXml" Target="../customXml/item3.xml"/><Relationship Id="rId10" Type="http://schemas.openxmlformats.org/officeDocument/2006/relationships/header" Target="header3.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customXml" Target="../customXml/item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a:lstStyle/>
        <a:p>
          <a:pPr algn="l"/>
          <a:r>
            <a:rPr lang="en-US" sz="1000" b="1" dirty="0">
              <a:latin typeface="Segoe UI" panose="020B0502040204020203" pitchFamily="34" charset="0"/>
              <a:cs typeface="Segoe UI" panose="020B0502040204020203" pitchFamily="34" charset="0"/>
            </a:rPr>
            <a:t>Discover</a:t>
          </a:r>
          <a:br>
            <a:rPr lang="en-US" sz="1000" dirty="0">
              <a:latin typeface="Segoe UI" panose="020B0502040204020203" pitchFamily="34" charset="0"/>
              <a:cs typeface="Segoe UI" panose="020B0502040204020203" pitchFamily="34" charset="0"/>
            </a:rPr>
          </a:br>
          <a:r>
            <a:rPr lang="en-US" sz="1000" dirty="0">
              <a:latin typeface="Segoe UI" panose="020B0502040204020203" pitchFamily="34" charset="0"/>
              <a:cs typeface="Segoe UI" panose="020B0502040204020203" pitchFamily="34" charset="0"/>
            </a:rPr>
            <a:t>0.5  Days</a:t>
          </a:r>
          <a:endParaRPr lang="en-US" sz="900" dirty="0">
            <a:latin typeface="Segoe UI" panose="020B0502040204020203" pitchFamily="34" charset="0"/>
            <a:cs typeface="Segoe UI" panose="020B0502040204020203" pitchFamily="34" charset="0"/>
          </a:endParaRP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53D7F959-0E41-47BC-B677-075E77C9C479}">
      <dgm:prSet phldrT="[Text]" custT="1"/>
      <dgm:spPr>
        <a:solidFill>
          <a:srgbClr val="008272"/>
        </a:solidFill>
      </dgm:spPr>
      <dgm:t>
        <a:bodyPr/>
        <a:lstStyle/>
        <a:p>
          <a:pPr algn="l"/>
          <a:r>
            <a:rPr lang="en-US" sz="1000" b="1" dirty="0">
              <a:latin typeface="Segoe UI" panose="020B0502040204020203" pitchFamily="34" charset="0"/>
              <a:cs typeface="Segoe UI" panose="020B0502040204020203" pitchFamily="34" charset="0"/>
            </a:rPr>
            <a:t>Implement</a:t>
          </a:r>
        </a:p>
        <a:p>
          <a:pPr algn="l"/>
          <a:r>
            <a:rPr lang="en-US" sz="900" dirty="0">
              <a:latin typeface="Segoe UI" panose="020B0502040204020203" pitchFamily="34" charset="0"/>
              <a:cs typeface="Segoe UI" panose="020B0502040204020203" pitchFamily="34" charset="0"/>
            </a:rPr>
            <a:t>2 - 7 Days</a:t>
          </a:r>
        </a:p>
      </dgm:t>
    </dgm:pt>
    <dgm:pt modelId="{66C95D98-3098-47EF-A71F-534710AD704D}" type="parTrans" cxnId="{D319FE0A-8DE4-492D-92BE-3BC03224EAF6}">
      <dgm:prSet/>
      <dgm:spPr/>
      <dgm:t>
        <a:bodyPr/>
        <a:lstStyle/>
        <a:p>
          <a:pPr algn="l"/>
          <a:endParaRPr lang="en-US" sz="1000"/>
        </a:p>
      </dgm:t>
    </dgm:pt>
    <dgm:pt modelId="{C54C2300-C6C5-443B-BF72-E5EFA2993239}" type="sibTrans" cxnId="{D319FE0A-8DE4-492D-92BE-3BC03224EAF6}">
      <dgm:prSet/>
      <dgm:spPr/>
      <dgm:t>
        <a:bodyPr/>
        <a:lstStyle/>
        <a:p>
          <a:pPr algn="l"/>
          <a:endParaRPr lang="en-US" sz="1000"/>
        </a:p>
      </dgm:t>
    </dgm:pt>
    <dgm:pt modelId="{A46C6ABD-6AB2-462A-AE2F-CF698AA62A91}">
      <dgm:prSet phldrT="[Text]" custT="1"/>
      <dgm:spPr>
        <a:solidFill>
          <a:srgbClr val="008272"/>
        </a:solidFill>
      </dgm:spPr>
      <dgm:t>
        <a:bodyPr/>
        <a:lstStyle/>
        <a:p>
          <a:pPr algn="l"/>
          <a:r>
            <a:rPr lang="en-US" sz="1000" b="1" dirty="0">
              <a:latin typeface="Segoe UI" panose="020B0502040204020203" pitchFamily="34" charset="0"/>
              <a:cs typeface="Segoe UI" panose="020B0502040204020203" pitchFamily="34" charset="0"/>
            </a:rPr>
            <a:t>Design</a:t>
          </a:r>
        </a:p>
        <a:p>
          <a:pPr algn="l"/>
          <a:r>
            <a:rPr lang="en-US" sz="900" dirty="0">
              <a:latin typeface="Segoe UI" panose="020B0502040204020203" pitchFamily="34" charset="0"/>
              <a:cs typeface="Segoe UI" panose="020B0502040204020203" pitchFamily="34" charset="0"/>
            </a:rPr>
            <a:t>0.5  Days</a:t>
          </a:r>
        </a:p>
      </dgm:t>
    </dgm:pt>
    <dgm:pt modelId="{C7CAB99A-0E78-41EB-A6E2-99A927A8AE16}" type="parTrans" cxnId="{895C468D-EE34-4E98-99FA-3D34656635F4}">
      <dgm:prSet/>
      <dgm:spPr/>
    </dgm:pt>
    <dgm:pt modelId="{BB9C9140-A513-4815-826D-53632DD2BE5E}" type="sibTrans" cxnId="{895C468D-EE34-4E98-99FA-3D34656635F4}">
      <dgm:prSet/>
      <dgm:spPr/>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3">
        <dgm:presLayoutVars>
          <dgm:bulletEnabled val="1"/>
        </dgm:presLayoutVars>
      </dgm:prSet>
      <dgm:spPr/>
    </dgm:pt>
    <dgm:pt modelId="{3DD1044D-2311-46BD-9510-EF7F0027816F}" type="pres">
      <dgm:prSet presAssocID="{C8D1416F-FDD7-4F2A-A128-D05D37B9C397}" presName="parSpace" presStyleCnt="0"/>
      <dgm:spPr/>
    </dgm:pt>
    <dgm:pt modelId="{ABEB40B0-16FC-46B1-84BA-61D8F0B7D4E9}" type="pres">
      <dgm:prSet presAssocID="{A46C6ABD-6AB2-462A-AE2F-CF698AA62A91}" presName="parTxOnly" presStyleLbl="node1" presStyleIdx="1" presStyleCnt="3">
        <dgm:presLayoutVars>
          <dgm:bulletEnabled val="1"/>
        </dgm:presLayoutVars>
      </dgm:prSet>
      <dgm:spPr/>
    </dgm:pt>
    <dgm:pt modelId="{F6F78A00-E216-4C37-909D-762700DA59C9}" type="pres">
      <dgm:prSet presAssocID="{BB9C9140-A513-4815-826D-53632DD2BE5E}" presName="parSpace" presStyleCnt="0"/>
      <dgm:spPr/>
    </dgm:pt>
    <dgm:pt modelId="{022198C4-94E6-41BC-965A-01324E1D21D6}" type="pres">
      <dgm:prSet presAssocID="{53D7F959-0E41-47BC-B677-075E77C9C479}" presName="parTxOnly" presStyleLbl="node1" presStyleIdx="2" presStyleCnt="3">
        <dgm:presLayoutVars>
          <dgm:bulletEnabled val="1"/>
        </dgm:presLayoutVars>
      </dgm:prSet>
      <dgm:spPr/>
    </dgm:pt>
  </dgm:ptLst>
  <dgm:cxnLst>
    <dgm:cxn modelId="{D319FE0A-8DE4-492D-92BE-3BC03224EAF6}" srcId="{61E46EC6-57B4-4B7F-BC5C-4C518199A8E5}" destId="{53D7F959-0E41-47BC-B677-075E77C9C479}" srcOrd="2" destOrd="0" parTransId="{66C95D98-3098-47EF-A71F-534710AD704D}" sibTransId="{C54C2300-C6C5-443B-BF72-E5EFA2993239}"/>
    <dgm:cxn modelId="{F315DD12-2007-43B8-99FD-AD8A1C0C3ACC}" type="presOf" srcId="{A46C6ABD-6AB2-462A-AE2F-CF698AA62A91}" destId="{ABEB40B0-16FC-46B1-84BA-61D8F0B7D4E9}" srcOrd="0" destOrd="0" presId="urn:microsoft.com/office/officeart/2005/8/layout/hChevron3"/>
    <dgm:cxn modelId="{273FD464-CAA4-461E-B0B0-B41A044C17C9}" type="presOf" srcId="{53D7F959-0E41-47BC-B677-075E77C9C479}" destId="{022198C4-94E6-41BC-965A-01324E1D21D6}" srcOrd="0" destOrd="0" presId="urn:microsoft.com/office/officeart/2005/8/layout/hChevron3"/>
    <dgm:cxn modelId="{895C468D-EE34-4E98-99FA-3D34656635F4}" srcId="{61E46EC6-57B4-4B7F-BC5C-4C518199A8E5}" destId="{A46C6ABD-6AB2-462A-AE2F-CF698AA62A91}" srcOrd="1" destOrd="0" parTransId="{C7CAB99A-0E78-41EB-A6E2-99A927A8AE16}" sibTransId="{BB9C9140-A513-4815-826D-53632DD2BE5E}"/>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7017B9DC-8069-4A67-8A9D-35BB5483DB47}" srcId="{61E46EC6-57B4-4B7F-BC5C-4C518199A8E5}" destId="{1CF11602-05C2-4784-A89A-3EB38E4BDAB1}" srcOrd="0" destOrd="0" parTransId="{0C7898AE-956E-4299-B557-B8567BB9D6D7}" sibTransId="{C8D1416F-FDD7-4F2A-A128-D05D37B9C397}"/>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0F4DF85F-23F3-47A9-8667-D3842FF82DCB}" type="presParOf" srcId="{3F7B5799-7635-47FC-9C94-5E0EBC20D49C}" destId="{ABEB40B0-16FC-46B1-84BA-61D8F0B7D4E9}" srcOrd="2" destOrd="0" presId="urn:microsoft.com/office/officeart/2005/8/layout/hChevron3"/>
    <dgm:cxn modelId="{1449E48F-6FA4-4BA8-9D4C-BAC466FE63F3}" type="presParOf" srcId="{3F7B5799-7635-47FC-9C94-5E0EBC20D49C}" destId="{F6F78A00-E216-4C37-909D-762700DA59C9}" srcOrd="3" destOrd="0" presId="urn:microsoft.com/office/officeart/2005/8/layout/hChevron3"/>
    <dgm:cxn modelId="{E76F3BBC-AD00-4656-B704-C734C814968D}" type="presParOf" srcId="{3F7B5799-7635-47FC-9C94-5E0EBC20D49C}" destId="{022198C4-94E6-41BC-965A-01324E1D21D6}" srcOrd="4" destOrd="0" presId="urn:microsoft.com/office/officeart/2005/8/layout/hChevron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2506" y="0"/>
          <a:ext cx="2191961" cy="829944"/>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b="1" kern="1200" dirty="0">
              <a:latin typeface="Segoe UI" panose="020B0502040204020203" pitchFamily="34" charset="0"/>
              <a:cs typeface="Segoe UI" panose="020B0502040204020203" pitchFamily="34" charset="0"/>
            </a:rPr>
            <a:t>Discover</a:t>
          </a:r>
          <a:br>
            <a:rPr lang="en-US" sz="1000" kern="1200" dirty="0">
              <a:latin typeface="Segoe UI" panose="020B0502040204020203" pitchFamily="34" charset="0"/>
              <a:cs typeface="Segoe UI" panose="020B0502040204020203" pitchFamily="34" charset="0"/>
            </a:rPr>
          </a:br>
          <a:r>
            <a:rPr lang="en-US" sz="1000" kern="1200" dirty="0">
              <a:latin typeface="Segoe UI" panose="020B0502040204020203" pitchFamily="34" charset="0"/>
              <a:cs typeface="Segoe UI" panose="020B0502040204020203" pitchFamily="34" charset="0"/>
            </a:rPr>
            <a:t>0.5  Days</a:t>
          </a:r>
          <a:endParaRPr lang="en-US" sz="900" kern="1200" dirty="0">
            <a:latin typeface="Segoe UI" panose="020B0502040204020203" pitchFamily="34" charset="0"/>
            <a:cs typeface="Segoe UI" panose="020B0502040204020203" pitchFamily="34" charset="0"/>
          </a:endParaRPr>
        </a:p>
      </dsp:txBody>
      <dsp:txXfrm>
        <a:off x="2506" y="0"/>
        <a:ext cx="1984475" cy="829944"/>
      </dsp:txXfrm>
    </dsp:sp>
    <dsp:sp modelId="{ABEB40B0-16FC-46B1-84BA-61D8F0B7D4E9}">
      <dsp:nvSpPr>
        <dsp:cNvPr id="0" name=""/>
        <dsp:cNvSpPr/>
      </dsp:nvSpPr>
      <dsp:spPr>
        <a:xfrm>
          <a:off x="1756076" y="0"/>
          <a:ext cx="2191961" cy="829944"/>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b="1" kern="1200" dirty="0">
              <a:latin typeface="Segoe UI" panose="020B0502040204020203" pitchFamily="34" charset="0"/>
              <a:cs typeface="Segoe UI" panose="020B0502040204020203" pitchFamily="34" charset="0"/>
            </a:rPr>
            <a:t>Design</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0.5  Days</a:t>
          </a:r>
        </a:p>
      </dsp:txBody>
      <dsp:txXfrm>
        <a:off x="2171048" y="0"/>
        <a:ext cx="1362017" cy="829944"/>
      </dsp:txXfrm>
    </dsp:sp>
    <dsp:sp modelId="{022198C4-94E6-41BC-965A-01324E1D21D6}">
      <dsp:nvSpPr>
        <dsp:cNvPr id="0" name=""/>
        <dsp:cNvSpPr/>
      </dsp:nvSpPr>
      <dsp:spPr>
        <a:xfrm>
          <a:off x="3509645" y="0"/>
          <a:ext cx="2191961" cy="829944"/>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b="1" kern="1200" dirty="0">
              <a:latin typeface="Segoe UI" panose="020B0502040204020203" pitchFamily="34" charset="0"/>
              <a:cs typeface="Segoe UI" panose="020B0502040204020203" pitchFamily="34" charset="0"/>
            </a:rPr>
            <a:t>Implement</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2 - 7 Days</a:t>
          </a:r>
        </a:p>
      </dsp:txBody>
      <dsp:txXfrm>
        <a:off x="3924617" y="0"/>
        <a:ext cx="1362017" cy="82994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c8831e79-45ca-49a6-932b-0c7b060f5ae7" xsi:nil="true"/>
  </documentManagement>
</p:properties>
</file>

<file path=customXml/itemProps1.xml><?xml version="1.0" encoding="utf-8"?>
<ds:datastoreItem xmlns:ds="http://schemas.openxmlformats.org/officeDocument/2006/customXml" ds:itemID="{869C680B-12C2-4F3F-87A3-C498FF3AB9F7}">
  <ds:schemaRefs>
    <ds:schemaRef ds:uri="http://schemas.openxmlformats.org/officeDocument/2006/bibliography"/>
  </ds:schemaRefs>
</ds:datastoreItem>
</file>

<file path=customXml/itemProps2.xml><?xml version="1.0" encoding="utf-8"?>
<ds:datastoreItem xmlns:ds="http://schemas.openxmlformats.org/officeDocument/2006/customXml" ds:itemID="{A76565B1-85D0-42A5-A32F-7878871B5912}"/>
</file>

<file path=customXml/itemProps3.xml><?xml version="1.0" encoding="utf-8"?>
<ds:datastoreItem xmlns:ds="http://schemas.openxmlformats.org/officeDocument/2006/customXml" ds:itemID="{53F81869-3C05-4E8D-B481-C910EC781047}"/>
</file>

<file path=customXml/itemProps4.xml><?xml version="1.0" encoding="utf-8"?>
<ds:datastoreItem xmlns:ds="http://schemas.openxmlformats.org/officeDocument/2006/customXml" ds:itemID="{BF032C2F-AA62-4858-8763-355459648B12}"/>
</file>

<file path=docProps/app.xml><?xml version="1.0" encoding="utf-8"?>
<Properties xmlns="http://schemas.openxmlformats.org/officeDocument/2006/extended-properties" xmlns:vt="http://schemas.openxmlformats.org/officeDocument/2006/docPropsVTypes">
  <Template>Normal</Template>
  <TotalTime>0</TotalTime>
  <Pages>17</Pages>
  <Words>4314</Words>
  <Characters>24592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28849</CharactersWithSpaces>
  <SharedDoc>false</SharedDoc>
  <HLinks>
    <vt:vector size="174" baseType="variant">
      <vt:variant>
        <vt:i4>852058</vt:i4>
      </vt:variant>
      <vt:variant>
        <vt:i4>135</vt:i4>
      </vt:variant>
      <vt:variant>
        <vt:i4>0</vt:i4>
      </vt:variant>
      <vt:variant>
        <vt:i4>5</vt:i4>
      </vt:variant>
      <vt:variant>
        <vt:lpwstr>https://docs.microsoft.com/en-us/azure/active-directory/application-proxy-publish-remote-desktop</vt:lpwstr>
      </vt:variant>
      <vt:variant>
        <vt:lpwstr/>
      </vt:variant>
      <vt:variant>
        <vt:i4>4784219</vt:i4>
      </vt:variant>
      <vt:variant>
        <vt:i4>132</vt:i4>
      </vt:variant>
      <vt:variant>
        <vt:i4>0</vt:i4>
      </vt:variant>
      <vt:variant>
        <vt:i4>5</vt:i4>
      </vt:variant>
      <vt:variant>
        <vt:lpwstr>https://docs.microsoft.com/en-us/azure/active-directory/application-proxy-ping-access</vt:lpwstr>
      </vt:variant>
      <vt:variant>
        <vt:lpwstr/>
      </vt:variant>
      <vt:variant>
        <vt:i4>4194397</vt:i4>
      </vt:variant>
      <vt:variant>
        <vt:i4>126</vt:i4>
      </vt:variant>
      <vt:variant>
        <vt:i4>0</vt:i4>
      </vt:variant>
      <vt:variant>
        <vt:i4>5</vt:i4>
      </vt:variant>
      <vt:variant>
        <vt:lpwstr>https://aka.ms/portfolio-sos</vt:lpwstr>
      </vt:variant>
      <vt:variant>
        <vt:lpwstr/>
      </vt:variant>
      <vt:variant>
        <vt:i4>3539002</vt:i4>
      </vt:variant>
      <vt:variant>
        <vt:i4>123</vt:i4>
      </vt:variant>
      <vt:variant>
        <vt:i4>0</vt:i4>
      </vt:variant>
      <vt:variant>
        <vt:i4>5</vt:i4>
      </vt:variant>
      <vt:variant>
        <vt:lpwstr>https://aka.ms/portfolio-aadis</vt:lpwstr>
      </vt:variant>
      <vt:variant>
        <vt:lpwstr/>
      </vt:variant>
      <vt:variant>
        <vt:i4>3670113</vt:i4>
      </vt:variant>
      <vt:variant>
        <vt:i4>120</vt:i4>
      </vt:variant>
      <vt:variant>
        <vt:i4>0</vt:i4>
      </vt:variant>
      <vt:variant>
        <vt:i4>5</vt:i4>
      </vt:variant>
      <vt:variant>
        <vt:lpwstr>https://aka.ms/servicescovidrequest</vt:lpwstr>
      </vt:variant>
      <vt:variant>
        <vt:lpwstr/>
      </vt:variant>
      <vt:variant>
        <vt:i4>7209077</vt:i4>
      </vt:variant>
      <vt:variant>
        <vt:i4>117</vt:i4>
      </vt:variant>
      <vt:variant>
        <vt:i4>0</vt:i4>
      </vt:variant>
      <vt:variant>
        <vt:i4>5</vt:i4>
      </vt:variant>
      <vt:variant>
        <vt:lpwstr>https://www.microsoft.com/en-us/fasttrack?rtc=1</vt:lpwstr>
      </vt:variant>
      <vt:variant>
        <vt:lpwstr/>
      </vt:variant>
      <vt:variant>
        <vt:i4>1835057</vt:i4>
      </vt:variant>
      <vt:variant>
        <vt:i4>110</vt:i4>
      </vt:variant>
      <vt:variant>
        <vt:i4>0</vt:i4>
      </vt:variant>
      <vt:variant>
        <vt:i4>5</vt:i4>
      </vt:variant>
      <vt:variant>
        <vt:lpwstr/>
      </vt:variant>
      <vt:variant>
        <vt:lpwstr>_Toc35591760</vt:lpwstr>
      </vt:variant>
      <vt:variant>
        <vt:i4>1376306</vt:i4>
      </vt:variant>
      <vt:variant>
        <vt:i4>104</vt:i4>
      </vt:variant>
      <vt:variant>
        <vt:i4>0</vt:i4>
      </vt:variant>
      <vt:variant>
        <vt:i4>5</vt:i4>
      </vt:variant>
      <vt:variant>
        <vt:lpwstr/>
      </vt:variant>
      <vt:variant>
        <vt:lpwstr>_Toc35591759</vt:lpwstr>
      </vt:variant>
      <vt:variant>
        <vt:i4>1310770</vt:i4>
      </vt:variant>
      <vt:variant>
        <vt:i4>98</vt:i4>
      </vt:variant>
      <vt:variant>
        <vt:i4>0</vt:i4>
      </vt:variant>
      <vt:variant>
        <vt:i4>5</vt:i4>
      </vt:variant>
      <vt:variant>
        <vt:lpwstr/>
      </vt:variant>
      <vt:variant>
        <vt:lpwstr>_Toc35591758</vt:lpwstr>
      </vt:variant>
      <vt:variant>
        <vt:i4>1769522</vt:i4>
      </vt:variant>
      <vt:variant>
        <vt:i4>92</vt:i4>
      </vt:variant>
      <vt:variant>
        <vt:i4>0</vt:i4>
      </vt:variant>
      <vt:variant>
        <vt:i4>5</vt:i4>
      </vt:variant>
      <vt:variant>
        <vt:lpwstr/>
      </vt:variant>
      <vt:variant>
        <vt:lpwstr>_Toc35591757</vt:lpwstr>
      </vt:variant>
      <vt:variant>
        <vt:i4>1703986</vt:i4>
      </vt:variant>
      <vt:variant>
        <vt:i4>86</vt:i4>
      </vt:variant>
      <vt:variant>
        <vt:i4>0</vt:i4>
      </vt:variant>
      <vt:variant>
        <vt:i4>5</vt:i4>
      </vt:variant>
      <vt:variant>
        <vt:lpwstr/>
      </vt:variant>
      <vt:variant>
        <vt:lpwstr>_Toc35591756</vt:lpwstr>
      </vt:variant>
      <vt:variant>
        <vt:i4>1638450</vt:i4>
      </vt:variant>
      <vt:variant>
        <vt:i4>80</vt:i4>
      </vt:variant>
      <vt:variant>
        <vt:i4>0</vt:i4>
      </vt:variant>
      <vt:variant>
        <vt:i4>5</vt:i4>
      </vt:variant>
      <vt:variant>
        <vt:lpwstr/>
      </vt:variant>
      <vt:variant>
        <vt:lpwstr>_Toc35591755</vt:lpwstr>
      </vt:variant>
      <vt:variant>
        <vt:i4>1572914</vt:i4>
      </vt:variant>
      <vt:variant>
        <vt:i4>74</vt:i4>
      </vt:variant>
      <vt:variant>
        <vt:i4>0</vt:i4>
      </vt:variant>
      <vt:variant>
        <vt:i4>5</vt:i4>
      </vt:variant>
      <vt:variant>
        <vt:lpwstr/>
      </vt:variant>
      <vt:variant>
        <vt:lpwstr>_Toc35591754</vt:lpwstr>
      </vt:variant>
      <vt:variant>
        <vt:i4>2031666</vt:i4>
      </vt:variant>
      <vt:variant>
        <vt:i4>68</vt:i4>
      </vt:variant>
      <vt:variant>
        <vt:i4>0</vt:i4>
      </vt:variant>
      <vt:variant>
        <vt:i4>5</vt:i4>
      </vt:variant>
      <vt:variant>
        <vt:lpwstr/>
      </vt:variant>
      <vt:variant>
        <vt:lpwstr>_Toc35591753</vt:lpwstr>
      </vt:variant>
      <vt:variant>
        <vt:i4>1966130</vt:i4>
      </vt:variant>
      <vt:variant>
        <vt:i4>62</vt:i4>
      </vt:variant>
      <vt:variant>
        <vt:i4>0</vt:i4>
      </vt:variant>
      <vt:variant>
        <vt:i4>5</vt:i4>
      </vt:variant>
      <vt:variant>
        <vt:lpwstr/>
      </vt:variant>
      <vt:variant>
        <vt:lpwstr>_Toc35591752</vt:lpwstr>
      </vt:variant>
      <vt:variant>
        <vt:i4>1900594</vt:i4>
      </vt:variant>
      <vt:variant>
        <vt:i4>56</vt:i4>
      </vt:variant>
      <vt:variant>
        <vt:i4>0</vt:i4>
      </vt:variant>
      <vt:variant>
        <vt:i4>5</vt:i4>
      </vt:variant>
      <vt:variant>
        <vt:lpwstr/>
      </vt:variant>
      <vt:variant>
        <vt:lpwstr>_Toc35591751</vt:lpwstr>
      </vt:variant>
      <vt:variant>
        <vt:i4>1835058</vt:i4>
      </vt:variant>
      <vt:variant>
        <vt:i4>50</vt:i4>
      </vt:variant>
      <vt:variant>
        <vt:i4>0</vt:i4>
      </vt:variant>
      <vt:variant>
        <vt:i4>5</vt:i4>
      </vt:variant>
      <vt:variant>
        <vt:lpwstr/>
      </vt:variant>
      <vt:variant>
        <vt:lpwstr>_Toc35591750</vt:lpwstr>
      </vt:variant>
      <vt:variant>
        <vt:i4>1376307</vt:i4>
      </vt:variant>
      <vt:variant>
        <vt:i4>44</vt:i4>
      </vt:variant>
      <vt:variant>
        <vt:i4>0</vt:i4>
      </vt:variant>
      <vt:variant>
        <vt:i4>5</vt:i4>
      </vt:variant>
      <vt:variant>
        <vt:lpwstr/>
      </vt:variant>
      <vt:variant>
        <vt:lpwstr>_Toc35591749</vt:lpwstr>
      </vt:variant>
      <vt:variant>
        <vt:i4>1310771</vt:i4>
      </vt:variant>
      <vt:variant>
        <vt:i4>38</vt:i4>
      </vt:variant>
      <vt:variant>
        <vt:i4>0</vt:i4>
      </vt:variant>
      <vt:variant>
        <vt:i4>5</vt:i4>
      </vt:variant>
      <vt:variant>
        <vt:lpwstr/>
      </vt:variant>
      <vt:variant>
        <vt:lpwstr>_Toc35591748</vt:lpwstr>
      </vt:variant>
      <vt:variant>
        <vt:i4>1769523</vt:i4>
      </vt:variant>
      <vt:variant>
        <vt:i4>32</vt:i4>
      </vt:variant>
      <vt:variant>
        <vt:i4>0</vt:i4>
      </vt:variant>
      <vt:variant>
        <vt:i4>5</vt:i4>
      </vt:variant>
      <vt:variant>
        <vt:lpwstr/>
      </vt:variant>
      <vt:variant>
        <vt:lpwstr>_Toc35591747</vt:lpwstr>
      </vt:variant>
      <vt:variant>
        <vt:i4>1703987</vt:i4>
      </vt:variant>
      <vt:variant>
        <vt:i4>26</vt:i4>
      </vt:variant>
      <vt:variant>
        <vt:i4>0</vt:i4>
      </vt:variant>
      <vt:variant>
        <vt:i4>5</vt:i4>
      </vt:variant>
      <vt:variant>
        <vt:lpwstr/>
      </vt:variant>
      <vt:variant>
        <vt:lpwstr>_Toc35591746</vt:lpwstr>
      </vt:variant>
      <vt:variant>
        <vt:i4>1638451</vt:i4>
      </vt:variant>
      <vt:variant>
        <vt:i4>20</vt:i4>
      </vt:variant>
      <vt:variant>
        <vt:i4>0</vt:i4>
      </vt:variant>
      <vt:variant>
        <vt:i4>5</vt:i4>
      </vt:variant>
      <vt:variant>
        <vt:lpwstr/>
      </vt:variant>
      <vt:variant>
        <vt:lpwstr>_Toc35591745</vt:lpwstr>
      </vt:variant>
      <vt:variant>
        <vt:i4>3080239</vt:i4>
      </vt:variant>
      <vt:variant>
        <vt:i4>12</vt:i4>
      </vt:variant>
      <vt:variant>
        <vt:i4>0</vt:i4>
      </vt:variant>
      <vt:variant>
        <vt:i4>5</vt:i4>
      </vt:variant>
      <vt:variant>
        <vt:lpwstr>https://microsoft.sharepoint.com/teams/OCTOSBD/K360/Lists/K360Requests/Item/newifs.aspx?List=e1d3fc29%2Dddac%2D41e3%2Db603%2Dec7e6ba6191d&amp;RootFolder=&amp;Web=235aeb07%2Dea90%2D4503%2Db11a%2De4e39ece49d8</vt:lpwstr>
      </vt:variant>
      <vt:variant>
        <vt:lpwstr/>
      </vt:variant>
      <vt:variant>
        <vt:i4>655398</vt:i4>
      </vt:variant>
      <vt:variant>
        <vt:i4>9</vt:i4>
      </vt:variant>
      <vt:variant>
        <vt:i4>0</vt:i4>
      </vt:variant>
      <vt:variant>
        <vt:i4>5</vt:i4>
      </vt:variant>
      <vt:variant>
        <vt:lpwstr>mailto:sco@microsoft.com</vt:lpwstr>
      </vt:variant>
      <vt:variant>
        <vt:lpwstr/>
      </vt:variant>
      <vt:variant>
        <vt:i4>5505103</vt:i4>
      </vt:variant>
      <vt:variant>
        <vt:i4>6</vt:i4>
      </vt:variant>
      <vt:variant>
        <vt:i4>0</vt:i4>
      </vt:variant>
      <vt:variant>
        <vt:i4>5</vt:i4>
      </vt:variant>
      <vt:variant>
        <vt:lpwstr>https://microsoft.sharepoint.com/teams/OCTOSBD/K360/SitePages/K360-Home.aspx</vt:lpwstr>
      </vt:variant>
      <vt:variant>
        <vt:lpwstr/>
      </vt:variant>
      <vt:variant>
        <vt:i4>5505103</vt:i4>
      </vt:variant>
      <vt:variant>
        <vt:i4>3</vt:i4>
      </vt:variant>
      <vt:variant>
        <vt:i4>0</vt:i4>
      </vt:variant>
      <vt:variant>
        <vt:i4>5</vt:i4>
      </vt:variant>
      <vt:variant>
        <vt:lpwstr>https://microsoft.sharepoint.com/teams/OCTOSBD/K360/SitePages/K360-Home.aspx</vt:lpwstr>
      </vt:variant>
      <vt:variant>
        <vt:lpwstr/>
      </vt:variant>
      <vt:variant>
        <vt:i4>5505103</vt:i4>
      </vt:variant>
      <vt:variant>
        <vt:i4>0</vt:i4>
      </vt:variant>
      <vt:variant>
        <vt:i4>0</vt:i4>
      </vt:variant>
      <vt:variant>
        <vt:i4>5</vt:i4>
      </vt:variant>
      <vt:variant>
        <vt:lpwstr>https://microsoft.sharepoint.com/teams/OCTOSBD/K360/SitePages/K360-Home.aspx</vt:lpwstr>
      </vt:variant>
      <vt:variant>
        <vt:lpwstr/>
      </vt:variant>
      <vt:variant>
        <vt:i4>5570621</vt:i4>
      </vt:variant>
      <vt:variant>
        <vt:i4>3</vt:i4>
      </vt:variant>
      <vt:variant>
        <vt:i4>0</vt:i4>
      </vt:variant>
      <vt:variant>
        <vt:i4>5</vt:i4>
      </vt:variant>
      <vt:variant>
        <vt:lpwstr>mailto:Stuart.Macleod@microsoft.com</vt:lpwstr>
      </vt:variant>
      <vt:variant>
        <vt:lpwstr/>
      </vt:variant>
      <vt:variant>
        <vt:i4>1704038</vt:i4>
      </vt:variant>
      <vt:variant>
        <vt:i4>0</vt:i4>
      </vt:variant>
      <vt:variant>
        <vt:i4>0</vt:i4>
      </vt:variant>
      <vt:variant>
        <vt:i4>5</vt:i4>
      </vt:variant>
      <vt:variant>
        <vt:lpwstr>mailto:Heath.Aubin@microsoft.com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2020-06-22T16:32:00Z</dcterms:created>
  <dcterms:modified xsi:type="dcterms:W3CDTF">2020-06-22T16:32:00Z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vicesDomain">
    <vt:lpwstr/>
  </property>
  <property fmtid="{D5CDD505-2E9C-101B-9397-08002B2CF9AE}" pid="3" name="MSIP_Label_f42aa342-8706-4288-bd11-ebb85995028c_Application">
    <vt:lpwstr>Microsoft Azure Information Protection</vt:lpwstr>
  </property>
  <property fmtid="{D5CDD505-2E9C-101B-9397-08002B2CF9AE}" pid="4" name="VerticalIndustries">
    <vt:lpwstr/>
  </property>
  <property fmtid="{D5CDD505-2E9C-101B-9397-08002B2CF9AE}" pid="5" name="ServicesBusinessScenario">
    <vt:lpwstr/>
  </property>
  <property fmtid="{D5CDD505-2E9C-101B-9397-08002B2CF9AE}" pid="6" name="MSIP_Label_f42aa342-8706-4288-bd11-ebb85995028c_Enabled">
    <vt:lpwstr>True</vt:lpwstr>
  </property>
  <property fmtid="{D5CDD505-2E9C-101B-9397-08002B2CF9AE}" pid="7" name="ContentTypeId">
    <vt:lpwstr>0x0101004CEC02E0258A27448A29FB0FC0148545</vt:lpwstr>
  </property>
  <property fmtid="{D5CDD505-2E9C-101B-9397-08002B2CF9AE}" pid="8" name="bc28b5f076654a3b96073bbbebfeb8c9">
    <vt:lpwstr/>
  </property>
  <property fmtid="{D5CDD505-2E9C-101B-9397-08002B2CF9AE}" pid="9" name="SalesGeography">
    <vt:lpwstr/>
  </property>
  <property fmtid="{D5CDD505-2E9C-101B-9397-08002B2CF9AE}" pid="10" name="MS Language">
    <vt:lpwstr>3;#English|cb91f272-ce4d-4a7e-9bbf-78b58e3d188d</vt:lpwstr>
  </property>
  <property fmtid="{D5CDD505-2E9C-101B-9397-08002B2CF9AE}" pid="11" name="ESSM BOM - IP Type">
    <vt:lpwstr>1293;#statements of work|da51bcd3-6743-44bc-9854-42a804c58f36</vt:lpwstr>
  </property>
  <property fmtid="{D5CDD505-2E9C-101B-9397-08002B2CF9AE}" pid="12" name="MSProducts">
    <vt:lpwstr/>
  </property>
  <property fmtid="{D5CDD505-2E9C-101B-9397-08002B2CF9AE}" pid="13" name="MSIP_Label_f42aa342-8706-4288-bd11-ebb85995028c_SetDate">
    <vt:lpwstr>2018-02-26T20:26:29.5074845Z</vt:lpwstr>
  </property>
  <property fmtid="{D5CDD505-2E9C-101B-9397-08002B2CF9AE}" pid="14" name="_dlc_DocIdItemGuid">
    <vt:lpwstr>32a08971-28ec-442f-87a0-9192677ab114</vt:lpwstr>
  </property>
  <property fmtid="{D5CDD505-2E9C-101B-9397-08002B2CF9AE}" pid="15" name="EnterpriseServices">
    <vt:lpwstr/>
  </property>
  <property fmtid="{D5CDD505-2E9C-101B-9397-08002B2CF9AE}" pid="16" name="p920f6992caa4adbaa1880c7ef19b02a">
    <vt:lpwstr/>
  </property>
  <property fmtid="{D5CDD505-2E9C-101B-9397-08002B2CF9AE}" pid="17" name="MSIP_Label_f42aa342-8706-4288-bd11-ebb85995028c_SiteId">
    <vt:lpwstr>72f988bf-86f1-41af-91ab-2d7cd011db47</vt:lpwstr>
  </property>
  <property fmtid="{D5CDD505-2E9C-101B-9397-08002B2CF9AE}" pid="18" name="MSIP_Label_f42aa342-8706-4288-bd11-ebb85995028c_Name">
    <vt:lpwstr>General</vt:lpwstr>
  </property>
  <property fmtid="{D5CDD505-2E9C-101B-9397-08002B2CF9AE}" pid="19" name="ServicesIPTypes">
    <vt:lpwstr>9;#statements of work|da51bcd3-6743-44bc-9854-42a804c58f36</vt:lpwstr>
  </property>
  <property fmtid="{D5CDD505-2E9C-101B-9397-08002B2CF9AE}" pid="20" name="MSIP_Label_f42aa342-8706-4288-bd11-ebb85995028c_Extended_MSFT_Method">
    <vt:lpwstr>Automatic</vt:lpwstr>
  </property>
  <property fmtid="{D5CDD505-2E9C-101B-9397-08002B2CF9AE}" pid="21" name="ServicesCommunities">
    <vt:lpwstr/>
  </property>
  <property fmtid="{D5CDD505-2E9C-101B-9397-08002B2CF9AE}" pid="22" name="MSIP_Label_f42aa342-8706-4288-bd11-ebb85995028c_Owner">
    <vt:lpwstr>v-ritam@microsoft.com</vt:lpwstr>
  </property>
  <property fmtid="{D5CDD505-2E9C-101B-9397-08002B2CF9AE}" pid="23" name="MSLanguage">
    <vt:lpwstr/>
  </property>
  <property fmtid="{D5CDD505-2E9C-101B-9397-08002B2CF9AE}" pid="24" name="Sensitivity">
    <vt:lpwstr>General</vt:lpwstr>
  </property>
</Properties>
</file>