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B240C" w14:textId="77777777" w:rsidR="00A86A5C" w:rsidRPr="003815D6" w:rsidRDefault="00A86A5C" w:rsidP="00BE4720">
      <w:pPr>
        <w:spacing w:after="0"/>
        <w:rPr>
          <w:sz w:val="2"/>
          <w:szCs w:val="2"/>
        </w:rPr>
      </w:pPr>
    </w:p>
    <w:p w14:paraId="0EF2D480" w14:textId="77777777" w:rsidR="00A059E4" w:rsidRPr="003815D6" w:rsidRDefault="00A059E4" w:rsidP="003E260B"/>
    <w:p w14:paraId="14CEFACF" w14:textId="77777777" w:rsidR="00A059E4" w:rsidRPr="003815D6" w:rsidRDefault="00A059E4" w:rsidP="003E260B"/>
    <w:p w14:paraId="6378958A" w14:textId="77777777" w:rsidR="00A059E4" w:rsidRPr="003815D6" w:rsidRDefault="00A059E4" w:rsidP="003E260B"/>
    <w:p w14:paraId="240DADC5" w14:textId="77777777" w:rsidR="00A059E4" w:rsidRPr="003815D6" w:rsidRDefault="00A059E4" w:rsidP="003E260B"/>
    <w:p w14:paraId="3BD021DA" w14:textId="77777777" w:rsidR="00717F2C" w:rsidRPr="003815D6" w:rsidRDefault="008E6137" w:rsidP="003E260B">
      <w:r w:rsidRPr="003815D6">
        <w:rPr>
          <w:noProof/>
          <w:sz w:val="2"/>
          <w:szCs w:val="2"/>
        </w:rPr>
        <mc:AlternateContent>
          <mc:Choice Requires="wps">
            <w:drawing>
              <wp:anchor distT="0" distB="0" distL="114300" distR="114300" simplePos="0" relativeHeight="251658240" behindDoc="0" locked="0" layoutInCell="1" allowOverlap="1" wp14:anchorId="5836C74E" wp14:editId="5836C74F">
                <wp:simplePos x="0" y="0"/>
                <wp:positionH relativeFrom="page">
                  <wp:posOffset>838200</wp:posOffset>
                </wp:positionH>
                <wp:positionV relativeFrom="paragraph">
                  <wp:posOffset>340814</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3BCA43F2" w14:textId="77777777" w:rsidR="005B7D30" w:rsidRDefault="005B7D30" w:rsidP="00636570">
                            <w:pPr>
                              <w:pStyle w:val="Heading1"/>
                              <w:numPr>
                                <w:ilvl w:val="0"/>
                                <w:numId w:val="0"/>
                              </w:numPr>
                            </w:pPr>
                            <w:bookmarkStart w:id="0" w:name="_Toc475028472"/>
                            <w:bookmarkStart w:id="1" w:name="_Toc476167700"/>
                            <w:bookmarkEnd w:id="0"/>
                            <w:bookmarkEnd w:id="1"/>
                          </w:p>
                          <w:p w14:paraId="4502C251" w14:textId="4BF34F2C" w:rsidR="005B7D30" w:rsidRPr="0052546A" w:rsidRDefault="005B7D30" w:rsidP="00DB39FD">
                            <w:pPr>
                              <w:ind w:left="720"/>
                              <w:rPr>
                                <w:color w:val="FFFFFF" w:themeColor="background1"/>
                                <w:sz w:val="72"/>
                              </w:rPr>
                            </w:pPr>
                            <w:r w:rsidRPr="0052546A">
                              <w:rPr>
                                <w:color w:val="FFFFFF" w:themeColor="background1"/>
                                <w:sz w:val="72"/>
                              </w:rPr>
                              <w:t>Statement of Wor</w:t>
                            </w:r>
                            <w:r>
                              <w:rPr>
                                <w:color w:val="FFFFFF" w:themeColor="background1"/>
                                <w:sz w:val="72"/>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36C74E" id="_x0000_t202" coordsize="21600,21600" o:spt="202" path="m,l,21600r21600,l21600,xe">
                <v:stroke joinstyle="miter"/>
                <v:path gradientshapeok="t" o:connecttype="rect"/>
              </v:shapetype>
              <v:shape id="Text Box 2" o:spid="_x0000_s1026" type="#_x0000_t202" style="position:absolute;margin-left:66pt;margin-top:26.8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" fillcolor="#008272" stroked="f" strokeweight=".5pt">
                <v:textbox>
                  <w:txbxContent>
                    <w:p w14:paraId="3BCA43F2" w14:textId="77777777" w:rsidR="005B7D30" w:rsidRDefault="005B7D30" w:rsidP="00636570">
                      <w:pPr>
                        <w:pStyle w:val="Heading1"/>
                        <w:numPr>
                          <w:ilvl w:val="0"/>
                          <w:numId w:val="0"/>
                        </w:numPr>
                      </w:pPr>
                      <w:bookmarkStart w:id="2" w:name="_Toc475028472"/>
                      <w:bookmarkStart w:id="3" w:name="_Toc476167700"/>
                      <w:bookmarkEnd w:id="2"/>
                      <w:bookmarkEnd w:id="3"/>
                    </w:p>
                    <w:p w14:paraId="4502C251" w14:textId="4BF34F2C" w:rsidR="005B7D30" w:rsidRPr="0052546A" w:rsidRDefault="005B7D30" w:rsidP="00DB39FD">
                      <w:pPr>
                        <w:ind w:left="720"/>
                        <w:rPr>
                          <w:color w:val="FFFFFF" w:themeColor="background1"/>
                          <w:sz w:val="72"/>
                        </w:rPr>
                      </w:pPr>
                      <w:r w:rsidRPr="0052546A">
                        <w:rPr>
                          <w:color w:val="FFFFFF" w:themeColor="background1"/>
                          <w:sz w:val="72"/>
                        </w:rPr>
                        <w:t>Statement of Wor</w:t>
                      </w:r>
                      <w:r>
                        <w:rPr>
                          <w:color w:val="FFFFFF" w:themeColor="background1"/>
                          <w:sz w:val="72"/>
                        </w:rPr>
                        <w:t>k</w:t>
                      </w:r>
                    </w:p>
                  </w:txbxContent>
                </v:textbox>
                <w10:wrap type="topAndBottom" anchorx="page"/>
              </v:shape>
            </w:pict>
          </mc:Fallback>
        </mc:AlternateContent>
      </w:r>
    </w:p>
    <w:p w14:paraId="15E585F4" w14:textId="77777777" w:rsidR="00A86A5C" w:rsidRPr="003815D6" w:rsidRDefault="00A86A5C" w:rsidP="003E260B"/>
    <w:p w14:paraId="2DB177D6" w14:textId="29EB0A91" w:rsidR="00B67647" w:rsidRPr="003815D6" w:rsidRDefault="0083106C" w:rsidP="00B67647">
      <w:pPr>
        <w:rPr>
          <w:rFonts w:ascii="Segoe UI Semibold" w:hAnsi="Segoe UI Semibold" w:cs="Segoe UI Semibold"/>
          <w:color w:val="008272"/>
          <w:sz w:val="32"/>
        </w:rPr>
      </w:pPr>
      <w:r>
        <w:rPr>
          <w:rFonts w:ascii="Segoe UI Semibold" w:hAnsi="Segoe UI Semibold" w:cs="Segoe UI Semibold"/>
          <w:color w:val="008272"/>
          <w:sz w:val="32"/>
        </w:rPr>
        <w:t xml:space="preserve"> </w:t>
      </w:r>
      <w:r w:rsidR="00D32E9B">
        <w:rPr>
          <w:rFonts w:ascii="Segoe UI Semibold" w:hAnsi="Segoe UI Semibold" w:cs="Segoe UI Semibold"/>
          <w:color w:val="008272"/>
          <w:sz w:val="32"/>
        </w:rPr>
        <w:t>–</w:t>
      </w:r>
      <w:r w:rsidR="00B67647" w:rsidRPr="003815D6">
        <w:rPr>
          <w:rFonts w:ascii="Segoe UI Semibold" w:hAnsi="Segoe UI Semibold" w:cs="Segoe UI Semibold"/>
          <w:color w:val="008272"/>
          <w:sz w:val="32"/>
        </w:rPr>
        <w:t>Office 365</w:t>
      </w:r>
      <w:r w:rsidR="00D32E9B">
        <w:rPr>
          <w:rFonts w:ascii="Segoe UI Semibold" w:hAnsi="Segoe UI Semibold" w:cs="Segoe UI Semibold"/>
          <w:color w:val="008272"/>
          <w:sz w:val="32"/>
        </w:rPr>
        <w:t xml:space="preserve"> Exchange </w:t>
      </w:r>
      <w:r w:rsidR="005B7D30">
        <w:rPr>
          <w:rFonts w:ascii="Segoe UI Semibold" w:hAnsi="Segoe UI Semibold" w:cs="Segoe UI Semibold"/>
          <w:color w:val="008272"/>
          <w:sz w:val="32"/>
        </w:rPr>
        <w:t>M</w:t>
      </w:r>
      <w:r w:rsidR="00D32E9B">
        <w:rPr>
          <w:rFonts w:ascii="Segoe UI Semibold" w:hAnsi="Segoe UI Semibold" w:cs="Segoe UI Semibold"/>
          <w:color w:val="008272"/>
          <w:sz w:val="32"/>
        </w:rPr>
        <w:t>igration</w:t>
      </w:r>
    </w:p>
    <w:p w14:paraId="0C4F17AD" w14:textId="77777777" w:rsidR="0043613E" w:rsidRPr="003815D6" w:rsidRDefault="0043613E" w:rsidP="003E260B"/>
    <w:p w14:paraId="514BED89" w14:textId="77777777" w:rsidR="00717F2C" w:rsidRPr="003815D6" w:rsidRDefault="4BAA7215" w:rsidP="003E260B">
      <w:r w:rsidRPr="003815D6">
        <w:t>Prepared for</w:t>
      </w:r>
    </w:p>
    <w:p w14:paraId="68E4889E" w14:textId="3B05FEC3" w:rsidR="00717F2C" w:rsidRPr="00632ADD" w:rsidRDefault="00717F2C" w:rsidP="00A8149E">
      <w:pPr>
        <w:pStyle w:val="Instructional"/>
        <w:rPr>
          <w:color w:val="000000" w:themeColor="text1"/>
        </w:rPr>
      </w:pPr>
    </w:p>
    <w:p w14:paraId="225A0C29" w14:textId="77777777" w:rsidR="00B40F77" w:rsidRPr="003815D6" w:rsidRDefault="00B40F77" w:rsidP="003E260B"/>
    <w:p w14:paraId="739156E9" w14:textId="77777777" w:rsidR="007F148A" w:rsidRPr="003815D6" w:rsidRDefault="4BAA7215" w:rsidP="003E260B">
      <w:r w:rsidRPr="003815D6">
        <w:t>Prepared by</w:t>
      </w:r>
    </w:p>
    <w:p w14:paraId="492E7E22" w14:textId="77777777" w:rsidR="007F148A" w:rsidRPr="003815D6" w:rsidRDefault="007F148A" w:rsidP="003E260B"/>
    <w:p w14:paraId="17A9C6CE" w14:textId="4522E04C" w:rsidR="00717F2C" w:rsidRPr="003815D6" w:rsidRDefault="00717F2C" w:rsidP="003E260B">
      <w:r w:rsidRPr="003815D6">
        <w:t xml:space="preserve">Date: </w:t>
      </w:r>
      <w:r w:rsidR="00864CC6">
        <w:t>17 November 2019</w:t>
      </w:r>
    </w:p>
    <w:p w14:paraId="673C8841" w14:textId="29051382" w:rsidR="00717F2C" w:rsidRPr="003815D6" w:rsidRDefault="4BAA7215" w:rsidP="4BAA7215">
      <w:pPr>
        <w:rPr>
          <w:rStyle w:val="InstructionalChar"/>
        </w:rPr>
      </w:pPr>
      <w:r w:rsidRPr="003815D6">
        <w:t>Version</w:t>
      </w:r>
      <w:r w:rsidRPr="003815D6">
        <w:rPr>
          <w:rStyle w:val="InstructionalChar"/>
        </w:rPr>
        <w:t xml:space="preserve">: </w:t>
      </w:r>
      <w:r w:rsidR="00F930A7" w:rsidRPr="00E657DF">
        <w:rPr>
          <w:rStyle w:val="InstructionalChar"/>
          <w:color w:val="000000" w:themeColor="text1"/>
        </w:rPr>
        <w:t>1.</w:t>
      </w:r>
      <w:r w:rsidR="00864CC6">
        <w:rPr>
          <w:rStyle w:val="InstructionalChar"/>
          <w:color w:val="000000" w:themeColor="text1"/>
        </w:rPr>
        <w:t>2 FINAL</w:t>
      </w:r>
    </w:p>
    <w:p w14:paraId="18440107" w14:textId="77777777" w:rsidR="007F148A" w:rsidRPr="003815D6" w:rsidRDefault="007F148A" w:rsidP="003E260B"/>
    <w:p w14:paraId="30F26D20" w14:textId="77777777" w:rsidR="007F148A" w:rsidRPr="003815D6" w:rsidRDefault="007F148A" w:rsidP="003E260B">
      <w:pPr>
        <w:sectPr w:rsidR="007F148A" w:rsidRPr="003815D6" w:rsidSect="00AC2C70">
          <w:pgSz w:w="12240" w:h="15840"/>
          <w:pgMar w:top="1440" w:right="1440" w:bottom="1440" w:left="1440" w:header="720" w:footer="720" w:gutter="0"/>
          <w:cols w:space="720"/>
          <w:titlePg/>
          <w:docGrid w:linePitch="360"/>
        </w:sectPr>
      </w:pPr>
    </w:p>
    <w:sdt>
      <w:sdtPr>
        <w:rPr>
          <w:rFonts w:ascii="Segoe UI" w:eastAsiaTheme="minorHAnsi" w:hAnsi="Segoe UI" w:cstheme="minorBidi"/>
          <w:color w:val="auto"/>
          <w:sz w:val="20"/>
          <w:szCs w:val="22"/>
        </w:rPr>
        <w:id w:val="1992295303"/>
        <w:docPartObj>
          <w:docPartGallery w:val="Table of Contents"/>
          <w:docPartUnique/>
        </w:docPartObj>
      </w:sdtPr>
      <w:sdtEndPr>
        <w:rPr>
          <w:b/>
          <w:bCs/>
          <w:noProof/>
        </w:rPr>
      </w:sdtEndPr>
      <w:sdtContent>
        <w:p w14:paraId="5F513339" w14:textId="77777777" w:rsidR="00C23371" w:rsidRPr="003815D6" w:rsidRDefault="4BAA7215" w:rsidP="4BAA7215">
          <w:pPr>
            <w:pStyle w:val="TOCHeading"/>
            <w:numPr>
              <w:ilvl w:val="0"/>
              <w:numId w:val="0"/>
            </w:numPr>
            <w:ind w:left="360" w:hanging="360"/>
            <w:rPr>
              <w:rFonts w:ascii="Segoe UI" w:hAnsi="Segoe UI" w:cs="Segoe UI"/>
            </w:rPr>
          </w:pPr>
          <w:r w:rsidRPr="003815D6">
            <w:rPr>
              <w:rFonts w:ascii="Segoe UI" w:hAnsi="Segoe UI" w:cs="Segoe UI"/>
            </w:rPr>
            <w:t>Table of contents</w:t>
          </w:r>
        </w:p>
        <w:p w14:paraId="22BAD98E" w14:textId="7EB9C906" w:rsidR="00664262" w:rsidRDefault="00EF21FB">
          <w:pPr>
            <w:pStyle w:val="TOC1"/>
            <w:tabs>
              <w:tab w:val="right" w:leader="dot" w:pos="9350"/>
            </w:tabs>
            <w:rPr>
              <w:rFonts w:asciiTheme="minorHAnsi" w:eastAsiaTheme="minorEastAsia" w:hAnsiTheme="minorHAnsi"/>
              <w:noProof/>
              <w:sz w:val="22"/>
              <w:lang w:val="en-ZA" w:eastAsia="en-ZA"/>
            </w:rPr>
          </w:pPr>
          <w:r w:rsidRPr="003815D6">
            <w:fldChar w:fldCharType="begin"/>
          </w:r>
          <w:r w:rsidRPr="003815D6">
            <w:instrText xml:space="preserve"> TOC \o "1-2" \h \z \u </w:instrText>
          </w:r>
          <w:r w:rsidRPr="003815D6">
            <w:fldChar w:fldCharType="separate"/>
          </w:r>
          <w:hyperlink w:anchor="_Toc22884099" w:history="1">
            <w:r w:rsidR="00664262" w:rsidRPr="00E20325">
              <w:rPr>
                <w:rStyle w:val="Hyperlink"/>
                <w:noProof/>
              </w:rPr>
              <w:t>Introduction</w:t>
            </w:r>
            <w:r w:rsidR="00664262">
              <w:rPr>
                <w:noProof/>
                <w:webHidden/>
              </w:rPr>
              <w:tab/>
            </w:r>
            <w:r w:rsidR="00664262">
              <w:rPr>
                <w:noProof/>
                <w:webHidden/>
              </w:rPr>
              <w:fldChar w:fldCharType="begin"/>
            </w:r>
            <w:r w:rsidR="00664262">
              <w:rPr>
                <w:noProof/>
                <w:webHidden/>
              </w:rPr>
              <w:instrText xml:space="preserve"> PAGEREF _Toc22884099 \h </w:instrText>
            </w:r>
            <w:r w:rsidR="00664262">
              <w:rPr>
                <w:noProof/>
                <w:webHidden/>
              </w:rPr>
            </w:r>
            <w:r w:rsidR="00664262">
              <w:rPr>
                <w:noProof/>
                <w:webHidden/>
              </w:rPr>
              <w:fldChar w:fldCharType="separate"/>
            </w:r>
            <w:r w:rsidR="00664262">
              <w:rPr>
                <w:noProof/>
                <w:webHidden/>
              </w:rPr>
              <w:t>1</w:t>
            </w:r>
            <w:r w:rsidR="00664262">
              <w:rPr>
                <w:noProof/>
                <w:webHidden/>
              </w:rPr>
              <w:fldChar w:fldCharType="end"/>
            </w:r>
          </w:hyperlink>
        </w:p>
        <w:p w14:paraId="7538CF3C" w14:textId="60F92845" w:rsidR="00664262" w:rsidRDefault="00F73F01">
          <w:pPr>
            <w:pStyle w:val="TOC1"/>
            <w:tabs>
              <w:tab w:val="left" w:pos="400"/>
              <w:tab w:val="right" w:leader="dot" w:pos="9350"/>
            </w:tabs>
            <w:rPr>
              <w:rFonts w:asciiTheme="minorHAnsi" w:eastAsiaTheme="minorEastAsia" w:hAnsiTheme="minorHAnsi"/>
              <w:noProof/>
              <w:sz w:val="22"/>
              <w:lang w:val="en-ZA" w:eastAsia="en-ZA"/>
            </w:rPr>
          </w:pPr>
          <w:hyperlink w:anchor="_Toc22884100" w:history="1">
            <w:r w:rsidR="00664262" w:rsidRPr="00E20325">
              <w:rPr>
                <w:rStyle w:val="Hyperlink"/>
                <w:noProof/>
              </w:rPr>
              <w:t>1.</w:t>
            </w:r>
            <w:r w:rsidR="00664262">
              <w:rPr>
                <w:rFonts w:asciiTheme="minorHAnsi" w:eastAsiaTheme="minorEastAsia" w:hAnsiTheme="minorHAnsi"/>
                <w:noProof/>
                <w:sz w:val="22"/>
                <w:lang w:val="en-ZA" w:eastAsia="en-ZA"/>
              </w:rPr>
              <w:tab/>
            </w:r>
            <w:r w:rsidR="00664262" w:rsidRPr="00E20325">
              <w:rPr>
                <w:rStyle w:val="Hyperlink"/>
                <w:noProof/>
              </w:rPr>
              <w:t>Project objectives and scope</w:t>
            </w:r>
            <w:r w:rsidR="00664262">
              <w:rPr>
                <w:noProof/>
                <w:webHidden/>
              </w:rPr>
              <w:tab/>
            </w:r>
            <w:r w:rsidR="00664262">
              <w:rPr>
                <w:noProof/>
                <w:webHidden/>
              </w:rPr>
              <w:fldChar w:fldCharType="begin"/>
            </w:r>
            <w:r w:rsidR="00664262">
              <w:rPr>
                <w:noProof/>
                <w:webHidden/>
              </w:rPr>
              <w:instrText xml:space="preserve"> PAGEREF _Toc22884100 \h </w:instrText>
            </w:r>
            <w:r w:rsidR="00664262">
              <w:rPr>
                <w:noProof/>
                <w:webHidden/>
              </w:rPr>
            </w:r>
            <w:r w:rsidR="00664262">
              <w:rPr>
                <w:noProof/>
                <w:webHidden/>
              </w:rPr>
              <w:fldChar w:fldCharType="separate"/>
            </w:r>
            <w:r w:rsidR="00664262">
              <w:rPr>
                <w:noProof/>
                <w:webHidden/>
              </w:rPr>
              <w:t>1</w:t>
            </w:r>
            <w:r w:rsidR="00664262">
              <w:rPr>
                <w:noProof/>
                <w:webHidden/>
              </w:rPr>
              <w:fldChar w:fldCharType="end"/>
            </w:r>
          </w:hyperlink>
        </w:p>
        <w:p w14:paraId="1F7328E9" w14:textId="36A998DB" w:rsidR="00664262" w:rsidRDefault="00F73F01">
          <w:pPr>
            <w:pStyle w:val="TOC2"/>
            <w:tabs>
              <w:tab w:val="left" w:pos="800"/>
              <w:tab w:val="right" w:leader="dot" w:pos="9350"/>
            </w:tabs>
            <w:rPr>
              <w:rFonts w:asciiTheme="minorHAnsi" w:eastAsiaTheme="minorEastAsia" w:hAnsiTheme="minorHAnsi"/>
              <w:noProof/>
              <w:sz w:val="22"/>
              <w:lang w:val="en-ZA" w:eastAsia="en-ZA"/>
            </w:rPr>
          </w:pPr>
          <w:hyperlink w:anchor="_Toc22884101" w:history="1">
            <w:r w:rsidR="00664262" w:rsidRPr="00E20325">
              <w:rPr>
                <w:rStyle w:val="Hyperlink"/>
                <w:noProof/>
              </w:rPr>
              <w:t>1.1.</w:t>
            </w:r>
            <w:r w:rsidR="00664262">
              <w:rPr>
                <w:rFonts w:asciiTheme="minorHAnsi" w:eastAsiaTheme="minorEastAsia" w:hAnsiTheme="minorHAnsi"/>
                <w:noProof/>
                <w:sz w:val="22"/>
                <w:lang w:val="en-ZA" w:eastAsia="en-ZA"/>
              </w:rPr>
              <w:tab/>
            </w:r>
            <w:r w:rsidR="00664262" w:rsidRPr="00E20325">
              <w:rPr>
                <w:rStyle w:val="Hyperlink"/>
                <w:noProof/>
              </w:rPr>
              <w:t>Objectives</w:t>
            </w:r>
            <w:r w:rsidR="00664262">
              <w:rPr>
                <w:noProof/>
                <w:webHidden/>
              </w:rPr>
              <w:tab/>
            </w:r>
            <w:r w:rsidR="00664262">
              <w:rPr>
                <w:noProof/>
                <w:webHidden/>
              </w:rPr>
              <w:fldChar w:fldCharType="begin"/>
            </w:r>
            <w:r w:rsidR="00664262">
              <w:rPr>
                <w:noProof/>
                <w:webHidden/>
              </w:rPr>
              <w:instrText xml:space="preserve"> PAGEREF _Toc22884101 \h </w:instrText>
            </w:r>
            <w:r w:rsidR="00664262">
              <w:rPr>
                <w:noProof/>
                <w:webHidden/>
              </w:rPr>
            </w:r>
            <w:r w:rsidR="00664262">
              <w:rPr>
                <w:noProof/>
                <w:webHidden/>
              </w:rPr>
              <w:fldChar w:fldCharType="separate"/>
            </w:r>
            <w:r w:rsidR="00664262">
              <w:rPr>
                <w:noProof/>
                <w:webHidden/>
              </w:rPr>
              <w:t>1</w:t>
            </w:r>
            <w:r w:rsidR="00664262">
              <w:rPr>
                <w:noProof/>
                <w:webHidden/>
              </w:rPr>
              <w:fldChar w:fldCharType="end"/>
            </w:r>
          </w:hyperlink>
        </w:p>
        <w:p w14:paraId="1FF52CB7" w14:textId="473280EB" w:rsidR="00664262" w:rsidRDefault="00F73F01">
          <w:pPr>
            <w:pStyle w:val="TOC2"/>
            <w:tabs>
              <w:tab w:val="left" w:pos="800"/>
              <w:tab w:val="right" w:leader="dot" w:pos="9350"/>
            </w:tabs>
            <w:rPr>
              <w:rFonts w:asciiTheme="minorHAnsi" w:eastAsiaTheme="minorEastAsia" w:hAnsiTheme="minorHAnsi"/>
              <w:noProof/>
              <w:sz w:val="22"/>
              <w:lang w:val="en-ZA" w:eastAsia="en-ZA"/>
            </w:rPr>
          </w:pPr>
          <w:hyperlink w:anchor="_Toc22884102" w:history="1">
            <w:r w:rsidR="00664262" w:rsidRPr="00E20325">
              <w:rPr>
                <w:rStyle w:val="Hyperlink"/>
                <w:noProof/>
              </w:rPr>
              <w:t>1.2.</w:t>
            </w:r>
            <w:r w:rsidR="00664262">
              <w:rPr>
                <w:rFonts w:asciiTheme="minorHAnsi" w:eastAsiaTheme="minorEastAsia" w:hAnsiTheme="minorHAnsi"/>
                <w:noProof/>
                <w:sz w:val="22"/>
                <w:lang w:val="en-ZA" w:eastAsia="en-ZA"/>
              </w:rPr>
              <w:tab/>
            </w:r>
            <w:r w:rsidR="00664262" w:rsidRPr="00E20325">
              <w:rPr>
                <w:rStyle w:val="Hyperlink"/>
                <w:noProof/>
              </w:rPr>
              <w:t>Areas in scope</w:t>
            </w:r>
            <w:r w:rsidR="00664262">
              <w:rPr>
                <w:noProof/>
                <w:webHidden/>
              </w:rPr>
              <w:tab/>
            </w:r>
            <w:r w:rsidR="00664262">
              <w:rPr>
                <w:noProof/>
                <w:webHidden/>
              </w:rPr>
              <w:fldChar w:fldCharType="begin"/>
            </w:r>
            <w:r w:rsidR="00664262">
              <w:rPr>
                <w:noProof/>
                <w:webHidden/>
              </w:rPr>
              <w:instrText xml:space="preserve"> PAGEREF _Toc22884102 \h </w:instrText>
            </w:r>
            <w:r w:rsidR="00664262">
              <w:rPr>
                <w:noProof/>
                <w:webHidden/>
              </w:rPr>
            </w:r>
            <w:r w:rsidR="00664262">
              <w:rPr>
                <w:noProof/>
                <w:webHidden/>
              </w:rPr>
              <w:fldChar w:fldCharType="separate"/>
            </w:r>
            <w:r w:rsidR="00664262">
              <w:rPr>
                <w:noProof/>
                <w:webHidden/>
              </w:rPr>
              <w:t>2</w:t>
            </w:r>
            <w:r w:rsidR="00664262">
              <w:rPr>
                <w:noProof/>
                <w:webHidden/>
              </w:rPr>
              <w:fldChar w:fldCharType="end"/>
            </w:r>
          </w:hyperlink>
        </w:p>
        <w:p w14:paraId="1BC1398E" w14:textId="45491C32" w:rsidR="00664262" w:rsidRDefault="00F73F01">
          <w:pPr>
            <w:pStyle w:val="TOC2"/>
            <w:tabs>
              <w:tab w:val="left" w:pos="800"/>
              <w:tab w:val="right" w:leader="dot" w:pos="9350"/>
            </w:tabs>
            <w:rPr>
              <w:rFonts w:asciiTheme="minorHAnsi" w:eastAsiaTheme="minorEastAsia" w:hAnsiTheme="minorHAnsi"/>
              <w:noProof/>
              <w:sz w:val="22"/>
              <w:lang w:val="en-ZA" w:eastAsia="en-ZA"/>
            </w:rPr>
          </w:pPr>
          <w:hyperlink w:anchor="_Toc22884103" w:history="1">
            <w:r w:rsidR="00664262" w:rsidRPr="00E20325">
              <w:rPr>
                <w:rStyle w:val="Hyperlink"/>
                <w:noProof/>
              </w:rPr>
              <w:t>1.3.</w:t>
            </w:r>
            <w:r w:rsidR="00664262">
              <w:rPr>
                <w:rFonts w:asciiTheme="minorHAnsi" w:eastAsiaTheme="minorEastAsia" w:hAnsiTheme="minorHAnsi"/>
                <w:noProof/>
                <w:sz w:val="22"/>
                <w:lang w:val="en-ZA" w:eastAsia="en-ZA"/>
              </w:rPr>
              <w:tab/>
            </w:r>
            <w:r w:rsidR="00664262" w:rsidRPr="00E20325">
              <w:rPr>
                <w:rStyle w:val="Hyperlink"/>
                <w:noProof/>
              </w:rPr>
              <w:t>Areas out of scope</w:t>
            </w:r>
            <w:r w:rsidR="00664262">
              <w:rPr>
                <w:noProof/>
                <w:webHidden/>
              </w:rPr>
              <w:tab/>
            </w:r>
            <w:r w:rsidR="00664262">
              <w:rPr>
                <w:noProof/>
                <w:webHidden/>
              </w:rPr>
              <w:fldChar w:fldCharType="begin"/>
            </w:r>
            <w:r w:rsidR="00664262">
              <w:rPr>
                <w:noProof/>
                <w:webHidden/>
              </w:rPr>
              <w:instrText xml:space="preserve"> PAGEREF _Toc22884103 \h </w:instrText>
            </w:r>
            <w:r w:rsidR="00664262">
              <w:rPr>
                <w:noProof/>
                <w:webHidden/>
              </w:rPr>
            </w:r>
            <w:r w:rsidR="00664262">
              <w:rPr>
                <w:noProof/>
                <w:webHidden/>
              </w:rPr>
              <w:fldChar w:fldCharType="separate"/>
            </w:r>
            <w:r w:rsidR="00664262">
              <w:rPr>
                <w:noProof/>
                <w:webHidden/>
              </w:rPr>
              <w:t>8</w:t>
            </w:r>
            <w:r w:rsidR="00664262">
              <w:rPr>
                <w:noProof/>
                <w:webHidden/>
              </w:rPr>
              <w:fldChar w:fldCharType="end"/>
            </w:r>
          </w:hyperlink>
        </w:p>
        <w:p w14:paraId="5EC9C497" w14:textId="401345AB" w:rsidR="00664262" w:rsidRDefault="00F73F01">
          <w:pPr>
            <w:pStyle w:val="TOC1"/>
            <w:tabs>
              <w:tab w:val="left" w:pos="400"/>
              <w:tab w:val="right" w:leader="dot" w:pos="9350"/>
            </w:tabs>
            <w:rPr>
              <w:rFonts w:asciiTheme="minorHAnsi" w:eastAsiaTheme="minorEastAsia" w:hAnsiTheme="minorHAnsi"/>
              <w:noProof/>
              <w:sz w:val="22"/>
              <w:lang w:val="en-ZA" w:eastAsia="en-ZA"/>
            </w:rPr>
          </w:pPr>
          <w:hyperlink w:anchor="_Toc22884104" w:history="1">
            <w:r w:rsidR="00664262" w:rsidRPr="00E20325">
              <w:rPr>
                <w:rStyle w:val="Hyperlink"/>
                <w:noProof/>
              </w:rPr>
              <w:t>2.</w:t>
            </w:r>
            <w:r w:rsidR="00664262">
              <w:rPr>
                <w:rFonts w:asciiTheme="minorHAnsi" w:eastAsiaTheme="minorEastAsia" w:hAnsiTheme="minorHAnsi"/>
                <w:noProof/>
                <w:sz w:val="22"/>
                <w:lang w:val="en-ZA" w:eastAsia="en-ZA"/>
              </w:rPr>
              <w:tab/>
            </w:r>
            <w:r w:rsidR="00664262" w:rsidRPr="00E20325">
              <w:rPr>
                <w:rStyle w:val="Hyperlink"/>
                <w:noProof/>
              </w:rPr>
              <w:t>Project approach, timeline, and deliverable acceptance</w:t>
            </w:r>
            <w:r w:rsidR="00664262">
              <w:rPr>
                <w:noProof/>
                <w:webHidden/>
              </w:rPr>
              <w:tab/>
            </w:r>
            <w:r w:rsidR="00664262">
              <w:rPr>
                <w:noProof/>
                <w:webHidden/>
              </w:rPr>
              <w:fldChar w:fldCharType="begin"/>
            </w:r>
            <w:r w:rsidR="00664262">
              <w:rPr>
                <w:noProof/>
                <w:webHidden/>
              </w:rPr>
              <w:instrText xml:space="preserve"> PAGEREF _Toc22884104 \h </w:instrText>
            </w:r>
            <w:r w:rsidR="00664262">
              <w:rPr>
                <w:noProof/>
                <w:webHidden/>
              </w:rPr>
            </w:r>
            <w:r w:rsidR="00664262">
              <w:rPr>
                <w:noProof/>
                <w:webHidden/>
              </w:rPr>
              <w:fldChar w:fldCharType="separate"/>
            </w:r>
            <w:r w:rsidR="00664262">
              <w:rPr>
                <w:noProof/>
                <w:webHidden/>
              </w:rPr>
              <w:t>10</w:t>
            </w:r>
            <w:r w:rsidR="00664262">
              <w:rPr>
                <w:noProof/>
                <w:webHidden/>
              </w:rPr>
              <w:fldChar w:fldCharType="end"/>
            </w:r>
          </w:hyperlink>
        </w:p>
        <w:p w14:paraId="7D87C40C" w14:textId="3A5E62CA" w:rsidR="00664262" w:rsidRDefault="00F73F01">
          <w:pPr>
            <w:pStyle w:val="TOC2"/>
            <w:tabs>
              <w:tab w:val="left" w:pos="800"/>
              <w:tab w:val="right" w:leader="dot" w:pos="9350"/>
            </w:tabs>
            <w:rPr>
              <w:rFonts w:asciiTheme="minorHAnsi" w:eastAsiaTheme="minorEastAsia" w:hAnsiTheme="minorHAnsi"/>
              <w:noProof/>
              <w:sz w:val="22"/>
              <w:lang w:val="en-ZA" w:eastAsia="en-ZA"/>
            </w:rPr>
          </w:pPr>
          <w:hyperlink w:anchor="_Toc22884105" w:history="1">
            <w:r w:rsidR="00664262" w:rsidRPr="00E20325">
              <w:rPr>
                <w:rStyle w:val="Hyperlink"/>
                <w:noProof/>
              </w:rPr>
              <w:t>2.1.</w:t>
            </w:r>
            <w:r w:rsidR="00664262">
              <w:rPr>
                <w:rFonts w:asciiTheme="minorHAnsi" w:eastAsiaTheme="minorEastAsia" w:hAnsiTheme="minorHAnsi"/>
                <w:noProof/>
                <w:sz w:val="22"/>
                <w:lang w:val="en-ZA" w:eastAsia="en-ZA"/>
              </w:rPr>
              <w:tab/>
            </w:r>
            <w:r w:rsidR="00664262" w:rsidRPr="00E20325">
              <w:rPr>
                <w:rStyle w:val="Hyperlink"/>
                <w:noProof/>
              </w:rPr>
              <w:t>Approach</w:t>
            </w:r>
            <w:r w:rsidR="00664262">
              <w:rPr>
                <w:noProof/>
                <w:webHidden/>
              </w:rPr>
              <w:tab/>
            </w:r>
            <w:r w:rsidR="00664262">
              <w:rPr>
                <w:noProof/>
                <w:webHidden/>
              </w:rPr>
              <w:fldChar w:fldCharType="begin"/>
            </w:r>
            <w:r w:rsidR="00664262">
              <w:rPr>
                <w:noProof/>
                <w:webHidden/>
              </w:rPr>
              <w:instrText xml:space="preserve"> PAGEREF _Toc22884105 \h </w:instrText>
            </w:r>
            <w:r w:rsidR="00664262">
              <w:rPr>
                <w:noProof/>
                <w:webHidden/>
              </w:rPr>
            </w:r>
            <w:r w:rsidR="00664262">
              <w:rPr>
                <w:noProof/>
                <w:webHidden/>
              </w:rPr>
              <w:fldChar w:fldCharType="separate"/>
            </w:r>
            <w:r w:rsidR="00664262">
              <w:rPr>
                <w:noProof/>
                <w:webHidden/>
              </w:rPr>
              <w:t>10</w:t>
            </w:r>
            <w:r w:rsidR="00664262">
              <w:rPr>
                <w:noProof/>
                <w:webHidden/>
              </w:rPr>
              <w:fldChar w:fldCharType="end"/>
            </w:r>
          </w:hyperlink>
        </w:p>
        <w:p w14:paraId="5C78EF7A" w14:textId="0F569575" w:rsidR="00664262" w:rsidRDefault="00F73F01">
          <w:pPr>
            <w:pStyle w:val="TOC2"/>
            <w:tabs>
              <w:tab w:val="left" w:pos="800"/>
              <w:tab w:val="right" w:leader="dot" w:pos="9350"/>
            </w:tabs>
            <w:rPr>
              <w:rFonts w:asciiTheme="minorHAnsi" w:eastAsiaTheme="minorEastAsia" w:hAnsiTheme="minorHAnsi"/>
              <w:noProof/>
              <w:sz w:val="22"/>
              <w:lang w:val="en-ZA" w:eastAsia="en-ZA"/>
            </w:rPr>
          </w:pPr>
          <w:hyperlink w:anchor="_Toc22884106" w:history="1">
            <w:r w:rsidR="00664262" w:rsidRPr="00E20325">
              <w:rPr>
                <w:rStyle w:val="Hyperlink"/>
                <w:noProof/>
              </w:rPr>
              <w:t>2.2.</w:t>
            </w:r>
            <w:r w:rsidR="00664262">
              <w:rPr>
                <w:rFonts w:asciiTheme="minorHAnsi" w:eastAsiaTheme="minorEastAsia" w:hAnsiTheme="minorHAnsi"/>
                <w:noProof/>
                <w:sz w:val="22"/>
                <w:lang w:val="en-ZA" w:eastAsia="en-ZA"/>
              </w:rPr>
              <w:tab/>
            </w:r>
            <w:r w:rsidR="00664262" w:rsidRPr="00E20325">
              <w:rPr>
                <w:rStyle w:val="Hyperlink"/>
                <w:noProof/>
              </w:rPr>
              <w:t>Timeline</w:t>
            </w:r>
            <w:r w:rsidR="00664262">
              <w:rPr>
                <w:noProof/>
                <w:webHidden/>
              </w:rPr>
              <w:tab/>
            </w:r>
            <w:r w:rsidR="00664262">
              <w:rPr>
                <w:noProof/>
                <w:webHidden/>
              </w:rPr>
              <w:fldChar w:fldCharType="begin"/>
            </w:r>
            <w:r w:rsidR="00664262">
              <w:rPr>
                <w:noProof/>
                <w:webHidden/>
              </w:rPr>
              <w:instrText xml:space="preserve"> PAGEREF _Toc22884106 \h </w:instrText>
            </w:r>
            <w:r w:rsidR="00664262">
              <w:rPr>
                <w:noProof/>
                <w:webHidden/>
              </w:rPr>
            </w:r>
            <w:r w:rsidR="00664262">
              <w:rPr>
                <w:noProof/>
                <w:webHidden/>
              </w:rPr>
              <w:fldChar w:fldCharType="separate"/>
            </w:r>
            <w:r w:rsidR="00664262">
              <w:rPr>
                <w:noProof/>
                <w:webHidden/>
              </w:rPr>
              <w:t>26</w:t>
            </w:r>
            <w:r w:rsidR="00664262">
              <w:rPr>
                <w:noProof/>
                <w:webHidden/>
              </w:rPr>
              <w:fldChar w:fldCharType="end"/>
            </w:r>
          </w:hyperlink>
        </w:p>
        <w:p w14:paraId="2688038C" w14:textId="4790DAE2" w:rsidR="00664262" w:rsidRDefault="00F73F01">
          <w:pPr>
            <w:pStyle w:val="TOC2"/>
            <w:tabs>
              <w:tab w:val="left" w:pos="800"/>
              <w:tab w:val="right" w:leader="dot" w:pos="9350"/>
            </w:tabs>
            <w:rPr>
              <w:rFonts w:asciiTheme="minorHAnsi" w:eastAsiaTheme="minorEastAsia" w:hAnsiTheme="minorHAnsi"/>
              <w:noProof/>
              <w:sz w:val="22"/>
              <w:lang w:val="en-ZA" w:eastAsia="en-ZA"/>
            </w:rPr>
          </w:pPr>
          <w:hyperlink w:anchor="_Toc22884107" w:history="1">
            <w:r w:rsidR="00664262" w:rsidRPr="00E20325">
              <w:rPr>
                <w:rStyle w:val="Hyperlink"/>
                <w:noProof/>
              </w:rPr>
              <w:t>2.3.</w:t>
            </w:r>
            <w:r w:rsidR="00664262">
              <w:rPr>
                <w:rFonts w:asciiTheme="minorHAnsi" w:eastAsiaTheme="minorEastAsia" w:hAnsiTheme="minorHAnsi"/>
                <w:noProof/>
                <w:sz w:val="22"/>
                <w:lang w:val="en-ZA" w:eastAsia="en-ZA"/>
              </w:rPr>
              <w:tab/>
            </w:r>
            <w:r w:rsidR="00664262" w:rsidRPr="00E20325">
              <w:rPr>
                <w:rStyle w:val="Hyperlink"/>
                <w:noProof/>
              </w:rPr>
              <w:t>Deliverable acceptance process</w:t>
            </w:r>
            <w:r w:rsidR="00664262">
              <w:rPr>
                <w:noProof/>
                <w:webHidden/>
              </w:rPr>
              <w:tab/>
            </w:r>
            <w:r w:rsidR="00664262">
              <w:rPr>
                <w:noProof/>
                <w:webHidden/>
              </w:rPr>
              <w:fldChar w:fldCharType="begin"/>
            </w:r>
            <w:r w:rsidR="00664262">
              <w:rPr>
                <w:noProof/>
                <w:webHidden/>
              </w:rPr>
              <w:instrText xml:space="preserve"> PAGEREF _Toc22884107 \h </w:instrText>
            </w:r>
            <w:r w:rsidR="00664262">
              <w:rPr>
                <w:noProof/>
                <w:webHidden/>
              </w:rPr>
            </w:r>
            <w:r w:rsidR="00664262">
              <w:rPr>
                <w:noProof/>
                <w:webHidden/>
              </w:rPr>
              <w:fldChar w:fldCharType="separate"/>
            </w:r>
            <w:r w:rsidR="00664262">
              <w:rPr>
                <w:noProof/>
                <w:webHidden/>
              </w:rPr>
              <w:t>26</w:t>
            </w:r>
            <w:r w:rsidR="00664262">
              <w:rPr>
                <w:noProof/>
                <w:webHidden/>
              </w:rPr>
              <w:fldChar w:fldCharType="end"/>
            </w:r>
          </w:hyperlink>
        </w:p>
        <w:p w14:paraId="4AFCDEBC" w14:textId="38A3125A" w:rsidR="00664262" w:rsidRDefault="00F73F01">
          <w:pPr>
            <w:pStyle w:val="TOC2"/>
            <w:tabs>
              <w:tab w:val="left" w:pos="800"/>
              <w:tab w:val="right" w:leader="dot" w:pos="9350"/>
            </w:tabs>
            <w:rPr>
              <w:rFonts w:asciiTheme="minorHAnsi" w:eastAsiaTheme="minorEastAsia" w:hAnsiTheme="minorHAnsi"/>
              <w:noProof/>
              <w:sz w:val="22"/>
              <w:lang w:val="en-ZA" w:eastAsia="en-ZA"/>
            </w:rPr>
          </w:pPr>
          <w:hyperlink w:anchor="_Toc22884108" w:history="1">
            <w:r w:rsidR="00664262" w:rsidRPr="00E20325">
              <w:rPr>
                <w:rStyle w:val="Hyperlink"/>
                <w:noProof/>
              </w:rPr>
              <w:t>2.4.</w:t>
            </w:r>
            <w:r w:rsidR="00664262">
              <w:rPr>
                <w:rFonts w:asciiTheme="minorHAnsi" w:eastAsiaTheme="minorEastAsia" w:hAnsiTheme="minorHAnsi"/>
                <w:noProof/>
                <w:sz w:val="22"/>
                <w:lang w:val="en-ZA" w:eastAsia="en-ZA"/>
              </w:rPr>
              <w:tab/>
            </w:r>
            <w:r w:rsidR="00664262" w:rsidRPr="00E20325">
              <w:rPr>
                <w:rStyle w:val="Hyperlink"/>
                <w:noProof/>
              </w:rPr>
              <w:t>Project governance</w:t>
            </w:r>
            <w:r w:rsidR="00664262">
              <w:rPr>
                <w:noProof/>
                <w:webHidden/>
              </w:rPr>
              <w:tab/>
            </w:r>
            <w:r w:rsidR="00664262">
              <w:rPr>
                <w:noProof/>
                <w:webHidden/>
              </w:rPr>
              <w:fldChar w:fldCharType="begin"/>
            </w:r>
            <w:r w:rsidR="00664262">
              <w:rPr>
                <w:noProof/>
                <w:webHidden/>
              </w:rPr>
              <w:instrText xml:space="preserve"> PAGEREF _Toc22884108 \h </w:instrText>
            </w:r>
            <w:r w:rsidR="00664262">
              <w:rPr>
                <w:noProof/>
                <w:webHidden/>
              </w:rPr>
            </w:r>
            <w:r w:rsidR="00664262">
              <w:rPr>
                <w:noProof/>
                <w:webHidden/>
              </w:rPr>
              <w:fldChar w:fldCharType="separate"/>
            </w:r>
            <w:r w:rsidR="00664262">
              <w:rPr>
                <w:noProof/>
                <w:webHidden/>
              </w:rPr>
              <w:t>27</w:t>
            </w:r>
            <w:r w:rsidR="00664262">
              <w:rPr>
                <w:noProof/>
                <w:webHidden/>
              </w:rPr>
              <w:fldChar w:fldCharType="end"/>
            </w:r>
          </w:hyperlink>
        </w:p>
        <w:p w14:paraId="61F9BA12" w14:textId="4FE529FD" w:rsidR="00664262" w:rsidRDefault="00F73F01">
          <w:pPr>
            <w:pStyle w:val="TOC2"/>
            <w:tabs>
              <w:tab w:val="left" w:pos="800"/>
              <w:tab w:val="right" w:leader="dot" w:pos="9350"/>
            </w:tabs>
            <w:rPr>
              <w:rFonts w:asciiTheme="minorHAnsi" w:eastAsiaTheme="minorEastAsia" w:hAnsiTheme="minorHAnsi"/>
              <w:noProof/>
              <w:sz w:val="22"/>
              <w:lang w:val="en-ZA" w:eastAsia="en-ZA"/>
            </w:rPr>
          </w:pPr>
          <w:hyperlink w:anchor="_Toc22884109" w:history="1">
            <w:r w:rsidR="00664262" w:rsidRPr="00E20325">
              <w:rPr>
                <w:rStyle w:val="Hyperlink"/>
                <w:noProof/>
              </w:rPr>
              <w:t>2.5.</w:t>
            </w:r>
            <w:r w:rsidR="00664262">
              <w:rPr>
                <w:rFonts w:asciiTheme="minorHAnsi" w:eastAsiaTheme="minorEastAsia" w:hAnsiTheme="minorHAnsi"/>
                <w:noProof/>
                <w:sz w:val="22"/>
                <w:lang w:val="en-ZA" w:eastAsia="en-ZA"/>
              </w:rPr>
              <w:tab/>
            </w:r>
            <w:r w:rsidR="00664262" w:rsidRPr="00E20325">
              <w:rPr>
                <w:rStyle w:val="Hyperlink"/>
                <w:noProof/>
              </w:rPr>
              <w:t>Project completion</w:t>
            </w:r>
            <w:r w:rsidR="00664262">
              <w:rPr>
                <w:noProof/>
                <w:webHidden/>
              </w:rPr>
              <w:tab/>
            </w:r>
            <w:r w:rsidR="00664262">
              <w:rPr>
                <w:noProof/>
                <w:webHidden/>
              </w:rPr>
              <w:fldChar w:fldCharType="begin"/>
            </w:r>
            <w:r w:rsidR="00664262">
              <w:rPr>
                <w:noProof/>
                <w:webHidden/>
              </w:rPr>
              <w:instrText xml:space="preserve"> PAGEREF _Toc22884109 \h </w:instrText>
            </w:r>
            <w:r w:rsidR="00664262">
              <w:rPr>
                <w:noProof/>
                <w:webHidden/>
              </w:rPr>
            </w:r>
            <w:r w:rsidR="00664262">
              <w:rPr>
                <w:noProof/>
                <w:webHidden/>
              </w:rPr>
              <w:fldChar w:fldCharType="separate"/>
            </w:r>
            <w:r w:rsidR="00664262">
              <w:rPr>
                <w:noProof/>
                <w:webHidden/>
              </w:rPr>
              <w:t>29</w:t>
            </w:r>
            <w:r w:rsidR="00664262">
              <w:rPr>
                <w:noProof/>
                <w:webHidden/>
              </w:rPr>
              <w:fldChar w:fldCharType="end"/>
            </w:r>
          </w:hyperlink>
        </w:p>
        <w:p w14:paraId="44643455" w14:textId="7FC88589" w:rsidR="00664262" w:rsidRDefault="00F73F01">
          <w:pPr>
            <w:pStyle w:val="TOC1"/>
            <w:tabs>
              <w:tab w:val="left" w:pos="400"/>
              <w:tab w:val="right" w:leader="dot" w:pos="9350"/>
            </w:tabs>
            <w:rPr>
              <w:rFonts w:asciiTheme="minorHAnsi" w:eastAsiaTheme="minorEastAsia" w:hAnsiTheme="minorHAnsi"/>
              <w:noProof/>
              <w:sz w:val="22"/>
              <w:lang w:val="en-ZA" w:eastAsia="en-ZA"/>
            </w:rPr>
          </w:pPr>
          <w:hyperlink w:anchor="_Toc22884110" w:history="1">
            <w:r w:rsidR="00664262" w:rsidRPr="00E20325">
              <w:rPr>
                <w:rStyle w:val="Hyperlink"/>
                <w:noProof/>
              </w:rPr>
              <w:t>3.</w:t>
            </w:r>
            <w:r w:rsidR="00664262">
              <w:rPr>
                <w:rFonts w:asciiTheme="minorHAnsi" w:eastAsiaTheme="minorEastAsia" w:hAnsiTheme="minorHAnsi"/>
                <w:noProof/>
                <w:sz w:val="22"/>
                <w:lang w:val="en-ZA" w:eastAsia="en-ZA"/>
              </w:rPr>
              <w:tab/>
            </w:r>
            <w:r w:rsidR="00664262" w:rsidRPr="00E20325">
              <w:rPr>
                <w:rStyle w:val="Hyperlink"/>
                <w:noProof/>
              </w:rPr>
              <w:t>Project organization</w:t>
            </w:r>
            <w:r w:rsidR="00664262">
              <w:rPr>
                <w:noProof/>
                <w:webHidden/>
              </w:rPr>
              <w:tab/>
            </w:r>
            <w:r w:rsidR="00664262">
              <w:rPr>
                <w:noProof/>
                <w:webHidden/>
              </w:rPr>
              <w:fldChar w:fldCharType="begin"/>
            </w:r>
            <w:r w:rsidR="00664262">
              <w:rPr>
                <w:noProof/>
                <w:webHidden/>
              </w:rPr>
              <w:instrText xml:space="preserve"> PAGEREF _Toc22884110 \h </w:instrText>
            </w:r>
            <w:r w:rsidR="00664262">
              <w:rPr>
                <w:noProof/>
                <w:webHidden/>
              </w:rPr>
            </w:r>
            <w:r w:rsidR="00664262">
              <w:rPr>
                <w:noProof/>
                <w:webHidden/>
              </w:rPr>
              <w:fldChar w:fldCharType="separate"/>
            </w:r>
            <w:r w:rsidR="00664262">
              <w:rPr>
                <w:noProof/>
                <w:webHidden/>
              </w:rPr>
              <w:t>29</w:t>
            </w:r>
            <w:r w:rsidR="00664262">
              <w:rPr>
                <w:noProof/>
                <w:webHidden/>
              </w:rPr>
              <w:fldChar w:fldCharType="end"/>
            </w:r>
          </w:hyperlink>
        </w:p>
        <w:p w14:paraId="53387B04" w14:textId="35A6CFCB" w:rsidR="00664262" w:rsidRDefault="00F73F01">
          <w:pPr>
            <w:pStyle w:val="TOC2"/>
            <w:tabs>
              <w:tab w:val="left" w:pos="800"/>
              <w:tab w:val="right" w:leader="dot" w:pos="9350"/>
            </w:tabs>
            <w:rPr>
              <w:rFonts w:asciiTheme="minorHAnsi" w:eastAsiaTheme="minorEastAsia" w:hAnsiTheme="minorHAnsi"/>
              <w:noProof/>
              <w:sz w:val="22"/>
              <w:lang w:val="en-ZA" w:eastAsia="en-ZA"/>
            </w:rPr>
          </w:pPr>
          <w:hyperlink w:anchor="_Toc22884111" w:history="1">
            <w:r w:rsidR="00664262" w:rsidRPr="00E20325">
              <w:rPr>
                <w:rStyle w:val="Hyperlink"/>
                <w:noProof/>
              </w:rPr>
              <w:t>3.1.</w:t>
            </w:r>
            <w:r w:rsidR="00664262">
              <w:rPr>
                <w:rFonts w:asciiTheme="minorHAnsi" w:eastAsiaTheme="minorEastAsia" w:hAnsiTheme="minorHAnsi"/>
                <w:noProof/>
                <w:sz w:val="22"/>
                <w:lang w:val="en-ZA" w:eastAsia="en-ZA"/>
              </w:rPr>
              <w:tab/>
            </w:r>
            <w:r w:rsidR="00664262" w:rsidRPr="00E20325">
              <w:rPr>
                <w:rStyle w:val="Hyperlink"/>
                <w:noProof/>
              </w:rPr>
              <w:t>Project roles and responsibilities</w:t>
            </w:r>
            <w:r w:rsidR="00664262">
              <w:rPr>
                <w:noProof/>
                <w:webHidden/>
              </w:rPr>
              <w:tab/>
            </w:r>
            <w:r w:rsidR="00664262">
              <w:rPr>
                <w:noProof/>
                <w:webHidden/>
              </w:rPr>
              <w:fldChar w:fldCharType="begin"/>
            </w:r>
            <w:r w:rsidR="00664262">
              <w:rPr>
                <w:noProof/>
                <w:webHidden/>
              </w:rPr>
              <w:instrText xml:space="preserve"> PAGEREF _Toc22884111 \h </w:instrText>
            </w:r>
            <w:r w:rsidR="00664262">
              <w:rPr>
                <w:noProof/>
                <w:webHidden/>
              </w:rPr>
            </w:r>
            <w:r w:rsidR="00664262">
              <w:rPr>
                <w:noProof/>
                <w:webHidden/>
              </w:rPr>
              <w:fldChar w:fldCharType="separate"/>
            </w:r>
            <w:r w:rsidR="00664262">
              <w:rPr>
                <w:noProof/>
                <w:webHidden/>
              </w:rPr>
              <w:t>29</w:t>
            </w:r>
            <w:r w:rsidR="00664262">
              <w:rPr>
                <w:noProof/>
                <w:webHidden/>
              </w:rPr>
              <w:fldChar w:fldCharType="end"/>
            </w:r>
          </w:hyperlink>
        </w:p>
        <w:p w14:paraId="38D43600" w14:textId="4EBE2F5A" w:rsidR="00664262" w:rsidRDefault="00F73F01">
          <w:pPr>
            <w:pStyle w:val="TOC1"/>
            <w:tabs>
              <w:tab w:val="left" w:pos="400"/>
              <w:tab w:val="right" w:leader="dot" w:pos="9350"/>
            </w:tabs>
            <w:rPr>
              <w:rFonts w:asciiTheme="minorHAnsi" w:eastAsiaTheme="minorEastAsia" w:hAnsiTheme="minorHAnsi"/>
              <w:noProof/>
              <w:sz w:val="22"/>
              <w:lang w:val="en-ZA" w:eastAsia="en-ZA"/>
            </w:rPr>
          </w:pPr>
          <w:hyperlink w:anchor="_Toc22884112" w:history="1">
            <w:r w:rsidR="00664262" w:rsidRPr="00E20325">
              <w:rPr>
                <w:rStyle w:val="Hyperlink"/>
                <w:noProof/>
              </w:rPr>
              <w:t>4.</w:t>
            </w:r>
            <w:r w:rsidR="00664262">
              <w:rPr>
                <w:rFonts w:asciiTheme="minorHAnsi" w:eastAsiaTheme="minorEastAsia" w:hAnsiTheme="minorHAnsi"/>
                <w:noProof/>
                <w:sz w:val="22"/>
                <w:lang w:val="en-ZA" w:eastAsia="en-ZA"/>
              </w:rPr>
              <w:tab/>
            </w:r>
            <w:r w:rsidR="00664262" w:rsidRPr="00E20325">
              <w:rPr>
                <w:rStyle w:val="Hyperlink"/>
                <w:noProof/>
              </w:rPr>
              <w:t>Customer responsibilities and project assumptions</w:t>
            </w:r>
            <w:r w:rsidR="00664262">
              <w:rPr>
                <w:noProof/>
                <w:webHidden/>
              </w:rPr>
              <w:tab/>
            </w:r>
            <w:r w:rsidR="00664262">
              <w:rPr>
                <w:noProof/>
                <w:webHidden/>
              </w:rPr>
              <w:fldChar w:fldCharType="begin"/>
            </w:r>
            <w:r w:rsidR="00664262">
              <w:rPr>
                <w:noProof/>
                <w:webHidden/>
              </w:rPr>
              <w:instrText xml:space="preserve"> PAGEREF _Toc22884112 \h </w:instrText>
            </w:r>
            <w:r w:rsidR="00664262">
              <w:rPr>
                <w:noProof/>
                <w:webHidden/>
              </w:rPr>
            </w:r>
            <w:r w:rsidR="00664262">
              <w:rPr>
                <w:noProof/>
                <w:webHidden/>
              </w:rPr>
              <w:fldChar w:fldCharType="separate"/>
            </w:r>
            <w:r w:rsidR="00664262">
              <w:rPr>
                <w:noProof/>
                <w:webHidden/>
              </w:rPr>
              <w:t>33</w:t>
            </w:r>
            <w:r w:rsidR="00664262">
              <w:rPr>
                <w:noProof/>
                <w:webHidden/>
              </w:rPr>
              <w:fldChar w:fldCharType="end"/>
            </w:r>
          </w:hyperlink>
        </w:p>
        <w:p w14:paraId="402866E8" w14:textId="5F1E61DB" w:rsidR="00664262" w:rsidRDefault="00F73F01">
          <w:pPr>
            <w:pStyle w:val="TOC2"/>
            <w:tabs>
              <w:tab w:val="left" w:pos="800"/>
              <w:tab w:val="right" w:leader="dot" w:pos="9350"/>
            </w:tabs>
            <w:rPr>
              <w:rFonts w:asciiTheme="minorHAnsi" w:eastAsiaTheme="minorEastAsia" w:hAnsiTheme="minorHAnsi"/>
              <w:noProof/>
              <w:sz w:val="22"/>
              <w:lang w:val="en-ZA" w:eastAsia="en-ZA"/>
            </w:rPr>
          </w:pPr>
          <w:hyperlink w:anchor="_Toc22884113" w:history="1">
            <w:r w:rsidR="00664262" w:rsidRPr="00E20325">
              <w:rPr>
                <w:rStyle w:val="Hyperlink"/>
                <w:noProof/>
              </w:rPr>
              <w:t>4.1.</w:t>
            </w:r>
            <w:r w:rsidR="00664262">
              <w:rPr>
                <w:rFonts w:asciiTheme="minorHAnsi" w:eastAsiaTheme="minorEastAsia" w:hAnsiTheme="minorHAnsi"/>
                <w:noProof/>
                <w:sz w:val="22"/>
                <w:lang w:val="en-ZA" w:eastAsia="en-ZA"/>
              </w:rPr>
              <w:tab/>
            </w:r>
            <w:r w:rsidR="00664262" w:rsidRPr="00E20325">
              <w:rPr>
                <w:rStyle w:val="Hyperlink"/>
                <w:noProof/>
              </w:rPr>
              <w:t>Customer responsibilities</w:t>
            </w:r>
            <w:r w:rsidR="00664262">
              <w:rPr>
                <w:noProof/>
                <w:webHidden/>
              </w:rPr>
              <w:tab/>
            </w:r>
            <w:r w:rsidR="00664262">
              <w:rPr>
                <w:noProof/>
                <w:webHidden/>
              </w:rPr>
              <w:fldChar w:fldCharType="begin"/>
            </w:r>
            <w:r w:rsidR="00664262">
              <w:rPr>
                <w:noProof/>
                <w:webHidden/>
              </w:rPr>
              <w:instrText xml:space="preserve"> PAGEREF _Toc22884113 \h </w:instrText>
            </w:r>
            <w:r w:rsidR="00664262">
              <w:rPr>
                <w:noProof/>
                <w:webHidden/>
              </w:rPr>
            </w:r>
            <w:r w:rsidR="00664262">
              <w:rPr>
                <w:noProof/>
                <w:webHidden/>
              </w:rPr>
              <w:fldChar w:fldCharType="separate"/>
            </w:r>
            <w:r w:rsidR="00664262">
              <w:rPr>
                <w:noProof/>
                <w:webHidden/>
              </w:rPr>
              <w:t>33</w:t>
            </w:r>
            <w:r w:rsidR="00664262">
              <w:rPr>
                <w:noProof/>
                <w:webHidden/>
              </w:rPr>
              <w:fldChar w:fldCharType="end"/>
            </w:r>
          </w:hyperlink>
        </w:p>
        <w:p w14:paraId="6900A201" w14:textId="2A2E4495" w:rsidR="00664262" w:rsidRDefault="00F73F01">
          <w:pPr>
            <w:pStyle w:val="TOC2"/>
            <w:tabs>
              <w:tab w:val="left" w:pos="800"/>
              <w:tab w:val="right" w:leader="dot" w:pos="9350"/>
            </w:tabs>
            <w:rPr>
              <w:rFonts w:asciiTheme="minorHAnsi" w:eastAsiaTheme="minorEastAsia" w:hAnsiTheme="minorHAnsi"/>
              <w:noProof/>
              <w:sz w:val="22"/>
              <w:lang w:val="en-ZA" w:eastAsia="en-ZA"/>
            </w:rPr>
          </w:pPr>
          <w:hyperlink w:anchor="_Toc22884114" w:history="1">
            <w:r w:rsidR="00664262" w:rsidRPr="00E20325">
              <w:rPr>
                <w:rStyle w:val="Hyperlink"/>
                <w:noProof/>
              </w:rPr>
              <w:t>4.2.</w:t>
            </w:r>
            <w:r w:rsidR="00664262">
              <w:rPr>
                <w:rFonts w:asciiTheme="minorHAnsi" w:eastAsiaTheme="minorEastAsia" w:hAnsiTheme="minorHAnsi"/>
                <w:noProof/>
                <w:sz w:val="22"/>
                <w:lang w:val="en-ZA" w:eastAsia="en-ZA"/>
              </w:rPr>
              <w:tab/>
            </w:r>
            <w:r w:rsidR="00664262" w:rsidRPr="00E20325">
              <w:rPr>
                <w:rStyle w:val="Hyperlink"/>
                <w:noProof/>
              </w:rPr>
              <w:t>Project assumptions</w:t>
            </w:r>
            <w:r w:rsidR="00664262">
              <w:rPr>
                <w:noProof/>
                <w:webHidden/>
              </w:rPr>
              <w:tab/>
            </w:r>
            <w:r w:rsidR="00664262">
              <w:rPr>
                <w:noProof/>
                <w:webHidden/>
              </w:rPr>
              <w:fldChar w:fldCharType="begin"/>
            </w:r>
            <w:r w:rsidR="00664262">
              <w:rPr>
                <w:noProof/>
                <w:webHidden/>
              </w:rPr>
              <w:instrText xml:space="preserve"> PAGEREF _Toc22884114 \h </w:instrText>
            </w:r>
            <w:r w:rsidR="00664262">
              <w:rPr>
                <w:noProof/>
                <w:webHidden/>
              </w:rPr>
            </w:r>
            <w:r w:rsidR="00664262">
              <w:rPr>
                <w:noProof/>
                <w:webHidden/>
              </w:rPr>
              <w:fldChar w:fldCharType="separate"/>
            </w:r>
            <w:r w:rsidR="00664262">
              <w:rPr>
                <w:noProof/>
                <w:webHidden/>
              </w:rPr>
              <w:t>34</w:t>
            </w:r>
            <w:r w:rsidR="00664262">
              <w:rPr>
                <w:noProof/>
                <w:webHidden/>
              </w:rPr>
              <w:fldChar w:fldCharType="end"/>
            </w:r>
          </w:hyperlink>
        </w:p>
        <w:p w14:paraId="5853E464" w14:textId="6E6C2622" w:rsidR="00664262" w:rsidRDefault="00F73F01">
          <w:pPr>
            <w:pStyle w:val="TOC1"/>
            <w:tabs>
              <w:tab w:val="left" w:pos="400"/>
              <w:tab w:val="right" w:leader="dot" w:pos="9350"/>
            </w:tabs>
            <w:rPr>
              <w:rFonts w:asciiTheme="minorHAnsi" w:eastAsiaTheme="minorEastAsia" w:hAnsiTheme="minorHAnsi"/>
              <w:noProof/>
              <w:sz w:val="22"/>
              <w:lang w:val="en-ZA" w:eastAsia="en-ZA"/>
            </w:rPr>
          </w:pPr>
          <w:hyperlink w:anchor="_Toc22884115" w:history="1">
            <w:r w:rsidR="00664262" w:rsidRPr="00E20325">
              <w:rPr>
                <w:rStyle w:val="Hyperlink"/>
                <w:noProof/>
              </w:rPr>
              <w:t>5.</w:t>
            </w:r>
            <w:r w:rsidR="00664262">
              <w:rPr>
                <w:rFonts w:asciiTheme="minorHAnsi" w:eastAsiaTheme="minorEastAsia" w:hAnsiTheme="minorHAnsi"/>
                <w:noProof/>
                <w:sz w:val="22"/>
                <w:lang w:val="en-ZA" w:eastAsia="en-ZA"/>
              </w:rPr>
              <w:tab/>
            </w:r>
            <w:r w:rsidR="00664262" w:rsidRPr="00E20325">
              <w:rPr>
                <w:rStyle w:val="Hyperlink"/>
                <w:noProof/>
              </w:rPr>
              <w:t>Mimecast Transition</w:t>
            </w:r>
            <w:r w:rsidR="00664262">
              <w:rPr>
                <w:noProof/>
                <w:webHidden/>
              </w:rPr>
              <w:tab/>
            </w:r>
            <w:r w:rsidR="00664262">
              <w:rPr>
                <w:noProof/>
                <w:webHidden/>
              </w:rPr>
              <w:fldChar w:fldCharType="begin"/>
            </w:r>
            <w:r w:rsidR="00664262">
              <w:rPr>
                <w:noProof/>
                <w:webHidden/>
              </w:rPr>
              <w:instrText xml:space="preserve"> PAGEREF _Toc22884115 \h </w:instrText>
            </w:r>
            <w:r w:rsidR="00664262">
              <w:rPr>
                <w:noProof/>
                <w:webHidden/>
              </w:rPr>
            </w:r>
            <w:r w:rsidR="00664262">
              <w:rPr>
                <w:noProof/>
                <w:webHidden/>
              </w:rPr>
              <w:fldChar w:fldCharType="separate"/>
            </w:r>
            <w:r w:rsidR="00664262">
              <w:rPr>
                <w:noProof/>
                <w:webHidden/>
              </w:rPr>
              <w:t>34</w:t>
            </w:r>
            <w:r w:rsidR="00664262">
              <w:rPr>
                <w:noProof/>
                <w:webHidden/>
              </w:rPr>
              <w:fldChar w:fldCharType="end"/>
            </w:r>
          </w:hyperlink>
        </w:p>
        <w:p w14:paraId="2BD3D968" w14:textId="256DBCFA" w:rsidR="00C23371" w:rsidRPr="003815D6" w:rsidRDefault="00EF21FB">
          <w:r w:rsidRPr="003815D6">
            <w:fldChar w:fldCharType="end"/>
          </w:r>
        </w:p>
      </w:sdtContent>
    </w:sdt>
    <w:p w14:paraId="794823F3" w14:textId="77777777" w:rsidR="00C81329" w:rsidRPr="003815D6" w:rsidRDefault="00C81329"/>
    <w:p w14:paraId="15EE5469" w14:textId="77777777" w:rsidR="007E7F79" w:rsidRPr="003815D6" w:rsidRDefault="007E7F79">
      <w:pPr>
        <w:rPr>
          <w:highlight w:val="yellow"/>
        </w:rPr>
        <w:sectPr w:rsidR="007E7F79" w:rsidRPr="003815D6" w:rsidSect="00525EBE">
          <w:headerReference w:type="default" r:id="rId8"/>
          <w:footerReference w:type="default" r:id="rId9"/>
          <w:footerReference w:type="first" r:id="rId10"/>
          <w:pgSz w:w="12240" w:h="15840" w:code="1"/>
          <w:pgMar w:top="1440" w:right="1440" w:bottom="1440" w:left="1440" w:header="720" w:footer="720" w:gutter="0"/>
          <w:pgNumType w:start="1"/>
          <w:cols w:space="720"/>
          <w:docGrid w:linePitch="360"/>
        </w:sectPr>
      </w:pPr>
    </w:p>
    <w:p w14:paraId="7328ED66" w14:textId="5E54A72B" w:rsidR="0001741F" w:rsidRPr="003815D6" w:rsidRDefault="0001741F" w:rsidP="0001741F">
      <w:bookmarkStart w:id="4" w:name="_Toc476167701"/>
      <w:bookmarkStart w:id="5" w:name="_Toc476168021"/>
      <w:r w:rsidRPr="003815D6">
        <w:lastRenderedPageBreak/>
        <w:t xml:space="preserve">This Statement of Work (SOW) and any exhibits, appendices, schedules, and attachments to it are made pursuant to Work Order </w:t>
      </w:r>
      <w:r w:rsidR="00DF5056" w:rsidRPr="00DF5056">
        <w:t>6ZAF201-260353-308257</w:t>
      </w:r>
      <w:r w:rsidRPr="003815D6">
        <w:t xml:space="preserve"> and describes the work to be performed (Services) by Microsoft (“us,” “we”) for </w:t>
      </w:r>
      <w:r w:rsidR="00DF5056">
        <w:t>State Information Technology Agency</w:t>
      </w:r>
      <w:r w:rsidRPr="003815D6">
        <w:t xml:space="preserve"> </w:t>
      </w:r>
      <w:r w:rsidR="00DF5056">
        <w:t xml:space="preserve">and Gauteng Provincial Government </w:t>
      </w:r>
      <w:r w:rsidRPr="003815D6">
        <w:t>(</w:t>
      </w:r>
      <w:r w:rsidR="00DF5056">
        <w:t xml:space="preserve">“”, “”, </w:t>
      </w:r>
      <w:r w:rsidRPr="003815D6">
        <w:t xml:space="preserve">“Customer,” “you,” “your”) relating to </w:t>
      </w:r>
      <w:r w:rsidR="00D32E9B" w:rsidRPr="00D32E9B">
        <w:t xml:space="preserve"> – Assistance for Office 365 Exchange migration</w:t>
      </w:r>
      <w:r w:rsidRPr="003815D6">
        <w:t xml:space="preserve"> </w:t>
      </w:r>
      <w:r w:rsidR="00D32E9B">
        <w:t xml:space="preserve"> </w:t>
      </w:r>
      <w:r w:rsidRPr="003815D6">
        <w:t>(</w:t>
      </w:r>
      <w:r w:rsidR="00D32E9B">
        <w:t>“</w:t>
      </w:r>
      <w:r w:rsidRPr="003815D6">
        <w:t>project</w:t>
      </w:r>
      <w:r w:rsidR="00D32E9B">
        <w:t>”</w:t>
      </w:r>
      <w:r w:rsidRPr="003815D6">
        <w:t>).</w:t>
      </w:r>
    </w:p>
    <w:p w14:paraId="0428572C" w14:textId="77777777" w:rsidR="0001741F" w:rsidRPr="003815D6" w:rsidRDefault="4BAA7215" w:rsidP="0001741F">
      <w:r w:rsidRPr="003815D6">
        <w:t>This SOW and the associated Work Order expire 30 days after their publication date, unless signed by both parties or formally extended in writing by Microsoft.</w:t>
      </w:r>
    </w:p>
    <w:p w14:paraId="7097625A" w14:textId="0FE6E155" w:rsidR="000A7A6F" w:rsidRPr="003815D6" w:rsidRDefault="000A7A6F" w:rsidP="00B72322">
      <w:pPr>
        <w:spacing w:before="0" w:after="0" w:line="240" w:lineRule="auto"/>
        <w:jc w:val="center"/>
      </w:pPr>
    </w:p>
    <w:p w14:paraId="29CE2E57" w14:textId="11FEA6FE" w:rsidR="00C81329" w:rsidRPr="003815D6" w:rsidRDefault="00C81329" w:rsidP="4BAA7215">
      <w:pPr>
        <w:pStyle w:val="Heading1nonumbers"/>
      </w:pPr>
      <w:bookmarkStart w:id="6" w:name="_Toc514413037"/>
      <w:bookmarkStart w:id="7" w:name="_Toc517761993"/>
      <w:bookmarkStart w:id="8" w:name="_Toc22884099"/>
      <w:r w:rsidRPr="003815D6">
        <w:t>Introduction</w:t>
      </w:r>
      <w:bookmarkEnd w:id="4"/>
      <w:bookmarkEnd w:id="5"/>
      <w:bookmarkEnd w:id="6"/>
      <w:bookmarkEnd w:id="7"/>
      <w:bookmarkEnd w:id="8"/>
    </w:p>
    <w:p w14:paraId="65D4958C" w14:textId="408D3DA4" w:rsidR="00B5324B" w:rsidRPr="003815D6" w:rsidRDefault="00F8502E" w:rsidP="006C0E47">
      <w:r>
        <w:t xml:space="preserve"> </w:t>
      </w:r>
      <w:r w:rsidR="00ED564C">
        <w:t>engaged Microsoft t</w:t>
      </w:r>
      <w:r>
        <w:t xml:space="preserve">o provide </w:t>
      </w:r>
      <w:r w:rsidR="00ED564C">
        <w:t xml:space="preserve">them </w:t>
      </w:r>
      <w:r>
        <w:t xml:space="preserve">with a proposal to move </w:t>
      </w:r>
      <w:r w:rsidR="0036531E">
        <w:t xml:space="preserve">’s </w:t>
      </w:r>
      <w:r>
        <w:t xml:space="preserve">email from the hosted service provider to Exchange Online. </w:t>
      </w:r>
      <w:r w:rsidR="003D1AFE">
        <w:t xml:space="preserve">This will include the migration of 39 000 mailboxes </w:t>
      </w:r>
      <w:r w:rsidR="003E14DD">
        <w:t>to Exchange Online. The</w:t>
      </w:r>
      <w:r w:rsidR="00212B4B">
        <w:t xml:space="preserve"> current hosted Exchange organization was created in the  Active Directory Forest and is dedicated to  with no other customers services from this platform</w:t>
      </w:r>
      <w:r w:rsidR="009A71F9">
        <w:t>.</w:t>
      </w:r>
    </w:p>
    <w:p w14:paraId="277A02D0" w14:textId="0D4F8D35" w:rsidR="00B67647" w:rsidRPr="003815D6" w:rsidRDefault="00B67647" w:rsidP="00B67647">
      <w:pPr>
        <w:rPr>
          <w:szCs w:val="20"/>
        </w:rPr>
      </w:pPr>
      <w:r>
        <w:t xml:space="preserve">This SOW describes the Microsoft Services Assistance for Office 365 </w:t>
      </w:r>
      <w:r w:rsidR="00D22A7F">
        <w:t>O</w:t>
      </w:r>
      <w:r>
        <w:t xml:space="preserve">ffer for the Microsoft Office 365 multitenant service and does not include the purchase or activation of the Office 365 service, which must be purchased by the </w:t>
      </w:r>
      <w:r w:rsidR="009633F4">
        <w:t>customer</w:t>
      </w:r>
      <w:r>
        <w:t xml:space="preserve"> through a separate order. The Office 365 service is not customizable and cannot be modified beyond what is outlined in the Office 365 Service Descriptions. Prior to signing the Work Order that references this SOW, the </w:t>
      </w:r>
      <w:r w:rsidR="009633F4">
        <w:t>customer</w:t>
      </w:r>
      <w:r>
        <w:t xml:space="preserve"> will have had an opportunity to review the latest Office 365 Service Descriptions. Microsoft strongly recommends that the </w:t>
      </w:r>
      <w:r w:rsidR="009633F4">
        <w:t>customer</w:t>
      </w:r>
      <w:r>
        <w:t xml:space="preserve"> review those Service Descriptions with relevant internal stakeholders. The </w:t>
      </w:r>
      <w:r w:rsidR="009633F4">
        <w:t>customer</w:t>
      </w:r>
      <w:r>
        <w:t xml:space="preserve"> acknowledges that the Service Descriptions meet or exceed the </w:t>
      </w:r>
      <w:r w:rsidR="009633F4">
        <w:t>customer</w:t>
      </w:r>
      <w:r>
        <w:t xml:space="preserve">’s minimum requirements for the selected </w:t>
      </w:r>
      <w:r w:rsidR="00590C71">
        <w:t>S</w:t>
      </w:r>
      <w:r>
        <w:t>ervices.</w:t>
      </w:r>
    </w:p>
    <w:p w14:paraId="0ECAAF12" w14:textId="2C3E4713" w:rsidR="00B67647" w:rsidRPr="003815D6" w:rsidRDefault="1010A115" w:rsidP="00B67647">
      <w:pPr>
        <w:rPr>
          <w:szCs w:val="20"/>
        </w:rPr>
      </w:pPr>
      <w:r>
        <w:t>Microsoft Services will collaborate with the customer and Microsoft FastTrack and follow the standard Office 365 FastTrack deployment methodology to carry out the Services identified in this SOW.</w:t>
      </w:r>
    </w:p>
    <w:p w14:paraId="4C942469" w14:textId="52ECFE3E" w:rsidR="00C81329" w:rsidRPr="003815D6" w:rsidRDefault="00C81329" w:rsidP="00C84DD9">
      <w:pPr>
        <w:pStyle w:val="Heading1"/>
      </w:pPr>
      <w:bookmarkStart w:id="9" w:name="_Toc515009685"/>
      <w:bookmarkStart w:id="10" w:name="_Toc476167702"/>
      <w:bookmarkStart w:id="11" w:name="_Toc476168022"/>
      <w:bookmarkStart w:id="12" w:name="_Ref477786305"/>
      <w:bookmarkStart w:id="13" w:name="_Toc514413038"/>
      <w:bookmarkStart w:id="14" w:name="_Toc517761994"/>
      <w:bookmarkStart w:id="15" w:name="_Toc22884100"/>
      <w:bookmarkEnd w:id="9"/>
      <w:r w:rsidRPr="003815D6">
        <w:t xml:space="preserve">Project </w:t>
      </w:r>
      <w:r w:rsidR="00D8456D" w:rsidRPr="003815D6">
        <w:t>objective</w:t>
      </w:r>
      <w:r w:rsidR="00267D79" w:rsidRPr="003815D6">
        <w:t>s</w:t>
      </w:r>
      <w:r w:rsidR="00D8456D" w:rsidRPr="003815D6">
        <w:t xml:space="preserve"> and scope</w:t>
      </w:r>
      <w:bookmarkEnd w:id="10"/>
      <w:bookmarkEnd w:id="11"/>
      <w:bookmarkEnd w:id="12"/>
      <w:bookmarkEnd w:id="13"/>
      <w:bookmarkEnd w:id="14"/>
      <w:bookmarkEnd w:id="15"/>
    </w:p>
    <w:p w14:paraId="6A459C58" w14:textId="3B717B2E" w:rsidR="005A1C5E" w:rsidRPr="003815D6" w:rsidRDefault="005A1C5E" w:rsidP="00C84DD9">
      <w:pPr>
        <w:pStyle w:val="Heading2"/>
      </w:pPr>
      <w:bookmarkStart w:id="16" w:name="_Toc476167703"/>
      <w:bookmarkStart w:id="17" w:name="_Toc476168023"/>
      <w:bookmarkStart w:id="18" w:name="_Toc514413039"/>
      <w:bookmarkStart w:id="19" w:name="_Toc517761995"/>
      <w:bookmarkStart w:id="20" w:name="_Toc22884101"/>
      <w:r w:rsidRPr="003815D6">
        <w:t>Objectives</w:t>
      </w:r>
      <w:bookmarkEnd w:id="16"/>
      <w:bookmarkEnd w:id="17"/>
      <w:bookmarkEnd w:id="18"/>
      <w:bookmarkEnd w:id="19"/>
      <w:bookmarkEnd w:id="20"/>
    </w:p>
    <w:p w14:paraId="0DFAC7A3" w14:textId="77777777" w:rsidR="00B67647" w:rsidRPr="003815D6" w:rsidRDefault="4BAA7215" w:rsidP="00B67647">
      <w:r w:rsidRPr="003815D6">
        <w:t xml:space="preserve">The objectives of this project are to </w:t>
      </w:r>
      <w:r w:rsidR="00B67647" w:rsidRPr="003815D6">
        <w:t>provide additional planning, project management, and technical support for onboarding to Office 365 for customers using the Microsoft FastTrack deployment approach.</w:t>
      </w:r>
    </w:p>
    <w:p w14:paraId="68C9689E" w14:textId="599C4AA3" w:rsidR="00B67647" w:rsidRPr="003815D6" w:rsidRDefault="00B67647" w:rsidP="00B67647">
      <w:bookmarkStart w:id="21" w:name="_Ref440023556"/>
      <w:r w:rsidRPr="003815D6">
        <w:t>The project will include the following components</w:t>
      </w:r>
      <w:r w:rsidR="001049E4" w:rsidRPr="003815D6">
        <w:t>.</w:t>
      </w:r>
      <w:bookmarkEnd w:id="21"/>
    </w:p>
    <w:tbl>
      <w:tblPr>
        <w:tblStyle w:val="TableGrid1"/>
        <w:tblW w:w="999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415"/>
        <w:gridCol w:w="8577"/>
      </w:tblGrid>
      <w:tr w:rsidR="00D6498A" w:rsidRPr="003815D6" w14:paraId="45E8C5BE" w14:textId="77777777" w:rsidTr="00B67647">
        <w:trPr>
          <w:trHeight w:val="144"/>
          <w:tblHeader/>
        </w:trPr>
        <w:tc>
          <w:tcPr>
            <w:tcW w:w="1415" w:type="dxa"/>
            <w:shd w:val="clear" w:color="auto" w:fill="008272"/>
          </w:tcPr>
          <w:p w14:paraId="11BF5C47" w14:textId="77777777" w:rsidR="00B67647" w:rsidRPr="003815D6" w:rsidRDefault="00B67647" w:rsidP="00B67647">
            <w:pPr>
              <w:pStyle w:val="Table-Header"/>
            </w:pPr>
            <w:r w:rsidRPr="003815D6">
              <w:t>ID</w:t>
            </w:r>
          </w:p>
        </w:tc>
        <w:tc>
          <w:tcPr>
            <w:tcW w:w="8577" w:type="dxa"/>
            <w:shd w:val="clear" w:color="auto" w:fill="008272"/>
          </w:tcPr>
          <w:p w14:paraId="7543D254" w14:textId="6C8081BE" w:rsidR="00B67647" w:rsidRPr="003815D6" w:rsidRDefault="00B67647" w:rsidP="00B67647">
            <w:pPr>
              <w:pStyle w:val="Table-Header"/>
            </w:pPr>
            <w:r w:rsidRPr="003815D6">
              <w:t xml:space="preserve">Component </w:t>
            </w:r>
            <w:r w:rsidR="001049E4" w:rsidRPr="003815D6">
              <w:t>name</w:t>
            </w:r>
          </w:p>
        </w:tc>
      </w:tr>
      <w:tr w:rsidR="00B67647" w:rsidRPr="003815D6" w14:paraId="45E70017" w14:textId="77777777" w:rsidTr="00B67647">
        <w:trPr>
          <w:trHeight w:val="193"/>
        </w:trPr>
        <w:tc>
          <w:tcPr>
            <w:tcW w:w="1415" w:type="dxa"/>
            <w:shd w:val="clear" w:color="auto" w:fill="auto"/>
          </w:tcPr>
          <w:p w14:paraId="0DF6F327" w14:textId="77777777" w:rsidR="00B67647" w:rsidRPr="003815D6" w:rsidRDefault="00B67647" w:rsidP="00B67647">
            <w:pPr>
              <w:pStyle w:val="TableText"/>
            </w:pPr>
            <w:r w:rsidRPr="003815D6">
              <w:rPr>
                <w:rFonts w:cs="Segoe UI"/>
              </w:rPr>
              <w:t>TPC-01</w:t>
            </w:r>
          </w:p>
        </w:tc>
        <w:tc>
          <w:tcPr>
            <w:tcW w:w="8577" w:type="dxa"/>
            <w:shd w:val="clear" w:color="auto" w:fill="auto"/>
          </w:tcPr>
          <w:p w14:paraId="55DACC93" w14:textId="4B6B1EEC" w:rsidR="00B67647" w:rsidRPr="003815D6" w:rsidRDefault="00B67647" w:rsidP="00B67647">
            <w:pPr>
              <w:pStyle w:val="TableText"/>
              <w:rPr>
                <w:rFonts w:ascii="Segoe UI Semilight" w:hAnsi="Segoe UI Semilight"/>
              </w:rPr>
            </w:pPr>
            <w:r w:rsidRPr="003815D6">
              <w:rPr>
                <w:rFonts w:cs="Segoe UI"/>
              </w:rPr>
              <w:t xml:space="preserve">Office 365 </w:t>
            </w:r>
            <w:r w:rsidR="001049E4" w:rsidRPr="003815D6">
              <w:rPr>
                <w:rFonts w:cs="Segoe UI"/>
              </w:rPr>
              <w:t xml:space="preserve">tenant planning </w:t>
            </w:r>
            <w:r w:rsidRPr="003815D6">
              <w:rPr>
                <w:rFonts w:cs="Segoe UI"/>
              </w:rPr>
              <w:t xml:space="preserve">and </w:t>
            </w:r>
            <w:r w:rsidR="001049E4" w:rsidRPr="003815D6">
              <w:rPr>
                <w:rFonts w:cs="Segoe UI"/>
              </w:rPr>
              <w:t>configuration</w:t>
            </w:r>
          </w:p>
        </w:tc>
      </w:tr>
      <w:tr w:rsidR="00B67647" w:rsidRPr="003815D6" w14:paraId="48F68584" w14:textId="77777777" w:rsidTr="00B67647">
        <w:trPr>
          <w:trHeight w:val="144"/>
        </w:trPr>
        <w:tc>
          <w:tcPr>
            <w:tcW w:w="1415" w:type="dxa"/>
            <w:shd w:val="clear" w:color="auto" w:fill="auto"/>
          </w:tcPr>
          <w:p w14:paraId="49FB4048" w14:textId="77777777" w:rsidR="00B67647" w:rsidRPr="003815D6" w:rsidRDefault="00B67647" w:rsidP="00B67647">
            <w:pPr>
              <w:pStyle w:val="TableText"/>
              <w:rPr>
                <w:rFonts w:cs="Segoe UI"/>
              </w:rPr>
            </w:pPr>
            <w:r w:rsidRPr="003815D6">
              <w:rPr>
                <w:rFonts w:cs="Segoe UI"/>
              </w:rPr>
              <w:t>NET-01</w:t>
            </w:r>
          </w:p>
        </w:tc>
        <w:tc>
          <w:tcPr>
            <w:tcW w:w="8577" w:type="dxa"/>
            <w:shd w:val="clear" w:color="auto" w:fill="auto"/>
          </w:tcPr>
          <w:p w14:paraId="46DDE066" w14:textId="55F0EFB3" w:rsidR="00B67647" w:rsidRPr="003815D6" w:rsidRDefault="00B67647" w:rsidP="00B67647">
            <w:pPr>
              <w:pStyle w:val="TableText"/>
              <w:rPr>
                <w:rFonts w:cs="Segoe UI"/>
              </w:rPr>
            </w:pPr>
            <w:r w:rsidRPr="003815D6">
              <w:rPr>
                <w:rFonts w:cs="Segoe UI"/>
              </w:rPr>
              <w:t xml:space="preserve">Network </w:t>
            </w:r>
            <w:r w:rsidR="001049E4" w:rsidRPr="003815D6">
              <w:rPr>
                <w:rFonts w:cs="Segoe UI"/>
              </w:rPr>
              <w:t xml:space="preserve">readiness assessment </w:t>
            </w:r>
            <w:r w:rsidRPr="003815D6">
              <w:rPr>
                <w:rFonts w:cs="Segoe UI"/>
              </w:rPr>
              <w:t xml:space="preserve">and </w:t>
            </w:r>
            <w:r w:rsidR="001049E4" w:rsidRPr="003815D6">
              <w:rPr>
                <w:rFonts w:cs="Segoe UI"/>
              </w:rPr>
              <w:t xml:space="preserve">planning </w:t>
            </w:r>
            <w:r w:rsidRPr="003815D6">
              <w:rPr>
                <w:rFonts w:cs="Segoe UI"/>
              </w:rPr>
              <w:t>for Office 365</w:t>
            </w:r>
          </w:p>
        </w:tc>
      </w:tr>
      <w:tr w:rsidR="004B3E01" w:rsidRPr="003815D6" w14:paraId="6B6EA92B" w14:textId="77777777" w:rsidTr="00B67647">
        <w:trPr>
          <w:trHeight w:val="144"/>
        </w:trPr>
        <w:tc>
          <w:tcPr>
            <w:tcW w:w="1415" w:type="dxa"/>
            <w:shd w:val="clear" w:color="auto" w:fill="auto"/>
          </w:tcPr>
          <w:p w14:paraId="346CF856" w14:textId="77777777" w:rsidR="004B3E01" w:rsidRPr="003815D6" w:rsidRDefault="004B3E01" w:rsidP="00B67647">
            <w:pPr>
              <w:pStyle w:val="TableText"/>
              <w:rPr>
                <w:rFonts w:cs="Segoe UI"/>
              </w:rPr>
            </w:pPr>
            <w:r w:rsidRPr="003815D6">
              <w:rPr>
                <w:rFonts w:cs="Segoe UI"/>
              </w:rPr>
              <w:t>REM-01</w:t>
            </w:r>
          </w:p>
        </w:tc>
        <w:tc>
          <w:tcPr>
            <w:tcW w:w="8577" w:type="dxa"/>
            <w:shd w:val="clear" w:color="auto" w:fill="auto"/>
          </w:tcPr>
          <w:p w14:paraId="537FDDD9" w14:textId="4C909610" w:rsidR="004B3E01" w:rsidRPr="003815D6" w:rsidRDefault="004B3E01" w:rsidP="00B67647">
            <w:pPr>
              <w:pStyle w:val="TableText"/>
              <w:rPr>
                <w:rFonts w:cs="Segoe UI"/>
              </w:rPr>
            </w:pPr>
            <w:r w:rsidRPr="003815D6">
              <w:rPr>
                <w:rFonts w:cs="Segoe UI"/>
              </w:rPr>
              <w:t xml:space="preserve">General </w:t>
            </w:r>
            <w:r w:rsidR="001049E4" w:rsidRPr="003815D6">
              <w:rPr>
                <w:rFonts w:cs="Segoe UI"/>
              </w:rPr>
              <w:t xml:space="preserve">remediation support </w:t>
            </w:r>
          </w:p>
        </w:tc>
      </w:tr>
      <w:tr w:rsidR="00B67647" w:rsidRPr="003815D6" w14:paraId="6714E5C1" w14:textId="77777777" w:rsidTr="00B67647">
        <w:trPr>
          <w:trHeight w:val="144"/>
        </w:trPr>
        <w:tc>
          <w:tcPr>
            <w:tcW w:w="1415" w:type="dxa"/>
            <w:shd w:val="clear" w:color="auto" w:fill="auto"/>
          </w:tcPr>
          <w:p w14:paraId="0F5CC093" w14:textId="77777777" w:rsidR="00B67647" w:rsidRPr="003815D6" w:rsidRDefault="00B67647" w:rsidP="00B67647">
            <w:pPr>
              <w:pStyle w:val="TableText"/>
              <w:rPr>
                <w:rFonts w:cs="Segoe UI"/>
              </w:rPr>
            </w:pPr>
            <w:r w:rsidRPr="003815D6">
              <w:rPr>
                <w:rFonts w:cs="Segoe UI"/>
              </w:rPr>
              <w:t>AAD-01</w:t>
            </w:r>
          </w:p>
        </w:tc>
        <w:tc>
          <w:tcPr>
            <w:tcW w:w="8577" w:type="dxa"/>
            <w:shd w:val="clear" w:color="auto" w:fill="auto"/>
          </w:tcPr>
          <w:p w14:paraId="745474E2" w14:textId="578631D8" w:rsidR="00B67647" w:rsidRPr="003815D6" w:rsidRDefault="00B67647" w:rsidP="00B67647">
            <w:pPr>
              <w:pStyle w:val="TableText"/>
              <w:rPr>
                <w:rFonts w:cs="Segoe UI"/>
              </w:rPr>
            </w:pPr>
            <w:r w:rsidRPr="003815D6">
              <w:rPr>
                <w:rFonts w:cs="Segoe UI"/>
              </w:rPr>
              <w:t xml:space="preserve">Azure </w:t>
            </w:r>
            <w:r w:rsidR="006A1AC6" w:rsidRPr="003815D6">
              <w:rPr>
                <w:rFonts w:cs="Segoe UI"/>
              </w:rPr>
              <w:t>Active Directory</w:t>
            </w:r>
            <w:r w:rsidRPr="003815D6">
              <w:rPr>
                <w:rFonts w:cs="Segoe UI"/>
              </w:rPr>
              <w:t xml:space="preserve"> </w:t>
            </w:r>
            <w:r w:rsidR="001049E4" w:rsidRPr="003815D6">
              <w:rPr>
                <w:rFonts w:cs="Segoe UI"/>
              </w:rPr>
              <w:t>integration</w:t>
            </w:r>
          </w:p>
        </w:tc>
      </w:tr>
      <w:tr w:rsidR="00B67647" w:rsidRPr="003815D6" w14:paraId="45A6ADA7" w14:textId="77777777" w:rsidTr="00B67647">
        <w:trPr>
          <w:trHeight w:val="144"/>
        </w:trPr>
        <w:tc>
          <w:tcPr>
            <w:tcW w:w="1415" w:type="dxa"/>
            <w:shd w:val="clear" w:color="auto" w:fill="auto"/>
          </w:tcPr>
          <w:p w14:paraId="27BF0D6F" w14:textId="77777777" w:rsidR="00B67647" w:rsidRPr="003815D6" w:rsidRDefault="00B67647" w:rsidP="00B67647">
            <w:pPr>
              <w:pStyle w:val="TableText"/>
              <w:rPr>
                <w:rFonts w:cs="Segoe UI"/>
              </w:rPr>
            </w:pPr>
            <w:r w:rsidRPr="003815D6">
              <w:rPr>
                <w:rFonts w:cs="Segoe UI"/>
              </w:rPr>
              <w:t>AAD-02</w:t>
            </w:r>
          </w:p>
        </w:tc>
        <w:tc>
          <w:tcPr>
            <w:tcW w:w="8577" w:type="dxa"/>
            <w:shd w:val="clear" w:color="auto" w:fill="auto"/>
          </w:tcPr>
          <w:p w14:paraId="67731983" w14:textId="3A05534B" w:rsidR="00B67647" w:rsidRPr="003815D6" w:rsidRDefault="00B67647" w:rsidP="00B67647">
            <w:pPr>
              <w:pStyle w:val="TableText"/>
              <w:rPr>
                <w:rFonts w:cs="Segoe UI"/>
              </w:rPr>
            </w:pPr>
            <w:r w:rsidRPr="003815D6">
              <w:rPr>
                <w:rFonts w:cs="Segoe UI"/>
              </w:rPr>
              <w:t xml:space="preserve">Azure </w:t>
            </w:r>
            <w:r w:rsidR="006A1AC6" w:rsidRPr="003815D6">
              <w:rPr>
                <w:rFonts w:cs="Segoe UI"/>
              </w:rPr>
              <w:t>Active Directory</w:t>
            </w:r>
            <w:r w:rsidRPr="003815D6">
              <w:rPr>
                <w:rFonts w:cs="Segoe UI"/>
              </w:rPr>
              <w:t xml:space="preserve"> Conditional Access and </w:t>
            </w:r>
            <w:r w:rsidR="0051029B" w:rsidRPr="003815D6">
              <w:rPr>
                <w:rFonts w:cs="Segoe UI"/>
              </w:rPr>
              <w:t xml:space="preserve">Azure </w:t>
            </w:r>
            <w:r w:rsidRPr="003815D6">
              <w:rPr>
                <w:rFonts w:cs="Segoe UI"/>
              </w:rPr>
              <w:t xml:space="preserve">Multi-Factor Authentication </w:t>
            </w:r>
          </w:p>
        </w:tc>
      </w:tr>
      <w:tr w:rsidR="00B67647" w:rsidRPr="003815D6" w14:paraId="0C302CD5" w14:textId="77777777" w:rsidTr="00B67647">
        <w:trPr>
          <w:trHeight w:val="144"/>
        </w:trPr>
        <w:tc>
          <w:tcPr>
            <w:tcW w:w="1415" w:type="dxa"/>
            <w:shd w:val="clear" w:color="auto" w:fill="auto"/>
          </w:tcPr>
          <w:p w14:paraId="2660AB33" w14:textId="77777777" w:rsidR="00B67647" w:rsidRPr="003815D6" w:rsidRDefault="00B67647" w:rsidP="00B67647">
            <w:pPr>
              <w:pStyle w:val="TableText"/>
              <w:rPr>
                <w:rFonts w:cs="Segoe UI"/>
              </w:rPr>
            </w:pPr>
            <w:r w:rsidRPr="003815D6">
              <w:rPr>
                <w:rFonts w:cs="Segoe UI"/>
              </w:rPr>
              <w:lastRenderedPageBreak/>
              <w:t>EXO-01</w:t>
            </w:r>
          </w:p>
        </w:tc>
        <w:tc>
          <w:tcPr>
            <w:tcW w:w="8577" w:type="dxa"/>
            <w:shd w:val="clear" w:color="auto" w:fill="auto"/>
          </w:tcPr>
          <w:p w14:paraId="65947A99" w14:textId="0E938800" w:rsidR="00B67647" w:rsidRPr="003815D6" w:rsidRDefault="00B67647" w:rsidP="00B67647">
            <w:pPr>
              <w:pStyle w:val="TableText"/>
              <w:rPr>
                <w:rFonts w:cs="Segoe UI"/>
              </w:rPr>
            </w:pPr>
            <w:r w:rsidRPr="003815D6">
              <w:rPr>
                <w:rFonts w:cs="Segoe UI"/>
              </w:rPr>
              <w:t xml:space="preserve">Exchange Online </w:t>
            </w:r>
            <w:r w:rsidR="001049E4" w:rsidRPr="003815D6">
              <w:rPr>
                <w:rFonts w:cs="Segoe UI"/>
              </w:rPr>
              <w:t xml:space="preserve">enablement </w:t>
            </w:r>
          </w:p>
        </w:tc>
      </w:tr>
      <w:tr w:rsidR="00B67647" w:rsidRPr="003815D6" w14:paraId="05263428" w14:textId="77777777" w:rsidTr="00B67647">
        <w:trPr>
          <w:trHeight w:val="144"/>
        </w:trPr>
        <w:tc>
          <w:tcPr>
            <w:tcW w:w="1415" w:type="dxa"/>
            <w:shd w:val="clear" w:color="auto" w:fill="auto"/>
          </w:tcPr>
          <w:p w14:paraId="34BBF54D" w14:textId="77777777" w:rsidR="00B67647" w:rsidRPr="003815D6" w:rsidRDefault="00B67647" w:rsidP="00B67647">
            <w:pPr>
              <w:pStyle w:val="TableText"/>
              <w:rPr>
                <w:rFonts w:cs="Segoe UI"/>
              </w:rPr>
            </w:pPr>
            <w:r w:rsidRPr="003815D6">
              <w:t>ITSM-01</w:t>
            </w:r>
          </w:p>
        </w:tc>
        <w:tc>
          <w:tcPr>
            <w:tcW w:w="8577" w:type="dxa"/>
            <w:shd w:val="clear" w:color="auto" w:fill="auto"/>
          </w:tcPr>
          <w:p w14:paraId="29BE5095" w14:textId="6C00F4AC" w:rsidR="00B67647" w:rsidRPr="003815D6" w:rsidRDefault="00B67647" w:rsidP="00B67647">
            <w:pPr>
              <w:pStyle w:val="TableText"/>
              <w:rPr>
                <w:rFonts w:cs="Segoe UI"/>
              </w:rPr>
            </w:pPr>
            <w:r w:rsidRPr="003815D6">
              <w:t xml:space="preserve">Operations </w:t>
            </w:r>
            <w:r w:rsidR="001C704F" w:rsidRPr="003815D6">
              <w:t>readiness planning</w:t>
            </w:r>
            <w:r w:rsidR="00441614" w:rsidRPr="003815D6">
              <w:t>—</w:t>
            </w:r>
            <w:r w:rsidR="001C704F" w:rsidRPr="003815D6">
              <w:t xml:space="preserve">support </w:t>
            </w:r>
            <w:r w:rsidRPr="003815D6">
              <w:t xml:space="preserve">and Service Desk </w:t>
            </w:r>
            <w:r w:rsidR="001C704F" w:rsidRPr="003815D6">
              <w:t xml:space="preserve">enablement </w:t>
            </w:r>
            <w:r w:rsidRPr="003815D6">
              <w:t xml:space="preserve">and </w:t>
            </w:r>
            <w:r w:rsidR="001C704F" w:rsidRPr="003815D6">
              <w:t>monitoring</w:t>
            </w:r>
          </w:p>
        </w:tc>
      </w:tr>
      <w:tr w:rsidR="00B67647" w:rsidRPr="003815D6" w14:paraId="53B126E1" w14:textId="77777777" w:rsidTr="00B67647">
        <w:trPr>
          <w:trHeight w:val="144"/>
        </w:trPr>
        <w:tc>
          <w:tcPr>
            <w:tcW w:w="1415" w:type="dxa"/>
            <w:shd w:val="clear" w:color="auto" w:fill="auto"/>
          </w:tcPr>
          <w:p w14:paraId="25AB95B6" w14:textId="77777777" w:rsidR="00B67647" w:rsidRPr="003815D6" w:rsidRDefault="00B67647" w:rsidP="00B67647">
            <w:pPr>
              <w:pStyle w:val="TableText"/>
            </w:pPr>
            <w:r w:rsidRPr="003815D6">
              <w:t>ACM-01</w:t>
            </w:r>
          </w:p>
        </w:tc>
        <w:tc>
          <w:tcPr>
            <w:tcW w:w="8577" w:type="dxa"/>
            <w:shd w:val="clear" w:color="auto" w:fill="auto"/>
          </w:tcPr>
          <w:p w14:paraId="429B1CEA" w14:textId="635C67E3" w:rsidR="00B67647" w:rsidRPr="003815D6" w:rsidRDefault="00B67647" w:rsidP="00B67647">
            <w:pPr>
              <w:pStyle w:val="TableText"/>
            </w:pPr>
            <w:r w:rsidRPr="003815D6">
              <w:t xml:space="preserve">Adoption and Change Management </w:t>
            </w:r>
            <w:r w:rsidR="001C704F" w:rsidRPr="003815D6">
              <w:t>assistance</w:t>
            </w:r>
          </w:p>
        </w:tc>
      </w:tr>
      <w:tr w:rsidR="00BC1E18" w:rsidRPr="003815D6" w14:paraId="1057CC5B" w14:textId="77777777" w:rsidTr="00B67647">
        <w:trPr>
          <w:trHeight w:val="144"/>
        </w:trPr>
        <w:tc>
          <w:tcPr>
            <w:tcW w:w="1415" w:type="dxa"/>
            <w:shd w:val="clear" w:color="auto" w:fill="auto"/>
          </w:tcPr>
          <w:p w14:paraId="4153D906" w14:textId="217DDC49" w:rsidR="00BC1E18" w:rsidRPr="00047A03" w:rsidRDefault="00C40FB3" w:rsidP="00B67647">
            <w:pPr>
              <w:pStyle w:val="TableText"/>
            </w:pPr>
            <w:r w:rsidRPr="00047A03">
              <w:t>COM-01</w:t>
            </w:r>
          </w:p>
        </w:tc>
        <w:tc>
          <w:tcPr>
            <w:tcW w:w="8577" w:type="dxa"/>
            <w:shd w:val="clear" w:color="auto" w:fill="auto"/>
          </w:tcPr>
          <w:p w14:paraId="48B98608" w14:textId="7A534AA3" w:rsidR="00BC1E18" w:rsidRPr="00047A03" w:rsidRDefault="00C40FB3" w:rsidP="00B67647">
            <w:pPr>
              <w:pStyle w:val="TableText"/>
            </w:pPr>
            <w:r w:rsidRPr="00047A03">
              <w:t>Communications management</w:t>
            </w:r>
          </w:p>
        </w:tc>
      </w:tr>
    </w:tbl>
    <w:p w14:paraId="418136DB" w14:textId="5A4E3D83" w:rsidR="00D8456D" w:rsidRPr="003815D6" w:rsidRDefault="004C2A6F" w:rsidP="00C84DD9">
      <w:pPr>
        <w:pStyle w:val="Heading2"/>
      </w:pPr>
      <w:bookmarkStart w:id="22" w:name="_Toc515009688"/>
      <w:bookmarkStart w:id="23" w:name="_Toc476167704"/>
      <w:bookmarkStart w:id="24" w:name="_Toc476168024"/>
      <w:bookmarkStart w:id="25" w:name="_Ref477786310"/>
      <w:bookmarkStart w:id="26" w:name="_Toc514413040"/>
      <w:bookmarkStart w:id="27" w:name="_Toc517761996"/>
      <w:bookmarkStart w:id="28" w:name="_Toc22884102"/>
      <w:bookmarkEnd w:id="22"/>
      <w:r w:rsidRPr="003815D6">
        <w:t xml:space="preserve">Areas </w:t>
      </w:r>
      <w:r w:rsidR="00D8456D" w:rsidRPr="003815D6">
        <w:t>in scope</w:t>
      </w:r>
      <w:bookmarkEnd w:id="23"/>
      <w:bookmarkEnd w:id="24"/>
      <w:bookmarkEnd w:id="25"/>
      <w:bookmarkEnd w:id="26"/>
      <w:bookmarkEnd w:id="27"/>
      <w:bookmarkEnd w:id="28"/>
    </w:p>
    <w:p w14:paraId="1522413C" w14:textId="77777777" w:rsidR="00390A88" w:rsidRPr="003815D6" w:rsidRDefault="00390A88" w:rsidP="00C84DD9">
      <w:pPr>
        <w:pStyle w:val="Heading3"/>
      </w:pPr>
      <w:bookmarkStart w:id="29" w:name="_General_project_scope"/>
      <w:bookmarkStart w:id="30" w:name="_Toc476168025"/>
      <w:bookmarkStart w:id="31" w:name="_Ref514404435"/>
      <w:bookmarkStart w:id="32" w:name="_Ref514404470"/>
      <w:bookmarkStart w:id="33" w:name="_Ref514404472"/>
      <w:bookmarkStart w:id="34" w:name="_Ref514404487"/>
      <w:bookmarkStart w:id="35" w:name="_Ref514404500"/>
      <w:bookmarkStart w:id="36" w:name="_Ref514404523"/>
      <w:bookmarkStart w:id="37" w:name="_Ref514404537"/>
      <w:bookmarkStart w:id="38" w:name="_Ref514404773"/>
      <w:bookmarkStart w:id="39" w:name="_Ref514404960"/>
      <w:bookmarkStart w:id="40" w:name="_Ref514404970"/>
      <w:bookmarkStart w:id="41" w:name="_Ref514404992"/>
      <w:bookmarkStart w:id="42" w:name="_Ref514765574"/>
      <w:bookmarkStart w:id="43" w:name="_Ref514765823"/>
      <w:bookmarkStart w:id="44" w:name="_Ref514765983"/>
      <w:bookmarkStart w:id="45" w:name="_Ref514766049"/>
      <w:bookmarkStart w:id="46" w:name="_Ref514766265"/>
      <w:bookmarkStart w:id="47" w:name="_Ref514832908"/>
      <w:bookmarkStart w:id="48" w:name="_Ref514832913"/>
      <w:bookmarkEnd w:id="29"/>
      <w:r w:rsidRPr="003815D6">
        <w:t>General project scope</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5E2D4DD2" w14:textId="55E3D3A8" w:rsidR="00B67647" w:rsidRDefault="00B67647" w:rsidP="00B67647">
      <w:pPr>
        <w:rPr>
          <w:rFonts w:cs="Segoe UI"/>
        </w:rPr>
      </w:pPr>
      <w:r w:rsidRPr="003815D6">
        <w:rPr>
          <w:rFonts w:cs="Segoe UI"/>
        </w:rPr>
        <w:t>The Assistance for Office 365 project components and scope are specified in the following table. All activities are to be completed in or between a single on-premises environment and a single Office 365 tenant unless otherwise specified.</w:t>
      </w:r>
    </w:p>
    <w:p w14:paraId="769E85B3" w14:textId="77777777" w:rsidR="00005090" w:rsidRDefault="00005090" w:rsidP="00005090">
      <w:pPr>
        <w:rPr>
          <w:rFonts w:cs="Segoe UI"/>
        </w:rPr>
      </w:pPr>
      <w:bookmarkStart w:id="49" w:name="_Hlk15638300"/>
      <w:r>
        <w:t>If at any time, the Customer would like to add additional Office 365 services to the scope of this project, Microsoft Services will deliver a two-hour session to review the FastTrack benefit for the desired Office 365 service and perform a discovery of services needed for the Customer’s implementation. If the additional Office 365 service is to be added to the scope of this project, the change management process in section 2.4.3 will be followed.</w:t>
      </w:r>
      <w:bookmarkEnd w:id="49"/>
    </w:p>
    <w:p w14:paraId="68C4347D" w14:textId="5F03F352" w:rsidR="005A1C5E" w:rsidRPr="003815D6" w:rsidRDefault="005A1C5E" w:rsidP="003D1C77">
      <w:pPr>
        <w:pStyle w:val="Instructional"/>
      </w:pP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17"/>
        <w:gridCol w:w="3984"/>
        <w:gridCol w:w="3261"/>
      </w:tblGrid>
      <w:tr w:rsidR="00D863DF" w:rsidRPr="003815D6" w14:paraId="3DBA0C28" w14:textId="77777777" w:rsidTr="1010A115">
        <w:trPr>
          <w:trHeight w:val="360"/>
          <w:tblHeader/>
        </w:trPr>
        <w:tc>
          <w:tcPr>
            <w:tcW w:w="2117" w:type="dxa"/>
            <w:shd w:val="clear" w:color="auto" w:fill="008272"/>
          </w:tcPr>
          <w:p w14:paraId="4A1E91C0" w14:textId="77777777" w:rsidR="003D1C77" w:rsidRPr="003815D6" w:rsidRDefault="003D1C77" w:rsidP="005C3C1C">
            <w:pPr>
              <w:pStyle w:val="Table-Header"/>
              <w:rPr>
                <w:rFonts w:cs="Segoe UI"/>
                <w:szCs w:val="20"/>
              </w:rPr>
            </w:pPr>
            <w:r w:rsidRPr="003815D6">
              <w:rPr>
                <w:rFonts w:cs="Segoe UI"/>
                <w:szCs w:val="20"/>
              </w:rPr>
              <w:t>Component (ID)</w:t>
            </w:r>
          </w:p>
        </w:tc>
        <w:tc>
          <w:tcPr>
            <w:tcW w:w="3984" w:type="dxa"/>
            <w:shd w:val="clear" w:color="auto" w:fill="008272"/>
          </w:tcPr>
          <w:p w14:paraId="11CA53A3" w14:textId="77777777" w:rsidR="003D1C77" w:rsidRPr="003815D6" w:rsidRDefault="003D1C77" w:rsidP="005C3C1C">
            <w:pPr>
              <w:pStyle w:val="Table-Header"/>
              <w:rPr>
                <w:rFonts w:cs="Segoe UI"/>
                <w:szCs w:val="20"/>
              </w:rPr>
            </w:pPr>
            <w:r w:rsidRPr="003815D6">
              <w:rPr>
                <w:rFonts w:cs="Segoe UI"/>
                <w:szCs w:val="20"/>
              </w:rPr>
              <w:t xml:space="preserve">Description </w:t>
            </w:r>
          </w:p>
        </w:tc>
        <w:tc>
          <w:tcPr>
            <w:tcW w:w="3261" w:type="dxa"/>
            <w:shd w:val="clear" w:color="auto" w:fill="008272"/>
          </w:tcPr>
          <w:p w14:paraId="19F74260" w14:textId="77777777" w:rsidR="003D1C77" w:rsidRPr="003815D6" w:rsidRDefault="003D1C77" w:rsidP="005C3C1C">
            <w:pPr>
              <w:pStyle w:val="Table-Header"/>
              <w:rPr>
                <w:rFonts w:cs="Segoe UI"/>
                <w:szCs w:val="20"/>
              </w:rPr>
            </w:pPr>
            <w:r w:rsidRPr="003815D6">
              <w:rPr>
                <w:rFonts w:cs="Segoe UI"/>
                <w:szCs w:val="20"/>
              </w:rPr>
              <w:t>Assumptions</w:t>
            </w:r>
          </w:p>
        </w:tc>
      </w:tr>
      <w:tr w:rsidR="003D1C77" w:rsidRPr="003815D6" w14:paraId="776EA75E" w14:textId="77777777" w:rsidTr="1010A115">
        <w:trPr>
          <w:trHeight w:val="432"/>
        </w:trPr>
        <w:tc>
          <w:tcPr>
            <w:tcW w:w="2117" w:type="dxa"/>
            <w:shd w:val="clear" w:color="auto" w:fill="auto"/>
          </w:tcPr>
          <w:p w14:paraId="2571259D" w14:textId="033EB140" w:rsidR="003D1C77" w:rsidRPr="003815D6" w:rsidRDefault="003D1C77" w:rsidP="005C3C1C">
            <w:pPr>
              <w:pStyle w:val="TableText"/>
              <w:rPr>
                <w:rFonts w:cs="Segoe UI"/>
                <w:szCs w:val="20"/>
              </w:rPr>
            </w:pPr>
            <w:r w:rsidRPr="003815D6">
              <w:rPr>
                <w:rFonts w:cs="Segoe UI"/>
                <w:szCs w:val="20"/>
              </w:rPr>
              <w:t xml:space="preserve">Office 365 </w:t>
            </w:r>
            <w:r w:rsidR="00B13418" w:rsidRPr="003815D6">
              <w:rPr>
                <w:rFonts w:cs="Segoe UI"/>
                <w:szCs w:val="20"/>
              </w:rPr>
              <w:t xml:space="preserve">tenant planning </w:t>
            </w:r>
            <w:r w:rsidRPr="003815D6">
              <w:rPr>
                <w:rFonts w:cs="Segoe UI"/>
                <w:szCs w:val="20"/>
              </w:rPr>
              <w:t xml:space="preserve">and </w:t>
            </w:r>
            <w:r w:rsidR="00B13418" w:rsidRPr="003815D6">
              <w:rPr>
                <w:rFonts w:cs="Segoe UI"/>
                <w:szCs w:val="20"/>
              </w:rPr>
              <w:t xml:space="preserve">configuration </w:t>
            </w:r>
            <w:r w:rsidR="00C10BC7">
              <w:rPr>
                <w:rFonts w:cs="Segoe UI"/>
                <w:szCs w:val="20"/>
              </w:rPr>
              <w:br/>
            </w:r>
            <w:r w:rsidRPr="003815D6">
              <w:rPr>
                <w:rFonts w:cs="Segoe UI"/>
                <w:szCs w:val="20"/>
              </w:rPr>
              <w:t>(TPC-01)</w:t>
            </w:r>
          </w:p>
        </w:tc>
        <w:tc>
          <w:tcPr>
            <w:tcW w:w="3984" w:type="dxa"/>
            <w:shd w:val="clear" w:color="auto" w:fill="auto"/>
          </w:tcPr>
          <w:p w14:paraId="00BCABAA" w14:textId="14051727" w:rsidR="003D1C77" w:rsidRPr="003815D6" w:rsidRDefault="003D1C77" w:rsidP="006771F5">
            <w:pPr>
              <w:pStyle w:val="Bulletlist"/>
              <w:rPr>
                <w:rFonts w:cs="Segoe UI"/>
                <w:szCs w:val="20"/>
              </w:rPr>
            </w:pPr>
            <w:r w:rsidRPr="003815D6">
              <w:rPr>
                <w:rFonts w:cs="Segoe UI"/>
                <w:szCs w:val="20"/>
              </w:rPr>
              <w:t xml:space="preserve">Delivery of </w:t>
            </w:r>
            <w:r w:rsidR="00B13418" w:rsidRPr="003815D6">
              <w:rPr>
                <w:rFonts w:cs="Segoe UI"/>
                <w:szCs w:val="20"/>
              </w:rPr>
              <w:t xml:space="preserve">an </w:t>
            </w:r>
            <w:r w:rsidRPr="003815D6">
              <w:rPr>
                <w:rFonts w:cs="Segoe UI"/>
                <w:szCs w:val="20"/>
              </w:rPr>
              <w:t>Office 365 service overview to project resources</w:t>
            </w:r>
          </w:p>
          <w:p w14:paraId="61125200" w14:textId="6FD17DC9" w:rsidR="003D1C77" w:rsidRPr="003815D6" w:rsidRDefault="003D1C77" w:rsidP="006771F5">
            <w:pPr>
              <w:pStyle w:val="Bulletlist"/>
              <w:rPr>
                <w:rFonts w:cs="Segoe UI"/>
                <w:szCs w:val="20"/>
              </w:rPr>
            </w:pPr>
            <w:r w:rsidRPr="003815D6">
              <w:rPr>
                <w:rFonts w:cs="Segoe UI"/>
                <w:szCs w:val="20"/>
              </w:rPr>
              <w:t xml:space="preserve">Creation of </w:t>
            </w:r>
            <w:r w:rsidR="00B13418" w:rsidRPr="003815D6">
              <w:rPr>
                <w:rFonts w:cs="Segoe UI"/>
                <w:szCs w:val="20"/>
              </w:rPr>
              <w:t xml:space="preserve">a </w:t>
            </w:r>
            <w:r w:rsidRPr="003815D6">
              <w:rPr>
                <w:rFonts w:cs="Segoe UI"/>
                <w:szCs w:val="20"/>
              </w:rPr>
              <w:t xml:space="preserve">basic tenant plan and identification of remediation tasks </w:t>
            </w:r>
            <w:r w:rsidR="008A46DE" w:rsidRPr="003815D6">
              <w:rPr>
                <w:rFonts w:cs="Segoe UI"/>
                <w:szCs w:val="20"/>
              </w:rPr>
              <w:t xml:space="preserve">needed </w:t>
            </w:r>
            <w:r w:rsidRPr="003815D6">
              <w:rPr>
                <w:rFonts w:cs="Segoe UI"/>
                <w:szCs w:val="20"/>
              </w:rPr>
              <w:t xml:space="preserve">for </w:t>
            </w:r>
            <w:r w:rsidR="00B13418" w:rsidRPr="003815D6">
              <w:rPr>
                <w:rFonts w:cs="Segoe UI"/>
                <w:szCs w:val="20"/>
              </w:rPr>
              <w:t xml:space="preserve">basic </w:t>
            </w:r>
            <w:r w:rsidRPr="003815D6">
              <w:rPr>
                <w:rFonts w:cs="Segoe UI"/>
                <w:szCs w:val="20"/>
              </w:rPr>
              <w:t>service enablement, including client and network connectivity</w:t>
            </w:r>
          </w:p>
          <w:p w14:paraId="16E0C184" w14:textId="11C4A9ED" w:rsidR="003D1C77" w:rsidRPr="003815D6" w:rsidRDefault="003D1C77" w:rsidP="006771F5">
            <w:pPr>
              <w:pStyle w:val="Bulletlist"/>
              <w:rPr>
                <w:rFonts w:cs="Segoe UI"/>
                <w:szCs w:val="20"/>
              </w:rPr>
            </w:pPr>
            <w:r w:rsidRPr="003815D6">
              <w:rPr>
                <w:rFonts w:cs="Segoe UI"/>
                <w:szCs w:val="20"/>
              </w:rPr>
              <w:t>Configuration of</w:t>
            </w:r>
            <w:r w:rsidR="008A46DE" w:rsidRPr="003815D6">
              <w:rPr>
                <w:rFonts w:cs="Segoe UI"/>
                <w:szCs w:val="20"/>
              </w:rPr>
              <w:t xml:space="preserve"> an</w:t>
            </w:r>
            <w:r w:rsidRPr="003815D6">
              <w:rPr>
                <w:rFonts w:cs="Segoe UI"/>
                <w:szCs w:val="20"/>
              </w:rPr>
              <w:t xml:space="preserve"> Office 365 tenant </w:t>
            </w:r>
            <w:r w:rsidR="007243E5" w:rsidRPr="003815D6">
              <w:rPr>
                <w:rFonts w:cs="Segoe UI"/>
                <w:szCs w:val="20"/>
              </w:rPr>
              <w:t xml:space="preserve">that is </w:t>
            </w:r>
            <w:r w:rsidRPr="003815D6">
              <w:rPr>
                <w:rFonts w:cs="Segoe UI"/>
                <w:szCs w:val="20"/>
              </w:rPr>
              <w:t xml:space="preserve">based on </w:t>
            </w:r>
            <w:r w:rsidR="009633F4" w:rsidRPr="003815D6">
              <w:rPr>
                <w:rFonts w:cs="Segoe UI"/>
                <w:szCs w:val="20"/>
              </w:rPr>
              <w:t>customer</w:t>
            </w:r>
            <w:r w:rsidRPr="003815D6">
              <w:rPr>
                <w:rFonts w:cs="Segoe UI"/>
                <w:szCs w:val="20"/>
              </w:rPr>
              <w:t>-provided requirements</w:t>
            </w:r>
            <w:r w:rsidR="000D2ABF" w:rsidRPr="003815D6">
              <w:rPr>
                <w:rFonts w:cs="Segoe UI"/>
                <w:szCs w:val="20"/>
              </w:rPr>
              <w:t>,</w:t>
            </w:r>
            <w:r w:rsidR="008A46DE" w:rsidRPr="003815D6">
              <w:rPr>
                <w:rFonts w:cs="Segoe UI"/>
                <w:szCs w:val="20"/>
              </w:rPr>
              <w:t xml:space="preserve"> </w:t>
            </w:r>
            <w:r w:rsidR="000D2ABF" w:rsidRPr="003815D6">
              <w:rPr>
                <w:rFonts w:cs="Segoe UI"/>
                <w:szCs w:val="20"/>
              </w:rPr>
              <w:t xml:space="preserve">is </w:t>
            </w:r>
            <w:r w:rsidRPr="003815D6">
              <w:rPr>
                <w:rFonts w:cs="Segoe UI"/>
                <w:szCs w:val="20"/>
              </w:rPr>
              <w:t>limited to basic tenant-level settings</w:t>
            </w:r>
            <w:r w:rsidR="000D2ABF" w:rsidRPr="003815D6">
              <w:rPr>
                <w:rFonts w:cs="Segoe UI"/>
                <w:szCs w:val="20"/>
              </w:rPr>
              <w:t>,</w:t>
            </w:r>
            <w:r w:rsidRPr="003815D6">
              <w:rPr>
                <w:rFonts w:cs="Segoe UI"/>
                <w:szCs w:val="20"/>
              </w:rPr>
              <w:t xml:space="preserve"> and exclu</w:t>
            </w:r>
            <w:r w:rsidR="008A46DE" w:rsidRPr="003815D6">
              <w:rPr>
                <w:rFonts w:cs="Segoe UI"/>
                <w:szCs w:val="20"/>
              </w:rPr>
              <w:t>des</w:t>
            </w:r>
            <w:r w:rsidRPr="003815D6">
              <w:rPr>
                <w:rFonts w:cs="Segoe UI"/>
                <w:szCs w:val="20"/>
              </w:rPr>
              <w:t xml:space="preserve"> detailed policy design and configuration</w:t>
            </w:r>
          </w:p>
          <w:p w14:paraId="476C9907" w14:textId="7C5F039D" w:rsidR="003D1C77" w:rsidRPr="003815D6" w:rsidRDefault="008F5047" w:rsidP="006771F5">
            <w:pPr>
              <w:pStyle w:val="Bulletlist"/>
              <w:spacing w:before="0"/>
              <w:contextualSpacing w:val="0"/>
              <w:rPr>
                <w:rFonts w:cs="Segoe UI"/>
                <w:szCs w:val="20"/>
              </w:rPr>
            </w:pPr>
            <w:r w:rsidRPr="003815D6">
              <w:rPr>
                <w:rFonts w:cs="Segoe UI"/>
                <w:szCs w:val="20"/>
              </w:rPr>
              <w:t>Configuration for a</w:t>
            </w:r>
            <w:r w:rsidR="003D1C77" w:rsidRPr="003815D6">
              <w:rPr>
                <w:rFonts w:cs="Segoe UI"/>
                <w:szCs w:val="20"/>
              </w:rPr>
              <w:t xml:space="preserve">utomated assignment of Office 365 licenses based on </w:t>
            </w:r>
            <w:r w:rsidR="009633F4" w:rsidRPr="003815D6">
              <w:rPr>
                <w:rFonts w:cs="Segoe UI"/>
                <w:szCs w:val="20"/>
              </w:rPr>
              <w:t>customer</w:t>
            </w:r>
            <w:r w:rsidR="003D1C77" w:rsidRPr="003815D6">
              <w:rPr>
                <w:rFonts w:cs="Segoe UI"/>
                <w:szCs w:val="20"/>
              </w:rPr>
              <w:t xml:space="preserve">-defined profiles using either Azure </w:t>
            </w:r>
            <w:r w:rsidR="00D47BE5" w:rsidRPr="003815D6">
              <w:rPr>
                <w:rFonts w:cs="Segoe UI"/>
                <w:szCs w:val="20"/>
              </w:rPr>
              <w:t>A</w:t>
            </w:r>
            <w:r w:rsidR="006A1AC6" w:rsidRPr="003815D6">
              <w:rPr>
                <w:rFonts w:cs="Segoe UI"/>
                <w:szCs w:val="20"/>
              </w:rPr>
              <w:t>ctive Directory</w:t>
            </w:r>
            <w:r w:rsidR="003D1C77" w:rsidRPr="003815D6">
              <w:rPr>
                <w:rFonts w:cs="Segoe UI"/>
                <w:szCs w:val="20"/>
              </w:rPr>
              <w:t xml:space="preserve"> group-based licensing</w:t>
            </w:r>
            <w:r w:rsidR="00CC375E">
              <w:rPr>
                <w:rFonts w:cs="Segoe UI"/>
                <w:szCs w:val="20"/>
              </w:rPr>
              <w:t>.</w:t>
            </w:r>
          </w:p>
        </w:tc>
        <w:tc>
          <w:tcPr>
            <w:tcW w:w="3261" w:type="dxa"/>
            <w:shd w:val="clear" w:color="auto" w:fill="auto"/>
          </w:tcPr>
          <w:p w14:paraId="2C37849A" w14:textId="0F9074F9" w:rsidR="003D1C77" w:rsidRPr="003815D6" w:rsidRDefault="00B13418" w:rsidP="006771F5">
            <w:pPr>
              <w:pStyle w:val="Bulletlist"/>
              <w:spacing w:after="0"/>
              <w:contextualSpacing w:val="0"/>
              <w:rPr>
                <w:rFonts w:cs="Segoe UI"/>
                <w:szCs w:val="20"/>
              </w:rPr>
            </w:pPr>
            <w:r w:rsidRPr="003815D6">
              <w:rPr>
                <w:rFonts w:cs="Segoe UI"/>
                <w:szCs w:val="20"/>
              </w:rPr>
              <w:t xml:space="preserve">The customer </w:t>
            </w:r>
            <w:r w:rsidR="003D1C77" w:rsidRPr="003815D6">
              <w:rPr>
                <w:rFonts w:cs="Segoe UI"/>
                <w:szCs w:val="20"/>
              </w:rPr>
              <w:t xml:space="preserve">will use </w:t>
            </w:r>
            <w:r w:rsidRPr="003815D6">
              <w:rPr>
                <w:rFonts w:cs="Segoe UI"/>
                <w:szCs w:val="20"/>
              </w:rPr>
              <w:t xml:space="preserve">an </w:t>
            </w:r>
            <w:r w:rsidR="003D1C77" w:rsidRPr="003815D6">
              <w:rPr>
                <w:rFonts w:cs="Segoe UI"/>
                <w:szCs w:val="20"/>
              </w:rPr>
              <w:t>Office 365 tenant</w:t>
            </w:r>
            <w:r w:rsidR="008A46DE" w:rsidRPr="003815D6">
              <w:rPr>
                <w:rFonts w:cs="Segoe UI"/>
                <w:szCs w:val="20"/>
              </w:rPr>
              <w:t>,</w:t>
            </w:r>
            <w:r w:rsidR="003D1C77" w:rsidRPr="003815D6">
              <w:rPr>
                <w:rFonts w:cs="Segoe UI"/>
                <w:szCs w:val="20"/>
              </w:rPr>
              <w:t xml:space="preserve"> which will be </w:t>
            </w:r>
            <w:r w:rsidR="008A46DE" w:rsidRPr="003815D6">
              <w:rPr>
                <w:rFonts w:cs="Segoe UI"/>
                <w:szCs w:val="20"/>
              </w:rPr>
              <w:t xml:space="preserve">one of the following </w:t>
            </w:r>
            <w:r w:rsidR="003D1C77" w:rsidRPr="003815D6">
              <w:rPr>
                <w:rFonts w:cs="Segoe UI"/>
                <w:szCs w:val="20"/>
              </w:rPr>
              <w:t>type</w:t>
            </w:r>
            <w:r w:rsidR="008A46DE" w:rsidRPr="003815D6">
              <w:rPr>
                <w:rFonts w:cs="Segoe UI"/>
                <w:szCs w:val="20"/>
              </w:rPr>
              <w:t>s:</w:t>
            </w:r>
            <w:r w:rsidR="003D1C77" w:rsidRPr="003815D6">
              <w:rPr>
                <w:rFonts w:cs="Segoe UI"/>
                <w:szCs w:val="20"/>
              </w:rPr>
              <w:t xml:space="preserve"> </w:t>
            </w:r>
            <w:r w:rsidR="008A46DE" w:rsidRPr="003815D6">
              <w:rPr>
                <w:rFonts w:cs="Segoe UI"/>
                <w:szCs w:val="20"/>
              </w:rPr>
              <w:t>c</w:t>
            </w:r>
            <w:r w:rsidR="003D1C77" w:rsidRPr="003815D6">
              <w:rPr>
                <w:rFonts w:cs="Segoe UI"/>
                <w:szCs w:val="20"/>
              </w:rPr>
              <w:t xml:space="preserve">ommercial, </w:t>
            </w:r>
            <w:r w:rsidR="008A46DE" w:rsidRPr="003815D6">
              <w:rPr>
                <w:rFonts w:cs="Segoe UI"/>
                <w:szCs w:val="20"/>
              </w:rPr>
              <w:t>government community cloud</w:t>
            </w:r>
            <w:r w:rsidR="003D1C77" w:rsidRPr="003815D6">
              <w:rPr>
                <w:rFonts w:cs="Segoe UI"/>
                <w:szCs w:val="20"/>
              </w:rPr>
              <w:t xml:space="preserve">, or </w:t>
            </w:r>
            <w:r w:rsidR="008A46DE" w:rsidRPr="003815D6">
              <w:rPr>
                <w:rFonts w:cs="Segoe UI"/>
                <w:szCs w:val="20"/>
              </w:rPr>
              <w:t>education</w:t>
            </w:r>
            <w:r w:rsidR="002658DA">
              <w:rPr>
                <w:rFonts w:cs="Segoe UI"/>
                <w:szCs w:val="20"/>
              </w:rPr>
              <w:t>.</w:t>
            </w:r>
          </w:p>
          <w:p w14:paraId="599404AC" w14:textId="1E55EE22" w:rsidR="00242DFC" w:rsidRPr="00047A03" w:rsidRDefault="1010A115" w:rsidP="00047A03">
            <w:pPr>
              <w:pStyle w:val="Bulletlist"/>
              <w:rPr>
                <w:rFonts w:cs="Segoe UI"/>
              </w:rPr>
            </w:pPr>
            <w:r w:rsidRPr="1010A115">
              <w:rPr>
                <w:rFonts w:cs="Segoe UI"/>
              </w:rPr>
              <w:t>The customer is either creating a new tenant or its existing tenant can be used without troubleshooting or rework.</w:t>
            </w:r>
          </w:p>
          <w:p w14:paraId="68E6C05D" w14:textId="3D37A57A" w:rsidR="00544F0D" w:rsidRPr="003815D6" w:rsidRDefault="00544F0D" w:rsidP="1010A115">
            <w:pPr>
              <w:pStyle w:val="Bulletlist"/>
              <w:numPr>
                <w:ilvl w:val="0"/>
                <w:numId w:val="0"/>
              </w:numPr>
              <w:rPr>
                <w:rFonts w:cs="Segoe UI"/>
                <w:sz w:val="18"/>
                <w:szCs w:val="18"/>
              </w:rPr>
            </w:pPr>
          </w:p>
        </w:tc>
      </w:tr>
      <w:tr w:rsidR="003D1C77" w:rsidRPr="003815D6" w14:paraId="0EAB9DC4" w14:textId="77777777" w:rsidTr="1010A115">
        <w:trPr>
          <w:trHeight w:val="432"/>
        </w:trPr>
        <w:tc>
          <w:tcPr>
            <w:tcW w:w="2117" w:type="dxa"/>
            <w:shd w:val="clear" w:color="auto" w:fill="auto"/>
          </w:tcPr>
          <w:p w14:paraId="6B17BD74" w14:textId="570C88D5" w:rsidR="003D1C77" w:rsidRPr="00047A03" w:rsidRDefault="003D1C77" w:rsidP="005C3C1C">
            <w:pPr>
              <w:pStyle w:val="TableText"/>
              <w:rPr>
                <w:rFonts w:cs="Segoe UI"/>
                <w:szCs w:val="20"/>
              </w:rPr>
            </w:pPr>
            <w:r w:rsidRPr="00047A03">
              <w:rPr>
                <w:rFonts w:cs="Segoe UI"/>
                <w:szCs w:val="20"/>
              </w:rPr>
              <w:lastRenderedPageBreak/>
              <w:t xml:space="preserve">Network </w:t>
            </w:r>
            <w:r w:rsidR="00B13418" w:rsidRPr="00047A03">
              <w:rPr>
                <w:rFonts w:cs="Segoe UI"/>
                <w:szCs w:val="20"/>
              </w:rPr>
              <w:t xml:space="preserve">readiness assessment </w:t>
            </w:r>
            <w:r w:rsidRPr="00047A03">
              <w:rPr>
                <w:rFonts w:cs="Segoe UI"/>
                <w:szCs w:val="20"/>
              </w:rPr>
              <w:t xml:space="preserve">and </w:t>
            </w:r>
            <w:r w:rsidR="00B13418" w:rsidRPr="00047A03">
              <w:rPr>
                <w:rFonts w:cs="Segoe UI"/>
                <w:szCs w:val="20"/>
              </w:rPr>
              <w:t xml:space="preserve">planning </w:t>
            </w:r>
            <w:r w:rsidRPr="00047A03">
              <w:rPr>
                <w:rFonts w:cs="Segoe UI"/>
                <w:szCs w:val="20"/>
              </w:rPr>
              <w:t>for Office 365 (NET-01)</w:t>
            </w:r>
          </w:p>
        </w:tc>
        <w:tc>
          <w:tcPr>
            <w:tcW w:w="3984" w:type="dxa"/>
            <w:shd w:val="clear" w:color="auto" w:fill="auto"/>
          </w:tcPr>
          <w:p w14:paraId="13CEC906" w14:textId="435FD4ED" w:rsidR="00425808" w:rsidRPr="00047A03" w:rsidRDefault="00425808" w:rsidP="00425808">
            <w:pPr>
              <w:pStyle w:val="Bulletlist"/>
            </w:pPr>
            <w:r w:rsidRPr="00047A03">
              <w:t xml:space="preserve">Review the current NPA reports </w:t>
            </w:r>
            <w:r w:rsidR="006E203A" w:rsidRPr="00047A03">
              <w:t>produce</w:t>
            </w:r>
            <w:r w:rsidR="00F57F1D" w:rsidRPr="00047A03">
              <w:t>d</w:t>
            </w:r>
            <w:r w:rsidR="006E203A" w:rsidRPr="00047A03">
              <w:t xml:space="preserve"> by Premier</w:t>
            </w:r>
            <w:r w:rsidR="0013376C" w:rsidRPr="00047A03">
              <w:t xml:space="preserve"> </w:t>
            </w:r>
            <w:r w:rsidRPr="00047A03">
              <w:t xml:space="preserve">and the implementation of the recommendations. </w:t>
            </w:r>
          </w:p>
          <w:p w14:paraId="13162C2C" w14:textId="1FB9C597" w:rsidR="003D1C77" w:rsidRPr="00047A03" w:rsidRDefault="00425808" w:rsidP="00425808">
            <w:pPr>
              <w:pStyle w:val="Bulletlist"/>
              <w:rPr>
                <w:szCs w:val="20"/>
              </w:rPr>
            </w:pPr>
            <w:r w:rsidRPr="00047A03">
              <w:t>Use NPA reports as input to the</w:t>
            </w:r>
            <w:r w:rsidR="00542CE3" w:rsidRPr="00047A03">
              <w:t xml:space="preserve"> Design and Plan </w:t>
            </w:r>
            <w:r w:rsidRPr="00047A03">
              <w:t>document</w:t>
            </w:r>
          </w:p>
        </w:tc>
        <w:tc>
          <w:tcPr>
            <w:tcW w:w="3261" w:type="dxa"/>
            <w:shd w:val="clear" w:color="auto" w:fill="auto"/>
          </w:tcPr>
          <w:p w14:paraId="7EAB5A14" w14:textId="1986C351" w:rsidR="003D1C77" w:rsidRPr="00047A03" w:rsidRDefault="00570509" w:rsidP="00F32A19">
            <w:pPr>
              <w:pStyle w:val="Bulletlist"/>
              <w:spacing w:after="0"/>
              <w:contextualSpacing w:val="0"/>
              <w:rPr>
                <w:rFonts w:cs="Segoe UI"/>
                <w:szCs w:val="20"/>
              </w:rPr>
            </w:pPr>
            <w:r w:rsidRPr="00047A03">
              <w:rPr>
                <w:rFonts w:cs="Segoe UI"/>
                <w:szCs w:val="20"/>
              </w:rPr>
              <w:t xml:space="preserve">If the </w:t>
            </w:r>
            <w:r w:rsidR="005A1B6A" w:rsidRPr="00047A03">
              <w:rPr>
                <w:rFonts w:cs="Segoe UI"/>
                <w:szCs w:val="20"/>
              </w:rPr>
              <w:t xml:space="preserve">recommendations </w:t>
            </w:r>
            <w:r w:rsidR="002A72CD" w:rsidRPr="00047A03">
              <w:rPr>
                <w:rFonts w:cs="Segoe UI"/>
                <w:szCs w:val="20"/>
              </w:rPr>
              <w:t>made in the NPA Reports has not b</w:t>
            </w:r>
            <w:r w:rsidR="00EB19B8" w:rsidRPr="00047A03">
              <w:rPr>
                <w:rFonts w:cs="Segoe UI"/>
                <w:szCs w:val="20"/>
              </w:rPr>
              <w:t xml:space="preserve">een implemented </w:t>
            </w:r>
            <w:r w:rsidR="00CD00D4" w:rsidRPr="00047A03">
              <w:rPr>
                <w:rFonts w:cs="Segoe UI"/>
                <w:szCs w:val="20"/>
              </w:rPr>
              <w:t xml:space="preserve">it </w:t>
            </w:r>
            <w:r w:rsidR="00481EA0" w:rsidRPr="00047A03">
              <w:rPr>
                <w:rFonts w:cs="Segoe UI"/>
                <w:szCs w:val="20"/>
              </w:rPr>
              <w:t>will cause a delay</w:t>
            </w:r>
            <w:r w:rsidR="00366F4A" w:rsidRPr="00047A03">
              <w:rPr>
                <w:rFonts w:cs="Segoe UI"/>
                <w:szCs w:val="20"/>
              </w:rPr>
              <w:t xml:space="preserve"> in the start of the migration</w:t>
            </w:r>
          </w:p>
        </w:tc>
      </w:tr>
      <w:tr w:rsidR="003D1C77" w:rsidRPr="003815D6" w14:paraId="0AAA37A0" w14:textId="77777777" w:rsidTr="1010A115">
        <w:trPr>
          <w:trHeight w:val="432"/>
        </w:trPr>
        <w:tc>
          <w:tcPr>
            <w:tcW w:w="2117" w:type="dxa"/>
            <w:shd w:val="clear" w:color="auto" w:fill="auto"/>
          </w:tcPr>
          <w:p w14:paraId="68D01C47" w14:textId="1BAA8E03" w:rsidR="003D1C77" w:rsidRPr="00047A03" w:rsidRDefault="003D1C77" w:rsidP="005C3C1C">
            <w:pPr>
              <w:pStyle w:val="TableText"/>
              <w:rPr>
                <w:rFonts w:cs="Segoe UI"/>
                <w:szCs w:val="20"/>
              </w:rPr>
            </w:pPr>
            <w:r w:rsidRPr="00047A03">
              <w:rPr>
                <w:rFonts w:cs="Segoe UI"/>
                <w:szCs w:val="20"/>
              </w:rPr>
              <w:t xml:space="preserve">General </w:t>
            </w:r>
            <w:r w:rsidR="008A46DE" w:rsidRPr="00047A03">
              <w:rPr>
                <w:rFonts w:cs="Segoe UI"/>
                <w:szCs w:val="20"/>
              </w:rPr>
              <w:t xml:space="preserve">remediation support </w:t>
            </w:r>
            <w:r w:rsidRPr="00047A03">
              <w:rPr>
                <w:rFonts w:cs="Segoe UI"/>
                <w:szCs w:val="20"/>
              </w:rPr>
              <w:t>(REM-01)</w:t>
            </w:r>
          </w:p>
        </w:tc>
        <w:tc>
          <w:tcPr>
            <w:tcW w:w="3984" w:type="dxa"/>
            <w:shd w:val="clear" w:color="auto" w:fill="auto"/>
          </w:tcPr>
          <w:p w14:paraId="12D9B2DA" w14:textId="29263301" w:rsidR="003D1C77" w:rsidRPr="00047A03" w:rsidRDefault="00591078" w:rsidP="004C53CC">
            <w:pPr>
              <w:pStyle w:val="Bulletlist"/>
              <w:rPr>
                <w:rFonts w:cs="Segoe UI"/>
                <w:szCs w:val="20"/>
              </w:rPr>
            </w:pPr>
            <w:r w:rsidRPr="00047A03">
              <w:t xml:space="preserve">Work </w:t>
            </w:r>
            <w:r w:rsidR="00C2732D" w:rsidRPr="00047A03">
              <w:t xml:space="preserve">done </w:t>
            </w:r>
            <w:r w:rsidRPr="00047A03">
              <w:t xml:space="preserve">at </w:t>
            </w:r>
            <w:r w:rsidR="008A46DE" w:rsidRPr="00047A03">
              <w:t>c</w:t>
            </w:r>
            <w:r w:rsidRPr="00047A03">
              <w:t xml:space="preserve">ustomer direction to provide technical guidance and assistance during the completion of tasks documented in the preparation checklist deliverable </w:t>
            </w:r>
            <w:r w:rsidR="008A46DE" w:rsidRPr="00047A03">
              <w:t>(</w:t>
            </w:r>
            <w:r w:rsidRPr="00047A03">
              <w:t xml:space="preserve">limited to </w:t>
            </w:r>
            <w:r w:rsidR="009225FD" w:rsidRPr="00047A03">
              <w:t xml:space="preserve">200 hours </w:t>
            </w:r>
            <w:r w:rsidRPr="00047A03">
              <w:t xml:space="preserve">over a duration no longer than </w:t>
            </w:r>
            <w:r w:rsidR="00F24247" w:rsidRPr="00047A03">
              <w:t>3 weeks</w:t>
            </w:r>
            <w:r w:rsidR="008A46DE" w:rsidRPr="00047A03">
              <w:t>)</w:t>
            </w:r>
          </w:p>
        </w:tc>
        <w:tc>
          <w:tcPr>
            <w:tcW w:w="3261" w:type="dxa"/>
            <w:shd w:val="clear" w:color="auto" w:fill="auto"/>
          </w:tcPr>
          <w:p w14:paraId="44AF0D9E" w14:textId="77777777" w:rsidR="003D1C77" w:rsidRPr="00047A03" w:rsidRDefault="003D1C77" w:rsidP="00FE4995">
            <w:pPr>
              <w:pStyle w:val="Bulletlist"/>
              <w:numPr>
                <w:ilvl w:val="0"/>
                <w:numId w:val="0"/>
              </w:numPr>
              <w:spacing w:after="0"/>
              <w:contextualSpacing w:val="0"/>
            </w:pPr>
          </w:p>
        </w:tc>
      </w:tr>
      <w:tr w:rsidR="003D1C77" w:rsidRPr="003815D6" w14:paraId="23763CEA" w14:textId="77777777" w:rsidTr="1010A115">
        <w:trPr>
          <w:trHeight w:val="432"/>
        </w:trPr>
        <w:tc>
          <w:tcPr>
            <w:tcW w:w="2117" w:type="dxa"/>
            <w:shd w:val="clear" w:color="auto" w:fill="auto"/>
          </w:tcPr>
          <w:p w14:paraId="3F24A4B4" w14:textId="15A34FB5" w:rsidR="003D1C77" w:rsidRPr="00047A03" w:rsidRDefault="003D1C77" w:rsidP="005C3C1C">
            <w:pPr>
              <w:pStyle w:val="TableText"/>
              <w:rPr>
                <w:rFonts w:cs="Segoe UI"/>
                <w:szCs w:val="20"/>
              </w:rPr>
            </w:pPr>
            <w:r w:rsidRPr="00047A03">
              <w:rPr>
                <w:rFonts w:cs="Segoe UI"/>
                <w:szCs w:val="20"/>
              </w:rPr>
              <w:t xml:space="preserve">Azure </w:t>
            </w:r>
            <w:r w:rsidR="00D47BE5" w:rsidRPr="00047A03">
              <w:rPr>
                <w:rFonts w:cs="Segoe UI"/>
                <w:szCs w:val="20"/>
              </w:rPr>
              <w:t>Active Directory</w:t>
            </w:r>
            <w:r w:rsidRPr="00047A03">
              <w:rPr>
                <w:rFonts w:cs="Segoe UI"/>
                <w:szCs w:val="20"/>
              </w:rPr>
              <w:t xml:space="preserve"> </w:t>
            </w:r>
            <w:r w:rsidR="008A46DE" w:rsidRPr="00047A03">
              <w:rPr>
                <w:rFonts w:cs="Segoe UI"/>
                <w:szCs w:val="20"/>
              </w:rPr>
              <w:t xml:space="preserve">integration </w:t>
            </w:r>
            <w:r w:rsidRPr="00047A03">
              <w:rPr>
                <w:rFonts w:cs="Segoe UI"/>
                <w:szCs w:val="20"/>
              </w:rPr>
              <w:t>(AAD-01)</w:t>
            </w:r>
          </w:p>
        </w:tc>
        <w:tc>
          <w:tcPr>
            <w:tcW w:w="3984" w:type="dxa"/>
            <w:shd w:val="clear" w:color="auto" w:fill="auto"/>
          </w:tcPr>
          <w:p w14:paraId="18CE76D8" w14:textId="77777777" w:rsidR="00C85448" w:rsidRPr="00047A03" w:rsidRDefault="00C85448" w:rsidP="00C85448">
            <w:pPr>
              <w:pStyle w:val="Bullets"/>
              <w:ind w:left="360"/>
              <w:rPr>
                <w:rFonts w:cs="Segoe UI"/>
                <w:szCs w:val="20"/>
              </w:rPr>
            </w:pPr>
            <w:r w:rsidRPr="00047A03">
              <w:rPr>
                <w:rFonts w:cs="Segoe UI"/>
                <w:szCs w:val="20"/>
              </w:rPr>
              <w:t>Change Configuration of Azure AD authentication to pass-through authentication.</w:t>
            </w:r>
          </w:p>
          <w:p w14:paraId="166B3F69" w14:textId="43B1F856" w:rsidR="003D1C77" w:rsidRPr="00047A03" w:rsidRDefault="00C85448" w:rsidP="00C56C3D">
            <w:pPr>
              <w:pStyle w:val="Bullets"/>
              <w:ind w:left="360"/>
              <w:rPr>
                <w:rFonts w:cs="Segoe UI"/>
                <w:szCs w:val="20"/>
              </w:rPr>
            </w:pPr>
            <w:r w:rsidRPr="00047A03">
              <w:rPr>
                <w:rFonts w:cs="Segoe UI"/>
                <w:szCs w:val="20"/>
              </w:rPr>
              <w:t>Enablement of the Azure AD seamless single sign-on feature.</w:t>
            </w:r>
          </w:p>
        </w:tc>
        <w:tc>
          <w:tcPr>
            <w:tcW w:w="3261" w:type="dxa"/>
            <w:shd w:val="clear" w:color="auto" w:fill="auto"/>
          </w:tcPr>
          <w:p w14:paraId="160CA805" w14:textId="055ACFF9" w:rsidR="003D1C77" w:rsidRPr="00047A03" w:rsidRDefault="00D27558" w:rsidP="004C53CC">
            <w:pPr>
              <w:pStyle w:val="TableText"/>
              <w:numPr>
                <w:ilvl w:val="0"/>
                <w:numId w:val="10"/>
              </w:numPr>
              <w:ind w:left="360"/>
              <w:contextualSpacing/>
              <w:rPr>
                <w:rFonts w:cs="Segoe UI"/>
                <w:szCs w:val="20"/>
              </w:rPr>
            </w:pPr>
            <w:r w:rsidRPr="00047A03">
              <w:rPr>
                <w:rFonts w:cs="Segoe UI"/>
                <w:szCs w:val="20"/>
              </w:rPr>
              <w:t xml:space="preserve"> currently use password hash synchronization but the project will change the authentication method to pass-through authentication to enable  to support the current  Account locked out, Account expired and Password expired policies.</w:t>
            </w:r>
          </w:p>
          <w:p w14:paraId="41A64A1E" w14:textId="5536CC73" w:rsidR="005E53DB" w:rsidRPr="00047A03" w:rsidRDefault="008B6516" w:rsidP="004C53CC">
            <w:pPr>
              <w:pStyle w:val="TableText"/>
              <w:numPr>
                <w:ilvl w:val="0"/>
                <w:numId w:val="10"/>
              </w:numPr>
              <w:ind w:left="360"/>
              <w:contextualSpacing/>
              <w:rPr>
                <w:rFonts w:cs="Segoe UI"/>
                <w:szCs w:val="20"/>
              </w:rPr>
            </w:pPr>
            <w:r w:rsidRPr="00047A03">
              <w:rPr>
                <w:rFonts w:cs="Segoe UI"/>
                <w:szCs w:val="20"/>
              </w:rPr>
              <w:t>Enable Azure Active Directory Smart Lockout</w:t>
            </w:r>
            <w:r w:rsidR="001754CB" w:rsidRPr="00047A03">
              <w:rPr>
                <w:rFonts w:cs="Segoe UI"/>
                <w:szCs w:val="20"/>
              </w:rPr>
              <w:t xml:space="preserve"> polices to assist in </w:t>
            </w:r>
            <w:r w:rsidR="00F50A7E" w:rsidRPr="00047A03">
              <w:rPr>
                <w:rFonts w:cs="Segoe UI"/>
                <w:szCs w:val="20"/>
              </w:rPr>
              <w:t>locking</w:t>
            </w:r>
            <w:r w:rsidR="001754CB" w:rsidRPr="00047A03">
              <w:rPr>
                <w:rFonts w:cs="Segoe UI"/>
                <w:szCs w:val="20"/>
              </w:rPr>
              <w:t xml:space="preserve"> out bad </w:t>
            </w:r>
            <w:r w:rsidR="00F50A7E" w:rsidRPr="00047A03">
              <w:rPr>
                <w:rFonts w:cs="Segoe UI"/>
                <w:szCs w:val="20"/>
              </w:rPr>
              <w:t>actors</w:t>
            </w:r>
          </w:p>
        </w:tc>
      </w:tr>
      <w:tr w:rsidR="003D1C77" w:rsidRPr="003815D6" w14:paraId="32E4A7A8" w14:textId="77777777" w:rsidTr="1010A115">
        <w:trPr>
          <w:trHeight w:val="432"/>
        </w:trPr>
        <w:tc>
          <w:tcPr>
            <w:tcW w:w="2117" w:type="dxa"/>
            <w:shd w:val="clear" w:color="auto" w:fill="auto"/>
          </w:tcPr>
          <w:p w14:paraId="0A0B9296" w14:textId="6D35D754" w:rsidR="003D1C77" w:rsidRPr="003815D6" w:rsidRDefault="003D1C77" w:rsidP="005C3C1C">
            <w:pPr>
              <w:pStyle w:val="TableText"/>
              <w:rPr>
                <w:rFonts w:cs="Segoe UI"/>
                <w:szCs w:val="20"/>
              </w:rPr>
            </w:pPr>
            <w:r w:rsidRPr="003815D6">
              <w:rPr>
                <w:rFonts w:cs="Segoe UI"/>
                <w:szCs w:val="20"/>
              </w:rPr>
              <w:t>Azure AD</w:t>
            </w:r>
            <w:r w:rsidR="006A1AC6" w:rsidRPr="003815D6">
              <w:rPr>
                <w:rFonts w:cs="Segoe UI"/>
                <w:szCs w:val="20"/>
              </w:rPr>
              <w:t xml:space="preserve"> </w:t>
            </w:r>
            <w:r w:rsidRPr="003815D6">
              <w:rPr>
                <w:rFonts w:cs="Segoe UI"/>
                <w:szCs w:val="20"/>
              </w:rPr>
              <w:t xml:space="preserve">Conditional Access and </w:t>
            </w:r>
            <w:r w:rsidR="0051029B" w:rsidRPr="003815D6">
              <w:rPr>
                <w:rFonts w:cs="Segoe UI"/>
                <w:szCs w:val="20"/>
              </w:rPr>
              <w:t xml:space="preserve">Azure </w:t>
            </w:r>
            <w:r w:rsidRPr="003815D6">
              <w:rPr>
                <w:rFonts w:cs="Segoe UI"/>
                <w:szCs w:val="20"/>
              </w:rPr>
              <w:t>Multi-Factor Authentication (AAD-02)</w:t>
            </w:r>
          </w:p>
        </w:tc>
        <w:tc>
          <w:tcPr>
            <w:tcW w:w="3984" w:type="dxa"/>
            <w:shd w:val="clear" w:color="auto" w:fill="auto"/>
          </w:tcPr>
          <w:p w14:paraId="79033318" w14:textId="0917FC6F" w:rsidR="003D1C77" w:rsidRPr="003815D6" w:rsidRDefault="003D1C77" w:rsidP="005F5837">
            <w:pPr>
              <w:pStyle w:val="Bulletlist"/>
            </w:pPr>
            <w:r w:rsidRPr="003815D6">
              <w:t xml:space="preserve">Configuration of Azure Multi-Factor Authentication (MFA) to </w:t>
            </w:r>
            <w:r w:rsidR="009633F4" w:rsidRPr="003815D6">
              <w:t>customer</w:t>
            </w:r>
            <w:r w:rsidRPr="003815D6">
              <w:t xml:space="preserve"> specification</w:t>
            </w:r>
            <w:r w:rsidR="008D2F9E" w:rsidRPr="003815D6">
              <w:t>s (</w:t>
            </w:r>
            <w:r w:rsidRPr="003815D6">
              <w:t>limited to cloud-based invocation from Azure AD</w:t>
            </w:r>
            <w:r w:rsidR="00CB0FFB" w:rsidRPr="003815D6">
              <w:t>)</w:t>
            </w:r>
          </w:p>
          <w:p w14:paraId="0ACC1F2D" w14:textId="3164C9E4" w:rsidR="003D1C77" w:rsidRPr="003815D6" w:rsidRDefault="003D1C77" w:rsidP="005F5837">
            <w:pPr>
              <w:pStyle w:val="Bulletlist"/>
            </w:pPr>
            <w:r w:rsidRPr="003815D6">
              <w:t>Design and implementation of Azure AD</w:t>
            </w:r>
            <w:r w:rsidR="006A1AC6" w:rsidRPr="003815D6">
              <w:t xml:space="preserve"> </w:t>
            </w:r>
            <w:r w:rsidRPr="003815D6">
              <w:t>conditional access policies in the tenant</w:t>
            </w:r>
            <w:r w:rsidR="008D2F9E" w:rsidRPr="003815D6">
              <w:t xml:space="preserve"> (</w:t>
            </w:r>
            <w:r w:rsidRPr="003815D6">
              <w:t>up to 10 policies</w:t>
            </w:r>
            <w:r w:rsidR="008D2F9E" w:rsidRPr="003815D6">
              <w:t>)</w:t>
            </w:r>
          </w:p>
          <w:p w14:paraId="22019623" w14:textId="71ADCAD8" w:rsidR="003D1C77" w:rsidRPr="003815D6" w:rsidRDefault="003D1C77" w:rsidP="005F5837">
            <w:pPr>
              <w:pStyle w:val="Bulletlist"/>
            </w:pPr>
            <w:r w:rsidRPr="003815D6">
              <w:t xml:space="preserve">If </w:t>
            </w:r>
            <w:r w:rsidR="0063394D" w:rsidRPr="003815D6">
              <w:t xml:space="preserve">the </w:t>
            </w:r>
            <w:r w:rsidR="009633F4" w:rsidRPr="003815D6">
              <w:t>customer</w:t>
            </w:r>
            <w:r w:rsidRPr="003815D6">
              <w:t xml:space="preserve"> is licensed for Azure AD Premium P2, enablement and configuration of Azure AD Identity Protection to </w:t>
            </w:r>
            <w:r w:rsidR="009633F4" w:rsidRPr="003815D6">
              <w:t>customer</w:t>
            </w:r>
            <w:r w:rsidRPr="003815D6">
              <w:t xml:space="preserve"> specification</w:t>
            </w:r>
            <w:r w:rsidR="003F5D67" w:rsidRPr="003815D6">
              <w:t>s</w:t>
            </w:r>
            <w:r w:rsidRPr="003815D6">
              <w:t xml:space="preserve">, and demonstration of the service for </w:t>
            </w:r>
            <w:r w:rsidR="00B3761D" w:rsidRPr="003815D6">
              <w:t xml:space="preserve">the </w:t>
            </w:r>
            <w:r w:rsidR="009633F4" w:rsidRPr="003815D6">
              <w:t>customer</w:t>
            </w:r>
          </w:p>
        </w:tc>
        <w:tc>
          <w:tcPr>
            <w:tcW w:w="3261" w:type="dxa"/>
            <w:shd w:val="clear" w:color="auto" w:fill="auto"/>
          </w:tcPr>
          <w:p w14:paraId="31E98313" w14:textId="1CB9577C" w:rsidR="003D1C77" w:rsidRPr="003815D6" w:rsidRDefault="003D1C77" w:rsidP="004C53CC">
            <w:pPr>
              <w:pStyle w:val="TableText"/>
              <w:numPr>
                <w:ilvl w:val="0"/>
                <w:numId w:val="10"/>
              </w:numPr>
              <w:ind w:left="360"/>
              <w:contextualSpacing/>
              <w:rPr>
                <w:rFonts w:cs="Segoe UI"/>
                <w:szCs w:val="20"/>
              </w:rPr>
            </w:pPr>
            <w:r w:rsidRPr="003815D6">
              <w:rPr>
                <w:rFonts w:cs="Segoe UI"/>
                <w:szCs w:val="20"/>
              </w:rPr>
              <w:t>Only applications that are integrated with Azure AD will be subjected to MFA or conditional access policy</w:t>
            </w:r>
            <w:r w:rsidR="002658DA">
              <w:rPr>
                <w:rFonts w:cs="Segoe UI"/>
                <w:szCs w:val="20"/>
              </w:rPr>
              <w:t>.</w:t>
            </w:r>
          </w:p>
          <w:p w14:paraId="665638E1" w14:textId="73B61842" w:rsidR="003D1C77" w:rsidRPr="003815D6" w:rsidRDefault="003D1C77" w:rsidP="004C53CC">
            <w:pPr>
              <w:pStyle w:val="TableText"/>
              <w:numPr>
                <w:ilvl w:val="0"/>
                <w:numId w:val="10"/>
              </w:numPr>
              <w:ind w:left="360"/>
              <w:contextualSpacing/>
              <w:rPr>
                <w:rFonts w:cs="Segoe UI"/>
                <w:szCs w:val="20"/>
              </w:rPr>
            </w:pPr>
            <w:r w:rsidRPr="003815D6">
              <w:rPr>
                <w:rFonts w:cs="Segoe UI"/>
                <w:szCs w:val="20"/>
              </w:rPr>
              <w:t xml:space="preserve">If Office 365 will be protected by the solution, </w:t>
            </w:r>
            <w:r w:rsidR="00B3761D" w:rsidRPr="003815D6">
              <w:rPr>
                <w:rFonts w:cs="Segoe UI"/>
                <w:szCs w:val="20"/>
              </w:rPr>
              <w:t xml:space="preserve">the </w:t>
            </w:r>
            <w:r w:rsidR="009633F4" w:rsidRPr="003815D6">
              <w:rPr>
                <w:rFonts w:cs="Segoe UI"/>
                <w:szCs w:val="20"/>
              </w:rPr>
              <w:t>customer</w:t>
            </w:r>
            <w:r w:rsidRPr="003815D6">
              <w:rPr>
                <w:rFonts w:cs="Segoe UI"/>
                <w:szCs w:val="20"/>
              </w:rPr>
              <w:t xml:space="preserve"> has deployed an Office client that supports modern authentication (Office 2013 or </w:t>
            </w:r>
            <w:r w:rsidR="00AF3207" w:rsidRPr="003815D6">
              <w:rPr>
                <w:rFonts w:cs="Segoe UI"/>
                <w:szCs w:val="20"/>
              </w:rPr>
              <w:t xml:space="preserve">Office </w:t>
            </w:r>
            <w:r w:rsidR="00212B2E" w:rsidRPr="003815D6">
              <w:rPr>
                <w:rFonts w:cs="Segoe UI"/>
                <w:szCs w:val="20"/>
              </w:rPr>
              <w:t>2016)</w:t>
            </w:r>
            <w:r w:rsidR="002658DA">
              <w:rPr>
                <w:rFonts w:cs="Segoe UI"/>
                <w:szCs w:val="20"/>
              </w:rPr>
              <w:t>.</w:t>
            </w:r>
          </w:p>
          <w:p w14:paraId="14D10CCC" w14:textId="072B833B" w:rsidR="003D1C77" w:rsidRPr="003815D6" w:rsidRDefault="003D1C77" w:rsidP="004C53CC">
            <w:pPr>
              <w:pStyle w:val="TableText"/>
              <w:numPr>
                <w:ilvl w:val="0"/>
                <w:numId w:val="10"/>
              </w:numPr>
              <w:ind w:left="360"/>
              <w:contextualSpacing/>
              <w:rPr>
                <w:rFonts w:cs="Segoe UI"/>
                <w:szCs w:val="20"/>
              </w:rPr>
            </w:pPr>
            <w:r w:rsidRPr="003815D6">
              <w:rPr>
                <w:rFonts w:cs="Segoe UI"/>
                <w:szCs w:val="20"/>
              </w:rPr>
              <w:t>If access is to be restricted to managed or compliant devices, Microsoft Intune will be used for mobile device management (MDM) and hybrid Azure AD</w:t>
            </w:r>
            <w:r w:rsidR="003B2A41" w:rsidRPr="003815D6">
              <w:rPr>
                <w:rFonts w:cs="Segoe UI"/>
                <w:szCs w:val="20"/>
              </w:rPr>
              <w:t xml:space="preserve"> </w:t>
            </w:r>
            <w:r w:rsidRPr="003815D6">
              <w:rPr>
                <w:rFonts w:cs="Segoe UI"/>
                <w:szCs w:val="20"/>
              </w:rPr>
              <w:t xml:space="preserve">join will be used for domain-joined </w:t>
            </w:r>
            <w:r w:rsidR="006A1AC6" w:rsidRPr="003815D6">
              <w:rPr>
                <w:rFonts w:cs="Segoe UI"/>
                <w:szCs w:val="20"/>
              </w:rPr>
              <w:t>computers</w:t>
            </w:r>
            <w:r w:rsidRPr="003815D6">
              <w:rPr>
                <w:rFonts w:cs="Segoe UI"/>
                <w:szCs w:val="20"/>
              </w:rPr>
              <w:t xml:space="preserve">. Enablement of </w:t>
            </w:r>
            <w:r w:rsidRPr="003815D6">
              <w:rPr>
                <w:rFonts w:cs="Segoe UI"/>
                <w:szCs w:val="20"/>
              </w:rPr>
              <w:lastRenderedPageBreak/>
              <w:t xml:space="preserve">these </w:t>
            </w:r>
            <w:r w:rsidR="002658DA">
              <w:rPr>
                <w:rFonts w:cs="Segoe UI"/>
                <w:szCs w:val="20"/>
              </w:rPr>
              <w:t>s</w:t>
            </w:r>
            <w:r w:rsidRPr="003815D6">
              <w:rPr>
                <w:rFonts w:cs="Segoe UI"/>
                <w:szCs w:val="20"/>
              </w:rPr>
              <w:t>ervices is scoped separately</w:t>
            </w:r>
            <w:r w:rsidR="002658DA">
              <w:rPr>
                <w:rFonts w:cs="Segoe UI"/>
                <w:szCs w:val="20"/>
              </w:rPr>
              <w:t>.</w:t>
            </w:r>
          </w:p>
        </w:tc>
      </w:tr>
      <w:tr w:rsidR="003D1C77" w:rsidRPr="003815D6" w14:paraId="73544CC4" w14:textId="77777777" w:rsidTr="1010A115">
        <w:trPr>
          <w:trHeight w:val="432"/>
        </w:trPr>
        <w:tc>
          <w:tcPr>
            <w:tcW w:w="2117" w:type="dxa"/>
            <w:shd w:val="clear" w:color="auto" w:fill="auto"/>
          </w:tcPr>
          <w:p w14:paraId="09009EB1" w14:textId="178CA0E9" w:rsidR="003D1C77" w:rsidRPr="003815D6" w:rsidRDefault="003D1C77" w:rsidP="005C3C1C">
            <w:pPr>
              <w:pStyle w:val="TableText"/>
              <w:rPr>
                <w:rFonts w:cs="Segoe UI"/>
                <w:szCs w:val="20"/>
              </w:rPr>
            </w:pPr>
            <w:r w:rsidRPr="003815D6">
              <w:rPr>
                <w:rFonts w:cs="Segoe UI"/>
                <w:szCs w:val="20"/>
              </w:rPr>
              <w:lastRenderedPageBreak/>
              <w:t xml:space="preserve">Exchange Online </w:t>
            </w:r>
            <w:r w:rsidR="005D67DA" w:rsidRPr="003815D6">
              <w:rPr>
                <w:rFonts w:cs="Segoe UI"/>
                <w:szCs w:val="20"/>
              </w:rPr>
              <w:t>e</w:t>
            </w:r>
            <w:r w:rsidRPr="003815D6">
              <w:rPr>
                <w:rFonts w:cs="Segoe UI"/>
                <w:szCs w:val="20"/>
              </w:rPr>
              <w:t>nablement (EXO-01)</w:t>
            </w:r>
          </w:p>
        </w:tc>
        <w:tc>
          <w:tcPr>
            <w:tcW w:w="3984" w:type="dxa"/>
            <w:shd w:val="clear" w:color="auto" w:fill="auto"/>
          </w:tcPr>
          <w:p w14:paraId="77D4AACA" w14:textId="5598D5F0" w:rsidR="003D1C77" w:rsidRPr="00F52AF8" w:rsidRDefault="003D1C77" w:rsidP="005F5837">
            <w:pPr>
              <w:pStyle w:val="Bulletlist"/>
            </w:pPr>
            <w:r w:rsidRPr="00F52AF8">
              <w:t xml:space="preserve">Enablement of </w:t>
            </w:r>
            <w:r w:rsidR="00251319" w:rsidRPr="00F52AF8">
              <w:t xml:space="preserve">Microsoft </w:t>
            </w:r>
            <w:r w:rsidRPr="00F52AF8">
              <w:t>Exchange Online and configuration of baseline tenant-level settings</w:t>
            </w:r>
            <w:r w:rsidR="00B3761D" w:rsidRPr="00F52AF8">
              <w:t>.</w:t>
            </w:r>
          </w:p>
          <w:p w14:paraId="34A8F3F4" w14:textId="681EF5E2" w:rsidR="003D1C77" w:rsidRPr="00F52AF8" w:rsidRDefault="003D1C77" w:rsidP="005F5837">
            <w:pPr>
              <w:pStyle w:val="Bulletlist"/>
            </w:pPr>
            <w:r w:rsidRPr="00F52AF8">
              <w:t xml:space="preserve">Configuration of internet mail flow with up to 5 mail hygiene rules or establishment of routing through a </w:t>
            </w:r>
            <w:r w:rsidR="009633F4" w:rsidRPr="00F52AF8">
              <w:t>customer</w:t>
            </w:r>
            <w:r w:rsidRPr="00F52AF8">
              <w:t>-provided relay</w:t>
            </w:r>
          </w:p>
          <w:p w14:paraId="50A3B91F" w14:textId="0905BA27" w:rsidR="003D1C77" w:rsidRPr="00F52AF8" w:rsidRDefault="003D1C77" w:rsidP="005F5837">
            <w:pPr>
              <w:pStyle w:val="Bulletlist"/>
            </w:pPr>
            <w:r w:rsidRPr="00F52AF8">
              <w:t xml:space="preserve">Installation and configuration of </w:t>
            </w:r>
            <w:r w:rsidR="00853D47" w:rsidRPr="00F52AF8">
              <w:t xml:space="preserve">a supported version of </w:t>
            </w:r>
            <w:r w:rsidRPr="00F52AF8">
              <w:t xml:space="preserve">Exchange Server as a management server on </w:t>
            </w:r>
            <w:r w:rsidR="003E2D06" w:rsidRPr="00F52AF8">
              <w:t xml:space="preserve">an </w:t>
            </w:r>
            <w:r w:rsidRPr="00F52AF8">
              <w:t>on-premises server to support Exchange object provisioning and management</w:t>
            </w:r>
          </w:p>
          <w:p w14:paraId="3401C02A" w14:textId="7CF1DFB4" w:rsidR="003D1C77" w:rsidRPr="00F52AF8" w:rsidRDefault="003D1C77" w:rsidP="00895782">
            <w:pPr>
              <w:pStyle w:val="Instructional"/>
              <w:rPr>
                <w:rFonts w:cs="Segoe UI"/>
                <w:color w:val="000000" w:themeColor="text1"/>
                <w:szCs w:val="20"/>
              </w:rPr>
            </w:pPr>
            <w:r w:rsidRPr="00F52AF8">
              <w:rPr>
                <w:rFonts w:cs="Segoe UI"/>
                <w:b/>
                <w:color w:val="000000" w:themeColor="text1"/>
                <w:szCs w:val="20"/>
              </w:rPr>
              <w:t>Exchange Hybrid</w:t>
            </w:r>
          </w:p>
          <w:p w14:paraId="4235E64C" w14:textId="2345149B" w:rsidR="003D1C77" w:rsidRPr="00F52AF8" w:rsidRDefault="003D1C77" w:rsidP="004C53CC">
            <w:pPr>
              <w:pStyle w:val="TableText"/>
              <w:numPr>
                <w:ilvl w:val="0"/>
                <w:numId w:val="10"/>
              </w:numPr>
              <w:ind w:left="360"/>
              <w:contextualSpacing/>
              <w:rPr>
                <w:rFonts w:cs="Segoe UI"/>
                <w:szCs w:val="20"/>
              </w:rPr>
            </w:pPr>
            <w:r w:rsidRPr="00F52AF8">
              <w:rPr>
                <w:rFonts w:cs="Segoe UI"/>
                <w:szCs w:val="20"/>
              </w:rPr>
              <w:t xml:space="preserve">Configuration of Exchange hybrid between the </w:t>
            </w:r>
            <w:r w:rsidR="009633F4" w:rsidRPr="00F52AF8">
              <w:rPr>
                <w:rFonts w:cs="Segoe UI"/>
                <w:szCs w:val="20"/>
              </w:rPr>
              <w:t>customer</w:t>
            </w:r>
            <w:r w:rsidRPr="00F52AF8">
              <w:rPr>
                <w:rFonts w:cs="Segoe UI"/>
                <w:szCs w:val="20"/>
              </w:rPr>
              <w:t>’s on-premises Exchange environment and Exchange Online</w:t>
            </w:r>
          </w:p>
          <w:p w14:paraId="28D0BFB0" w14:textId="6F306599" w:rsidR="003D1C77" w:rsidRPr="00F52AF8" w:rsidRDefault="003D1C77" w:rsidP="004C53CC">
            <w:pPr>
              <w:pStyle w:val="TableText"/>
              <w:numPr>
                <w:ilvl w:val="0"/>
                <w:numId w:val="10"/>
              </w:numPr>
              <w:ind w:left="360"/>
              <w:contextualSpacing/>
              <w:rPr>
                <w:rFonts w:cs="Segoe UI"/>
                <w:szCs w:val="20"/>
              </w:rPr>
            </w:pPr>
            <w:r w:rsidRPr="00F52AF8">
              <w:rPr>
                <w:rFonts w:cs="Segoe UI"/>
                <w:szCs w:val="20"/>
              </w:rPr>
              <w:t xml:space="preserve">If </w:t>
            </w:r>
            <w:r w:rsidR="003E2D06" w:rsidRPr="00F52AF8">
              <w:rPr>
                <w:rFonts w:cs="Segoe UI"/>
                <w:szCs w:val="20"/>
              </w:rPr>
              <w:t xml:space="preserve">the </w:t>
            </w:r>
            <w:r w:rsidR="009633F4" w:rsidRPr="00F52AF8">
              <w:rPr>
                <w:rFonts w:cs="Segoe UI"/>
                <w:szCs w:val="20"/>
              </w:rPr>
              <w:t>customer</w:t>
            </w:r>
            <w:r w:rsidRPr="00F52AF8">
              <w:rPr>
                <w:rFonts w:cs="Segoe UI"/>
                <w:szCs w:val="20"/>
              </w:rPr>
              <w:t xml:space="preserve"> does not already have Exchange servers that are suitable for Exchange hybrid configuration, install</w:t>
            </w:r>
            <w:r w:rsidR="003E2D06" w:rsidRPr="00F52AF8">
              <w:rPr>
                <w:rFonts w:cs="Segoe UI"/>
                <w:szCs w:val="20"/>
              </w:rPr>
              <w:t>ation</w:t>
            </w:r>
            <w:r w:rsidRPr="00F52AF8">
              <w:rPr>
                <w:rFonts w:cs="Segoe UI"/>
                <w:szCs w:val="20"/>
              </w:rPr>
              <w:t xml:space="preserve"> and </w:t>
            </w:r>
            <w:r w:rsidR="003E2D06" w:rsidRPr="00F52AF8">
              <w:rPr>
                <w:rFonts w:cs="Segoe UI"/>
                <w:szCs w:val="20"/>
              </w:rPr>
              <w:t xml:space="preserve">configuration of </w:t>
            </w:r>
            <w:r w:rsidRPr="00F52AF8">
              <w:rPr>
                <w:rFonts w:cs="Segoe UI"/>
                <w:szCs w:val="20"/>
              </w:rPr>
              <w:t xml:space="preserve">a supported version of Exchange Server on up to </w:t>
            </w:r>
            <w:r w:rsidR="00706325" w:rsidRPr="00F52AF8">
              <w:rPr>
                <w:rFonts w:cs="Segoe UI"/>
                <w:szCs w:val="20"/>
              </w:rPr>
              <w:t>2</w:t>
            </w:r>
            <w:r w:rsidRPr="00F52AF8">
              <w:rPr>
                <w:rFonts w:cs="Segoe UI"/>
                <w:szCs w:val="20"/>
              </w:rPr>
              <w:t xml:space="preserve"> servers in a single site to serve as hybrid servers</w:t>
            </w:r>
          </w:p>
          <w:p w14:paraId="5DD3DBE5" w14:textId="5CF44EC6" w:rsidR="00503EAC" w:rsidRPr="00F52AF8" w:rsidRDefault="00503EAC" w:rsidP="004C53CC">
            <w:pPr>
              <w:pStyle w:val="TableText"/>
              <w:numPr>
                <w:ilvl w:val="0"/>
                <w:numId w:val="10"/>
              </w:numPr>
              <w:ind w:left="360"/>
              <w:contextualSpacing/>
              <w:rPr>
                <w:rFonts w:cs="Segoe UI"/>
                <w:szCs w:val="20"/>
              </w:rPr>
            </w:pPr>
            <w:r w:rsidRPr="00F52AF8">
              <w:rPr>
                <w:rFonts w:cs="Segoe UI"/>
                <w:szCs w:val="20"/>
              </w:rPr>
              <w:t>Pilot 1: Support during pilot migration for up to 50 mailboxes from Exchange on premises to Exchange Online through the FastTrack Data Migration benefit, up to 2 weeks in total duration</w:t>
            </w:r>
          </w:p>
          <w:p w14:paraId="23A7D84E" w14:textId="544382DB" w:rsidR="00503EAC" w:rsidRPr="00F52AF8" w:rsidRDefault="00503EAC" w:rsidP="004C53CC">
            <w:pPr>
              <w:pStyle w:val="TableText"/>
              <w:numPr>
                <w:ilvl w:val="0"/>
                <w:numId w:val="10"/>
              </w:numPr>
              <w:ind w:left="360"/>
              <w:contextualSpacing/>
              <w:rPr>
                <w:rFonts w:cs="Segoe UI"/>
                <w:szCs w:val="20"/>
              </w:rPr>
            </w:pPr>
            <w:r w:rsidRPr="00F52AF8">
              <w:rPr>
                <w:rFonts w:cs="Segoe UI"/>
                <w:szCs w:val="20"/>
              </w:rPr>
              <w:t>Pilot 2: Support during pilot migration for up to 100 mailboxes from Exchange on premises to Exchange Online through the FastTrack Data Migration benefit, up to 2 weeks in total duration</w:t>
            </w:r>
          </w:p>
          <w:p w14:paraId="53E197BA" w14:textId="516E999A" w:rsidR="003D1C77" w:rsidRPr="00F52AF8" w:rsidRDefault="003D1C77" w:rsidP="005C3C1C">
            <w:pPr>
              <w:pStyle w:val="Instructional"/>
              <w:rPr>
                <w:rFonts w:cs="Segoe UI"/>
                <w:color w:val="000000" w:themeColor="text1"/>
                <w:szCs w:val="20"/>
              </w:rPr>
            </w:pPr>
            <w:r w:rsidRPr="00F52AF8">
              <w:rPr>
                <w:rFonts w:cs="Segoe UI"/>
                <w:b/>
                <w:color w:val="000000" w:themeColor="text1"/>
                <w:szCs w:val="20"/>
              </w:rPr>
              <w:t>Velocity Mailbox Migration</w:t>
            </w:r>
            <w:r w:rsidR="00CB0FFB" w:rsidRPr="00F52AF8">
              <w:rPr>
                <w:rFonts w:cs="Segoe UI"/>
                <w:b/>
                <w:color w:val="000000" w:themeColor="text1"/>
                <w:szCs w:val="20"/>
              </w:rPr>
              <w:t xml:space="preserve"> Assistance</w:t>
            </w:r>
          </w:p>
          <w:p w14:paraId="1A7217F2" w14:textId="21E75027" w:rsidR="003D1C77" w:rsidRPr="00F52AF8" w:rsidRDefault="003D1C77" w:rsidP="004C53CC">
            <w:pPr>
              <w:pStyle w:val="TableText"/>
              <w:numPr>
                <w:ilvl w:val="0"/>
                <w:numId w:val="10"/>
              </w:numPr>
              <w:ind w:left="360"/>
              <w:contextualSpacing/>
              <w:rPr>
                <w:rFonts w:cs="Segoe UI"/>
                <w:color w:val="000000" w:themeColor="text1"/>
                <w:szCs w:val="20"/>
              </w:rPr>
            </w:pPr>
            <w:r w:rsidRPr="00F52AF8">
              <w:rPr>
                <w:rFonts w:cs="Segoe UI"/>
                <w:color w:val="000000" w:themeColor="text1"/>
                <w:szCs w:val="20"/>
              </w:rPr>
              <w:t xml:space="preserve">Full-time support during </w:t>
            </w:r>
            <w:r w:rsidR="003F4C51" w:rsidRPr="00F52AF8">
              <w:rPr>
                <w:rFonts w:cs="Segoe UI"/>
                <w:color w:val="000000" w:themeColor="text1"/>
                <w:szCs w:val="20"/>
              </w:rPr>
              <w:t xml:space="preserve">the </w:t>
            </w:r>
            <w:r w:rsidRPr="00F52AF8">
              <w:rPr>
                <w:rFonts w:cs="Segoe UI"/>
                <w:color w:val="000000" w:themeColor="text1"/>
                <w:szCs w:val="20"/>
              </w:rPr>
              <w:t xml:space="preserve">velocity ramp phase of migrations from Exchange on-premises to Exchange Online </w:t>
            </w:r>
            <w:r w:rsidR="00A16EDA" w:rsidRPr="00F52AF8">
              <w:rPr>
                <w:rFonts w:cs="Segoe UI"/>
                <w:color w:val="000000" w:themeColor="text1"/>
                <w:szCs w:val="20"/>
              </w:rPr>
              <w:t xml:space="preserve">through </w:t>
            </w:r>
            <w:r w:rsidRPr="00F52AF8">
              <w:rPr>
                <w:rFonts w:cs="Segoe UI"/>
                <w:color w:val="000000" w:themeColor="text1"/>
                <w:szCs w:val="20"/>
              </w:rPr>
              <w:t xml:space="preserve">the FastTrack Data </w:t>
            </w:r>
            <w:r w:rsidRPr="00F52AF8">
              <w:rPr>
                <w:rFonts w:cs="Segoe UI"/>
                <w:color w:val="000000" w:themeColor="text1"/>
                <w:szCs w:val="20"/>
              </w:rPr>
              <w:lastRenderedPageBreak/>
              <w:t xml:space="preserve">Migration benefit, up to </w:t>
            </w:r>
            <w:r w:rsidR="00322082" w:rsidRPr="00F52AF8">
              <w:rPr>
                <w:rFonts w:cs="Segoe UI"/>
                <w:color w:val="000000" w:themeColor="text1"/>
                <w:szCs w:val="20"/>
              </w:rPr>
              <w:t>30</w:t>
            </w:r>
            <w:r w:rsidRPr="00F52AF8">
              <w:rPr>
                <w:rStyle w:val="InstructionalChar"/>
                <w:rFonts w:cs="Segoe UI"/>
                <w:color w:val="000000" w:themeColor="text1"/>
                <w:szCs w:val="20"/>
              </w:rPr>
              <w:t xml:space="preserve"> </w:t>
            </w:r>
            <w:r w:rsidR="00076B63" w:rsidRPr="00F52AF8">
              <w:rPr>
                <w:rStyle w:val="InstructionalChar"/>
                <w:rFonts w:cs="Segoe UI"/>
                <w:color w:val="000000" w:themeColor="text1"/>
                <w:szCs w:val="20"/>
              </w:rPr>
              <w:t xml:space="preserve">weeks </w:t>
            </w:r>
            <w:r w:rsidRPr="00F52AF8">
              <w:rPr>
                <w:rFonts w:cs="Segoe UI"/>
                <w:color w:val="000000" w:themeColor="text1"/>
                <w:szCs w:val="20"/>
              </w:rPr>
              <w:t>in duration</w:t>
            </w:r>
            <w:r w:rsidR="00076B63" w:rsidRPr="00F52AF8">
              <w:rPr>
                <w:rFonts w:cs="Segoe UI"/>
                <w:szCs w:val="20"/>
              </w:rPr>
              <w:t>.</w:t>
            </w:r>
          </w:p>
          <w:p w14:paraId="749196A5" w14:textId="04F71643" w:rsidR="00BD3888" w:rsidRPr="00F52AF8" w:rsidRDefault="00BD3888" w:rsidP="00BD3888">
            <w:pPr>
              <w:pStyle w:val="TableText"/>
              <w:numPr>
                <w:ilvl w:val="0"/>
                <w:numId w:val="10"/>
              </w:numPr>
              <w:ind w:left="360"/>
              <w:contextualSpacing/>
              <w:rPr>
                <w:rFonts w:cs="Segoe UI"/>
                <w:color w:val="000000" w:themeColor="text1"/>
                <w:szCs w:val="20"/>
              </w:rPr>
            </w:pPr>
            <w:r w:rsidRPr="00F52AF8">
              <w:rPr>
                <w:rFonts w:cs="Segoe UI"/>
                <w:szCs w:val="20"/>
              </w:rPr>
              <w:t>Full time support includes:</w:t>
            </w:r>
          </w:p>
          <w:p w14:paraId="1915522A" w14:textId="6D2D1B7E" w:rsidR="00BD3888" w:rsidRPr="00F52AF8" w:rsidRDefault="00BD3888" w:rsidP="00BD3888">
            <w:pPr>
              <w:pStyle w:val="Bullets"/>
            </w:pPr>
            <w:r w:rsidRPr="00F52AF8">
              <w:t>Troubleshooting migration failures</w:t>
            </w:r>
          </w:p>
          <w:p w14:paraId="7684B1A6" w14:textId="05742DD5" w:rsidR="00BD3888" w:rsidRPr="00F52AF8" w:rsidRDefault="00BD3888" w:rsidP="00BD3888">
            <w:pPr>
              <w:pStyle w:val="Bullets"/>
            </w:pPr>
            <w:r w:rsidRPr="00F52AF8">
              <w:t>Troubleshoot and fix client autoconfiguration failures</w:t>
            </w:r>
          </w:p>
          <w:p w14:paraId="550F0754" w14:textId="2AFB61DD" w:rsidR="00BD3888" w:rsidRPr="00F52AF8" w:rsidRDefault="00BD3888" w:rsidP="00BD3888">
            <w:pPr>
              <w:pStyle w:val="Bullets"/>
            </w:pPr>
            <w:r w:rsidRPr="00F52AF8">
              <w:t>Troubleshoot mail routing issues</w:t>
            </w:r>
          </w:p>
          <w:p w14:paraId="08E62BD6" w14:textId="1F0521D7" w:rsidR="00BD3888" w:rsidRPr="00F52AF8" w:rsidRDefault="00BD3888" w:rsidP="00047A03">
            <w:pPr>
              <w:pStyle w:val="Bullets"/>
            </w:pPr>
            <w:r w:rsidRPr="00F52AF8">
              <w:t>Assist and take ownership related to Microsoft technologies involved in the project</w:t>
            </w:r>
          </w:p>
          <w:p w14:paraId="3D441033" w14:textId="462D8F94" w:rsidR="003D1C77" w:rsidRPr="00F52AF8" w:rsidRDefault="003D1C77" w:rsidP="005C3C1C">
            <w:pPr>
              <w:pStyle w:val="Instructional"/>
              <w:rPr>
                <w:rFonts w:cs="Segoe UI"/>
                <w:szCs w:val="20"/>
              </w:rPr>
            </w:pPr>
          </w:p>
        </w:tc>
        <w:tc>
          <w:tcPr>
            <w:tcW w:w="3261" w:type="dxa"/>
            <w:shd w:val="clear" w:color="auto" w:fill="auto"/>
          </w:tcPr>
          <w:p w14:paraId="772E3915" w14:textId="7BA4491C" w:rsidR="003D1C77" w:rsidRPr="00F52AF8" w:rsidRDefault="003D1C77" w:rsidP="00895782">
            <w:pPr>
              <w:pStyle w:val="Instructional"/>
              <w:rPr>
                <w:rFonts w:cs="Segoe UI"/>
                <w:color w:val="000000" w:themeColor="text1"/>
                <w:szCs w:val="20"/>
              </w:rPr>
            </w:pPr>
            <w:r w:rsidRPr="00F52AF8">
              <w:rPr>
                <w:rFonts w:cs="Segoe UI"/>
                <w:b/>
                <w:color w:val="000000" w:themeColor="text1"/>
                <w:szCs w:val="20"/>
              </w:rPr>
              <w:lastRenderedPageBreak/>
              <w:t>Exchange Hybrid</w:t>
            </w:r>
          </w:p>
          <w:p w14:paraId="4350E28D" w14:textId="41E609EA" w:rsidR="003D1C77" w:rsidRPr="00F52AF8" w:rsidRDefault="003D1C77" w:rsidP="009B0BA5">
            <w:pPr>
              <w:pStyle w:val="Bulletlist"/>
            </w:pPr>
            <w:r w:rsidRPr="00F52AF8">
              <w:t xml:space="preserve">The </w:t>
            </w:r>
            <w:r w:rsidR="009633F4" w:rsidRPr="00F52AF8">
              <w:t>customer</w:t>
            </w:r>
            <w:r w:rsidRPr="00F52AF8">
              <w:t xml:space="preserve"> has a functional, supported version of Exchange Server</w:t>
            </w:r>
            <w:r w:rsidR="002658DA" w:rsidRPr="00F52AF8">
              <w:t>.</w:t>
            </w:r>
          </w:p>
          <w:p w14:paraId="111001E2" w14:textId="537D0E92" w:rsidR="003D1C77" w:rsidRPr="00F52AF8" w:rsidRDefault="003D1C77" w:rsidP="009B0BA5">
            <w:pPr>
              <w:pStyle w:val="Bulletlist"/>
            </w:pPr>
            <w:r w:rsidRPr="00F52AF8">
              <w:t xml:space="preserve">The </w:t>
            </w:r>
            <w:r w:rsidR="009633F4" w:rsidRPr="00F52AF8">
              <w:t>customer</w:t>
            </w:r>
            <w:r w:rsidRPr="00F52AF8">
              <w:t xml:space="preserve"> has a single Exchange organization to integrate with Exchange Online</w:t>
            </w:r>
            <w:r w:rsidR="002658DA" w:rsidRPr="00F52AF8">
              <w:t>.</w:t>
            </w:r>
          </w:p>
          <w:p w14:paraId="5C15B317" w14:textId="19EA351E" w:rsidR="001C159E" w:rsidRPr="00F52AF8" w:rsidRDefault="001C159E" w:rsidP="009B0BA5">
            <w:pPr>
              <w:pStyle w:val="Bulletlist"/>
            </w:pPr>
            <w:r w:rsidRPr="00F52AF8">
              <w:t xml:space="preserve">The </w:t>
            </w:r>
            <w:r w:rsidR="00212B4B" w:rsidRPr="00F52AF8">
              <w:t>current</w:t>
            </w:r>
            <w:r w:rsidRPr="00F52AF8">
              <w:t xml:space="preserve"> Exchange organization is </w:t>
            </w:r>
            <w:r w:rsidR="00301937" w:rsidRPr="00F52AF8">
              <w:t xml:space="preserve">created in the </w:t>
            </w:r>
            <w:r w:rsidR="00B523C3" w:rsidRPr="00F52AF8">
              <w:t xml:space="preserve"> Active Directory Forest</w:t>
            </w:r>
            <w:r w:rsidR="00E97C92" w:rsidRPr="00F52AF8">
              <w:t xml:space="preserve"> and </w:t>
            </w:r>
            <w:r w:rsidR="00565DD5" w:rsidRPr="00F52AF8">
              <w:t xml:space="preserve">is </w:t>
            </w:r>
            <w:r w:rsidR="00703049" w:rsidRPr="00F52AF8">
              <w:t xml:space="preserve">dedicated to </w:t>
            </w:r>
            <w:r w:rsidR="00390D51" w:rsidRPr="00F52AF8">
              <w:t>.</w:t>
            </w:r>
          </w:p>
          <w:p w14:paraId="64B15253" w14:textId="490487E8" w:rsidR="00390D51" w:rsidRPr="00F52AF8" w:rsidRDefault="00E05572" w:rsidP="009B0BA5">
            <w:pPr>
              <w:pStyle w:val="Bulletlist"/>
            </w:pPr>
            <w:r w:rsidRPr="00F52AF8">
              <w:t xml:space="preserve">The </w:t>
            </w:r>
            <w:r w:rsidR="00390D51" w:rsidRPr="00F52AF8">
              <w:t>Exchange organization is not</w:t>
            </w:r>
            <w:r w:rsidR="005967BF" w:rsidRPr="00F52AF8">
              <w:t xml:space="preserve"> hosting any customer outside of the  </w:t>
            </w:r>
            <w:r w:rsidR="00715C1F" w:rsidRPr="00F52AF8">
              <w:t xml:space="preserve">organization. </w:t>
            </w:r>
          </w:p>
          <w:p w14:paraId="69C2CD96" w14:textId="75E0DD11" w:rsidR="00715C1F" w:rsidRPr="00F52AF8" w:rsidRDefault="00715C1F" w:rsidP="009B0BA5">
            <w:pPr>
              <w:pStyle w:val="Bulletlist"/>
            </w:pPr>
            <w:r w:rsidRPr="00F52AF8">
              <w:t xml:space="preserve">The </w:t>
            </w:r>
            <w:r w:rsidR="00920370" w:rsidRPr="00F52AF8">
              <w:t xml:space="preserve">Exchange organization does not have any custom </w:t>
            </w:r>
            <w:r w:rsidR="005D2681" w:rsidRPr="00F52AF8">
              <w:t>control pane</w:t>
            </w:r>
            <w:r w:rsidR="00845831" w:rsidRPr="00F52AF8">
              <w:t>l</w:t>
            </w:r>
            <w:r w:rsidR="005D2681" w:rsidRPr="00F52AF8">
              <w:t xml:space="preserve">s configured that are used </w:t>
            </w:r>
            <w:r w:rsidR="00961E4E" w:rsidRPr="00F52AF8">
              <w:t>for administration purposes</w:t>
            </w:r>
          </w:p>
          <w:p w14:paraId="6B805335" w14:textId="40FC2D35" w:rsidR="004829DC" w:rsidRPr="00F52AF8" w:rsidRDefault="004829DC" w:rsidP="009B0BA5">
            <w:pPr>
              <w:pStyle w:val="Bulletlist"/>
            </w:pPr>
            <w:r w:rsidRPr="00F52AF8">
              <w:t>The customer will execute all required client readiness and configuration activities.</w:t>
            </w:r>
          </w:p>
          <w:p w14:paraId="5B88026D" w14:textId="77E4835A" w:rsidR="003D1C77" w:rsidRPr="00F52AF8" w:rsidRDefault="003D1C77" w:rsidP="00895782">
            <w:pPr>
              <w:pStyle w:val="Instructional"/>
              <w:rPr>
                <w:rFonts w:cs="Segoe UI"/>
                <w:color w:val="000000" w:themeColor="text1"/>
                <w:szCs w:val="20"/>
              </w:rPr>
            </w:pPr>
            <w:r w:rsidRPr="00F52AF8">
              <w:rPr>
                <w:rFonts w:cs="Segoe UI"/>
                <w:b/>
                <w:color w:val="000000" w:themeColor="text1"/>
                <w:szCs w:val="20"/>
              </w:rPr>
              <w:t>Velocity Mailbox Migration</w:t>
            </w:r>
            <w:r w:rsidR="003E7A64" w:rsidRPr="00F52AF8">
              <w:rPr>
                <w:rFonts w:cs="Segoe UI"/>
                <w:b/>
                <w:color w:val="000000" w:themeColor="text1"/>
                <w:szCs w:val="20"/>
              </w:rPr>
              <w:t xml:space="preserve"> Assistance</w:t>
            </w:r>
          </w:p>
          <w:p w14:paraId="3DF3EF01" w14:textId="4E8DCB1D" w:rsidR="00B15E7E" w:rsidRPr="00F52AF8" w:rsidRDefault="009B0BA5" w:rsidP="009B0BA5">
            <w:pPr>
              <w:pStyle w:val="Bulletlist"/>
            </w:pPr>
            <w:r w:rsidRPr="00F52AF8">
              <w:t xml:space="preserve">Velocity migration </w:t>
            </w:r>
            <w:r w:rsidR="0053113B" w:rsidRPr="00F52AF8">
              <w:t xml:space="preserve">timelines </w:t>
            </w:r>
            <w:r w:rsidR="006819F0" w:rsidRPr="00F52AF8">
              <w:t xml:space="preserve">was calculated </w:t>
            </w:r>
            <w:r w:rsidR="00456619" w:rsidRPr="00F52AF8">
              <w:t xml:space="preserve">doing </w:t>
            </w:r>
            <w:r w:rsidRPr="00F52AF8">
              <w:t>1</w:t>
            </w:r>
            <w:r w:rsidR="00094E15" w:rsidRPr="00F52AF8">
              <w:t xml:space="preserve"> </w:t>
            </w:r>
            <w:r w:rsidR="005337A5" w:rsidRPr="00F52AF8">
              <w:t>300</w:t>
            </w:r>
            <w:r w:rsidRPr="00F52AF8">
              <w:t xml:space="preserve"> mailboxes a week</w:t>
            </w:r>
            <w:r w:rsidR="00B15E7E" w:rsidRPr="00F52AF8">
              <w:t xml:space="preserve"> and we assumed:</w:t>
            </w:r>
          </w:p>
          <w:p w14:paraId="7ED19994" w14:textId="30B5EDC7" w:rsidR="00872845" w:rsidRPr="00F52AF8" w:rsidRDefault="00B15E7E" w:rsidP="008F0841">
            <w:pPr>
              <w:pStyle w:val="Bulletlist"/>
              <w:numPr>
                <w:ilvl w:val="1"/>
                <w:numId w:val="9"/>
              </w:numPr>
              <w:ind w:left="741"/>
            </w:pPr>
            <w:r w:rsidRPr="00F52AF8">
              <w:t xml:space="preserve">The business </w:t>
            </w:r>
            <w:r w:rsidR="009B0BA5" w:rsidRPr="00F52AF8">
              <w:t>will be</w:t>
            </w:r>
            <w:r w:rsidR="00872845" w:rsidRPr="00F52AF8">
              <w:t xml:space="preserve"> able to absorb the rate of change required</w:t>
            </w:r>
          </w:p>
          <w:p w14:paraId="2EC5E46E" w14:textId="77777777" w:rsidR="00D518E9" w:rsidRPr="00F52AF8" w:rsidRDefault="00F978A8" w:rsidP="008F0841">
            <w:pPr>
              <w:pStyle w:val="Bulletlist"/>
              <w:numPr>
                <w:ilvl w:val="1"/>
                <w:numId w:val="9"/>
              </w:numPr>
              <w:ind w:left="741"/>
            </w:pPr>
            <w:r w:rsidRPr="00F52AF8">
              <w:t xml:space="preserve">The helpdesk will be able to cope </w:t>
            </w:r>
            <w:r w:rsidR="00D518E9" w:rsidRPr="00F52AF8">
              <w:t>with the support during the migration</w:t>
            </w:r>
          </w:p>
          <w:p w14:paraId="5266284D" w14:textId="3B120948" w:rsidR="001D0DD0" w:rsidRPr="00F52AF8" w:rsidRDefault="00BD17D3" w:rsidP="008F0841">
            <w:pPr>
              <w:pStyle w:val="Bulletlist"/>
              <w:numPr>
                <w:ilvl w:val="1"/>
                <w:numId w:val="9"/>
              </w:numPr>
              <w:ind w:left="741"/>
            </w:pPr>
            <w:r w:rsidRPr="00F52AF8">
              <w:t xml:space="preserve">Customer </w:t>
            </w:r>
            <w:r w:rsidR="00E87BCF" w:rsidRPr="00F52AF8">
              <w:t>remediate shared</w:t>
            </w:r>
            <w:r w:rsidRPr="00F52AF8">
              <w:t xml:space="preserve"> mailboxes</w:t>
            </w:r>
            <w:r w:rsidR="001D0DD0" w:rsidRPr="00F52AF8">
              <w:t xml:space="preserve"> in time</w:t>
            </w:r>
          </w:p>
          <w:p w14:paraId="2DFCAE78" w14:textId="6BC694D8" w:rsidR="00E87BCF" w:rsidRPr="00F52AF8" w:rsidRDefault="00250971" w:rsidP="008F0841">
            <w:pPr>
              <w:pStyle w:val="Bulletlist"/>
              <w:numPr>
                <w:ilvl w:val="1"/>
                <w:numId w:val="9"/>
              </w:numPr>
              <w:ind w:left="741"/>
            </w:pPr>
            <w:r w:rsidRPr="00F52AF8">
              <w:t xml:space="preserve">Customer remediate applications and services </w:t>
            </w:r>
            <w:r w:rsidR="008B4832" w:rsidRPr="00F52AF8">
              <w:t>the</w:t>
            </w:r>
            <w:r w:rsidRPr="00F52AF8">
              <w:t xml:space="preserve"> integrate with Exchange</w:t>
            </w:r>
            <w:r w:rsidR="008B4832" w:rsidRPr="00F52AF8">
              <w:t xml:space="preserve"> </w:t>
            </w:r>
            <w:r w:rsidRPr="00F52AF8">
              <w:t xml:space="preserve">in time </w:t>
            </w:r>
          </w:p>
          <w:p w14:paraId="783525D3" w14:textId="6B1C52A1" w:rsidR="009B0BA5" w:rsidRPr="00F52AF8" w:rsidRDefault="009B0BA5" w:rsidP="008F0841">
            <w:pPr>
              <w:pStyle w:val="Bulletlist"/>
              <w:numPr>
                <w:ilvl w:val="1"/>
                <w:numId w:val="9"/>
              </w:numPr>
              <w:ind w:left="741"/>
            </w:pPr>
            <w:r w:rsidRPr="00F52AF8">
              <w:lastRenderedPageBreak/>
              <w:t>If this is not possible and an extension to the migration period is required, this will result in a change request and will be managed through the Change management process.</w:t>
            </w:r>
          </w:p>
          <w:p w14:paraId="02B120BF" w14:textId="77777777" w:rsidR="00BB0A2A" w:rsidRPr="008F0841" w:rsidRDefault="003D1C77" w:rsidP="00F52AF8">
            <w:pPr>
              <w:pStyle w:val="Bulletlist"/>
              <w:rPr>
                <w:rStyle w:val="Hyperlink"/>
                <w:color w:val="auto"/>
                <w:u w:val="none"/>
              </w:rPr>
            </w:pPr>
            <w:r w:rsidRPr="00F52AF8">
              <w:t xml:space="preserve">The </w:t>
            </w:r>
            <w:r w:rsidR="009633F4" w:rsidRPr="00F52AF8">
              <w:t>customer</w:t>
            </w:r>
            <w:r w:rsidRPr="00F52AF8">
              <w:t xml:space="preserve"> is using the FastTrack Data Migration benefit as defined in the Data Migration, Migration to Exchange Online section of the FastTrack Center Benefit Overview located at </w:t>
            </w:r>
            <w:hyperlink r:id="rId11" w:history="1">
              <w:r w:rsidR="00874170" w:rsidRPr="00F52AF8">
                <w:rPr>
                  <w:rStyle w:val="Hyperlink"/>
                </w:rPr>
                <w:t>https://aka.ms/ftcmigration</w:t>
              </w:r>
            </w:hyperlink>
            <w:r w:rsidR="002658DA" w:rsidRPr="00F52AF8">
              <w:rPr>
                <w:rStyle w:val="Hyperlink"/>
              </w:rPr>
              <w:t>.</w:t>
            </w:r>
          </w:p>
          <w:p w14:paraId="3F3AEDA2" w14:textId="5FF0E870" w:rsidR="00C15658" w:rsidRPr="00761230" w:rsidRDefault="00652C31" w:rsidP="00761230">
            <w:pPr>
              <w:pStyle w:val="TableBullet1"/>
              <w:rPr>
                <w:lang w:val="en-ZA" w:eastAsia="en-ZA"/>
              </w:rPr>
            </w:pPr>
            <w:r w:rsidRPr="00652C31">
              <w:rPr>
                <w:lang w:val="en-ZA" w:eastAsia="en-ZA"/>
              </w:rPr>
              <w:t xml:space="preserve">The workload for each deployment technician is calculated based on </w:t>
            </w:r>
            <w:r w:rsidR="00C5361B">
              <w:rPr>
                <w:lang w:val="en-ZA" w:eastAsia="en-ZA"/>
              </w:rPr>
              <w:t xml:space="preserve">32 </w:t>
            </w:r>
            <w:r w:rsidR="008302BE">
              <w:rPr>
                <w:lang w:val="en-ZA" w:eastAsia="en-ZA"/>
              </w:rPr>
              <w:t>users</w:t>
            </w:r>
            <w:r w:rsidRPr="00652C31">
              <w:rPr>
                <w:lang w:val="en-ZA" w:eastAsia="en-ZA"/>
              </w:rPr>
              <w:t xml:space="preserve"> per technician per day deployed.</w:t>
            </w:r>
          </w:p>
          <w:p w14:paraId="1017924D" w14:textId="370112CC" w:rsidR="008F0841" w:rsidRPr="00F52AF8" w:rsidRDefault="00412E70" w:rsidP="008D053C">
            <w:pPr>
              <w:pStyle w:val="Bulletlist"/>
            </w:pPr>
            <w:r>
              <w:t xml:space="preserve">Microsoft will provide 2 days post mailbox </w:t>
            </w:r>
            <w:r w:rsidR="008D053C">
              <w:t>migrat</w:t>
            </w:r>
            <w:r>
              <w:t>ion support</w:t>
            </w:r>
          </w:p>
        </w:tc>
      </w:tr>
      <w:tr w:rsidR="00B557B2" w:rsidRPr="003815D6" w14:paraId="74742F89" w14:textId="77777777" w:rsidTr="1010A115">
        <w:trPr>
          <w:trHeight w:val="432"/>
        </w:trPr>
        <w:tc>
          <w:tcPr>
            <w:tcW w:w="2117" w:type="dxa"/>
            <w:shd w:val="clear" w:color="auto" w:fill="auto"/>
          </w:tcPr>
          <w:p w14:paraId="09D6983A" w14:textId="635EEFDB" w:rsidR="00B557B2" w:rsidRPr="003815D6" w:rsidRDefault="00B557B2" w:rsidP="00B557B2">
            <w:pPr>
              <w:pStyle w:val="TableText"/>
              <w:rPr>
                <w:rFonts w:cs="Segoe UI"/>
                <w:szCs w:val="20"/>
              </w:rPr>
            </w:pPr>
            <w:r w:rsidRPr="003815D6">
              <w:rPr>
                <w:rFonts w:cs="Segoe UI"/>
                <w:szCs w:val="20"/>
              </w:rPr>
              <w:lastRenderedPageBreak/>
              <w:t>Operations readiness planning—support and Service Desk enablement and monitoring (ITSM-01)</w:t>
            </w:r>
          </w:p>
        </w:tc>
        <w:tc>
          <w:tcPr>
            <w:tcW w:w="3984" w:type="dxa"/>
            <w:shd w:val="clear" w:color="auto" w:fill="auto"/>
          </w:tcPr>
          <w:p w14:paraId="089AAE4F" w14:textId="5C711480" w:rsidR="00B557B2" w:rsidRPr="003815D6" w:rsidRDefault="00B557B2" w:rsidP="00DB39FD">
            <w:pPr>
              <w:pStyle w:val="Bulletlist"/>
            </w:pPr>
            <w:r w:rsidRPr="003815D6">
              <w:t>Creation of a Service Dependency Map for Office 365 that includes Exchange Online</w:t>
            </w:r>
          </w:p>
          <w:p w14:paraId="311DB9E2" w14:textId="77777777" w:rsidR="00B557B2" w:rsidRPr="003815D6" w:rsidRDefault="00B557B2" w:rsidP="00DB39FD">
            <w:pPr>
              <w:pStyle w:val="Bulletlist"/>
            </w:pPr>
            <w:r w:rsidRPr="003815D6">
              <w:t>Identification and documentation of a monitoring approach for Office 365, included recommended interfaces for monitoring the service</w:t>
            </w:r>
          </w:p>
          <w:p w14:paraId="5C70DAE2" w14:textId="7BCBF191" w:rsidR="00B557B2" w:rsidRPr="003815D6" w:rsidRDefault="00B557B2" w:rsidP="00DB39FD">
            <w:pPr>
              <w:pStyle w:val="Bulletlist"/>
            </w:pPr>
            <w:r w:rsidRPr="003815D6">
              <w:t>Development of a support process flow for Office 365, including integration with Microsoft Support</w:t>
            </w:r>
          </w:p>
          <w:p w14:paraId="7089EA63" w14:textId="23F05FB1" w:rsidR="00B557B2" w:rsidRPr="003815D6" w:rsidRDefault="00B557B2" w:rsidP="00DB39FD">
            <w:pPr>
              <w:pStyle w:val="Bulletlist"/>
            </w:pPr>
            <w:r w:rsidRPr="003815D6">
              <w:t>Identification and documentation of the escalation path, points of demarcation, and interfaces between the current internal service desk and Microsoft Support</w:t>
            </w:r>
          </w:p>
          <w:p w14:paraId="75F1D372" w14:textId="5B0299C3" w:rsidR="00B557B2" w:rsidRPr="003815D6" w:rsidRDefault="00D56658" w:rsidP="00DB39FD">
            <w:pPr>
              <w:pStyle w:val="Bulletlist"/>
              <w:rPr>
                <w:rFonts w:ascii="Calibri" w:hAnsi="Calibri" w:cs="Calibri"/>
                <w:sz w:val="22"/>
              </w:rPr>
            </w:pPr>
            <w:r w:rsidRPr="003815D6">
              <w:t>Identification of the Office 365 monitoring, support or incident roles and responsibilities</w:t>
            </w:r>
          </w:p>
        </w:tc>
        <w:tc>
          <w:tcPr>
            <w:tcW w:w="3261" w:type="dxa"/>
            <w:shd w:val="clear" w:color="auto" w:fill="auto"/>
          </w:tcPr>
          <w:p w14:paraId="5949A370" w14:textId="11E37B30" w:rsidR="00B557B2" w:rsidRPr="003815D6" w:rsidRDefault="00B557B2" w:rsidP="004C53CC">
            <w:pPr>
              <w:pStyle w:val="TableText"/>
              <w:numPr>
                <w:ilvl w:val="0"/>
                <w:numId w:val="10"/>
              </w:numPr>
              <w:ind w:left="360"/>
              <w:contextualSpacing/>
              <w:rPr>
                <w:rFonts w:cs="Segoe UI"/>
                <w:szCs w:val="20"/>
              </w:rPr>
            </w:pPr>
            <w:r w:rsidRPr="003815D6">
              <w:rPr>
                <w:rFonts w:cs="Segoe UI"/>
                <w:szCs w:val="20"/>
              </w:rPr>
              <w:t>In-scope processes are already in existence within the customer environment</w:t>
            </w:r>
            <w:r w:rsidR="002658DA">
              <w:rPr>
                <w:rFonts w:cs="Segoe UI"/>
                <w:szCs w:val="20"/>
              </w:rPr>
              <w:t>.</w:t>
            </w:r>
          </w:p>
          <w:p w14:paraId="790FF698" w14:textId="1DA00C18" w:rsidR="00B557B2" w:rsidRPr="003815D6" w:rsidRDefault="00B557B2" w:rsidP="004C53CC">
            <w:pPr>
              <w:pStyle w:val="TableText"/>
              <w:numPr>
                <w:ilvl w:val="0"/>
                <w:numId w:val="10"/>
              </w:numPr>
              <w:ind w:left="360"/>
              <w:contextualSpacing/>
              <w:rPr>
                <w:rFonts w:cs="Segoe UI"/>
                <w:szCs w:val="20"/>
              </w:rPr>
            </w:pPr>
            <w:r w:rsidRPr="003815D6">
              <w:rPr>
                <w:rFonts w:cs="Segoe UI"/>
                <w:szCs w:val="20"/>
              </w:rPr>
              <w:t>Customer participants in the workshops are empowered to make final decisions on operational recommendations and plans</w:t>
            </w:r>
            <w:r w:rsidR="002658DA">
              <w:rPr>
                <w:rFonts w:cs="Segoe UI"/>
                <w:szCs w:val="20"/>
              </w:rPr>
              <w:t>.</w:t>
            </w:r>
          </w:p>
        </w:tc>
      </w:tr>
      <w:tr w:rsidR="00B557B2" w:rsidRPr="003815D6" w14:paraId="6565ECFA" w14:textId="77777777" w:rsidTr="1010A115">
        <w:trPr>
          <w:trHeight w:val="432"/>
        </w:trPr>
        <w:tc>
          <w:tcPr>
            <w:tcW w:w="2117" w:type="dxa"/>
            <w:shd w:val="clear" w:color="auto" w:fill="auto"/>
          </w:tcPr>
          <w:p w14:paraId="28508099" w14:textId="1C322D23" w:rsidR="00B557B2" w:rsidRPr="003815D6" w:rsidRDefault="00B557B2" w:rsidP="00B557B2">
            <w:pPr>
              <w:pStyle w:val="TableText"/>
              <w:rPr>
                <w:rFonts w:cs="Segoe UI"/>
                <w:szCs w:val="20"/>
              </w:rPr>
            </w:pPr>
            <w:r w:rsidRPr="003815D6">
              <w:rPr>
                <w:rFonts w:cs="Segoe UI"/>
                <w:szCs w:val="20"/>
              </w:rPr>
              <w:t xml:space="preserve">Adoption and Change </w:t>
            </w:r>
            <w:r w:rsidRPr="003815D6">
              <w:rPr>
                <w:rFonts w:cs="Segoe UI"/>
                <w:szCs w:val="20"/>
              </w:rPr>
              <w:lastRenderedPageBreak/>
              <w:t>Management assistance (ACM-01)</w:t>
            </w:r>
          </w:p>
        </w:tc>
        <w:tc>
          <w:tcPr>
            <w:tcW w:w="3984" w:type="dxa"/>
            <w:shd w:val="clear" w:color="auto" w:fill="auto"/>
          </w:tcPr>
          <w:p w14:paraId="336241BA" w14:textId="14B19336" w:rsidR="00B557B2" w:rsidRPr="003815D6" w:rsidRDefault="002F27BD" w:rsidP="008D4298">
            <w:pPr>
              <w:rPr>
                <w:rFonts w:ascii="Calibri" w:hAnsi="Calibri"/>
              </w:rPr>
            </w:pPr>
            <w:r w:rsidRPr="003815D6">
              <w:lastRenderedPageBreak/>
              <w:t xml:space="preserve">Four weeks in which </w:t>
            </w:r>
            <w:r w:rsidR="005A6FAB" w:rsidRPr="003815D6">
              <w:t>a Microsoft resource</w:t>
            </w:r>
            <w:r w:rsidRPr="003815D6">
              <w:t xml:space="preserve"> will provide guidance on adoption and </w:t>
            </w:r>
            <w:r w:rsidRPr="003815D6">
              <w:lastRenderedPageBreak/>
              <w:t>change management to the Customer</w:t>
            </w:r>
            <w:r w:rsidR="008E0170">
              <w:t xml:space="preserve">, </w:t>
            </w:r>
            <w:r w:rsidR="008E0170" w:rsidRPr="00F52AF8">
              <w:t xml:space="preserve">with a focus on </w:t>
            </w:r>
            <w:r w:rsidR="003A1CA3" w:rsidRPr="00F52AF8">
              <w:t>manag</w:t>
            </w:r>
            <w:r w:rsidR="004F6898" w:rsidRPr="00F52AF8">
              <w:t>ing resistance to the Exchange Online migration</w:t>
            </w:r>
            <w:r w:rsidR="003A1CA3" w:rsidRPr="00F52AF8">
              <w:t xml:space="preserve"> </w:t>
            </w:r>
            <w:r w:rsidRPr="00F52AF8">
              <w:t>The</w:t>
            </w:r>
            <w:r w:rsidRPr="003815D6">
              <w:t xml:space="preserve"> Customer will gain an improved understanding of technology adoption challenges and the key next steps. </w:t>
            </w:r>
          </w:p>
        </w:tc>
        <w:tc>
          <w:tcPr>
            <w:tcW w:w="3261" w:type="dxa"/>
            <w:shd w:val="clear" w:color="auto" w:fill="auto"/>
          </w:tcPr>
          <w:p w14:paraId="5B8055BC" w14:textId="77777777" w:rsidR="00B557B2" w:rsidRPr="003815D6" w:rsidRDefault="00B557B2" w:rsidP="00B557B2">
            <w:pPr>
              <w:pStyle w:val="TableText"/>
              <w:contextualSpacing/>
              <w:rPr>
                <w:rFonts w:cs="Segoe UI"/>
                <w:szCs w:val="20"/>
              </w:rPr>
            </w:pPr>
          </w:p>
        </w:tc>
      </w:tr>
      <w:tr w:rsidR="00FE21A4" w:rsidRPr="003815D6" w14:paraId="5940AD6A" w14:textId="77777777" w:rsidTr="1010A115">
        <w:trPr>
          <w:trHeight w:val="432"/>
        </w:trPr>
        <w:tc>
          <w:tcPr>
            <w:tcW w:w="2117" w:type="dxa"/>
            <w:shd w:val="clear" w:color="auto" w:fill="auto"/>
          </w:tcPr>
          <w:p w14:paraId="2746A408" w14:textId="08A2EB6B" w:rsidR="00FE21A4" w:rsidRPr="00F52AF8" w:rsidRDefault="00D47741" w:rsidP="00B557B2">
            <w:pPr>
              <w:pStyle w:val="TableText"/>
              <w:rPr>
                <w:rFonts w:cs="Segoe UI"/>
                <w:szCs w:val="20"/>
              </w:rPr>
            </w:pPr>
            <w:r w:rsidRPr="00F52AF8">
              <w:rPr>
                <w:rFonts w:cs="Segoe UI"/>
                <w:szCs w:val="20"/>
              </w:rPr>
              <w:t>Communications Management (</w:t>
            </w:r>
            <w:r w:rsidR="00065858" w:rsidRPr="00F52AF8">
              <w:rPr>
                <w:rFonts w:cs="Segoe UI"/>
                <w:szCs w:val="20"/>
              </w:rPr>
              <w:t>COM-01</w:t>
            </w:r>
            <w:r w:rsidRPr="00F52AF8">
              <w:rPr>
                <w:rFonts w:cs="Segoe UI"/>
                <w:szCs w:val="20"/>
              </w:rPr>
              <w:t>)</w:t>
            </w:r>
          </w:p>
        </w:tc>
        <w:tc>
          <w:tcPr>
            <w:tcW w:w="3984" w:type="dxa"/>
            <w:shd w:val="clear" w:color="auto" w:fill="auto"/>
          </w:tcPr>
          <w:p w14:paraId="06C63E71" w14:textId="77777777" w:rsidR="00FE21A4" w:rsidRPr="00F52AF8" w:rsidRDefault="007A6CA9" w:rsidP="003B7E91">
            <w:pPr>
              <w:pStyle w:val="TableBullet1"/>
            </w:pPr>
            <w:r w:rsidRPr="00F52AF8">
              <w:t xml:space="preserve">Post </w:t>
            </w:r>
            <w:r w:rsidR="00AF0DEB" w:rsidRPr="00F52AF8">
              <w:t>four weeks of ACM</w:t>
            </w:r>
            <w:r w:rsidR="00EF0393" w:rsidRPr="00F52AF8">
              <w:t xml:space="preserve"> assistance</w:t>
            </w:r>
            <w:r w:rsidR="00AF0DEB" w:rsidRPr="00F52AF8">
              <w:t xml:space="preserve">, </w:t>
            </w:r>
            <w:r w:rsidR="00E00AEB" w:rsidRPr="00F52AF8">
              <w:t xml:space="preserve">enablement and </w:t>
            </w:r>
            <w:r w:rsidR="007C6F6D" w:rsidRPr="00F52AF8">
              <w:t>implementation of the communication plan</w:t>
            </w:r>
            <w:r w:rsidR="002D7E1D" w:rsidRPr="00F52AF8">
              <w:t xml:space="preserve"> is included</w:t>
            </w:r>
            <w:r w:rsidR="00EF0393" w:rsidRPr="00F52AF8">
              <w:t>.</w:t>
            </w:r>
          </w:p>
          <w:p w14:paraId="5C0F9CEC" w14:textId="3A013EC0" w:rsidR="003B7E91" w:rsidRPr="00F52AF8" w:rsidRDefault="003B7E91" w:rsidP="00047A03">
            <w:pPr>
              <w:pStyle w:val="TableBullet1"/>
            </w:pPr>
            <w:r w:rsidRPr="00F52AF8">
              <w:rPr>
                <w:lang w:eastAsia="en-ZA"/>
              </w:rPr>
              <w:t xml:space="preserve">Develop a Communication Plan that mainly focuses on using online tools to drive the communication messages and awareness. </w:t>
            </w:r>
          </w:p>
        </w:tc>
        <w:tc>
          <w:tcPr>
            <w:tcW w:w="3261" w:type="dxa"/>
            <w:shd w:val="clear" w:color="auto" w:fill="auto"/>
          </w:tcPr>
          <w:p w14:paraId="0B8452C2" w14:textId="7B692E0B" w:rsidR="00FE21A4" w:rsidRPr="00F52AF8" w:rsidRDefault="003B5647" w:rsidP="007C3E30">
            <w:pPr>
              <w:pStyle w:val="TableBullet1"/>
            </w:pPr>
            <w:r w:rsidRPr="00F52AF8">
              <w:t xml:space="preserve">The communication plan will be focused </w:t>
            </w:r>
            <w:r w:rsidR="00465799" w:rsidRPr="00F52AF8">
              <w:t xml:space="preserve">on an overall communication to all users as well as communication to each </w:t>
            </w:r>
            <w:r w:rsidR="000F1D31" w:rsidRPr="00F52AF8">
              <w:t>batch</w:t>
            </w:r>
            <w:r w:rsidR="00465799" w:rsidRPr="00F52AF8">
              <w:t xml:space="preserve"> of users that are migrated</w:t>
            </w:r>
          </w:p>
          <w:p w14:paraId="5E03F7A7" w14:textId="4DDE981C" w:rsidR="007C3E30" w:rsidRPr="00F52AF8" w:rsidRDefault="00D51709" w:rsidP="00047A03">
            <w:pPr>
              <w:pStyle w:val="TableBullet1"/>
            </w:pPr>
            <w:r w:rsidRPr="00F52AF8">
              <w:t xml:space="preserve">Communication tools will be limited to </w:t>
            </w:r>
            <w:r w:rsidR="00D248FC" w:rsidRPr="00F52AF8">
              <w:t xml:space="preserve">current  communications platform such as </w:t>
            </w:r>
            <w:r w:rsidR="00497389" w:rsidRPr="00F52AF8">
              <w:t>emai</w:t>
            </w:r>
            <w:r w:rsidR="00222C65" w:rsidRPr="00F52AF8">
              <w:t>l and</w:t>
            </w:r>
            <w:r w:rsidR="00497389" w:rsidRPr="00F52AF8">
              <w:t>, intranet</w:t>
            </w:r>
          </w:p>
        </w:tc>
      </w:tr>
    </w:tbl>
    <w:p w14:paraId="6A0D21D3" w14:textId="751EE585" w:rsidR="00D8456D" w:rsidRPr="003815D6" w:rsidRDefault="00884E0D" w:rsidP="00C84DD9">
      <w:pPr>
        <w:pStyle w:val="Heading3"/>
      </w:pPr>
      <w:bookmarkStart w:id="50" w:name="_Toc476168026"/>
      <w:r w:rsidRPr="003815D6">
        <w:t xml:space="preserve">Software products and </w:t>
      </w:r>
      <w:r w:rsidR="004B0557" w:rsidRPr="003815D6">
        <w:t>technologies</w:t>
      </w:r>
      <w:bookmarkEnd w:id="50"/>
    </w:p>
    <w:p w14:paraId="2B66B60E" w14:textId="62FBA8A7" w:rsidR="00D8456D" w:rsidRPr="003815D6" w:rsidRDefault="4BAA7215" w:rsidP="00D8456D">
      <w:r w:rsidRPr="003815D6">
        <w:t xml:space="preserve">The products and technology that are listed in the following table are required for project </w:t>
      </w:r>
      <w:r w:rsidR="0093037C" w:rsidRPr="003815D6">
        <w:t>delivery</w:t>
      </w:r>
      <w:r w:rsidRPr="003815D6">
        <w:t xml:space="preserve">. The </w:t>
      </w:r>
      <w:r w:rsidR="009633F4" w:rsidRPr="003815D6">
        <w:t>c</w:t>
      </w:r>
      <w:r w:rsidRPr="003815D6">
        <w:t>ustomer is responsible for obtaining all identified licenses and products.</w:t>
      </w:r>
      <w:r w:rsidR="00FB5E16" w:rsidRPr="003815D6">
        <w:t xml:space="preserve"> Microsoft assumes that any product </w:t>
      </w:r>
      <w:r w:rsidR="007778DE" w:rsidRPr="003815D6">
        <w:t xml:space="preserve">version used during the </w:t>
      </w:r>
      <w:r w:rsidR="00FC4A10" w:rsidRPr="003815D6">
        <w:t xml:space="preserve">project is </w:t>
      </w:r>
      <w:r w:rsidR="00084F9E" w:rsidRPr="003815D6">
        <w:t xml:space="preserve">either </w:t>
      </w:r>
      <w:r w:rsidR="00FC4A10" w:rsidRPr="003815D6">
        <w:t xml:space="preserve">in mainstream support </w:t>
      </w:r>
      <w:r w:rsidR="00084F9E" w:rsidRPr="003815D6">
        <w:t xml:space="preserve">or is </w:t>
      </w:r>
      <w:r w:rsidR="00732681" w:rsidRPr="003815D6">
        <w:t>covered by an extended support agreement</w:t>
      </w:r>
      <w:r w:rsidR="00084F9E" w:rsidRPr="003815D6">
        <w:t xml:space="preserve"> procured</w:t>
      </w:r>
      <w:r w:rsidR="002A6767" w:rsidRPr="003815D6">
        <w:t xml:space="preserve"> by the customer</w:t>
      </w:r>
      <w:r w:rsidR="00084F9E" w:rsidRPr="003815D6">
        <w:t>.</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322"/>
        <w:gridCol w:w="2818"/>
        <w:gridCol w:w="2694"/>
        <w:gridCol w:w="2525"/>
      </w:tblGrid>
      <w:tr w:rsidR="00AB1CA1" w:rsidRPr="003815D6" w14:paraId="32D645D9" w14:textId="77777777" w:rsidTr="00C438B1">
        <w:trPr>
          <w:trHeight w:val="364"/>
          <w:tblHeader/>
        </w:trPr>
        <w:tc>
          <w:tcPr>
            <w:tcW w:w="1322" w:type="dxa"/>
            <w:shd w:val="clear" w:color="auto" w:fill="008272"/>
          </w:tcPr>
          <w:p w14:paraId="1E63071D" w14:textId="77777777" w:rsidR="003D1C77" w:rsidRPr="003815D6" w:rsidRDefault="003D1C77" w:rsidP="005C3C1C">
            <w:pPr>
              <w:pStyle w:val="Table-Header"/>
              <w:rPr>
                <w:rFonts w:cs="Segoe UI"/>
                <w:szCs w:val="20"/>
              </w:rPr>
            </w:pPr>
            <w:r w:rsidRPr="003815D6">
              <w:rPr>
                <w:rFonts w:cs="Segoe UI"/>
                <w:szCs w:val="20"/>
              </w:rPr>
              <w:t xml:space="preserve">Component ID </w:t>
            </w:r>
          </w:p>
        </w:tc>
        <w:tc>
          <w:tcPr>
            <w:tcW w:w="2818" w:type="dxa"/>
            <w:shd w:val="clear" w:color="auto" w:fill="008272"/>
          </w:tcPr>
          <w:p w14:paraId="581496B6" w14:textId="77777777" w:rsidR="003D1C77" w:rsidRPr="003815D6" w:rsidRDefault="003D1C77" w:rsidP="005C3C1C">
            <w:pPr>
              <w:pStyle w:val="Table-Header"/>
              <w:rPr>
                <w:rFonts w:cs="Segoe UI"/>
                <w:szCs w:val="20"/>
              </w:rPr>
            </w:pPr>
            <w:r w:rsidRPr="003815D6">
              <w:rPr>
                <w:rFonts w:cs="Segoe UI"/>
                <w:szCs w:val="20"/>
              </w:rPr>
              <w:t>Product and technology item</w:t>
            </w:r>
          </w:p>
        </w:tc>
        <w:tc>
          <w:tcPr>
            <w:tcW w:w="2694" w:type="dxa"/>
            <w:shd w:val="clear" w:color="auto" w:fill="008272"/>
          </w:tcPr>
          <w:p w14:paraId="28E6A048" w14:textId="77777777" w:rsidR="003D1C77" w:rsidRPr="003815D6" w:rsidRDefault="003D1C77" w:rsidP="005C3C1C">
            <w:pPr>
              <w:pStyle w:val="Table-Header"/>
              <w:rPr>
                <w:rFonts w:cs="Segoe UI"/>
                <w:szCs w:val="20"/>
              </w:rPr>
            </w:pPr>
            <w:r w:rsidRPr="003815D6">
              <w:rPr>
                <w:rFonts w:cs="Segoe UI"/>
                <w:szCs w:val="20"/>
              </w:rPr>
              <w:t xml:space="preserve">Version </w:t>
            </w:r>
          </w:p>
        </w:tc>
        <w:tc>
          <w:tcPr>
            <w:tcW w:w="2525" w:type="dxa"/>
            <w:shd w:val="clear" w:color="auto" w:fill="008272"/>
          </w:tcPr>
          <w:p w14:paraId="329FADAB" w14:textId="77777777" w:rsidR="003D1C77" w:rsidRPr="003815D6" w:rsidRDefault="003D1C77" w:rsidP="005C3C1C">
            <w:pPr>
              <w:pStyle w:val="Table-Header"/>
              <w:rPr>
                <w:rFonts w:cs="Segoe UI"/>
                <w:szCs w:val="20"/>
              </w:rPr>
            </w:pPr>
            <w:r w:rsidRPr="003815D6">
              <w:rPr>
                <w:rFonts w:cs="Segoe UI"/>
                <w:szCs w:val="20"/>
              </w:rPr>
              <w:t>Ready by</w:t>
            </w:r>
          </w:p>
        </w:tc>
      </w:tr>
      <w:tr w:rsidR="003D1C77" w:rsidRPr="003815D6" w14:paraId="2DFFAE1F" w14:textId="77777777" w:rsidTr="00C438B1">
        <w:trPr>
          <w:trHeight w:val="432"/>
        </w:trPr>
        <w:tc>
          <w:tcPr>
            <w:tcW w:w="1322" w:type="dxa"/>
          </w:tcPr>
          <w:p w14:paraId="61426FAB" w14:textId="0D863B70" w:rsidR="003D1C77" w:rsidRPr="003815D6" w:rsidRDefault="003D1C77" w:rsidP="005C3C1C">
            <w:pPr>
              <w:pStyle w:val="TableText"/>
              <w:rPr>
                <w:rFonts w:cs="Segoe UI"/>
                <w:szCs w:val="20"/>
              </w:rPr>
            </w:pPr>
            <w:r w:rsidRPr="003815D6">
              <w:rPr>
                <w:rFonts w:cs="Segoe UI"/>
                <w:szCs w:val="20"/>
              </w:rPr>
              <w:t>N</w:t>
            </w:r>
            <w:r w:rsidR="00473061" w:rsidRPr="003815D6">
              <w:rPr>
                <w:rFonts w:cs="Segoe UI"/>
                <w:szCs w:val="20"/>
              </w:rPr>
              <w:t>ot applicable</w:t>
            </w:r>
          </w:p>
        </w:tc>
        <w:tc>
          <w:tcPr>
            <w:tcW w:w="2818" w:type="dxa"/>
            <w:shd w:val="clear" w:color="auto" w:fill="auto"/>
          </w:tcPr>
          <w:p w14:paraId="4CC2EB28" w14:textId="0952A155" w:rsidR="003D1C77" w:rsidRPr="003815D6" w:rsidRDefault="003D1C77" w:rsidP="005C3C1C">
            <w:pPr>
              <w:pStyle w:val="TableText"/>
              <w:rPr>
                <w:rFonts w:cs="Segoe UI"/>
                <w:szCs w:val="20"/>
              </w:rPr>
            </w:pPr>
            <w:r w:rsidRPr="003815D6">
              <w:rPr>
                <w:rFonts w:cs="Segoe UI"/>
                <w:szCs w:val="20"/>
              </w:rPr>
              <w:t xml:space="preserve">Office 365 </w:t>
            </w:r>
            <w:r w:rsidR="00473061" w:rsidRPr="003815D6">
              <w:rPr>
                <w:rFonts w:cs="Segoe UI"/>
                <w:szCs w:val="20"/>
              </w:rPr>
              <w:t>licenses</w:t>
            </w:r>
          </w:p>
        </w:tc>
        <w:tc>
          <w:tcPr>
            <w:tcW w:w="2694" w:type="dxa"/>
            <w:shd w:val="clear" w:color="auto" w:fill="auto"/>
          </w:tcPr>
          <w:p w14:paraId="6CC436EB" w14:textId="77777777" w:rsidR="003D1C77" w:rsidRPr="003815D6" w:rsidRDefault="003D1C77" w:rsidP="005C3C1C">
            <w:pPr>
              <w:pStyle w:val="TableText"/>
              <w:rPr>
                <w:rFonts w:cs="Segoe UI"/>
                <w:szCs w:val="20"/>
              </w:rPr>
            </w:pPr>
            <w:r w:rsidRPr="003815D6">
              <w:rPr>
                <w:rFonts w:cs="Segoe UI"/>
                <w:szCs w:val="20"/>
              </w:rPr>
              <w:t>Any</w:t>
            </w:r>
          </w:p>
        </w:tc>
        <w:tc>
          <w:tcPr>
            <w:tcW w:w="2525" w:type="dxa"/>
            <w:shd w:val="clear" w:color="auto" w:fill="auto"/>
          </w:tcPr>
          <w:p w14:paraId="3E7BC9F6" w14:textId="71D5E44A" w:rsidR="003D1C77" w:rsidRPr="003815D6" w:rsidRDefault="003D1C77" w:rsidP="005C3C1C">
            <w:pPr>
              <w:pStyle w:val="TableText"/>
              <w:rPr>
                <w:rFonts w:cs="Segoe UI"/>
                <w:szCs w:val="20"/>
              </w:rPr>
            </w:pPr>
            <w:r w:rsidRPr="003815D6">
              <w:rPr>
                <w:rFonts w:cs="Segoe UI"/>
                <w:szCs w:val="20"/>
              </w:rPr>
              <w:t xml:space="preserve">Start of </w:t>
            </w:r>
            <w:r w:rsidR="00017A2C" w:rsidRPr="003815D6">
              <w:rPr>
                <w:rFonts w:cs="Segoe UI"/>
                <w:szCs w:val="20"/>
              </w:rPr>
              <w:t xml:space="preserve">the </w:t>
            </w:r>
            <w:r w:rsidR="00473061" w:rsidRPr="003815D6">
              <w:rPr>
                <w:rFonts w:cs="Segoe UI"/>
                <w:szCs w:val="20"/>
              </w:rPr>
              <w:t xml:space="preserve">Enable </w:t>
            </w:r>
            <w:r w:rsidRPr="003815D6">
              <w:rPr>
                <w:rFonts w:cs="Segoe UI"/>
                <w:szCs w:val="20"/>
              </w:rPr>
              <w:t>phase</w:t>
            </w:r>
          </w:p>
        </w:tc>
      </w:tr>
      <w:tr w:rsidR="003D1C77" w:rsidRPr="003815D6" w14:paraId="7740FBA8" w14:textId="77777777" w:rsidTr="00C438B1">
        <w:trPr>
          <w:trHeight w:val="432"/>
        </w:trPr>
        <w:tc>
          <w:tcPr>
            <w:tcW w:w="1322" w:type="dxa"/>
            <w:vMerge w:val="restart"/>
          </w:tcPr>
          <w:p w14:paraId="44C7A73D" w14:textId="77777777" w:rsidR="003D1C77" w:rsidRPr="003815D6" w:rsidRDefault="003D1C77" w:rsidP="005C3C1C">
            <w:pPr>
              <w:pStyle w:val="TableText"/>
              <w:rPr>
                <w:rFonts w:cs="Segoe UI"/>
                <w:szCs w:val="20"/>
              </w:rPr>
            </w:pPr>
            <w:r w:rsidRPr="003815D6">
              <w:rPr>
                <w:rFonts w:cs="Segoe UI"/>
                <w:szCs w:val="20"/>
              </w:rPr>
              <w:t>AAD-02</w:t>
            </w:r>
          </w:p>
        </w:tc>
        <w:tc>
          <w:tcPr>
            <w:tcW w:w="2818" w:type="dxa"/>
            <w:shd w:val="clear" w:color="auto" w:fill="auto"/>
          </w:tcPr>
          <w:p w14:paraId="3A67B00B" w14:textId="2998B08B" w:rsidR="003D1C77" w:rsidRPr="003815D6" w:rsidRDefault="003D1C77" w:rsidP="005C3C1C">
            <w:pPr>
              <w:pStyle w:val="TableText"/>
              <w:rPr>
                <w:rFonts w:eastAsia="Calibri" w:cs="Segoe UI"/>
                <w:szCs w:val="20"/>
              </w:rPr>
            </w:pPr>
            <w:r w:rsidRPr="003815D6">
              <w:rPr>
                <w:rFonts w:eastAsia="Calibri" w:cs="Segoe UI"/>
                <w:szCs w:val="20"/>
              </w:rPr>
              <w:t xml:space="preserve">Azure </w:t>
            </w:r>
            <w:r w:rsidR="002953B7" w:rsidRPr="003815D6">
              <w:rPr>
                <w:rFonts w:eastAsia="Calibri" w:cs="Segoe UI"/>
                <w:szCs w:val="20"/>
              </w:rPr>
              <w:t>Active Directory</w:t>
            </w:r>
            <w:r w:rsidRPr="003815D6">
              <w:rPr>
                <w:rFonts w:eastAsia="Calibri" w:cs="Segoe UI"/>
                <w:szCs w:val="20"/>
              </w:rPr>
              <w:t xml:space="preserve"> Premium </w:t>
            </w:r>
            <w:r w:rsidR="002A1782" w:rsidRPr="003815D6">
              <w:rPr>
                <w:rFonts w:eastAsia="Calibri" w:cs="Segoe UI"/>
                <w:szCs w:val="20"/>
              </w:rPr>
              <w:t>licenses</w:t>
            </w:r>
          </w:p>
        </w:tc>
        <w:tc>
          <w:tcPr>
            <w:tcW w:w="2694" w:type="dxa"/>
            <w:shd w:val="clear" w:color="auto" w:fill="auto"/>
          </w:tcPr>
          <w:p w14:paraId="36D96A84" w14:textId="100C422F" w:rsidR="003D1C77" w:rsidRPr="003815D6" w:rsidRDefault="003D1C77" w:rsidP="005C3C1C">
            <w:pPr>
              <w:pStyle w:val="TableText"/>
              <w:rPr>
                <w:rFonts w:eastAsia="Calibri" w:cs="Segoe UI"/>
                <w:szCs w:val="20"/>
              </w:rPr>
            </w:pPr>
            <w:r w:rsidRPr="003815D6">
              <w:rPr>
                <w:rFonts w:eastAsia="Calibri" w:cs="Segoe UI"/>
                <w:szCs w:val="20"/>
              </w:rPr>
              <w:t>P1 or P2</w:t>
            </w:r>
            <w:r w:rsidRPr="003815D6">
              <w:rPr>
                <w:rFonts w:eastAsia="Calibri" w:cs="Segoe UI"/>
                <w:szCs w:val="20"/>
              </w:rPr>
              <w:br/>
              <w:t xml:space="preserve">(P2 is required for Azure </w:t>
            </w:r>
            <w:r w:rsidR="002953B7" w:rsidRPr="003815D6">
              <w:rPr>
                <w:rFonts w:eastAsia="Calibri" w:cs="Segoe UI"/>
                <w:szCs w:val="20"/>
              </w:rPr>
              <w:t xml:space="preserve">Active Directory </w:t>
            </w:r>
            <w:r w:rsidRPr="003815D6">
              <w:rPr>
                <w:rFonts w:eastAsia="Calibri" w:cs="Segoe UI"/>
                <w:szCs w:val="20"/>
              </w:rPr>
              <w:t>Identity Protection)</w:t>
            </w:r>
          </w:p>
        </w:tc>
        <w:tc>
          <w:tcPr>
            <w:tcW w:w="2525" w:type="dxa"/>
            <w:shd w:val="clear" w:color="auto" w:fill="auto"/>
          </w:tcPr>
          <w:p w14:paraId="4DD81F98" w14:textId="78366825" w:rsidR="003D1C77" w:rsidRPr="003815D6" w:rsidRDefault="003D1C77" w:rsidP="005C3C1C">
            <w:pPr>
              <w:pStyle w:val="TableText"/>
              <w:rPr>
                <w:rFonts w:eastAsia="Calibri" w:cs="Segoe UI"/>
                <w:szCs w:val="20"/>
              </w:rPr>
            </w:pPr>
            <w:r w:rsidRPr="003815D6">
              <w:rPr>
                <w:rFonts w:eastAsia="Calibri" w:cs="Segoe UI"/>
                <w:szCs w:val="20"/>
              </w:rPr>
              <w:t xml:space="preserve">Start of </w:t>
            </w:r>
            <w:r w:rsidR="00017A2C" w:rsidRPr="003815D6">
              <w:rPr>
                <w:rFonts w:eastAsia="Calibri" w:cs="Segoe UI"/>
                <w:szCs w:val="20"/>
              </w:rPr>
              <w:t xml:space="preserve">the </w:t>
            </w:r>
            <w:r w:rsidR="00473061" w:rsidRPr="003815D6">
              <w:rPr>
                <w:rFonts w:eastAsia="Calibri" w:cs="Segoe UI"/>
                <w:szCs w:val="20"/>
              </w:rPr>
              <w:t xml:space="preserve">Enable </w:t>
            </w:r>
            <w:r w:rsidRPr="003815D6">
              <w:rPr>
                <w:rFonts w:eastAsia="Calibri" w:cs="Segoe UI"/>
                <w:szCs w:val="20"/>
              </w:rPr>
              <w:t>phase</w:t>
            </w:r>
          </w:p>
        </w:tc>
      </w:tr>
      <w:tr w:rsidR="003D1C77" w:rsidRPr="003815D6" w14:paraId="563CD5A0" w14:textId="77777777" w:rsidTr="00C438B1">
        <w:trPr>
          <w:trHeight w:val="432"/>
        </w:trPr>
        <w:tc>
          <w:tcPr>
            <w:tcW w:w="1322" w:type="dxa"/>
            <w:vMerge/>
          </w:tcPr>
          <w:p w14:paraId="13035C63" w14:textId="77777777" w:rsidR="003D1C77" w:rsidRPr="003815D6" w:rsidRDefault="003D1C77" w:rsidP="005C3C1C">
            <w:pPr>
              <w:pStyle w:val="TableText"/>
              <w:rPr>
                <w:rFonts w:cs="Segoe UI"/>
                <w:szCs w:val="20"/>
              </w:rPr>
            </w:pPr>
          </w:p>
        </w:tc>
        <w:tc>
          <w:tcPr>
            <w:tcW w:w="2818" w:type="dxa"/>
            <w:shd w:val="clear" w:color="auto" w:fill="auto"/>
          </w:tcPr>
          <w:p w14:paraId="02FBFB4A" w14:textId="77777777" w:rsidR="003D1C77" w:rsidRPr="003815D6" w:rsidRDefault="003D1C77" w:rsidP="005C3C1C">
            <w:pPr>
              <w:pStyle w:val="TableText"/>
              <w:rPr>
                <w:rFonts w:eastAsia="Calibri" w:cs="Segoe UI"/>
                <w:szCs w:val="20"/>
              </w:rPr>
            </w:pPr>
            <w:r w:rsidRPr="003815D6">
              <w:rPr>
                <w:rFonts w:eastAsia="Calibri" w:cs="Segoe UI"/>
                <w:szCs w:val="20"/>
              </w:rPr>
              <w:t>Modern Office client</w:t>
            </w:r>
          </w:p>
        </w:tc>
        <w:tc>
          <w:tcPr>
            <w:tcW w:w="2694" w:type="dxa"/>
            <w:shd w:val="clear" w:color="auto" w:fill="auto"/>
          </w:tcPr>
          <w:p w14:paraId="17E3F7A3" w14:textId="119D5A59" w:rsidR="003D1C77" w:rsidRPr="003815D6" w:rsidRDefault="003D1C77" w:rsidP="005C3C1C">
            <w:pPr>
              <w:pStyle w:val="TableText"/>
              <w:rPr>
                <w:rFonts w:eastAsia="Calibri" w:cs="Segoe UI"/>
                <w:szCs w:val="20"/>
              </w:rPr>
            </w:pPr>
            <w:r w:rsidRPr="003815D6">
              <w:rPr>
                <w:rFonts w:eastAsia="Calibri" w:cs="Segoe UI"/>
                <w:szCs w:val="20"/>
              </w:rPr>
              <w:t xml:space="preserve">Office 2016 or </w:t>
            </w:r>
            <w:r w:rsidR="002953B7" w:rsidRPr="003815D6">
              <w:rPr>
                <w:rFonts w:eastAsia="Calibri" w:cs="Segoe UI"/>
                <w:szCs w:val="20"/>
              </w:rPr>
              <w:t xml:space="preserve">Office </w:t>
            </w:r>
            <w:r w:rsidRPr="003815D6">
              <w:rPr>
                <w:rFonts w:eastAsia="Calibri" w:cs="Segoe UI"/>
                <w:szCs w:val="20"/>
              </w:rPr>
              <w:t>2013</w:t>
            </w:r>
          </w:p>
        </w:tc>
        <w:tc>
          <w:tcPr>
            <w:tcW w:w="2525" w:type="dxa"/>
            <w:shd w:val="clear" w:color="auto" w:fill="auto"/>
          </w:tcPr>
          <w:p w14:paraId="1F9FF313" w14:textId="3199C4D7" w:rsidR="003D1C77" w:rsidRPr="003815D6" w:rsidRDefault="003D1C77" w:rsidP="005C3C1C">
            <w:pPr>
              <w:pStyle w:val="TableText"/>
              <w:rPr>
                <w:rFonts w:eastAsia="Calibri" w:cs="Segoe UI"/>
                <w:szCs w:val="20"/>
              </w:rPr>
            </w:pPr>
            <w:r w:rsidRPr="003815D6">
              <w:rPr>
                <w:rFonts w:eastAsia="Calibri" w:cs="Segoe UI"/>
                <w:szCs w:val="20"/>
              </w:rPr>
              <w:t xml:space="preserve">Start of </w:t>
            </w:r>
            <w:r w:rsidR="00017A2C" w:rsidRPr="003815D6">
              <w:rPr>
                <w:rFonts w:eastAsia="Calibri" w:cs="Segoe UI"/>
                <w:szCs w:val="20"/>
              </w:rPr>
              <w:t xml:space="preserve">the </w:t>
            </w:r>
            <w:r w:rsidR="00473061" w:rsidRPr="003815D6">
              <w:rPr>
                <w:rFonts w:eastAsia="Calibri" w:cs="Segoe UI"/>
                <w:szCs w:val="20"/>
              </w:rPr>
              <w:t xml:space="preserve">Enable </w:t>
            </w:r>
            <w:r w:rsidRPr="003815D6">
              <w:rPr>
                <w:rFonts w:eastAsia="Calibri" w:cs="Segoe UI"/>
                <w:szCs w:val="20"/>
              </w:rPr>
              <w:t>phase</w:t>
            </w:r>
          </w:p>
        </w:tc>
      </w:tr>
    </w:tbl>
    <w:p w14:paraId="74C070B6" w14:textId="00E2A5C2" w:rsidR="004230B2" w:rsidRPr="003815D6" w:rsidRDefault="004230B2" w:rsidP="00C84DD9">
      <w:pPr>
        <w:pStyle w:val="Heading3"/>
      </w:pPr>
      <w:bookmarkStart w:id="51" w:name="_Toc476168029"/>
      <w:r w:rsidRPr="003815D6">
        <w:t>Environments</w:t>
      </w:r>
      <w:bookmarkEnd w:id="51"/>
    </w:p>
    <w:p w14:paraId="15B0DE7F" w14:textId="77777777" w:rsidR="004230B2" w:rsidRPr="003815D6" w:rsidRDefault="4BAA7215" w:rsidP="00EA26FD">
      <w:r w:rsidRPr="003815D6">
        <w:t>The following environments will be required to deliver the project.</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72"/>
        <w:gridCol w:w="2106"/>
        <w:gridCol w:w="2107"/>
        <w:gridCol w:w="2107"/>
      </w:tblGrid>
      <w:tr w:rsidR="00AB1CA1" w:rsidRPr="003815D6" w14:paraId="3C69F20A" w14:textId="77777777" w:rsidTr="005C3C1C">
        <w:trPr>
          <w:trHeight w:val="360"/>
          <w:tblHeader/>
        </w:trPr>
        <w:tc>
          <w:tcPr>
            <w:tcW w:w="2972" w:type="dxa"/>
            <w:shd w:val="clear" w:color="auto" w:fill="008272"/>
          </w:tcPr>
          <w:p w14:paraId="3D5462A9" w14:textId="77777777" w:rsidR="003D1C77" w:rsidRPr="003815D6" w:rsidRDefault="003D1C77" w:rsidP="005C3C1C">
            <w:pPr>
              <w:pStyle w:val="Table-Header"/>
            </w:pPr>
            <w:r w:rsidRPr="003815D6">
              <w:t>Environment</w:t>
            </w:r>
          </w:p>
        </w:tc>
        <w:tc>
          <w:tcPr>
            <w:tcW w:w="2106" w:type="dxa"/>
            <w:shd w:val="clear" w:color="auto" w:fill="008272"/>
          </w:tcPr>
          <w:p w14:paraId="6959D3E5" w14:textId="77777777" w:rsidR="003D1C77" w:rsidRPr="003815D6" w:rsidRDefault="003D1C77" w:rsidP="005C3C1C">
            <w:pPr>
              <w:pStyle w:val="Table-Header"/>
            </w:pPr>
            <w:r w:rsidRPr="003815D6">
              <w:t>Location</w:t>
            </w:r>
          </w:p>
        </w:tc>
        <w:tc>
          <w:tcPr>
            <w:tcW w:w="2107" w:type="dxa"/>
            <w:shd w:val="clear" w:color="auto" w:fill="008272"/>
          </w:tcPr>
          <w:p w14:paraId="3622E49D" w14:textId="77777777" w:rsidR="003D1C77" w:rsidRPr="003815D6" w:rsidRDefault="003D1C77" w:rsidP="005C3C1C">
            <w:pPr>
              <w:pStyle w:val="Table-Header"/>
            </w:pPr>
            <w:r w:rsidRPr="003815D6">
              <w:t>Responsibility</w:t>
            </w:r>
          </w:p>
        </w:tc>
        <w:tc>
          <w:tcPr>
            <w:tcW w:w="2107" w:type="dxa"/>
            <w:shd w:val="clear" w:color="auto" w:fill="008272"/>
          </w:tcPr>
          <w:p w14:paraId="73A92E81" w14:textId="77777777" w:rsidR="003D1C77" w:rsidRPr="003815D6" w:rsidRDefault="003D1C77" w:rsidP="005C3C1C">
            <w:pPr>
              <w:pStyle w:val="Table-Header"/>
            </w:pPr>
            <w:r w:rsidRPr="003815D6">
              <w:t>Ready by</w:t>
            </w:r>
          </w:p>
        </w:tc>
      </w:tr>
      <w:tr w:rsidR="003D1C77" w:rsidRPr="003815D6" w14:paraId="136C3C5D" w14:textId="77777777" w:rsidTr="005C3C1C">
        <w:trPr>
          <w:trHeight w:val="437"/>
        </w:trPr>
        <w:tc>
          <w:tcPr>
            <w:tcW w:w="2972" w:type="dxa"/>
            <w:shd w:val="clear" w:color="auto" w:fill="auto"/>
          </w:tcPr>
          <w:p w14:paraId="4777481E" w14:textId="77777777" w:rsidR="003D1C77" w:rsidRPr="003815D6" w:rsidRDefault="003D1C77" w:rsidP="005C3C1C">
            <w:pPr>
              <w:pStyle w:val="TableText"/>
            </w:pPr>
            <w:r w:rsidRPr="003815D6">
              <w:t>Production</w:t>
            </w:r>
          </w:p>
        </w:tc>
        <w:tc>
          <w:tcPr>
            <w:tcW w:w="2106" w:type="dxa"/>
            <w:shd w:val="clear" w:color="auto" w:fill="auto"/>
          </w:tcPr>
          <w:p w14:paraId="4616829C" w14:textId="77777777" w:rsidR="003D1C77" w:rsidRPr="003815D6" w:rsidRDefault="003D1C77" w:rsidP="005C3C1C">
            <w:pPr>
              <w:pStyle w:val="TableText"/>
              <w:rPr>
                <w:rFonts w:ascii="Segoe UI Semilight" w:hAnsi="Segoe UI Semilight"/>
              </w:rPr>
            </w:pPr>
            <w:r w:rsidRPr="003815D6">
              <w:t>Customer</w:t>
            </w:r>
          </w:p>
        </w:tc>
        <w:tc>
          <w:tcPr>
            <w:tcW w:w="2107" w:type="dxa"/>
            <w:shd w:val="clear" w:color="auto" w:fill="auto"/>
          </w:tcPr>
          <w:p w14:paraId="689D8119" w14:textId="77777777" w:rsidR="003D1C77" w:rsidRPr="003815D6" w:rsidRDefault="003D1C77" w:rsidP="005C3C1C">
            <w:pPr>
              <w:pStyle w:val="TableText"/>
              <w:rPr>
                <w:rFonts w:ascii="Segoe UI Semilight" w:hAnsi="Segoe UI Semilight"/>
              </w:rPr>
            </w:pPr>
            <w:r w:rsidRPr="003815D6">
              <w:t>Customer</w:t>
            </w:r>
          </w:p>
        </w:tc>
        <w:tc>
          <w:tcPr>
            <w:tcW w:w="2107" w:type="dxa"/>
            <w:shd w:val="clear" w:color="auto" w:fill="auto"/>
          </w:tcPr>
          <w:p w14:paraId="7D6E8188" w14:textId="77777777" w:rsidR="003D1C77" w:rsidRPr="003815D6" w:rsidRDefault="003D1C77" w:rsidP="005C3C1C">
            <w:pPr>
              <w:pStyle w:val="TableText"/>
            </w:pPr>
            <w:r w:rsidRPr="003815D6">
              <w:t>Project start</w:t>
            </w:r>
          </w:p>
        </w:tc>
      </w:tr>
    </w:tbl>
    <w:p w14:paraId="56315882" w14:textId="77777777" w:rsidR="00D812F8" w:rsidRPr="003815D6" w:rsidRDefault="00D812F8" w:rsidP="00C84DD9">
      <w:pPr>
        <w:pStyle w:val="Heading3"/>
      </w:pPr>
      <w:bookmarkStart w:id="52" w:name="_Toc476168030"/>
      <w:bookmarkStart w:id="53" w:name="_Ref477932815"/>
      <w:r w:rsidRPr="003815D6">
        <w:lastRenderedPageBreak/>
        <w:t>Testing</w:t>
      </w:r>
      <w:r w:rsidR="008C6B1A" w:rsidRPr="003815D6">
        <w:t xml:space="preserve"> and defect remediation</w:t>
      </w:r>
      <w:bookmarkEnd w:id="52"/>
      <w:bookmarkEnd w:id="53"/>
    </w:p>
    <w:p w14:paraId="06D74332" w14:textId="77777777" w:rsidR="00DB3CDA" w:rsidRPr="003815D6" w:rsidRDefault="4BAA7215" w:rsidP="00BD3F15">
      <w:pPr>
        <w:pStyle w:val="Heading4"/>
      </w:pPr>
      <w:r w:rsidRPr="003815D6">
        <w:t>Testing</w:t>
      </w:r>
    </w:p>
    <w:p w14:paraId="0EA92271" w14:textId="77777777" w:rsidR="009D20B0" w:rsidRDefault="00FA3D21" w:rsidP="00FF4E50">
      <w:r w:rsidRPr="003815D6">
        <w:t xml:space="preserve">The following testing is included in </w:t>
      </w:r>
      <w:r w:rsidR="00895AD2" w:rsidRPr="003815D6">
        <w:t xml:space="preserve">the </w:t>
      </w:r>
      <w:r w:rsidRPr="003815D6">
        <w:t xml:space="preserve">scope </w:t>
      </w:r>
      <w:r w:rsidR="00895AD2" w:rsidRPr="003815D6">
        <w:t xml:space="preserve">of </w:t>
      </w:r>
      <w:r w:rsidRPr="003815D6">
        <w:t>the project</w:t>
      </w:r>
      <w:r w:rsidR="003C1EDE" w:rsidRPr="003815D6">
        <w:t>.</w:t>
      </w:r>
      <w:r w:rsidR="00EA26FD" w:rsidRPr="003815D6">
        <w:t xml:space="preserve"> </w:t>
      </w:r>
    </w:p>
    <w:p w14:paraId="0B397B9B" w14:textId="5B9B88FE" w:rsidR="00FA3D21" w:rsidRPr="003815D6" w:rsidRDefault="009D20B0" w:rsidP="00FF4E50">
      <w:r>
        <w:t xml:space="preserve">Should the </w:t>
      </w:r>
      <w:r w:rsidR="009633F4" w:rsidRPr="003815D6">
        <w:t>c</w:t>
      </w:r>
      <w:r w:rsidR="00A6780F" w:rsidRPr="003815D6">
        <w:t xml:space="preserve">ustomer </w:t>
      </w:r>
      <w:r>
        <w:t>be responsible for testing</w:t>
      </w:r>
      <w:r w:rsidR="00A6780F" w:rsidRPr="003815D6">
        <w:t>, the Microsoft effort to support that activity is identified</w:t>
      </w:r>
      <w:r w:rsidR="00E06254" w:rsidRPr="003815D6">
        <w:t>. I</w:t>
      </w:r>
      <w:r w:rsidR="00D17C12" w:rsidRPr="003815D6">
        <w:t>f additional time is needed for Microsoft test</w:t>
      </w:r>
      <w:r w:rsidR="00ED7049" w:rsidRPr="003815D6">
        <w:t>ing</w:t>
      </w:r>
      <w:r w:rsidR="00D17C12" w:rsidRPr="003815D6">
        <w:t xml:space="preserve"> support, </w:t>
      </w:r>
      <w:r w:rsidR="00E06254" w:rsidRPr="003815D6">
        <w:t xml:space="preserve">then </w:t>
      </w:r>
      <w:r w:rsidR="00667E45" w:rsidRPr="003815D6">
        <w:t xml:space="preserve">it </w:t>
      </w:r>
      <w:r w:rsidR="003F6207" w:rsidRPr="003815D6">
        <w:t xml:space="preserve">can be requested through the </w:t>
      </w:r>
      <w:r w:rsidR="00667E45" w:rsidRPr="003815D6">
        <w:fldChar w:fldCharType="begin"/>
      </w:r>
      <w:r w:rsidR="00667E45" w:rsidRPr="003815D6">
        <w:instrText xml:space="preserve"> REF _Ref477866682 \h </w:instrText>
      </w:r>
      <w:r w:rsidR="00667E45" w:rsidRPr="003815D6">
        <w:fldChar w:fldCharType="separate"/>
      </w:r>
      <w:r w:rsidR="00664262" w:rsidRPr="003815D6">
        <w:t>Change management process</w:t>
      </w:r>
      <w:r w:rsidR="00667E45" w:rsidRPr="003815D6">
        <w:fldChar w:fldCharType="end"/>
      </w:r>
      <w:r w:rsidR="00667E45" w:rsidRPr="003815D6">
        <w:t xml:space="preserve"> </w:t>
      </w:r>
      <w:r w:rsidR="00D17C12" w:rsidRPr="003815D6">
        <w:t xml:space="preserve">described in this </w:t>
      </w:r>
      <w:r w:rsidR="003F6207" w:rsidRPr="003815D6">
        <w:t>S</w:t>
      </w:r>
      <w:r w:rsidR="00E40CE7" w:rsidRPr="003815D6">
        <w:t>OW</w:t>
      </w:r>
      <w:r w:rsidR="003F6207" w:rsidRPr="003815D6">
        <w:t>.</w:t>
      </w:r>
    </w:p>
    <w:tbl>
      <w:tblPr>
        <w:tblStyle w:val="TableGrid1"/>
        <w:tblW w:w="5000" w:type="pct"/>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1571"/>
        <w:gridCol w:w="1757"/>
        <w:gridCol w:w="2428"/>
        <w:gridCol w:w="1351"/>
        <w:gridCol w:w="1175"/>
        <w:gridCol w:w="1072"/>
      </w:tblGrid>
      <w:tr w:rsidR="00B15FA2" w:rsidRPr="00C438B1" w14:paraId="35747662" w14:textId="77777777" w:rsidTr="00084596">
        <w:trPr>
          <w:trHeight w:val="362"/>
          <w:tblHeader/>
        </w:trPr>
        <w:tc>
          <w:tcPr>
            <w:tcW w:w="840" w:type="pct"/>
            <w:vMerge w:val="restart"/>
            <w:shd w:val="clear" w:color="auto" w:fill="008272"/>
          </w:tcPr>
          <w:p w14:paraId="3747A3C1" w14:textId="5B652E6A" w:rsidR="00B15FA2" w:rsidRPr="00C438B1" w:rsidRDefault="00B15FA2" w:rsidP="00B44F57">
            <w:pPr>
              <w:pStyle w:val="Table-Header"/>
            </w:pPr>
            <w:r w:rsidRPr="00C438B1">
              <w:rPr>
                <w:rFonts w:cs="Segoe UI"/>
                <w:szCs w:val="20"/>
              </w:rPr>
              <w:t>Component ID</w:t>
            </w:r>
            <w:r w:rsidRPr="00C438B1" w:rsidDel="00BC256F">
              <w:t xml:space="preserve"> </w:t>
            </w:r>
          </w:p>
        </w:tc>
        <w:tc>
          <w:tcPr>
            <w:tcW w:w="939" w:type="pct"/>
            <w:vMerge w:val="restart"/>
            <w:shd w:val="clear" w:color="auto" w:fill="008272"/>
          </w:tcPr>
          <w:p w14:paraId="10C286B5" w14:textId="0E06362A" w:rsidR="00B15FA2" w:rsidRPr="00C438B1" w:rsidRDefault="00B15FA2" w:rsidP="00B44F57">
            <w:pPr>
              <w:pStyle w:val="Table-Header"/>
            </w:pPr>
            <w:r w:rsidRPr="00C438B1">
              <w:t xml:space="preserve">Test type </w:t>
            </w:r>
            <w:r>
              <w:br/>
            </w:r>
            <w:r w:rsidRPr="00C438B1">
              <w:t>(environment)</w:t>
            </w:r>
          </w:p>
        </w:tc>
        <w:tc>
          <w:tcPr>
            <w:tcW w:w="1298" w:type="pct"/>
            <w:vMerge w:val="restart"/>
            <w:shd w:val="clear" w:color="auto" w:fill="008272"/>
          </w:tcPr>
          <w:p w14:paraId="5261F0AA" w14:textId="5737BFB6" w:rsidR="00B15FA2" w:rsidRPr="00C438B1" w:rsidRDefault="00B15FA2" w:rsidP="00B44F57">
            <w:pPr>
              <w:pStyle w:val="Table-Header"/>
            </w:pPr>
            <w:r w:rsidRPr="00C438B1">
              <w:t>Description</w:t>
            </w:r>
          </w:p>
        </w:tc>
        <w:tc>
          <w:tcPr>
            <w:tcW w:w="1923" w:type="pct"/>
            <w:gridSpan w:val="3"/>
            <w:shd w:val="clear" w:color="auto" w:fill="008272"/>
          </w:tcPr>
          <w:p w14:paraId="125A8386" w14:textId="77777777" w:rsidR="00B15FA2" w:rsidRPr="00C438B1" w:rsidRDefault="00B15FA2" w:rsidP="00B44F57">
            <w:pPr>
              <w:pStyle w:val="Table-Header"/>
              <w:rPr>
                <w:szCs w:val="18"/>
              </w:rPr>
            </w:pPr>
            <w:r w:rsidRPr="00C438B1">
              <w:t>Responsibility</w:t>
            </w:r>
          </w:p>
        </w:tc>
      </w:tr>
      <w:tr w:rsidR="00B15FA2" w:rsidRPr="00C438B1" w14:paraId="4C698308" w14:textId="77777777" w:rsidTr="00084596">
        <w:trPr>
          <w:trHeight w:val="362"/>
          <w:tblHeader/>
        </w:trPr>
        <w:tc>
          <w:tcPr>
            <w:tcW w:w="840" w:type="pct"/>
            <w:vMerge/>
            <w:shd w:val="clear" w:color="auto" w:fill="008272"/>
          </w:tcPr>
          <w:p w14:paraId="4FEE6B1D" w14:textId="77777777" w:rsidR="00B15FA2" w:rsidRPr="00C438B1" w:rsidRDefault="00B15FA2" w:rsidP="00B44F57">
            <w:pPr>
              <w:pStyle w:val="Table-Header"/>
            </w:pPr>
          </w:p>
        </w:tc>
        <w:tc>
          <w:tcPr>
            <w:tcW w:w="939" w:type="pct"/>
            <w:vMerge/>
            <w:shd w:val="clear" w:color="auto" w:fill="008272"/>
          </w:tcPr>
          <w:p w14:paraId="20C7EEC6" w14:textId="0380AE61" w:rsidR="00B15FA2" w:rsidRPr="00B15FA2" w:rsidRDefault="00B15FA2" w:rsidP="00B44F57">
            <w:pPr>
              <w:pStyle w:val="Table-Header"/>
              <w:rPr>
                <w:b w:val="0"/>
              </w:rPr>
            </w:pPr>
          </w:p>
        </w:tc>
        <w:tc>
          <w:tcPr>
            <w:tcW w:w="1298" w:type="pct"/>
            <w:vMerge/>
            <w:shd w:val="clear" w:color="auto" w:fill="008272"/>
          </w:tcPr>
          <w:p w14:paraId="08900564" w14:textId="11B67C36" w:rsidR="00B15FA2" w:rsidRPr="00C438B1" w:rsidRDefault="00B15FA2" w:rsidP="00B44F57">
            <w:pPr>
              <w:pStyle w:val="Table-Header"/>
            </w:pPr>
          </w:p>
        </w:tc>
        <w:tc>
          <w:tcPr>
            <w:tcW w:w="722" w:type="pct"/>
            <w:shd w:val="clear" w:color="auto" w:fill="008272"/>
          </w:tcPr>
          <w:p w14:paraId="182B763E" w14:textId="77777777" w:rsidR="00B15FA2" w:rsidRPr="00C438B1" w:rsidRDefault="00B15FA2" w:rsidP="4BAA7215">
            <w:pPr>
              <w:pStyle w:val="Table-Header"/>
              <w:rPr>
                <w:b w:val="0"/>
                <w:sz w:val="18"/>
                <w:szCs w:val="18"/>
              </w:rPr>
            </w:pPr>
            <w:r w:rsidRPr="00C438B1">
              <w:rPr>
                <w:b w:val="0"/>
                <w:sz w:val="18"/>
                <w:szCs w:val="18"/>
              </w:rPr>
              <w:t xml:space="preserve">Has responsibility </w:t>
            </w:r>
            <w:r w:rsidRPr="00C438B1">
              <w:br/>
            </w:r>
            <w:r w:rsidRPr="00C438B1">
              <w:rPr>
                <w:b w:val="0"/>
                <w:sz w:val="18"/>
                <w:szCs w:val="18"/>
              </w:rPr>
              <w:t>for testing?</w:t>
            </w:r>
          </w:p>
        </w:tc>
        <w:tc>
          <w:tcPr>
            <w:tcW w:w="628" w:type="pct"/>
            <w:shd w:val="clear" w:color="auto" w:fill="008272"/>
          </w:tcPr>
          <w:p w14:paraId="5663E2BE" w14:textId="77777777" w:rsidR="00B15FA2" w:rsidRPr="00C438B1" w:rsidRDefault="00B15FA2" w:rsidP="4BAA7215">
            <w:pPr>
              <w:pStyle w:val="Table-Header"/>
              <w:rPr>
                <w:b w:val="0"/>
                <w:sz w:val="18"/>
                <w:szCs w:val="18"/>
              </w:rPr>
            </w:pPr>
            <w:r w:rsidRPr="00C438B1">
              <w:rPr>
                <w:b w:val="0"/>
                <w:sz w:val="18"/>
                <w:szCs w:val="18"/>
              </w:rPr>
              <w:t>Provides data or test cases</w:t>
            </w:r>
          </w:p>
        </w:tc>
        <w:tc>
          <w:tcPr>
            <w:tcW w:w="573" w:type="pct"/>
            <w:shd w:val="clear" w:color="auto" w:fill="008272"/>
          </w:tcPr>
          <w:p w14:paraId="50FE7208" w14:textId="77777777" w:rsidR="00B15FA2" w:rsidRPr="00C438B1" w:rsidRDefault="00B15FA2" w:rsidP="4BAA7215">
            <w:pPr>
              <w:pStyle w:val="Table-Header"/>
              <w:rPr>
                <w:b w:val="0"/>
                <w:sz w:val="18"/>
                <w:szCs w:val="18"/>
              </w:rPr>
            </w:pPr>
            <w:r w:rsidRPr="00C438B1">
              <w:rPr>
                <w:b w:val="0"/>
                <w:sz w:val="18"/>
                <w:szCs w:val="18"/>
              </w:rPr>
              <w:t>Provides guidance and support</w:t>
            </w:r>
          </w:p>
        </w:tc>
      </w:tr>
      <w:tr w:rsidR="00BC256F" w:rsidRPr="003815D6" w14:paraId="1120EA3B" w14:textId="77777777" w:rsidTr="00084596">
        <w:trPr>
          <w:trHeight w:val="362"/>
        </w:trPr>
        <w:tc>
          <w:tcPr>
            <w:tcW w:w="840" w:type="pct"/>
            <w:shd w:val="clear" w:color="auto" w:fill="auto"/>
          </w:tcPr>
          <w:p w14:paraId="06D4B9DA" w14:textId="03BC2543" w:rsidR="00BC256F" w:rsidRPr="00C438B1" w:rsidRDefault="00CE2DE0" w:rsidP="003D1C77">
            <w:pPr>
              <w:pStyle w:val="TableText"/>
            </w:pPr>
            <w:r w:rsidRPr="00C438B1">
              <w:rPr>
                <w:rFonts w:eastAsia="Calibri"/>
              </w:rPr>
              <w:t>All</w:t>
            </w:r>
          </w:p>
        </w:tc>
        <w:tc>
          <w:tcPr>
            <w:tcW w:w="939" w:type="pct"/>
          </w:tcPr>
          <w:p w14:paraId="2E5BDC2B" w14:textId="7DB18DE3" w:rsidR="00BC256F" w:rsidRPr="00C438B1" w:rsidRDefault="00BC256F" w:rsidP="003D1C77">
            <w:pPr>
              <w:pStyle w:val="TableText"/>
              <w:rPr>
                <w:rFonts w:eastAsia="Calibri"/>
              </w:rPr>
            </w:pPr>
            <w:r w:rsidRPr="00C438B1">
              <w:rPr>
                <w:rFonts w:eastAsia="Calibri"/>
              </w:rPr>
              <w:t>Validation testing (production)</w:t>
            </w:r>
          </w:p>
        </w:tc>
        <w:tc>
          <w:tcPr>
            <w:tcW w:w="1298" w:type="pct"/>
            <w:shd w:val="clear" w:color="auto" w:fill="auto"/>
          </w:tcPr>
          <w:p w14:paraId="29EAA1E9" w14:textId="311FDC86" w:rsidR="00BC256F" w:rsidRPr="00C438B1" w:rsidRDefault="00BC256F" w:rsidP="003D1C77">
            <w:pPr>
              <w:pStyle w:val="TableText"/>
            </w:pPr>
            <w:r w:rsidRPr="00C438B1">
              <w:rPr>
                <w:rFonts w:eastAsia="Calibri"/>
              </w:rPr>
              <w:t>Test cases will be run in the production environment to validate that the implemented solution is functioning as designed. All testing will occur in the production environment unless otherwise specified.</w:t>
            </w:r>
          </w:p>
        </w:tc>
        <w:tc>
          <w:tcPr>
            <w:tcW w:w="722" w:type="pct"/>
            <w:shd w:val="clear" w:color="auto" w:fill="FFFFFF" w:themeFill="background1"/>
          </w:tcPr>
          <w:p w14:paraId="29522696" w14:textId="77777777" w:rsidR="00BC256F" w:rsidRPr="00C438B1" w:rsidRDefault="00BC256F" w:rsidP="003D1C77">
            <w:pPr>
              <w:pStyle w:val="TableText"/>
            </w:pPr>
            <w:r w:rsidRPr="00C438B1">
              <w:rPr>
                <w:rFonts w:eastAsia="Calibri"/>
              </w:rPr>
              <w:t>Microsoft</w:t>
            </w:r>
          </w:p>
        </w:tc>
        <w:tc>
          <w:tcPr>
            <w:tcW w:w="628" w:type="pct"/>
            <w:shd w:val="clear" w:color="auto" w:fill="FFFFFF" w:themeFill="background1"/>
          </w:tcPr>
          <w:p w14:paraId="4F9F1225" w14:textId="77777777" w:rsidR="00BC256F" w:rsidRPr="00C438B1" w:rsidRDefault="00BC256F" w:rsidP="003D1C77">
            <w:pPr>
              <w:pStyle w:val="TableText"/>
            </w:pPr>
            <w:r w:rsidRPr="00C438B1">
              <w:rPr>
                <w:rFonts w:eastAsia="Calibri"/>
              </w:rPr>
              <w:t>Microsoft</w:t>
            </w:r>
          </w:p>
        </w:tc>
        <w:tc>
          <w:tcPr>
            <w:tcW w:w="573" w:type="pct"/>
            <w:shd w:val="clear" w:color="auto" w:fill="FFFFFF" w:themeFill="background1"/>
          </w:tcPr>
          <w:p w14:paraId="2488047D" w14:textId="77777777" w:rsidR="00BC256F" w:rsidRPr="003815D6" w:rsidRDefault="00BC256F" w:rsidP="003D1C77">
            <w:pPr>
              <w:pStyle w:val="TableText"/>
            </w:pPr>
            <w:r w:rsidRPr="00C438B1">
              <w:rPr>
                <w:rFonts w:eastAsia="Calibri"/>
              </w:rPr>
              <w:t>Customer</w:t>
            </w:r>
          </w:p>
        </w:tc>
      </w:tr>
    </w:tbl>
    <w:p w14:paraId="36C6A377" w14:textId="77777777" w:rsidR="003E7B6A" w:rsidRPr="003815D6" w:rsidRDefault="4BAA7215" w:rsidP="00BD3F15">
      <w:pPr>
        <w:pStyle w:val="Heading4"/>
      </w:pPr>
      <w:r w:rsidRPr="003815D6">
        <w:t>Defect remediation</w:t>
      </w:r>
    </w:p>
    <w:p w14:paraId="7D79D163" w14:textId="30085FDA" w:rsidR="008C6B1A" w:rsidRPr="003815D6" w:rsidRDefault="4BAA7215" w:rsidP="003E7B6A">
      <w:r w:rsidRPr="003815D6">
        <w:t>If defects are identified during testing, the priority of the item will be jointly agreed</w:t>
      </w:r>
      <w:r w:rsidR="000432CD" w:rsidRPr="003815D6">
        <w:t>-</w:t>
      </w:r>
      <w:r w:rsidRPr="003815D6">
        <w:t>upon by the Customer and Microsoft. Defect prioritization is defined in the following table.</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082"/>
        <w:gridCol w:w="5042"/>
        <w:gridCol w:w="3238"/>
      </w:tblGrid>
      <w:tr w:rsidR="00D863DF" w:rsidRPr="003815D6" w14:paraId="4ECF037B" w14:textId="77777777" w:rsidTr="00EC68DA">
        <w:trPr>
          <w:trHeight w:val="508"/>
          <w:tblHeader/>
        </w:trPr>
        <w:tc>
          <w:tcPr>
            <w:tcW w:w="1082" w:type="dxa"/>
            <w:shd w:val="clear" w:color="auto" w:fill="008272"/>
          </w:tcPr>
          <w:p w14:paraId="4562B5E8" w14:textId="77777777" w:rsidR="000D4E93" w:rsidRPr="003815D6" w:rsidRDefault="4BAA7215" w:rsidP="00B44F57">
            <w:pPr>
              <w:pStyle w:val="Table-Header"/>
            </w:pPr>
            <w:r w:rsidRPr="003815D6">
              <w:t>Priority</w:t>
            </w:r>
          </w:p>
        </w:tc>
        <w:tc>
          <w:tcPr>
            <w:tcW w:w="5042" w:type="dxa"/>
            <w:shd w:val="clear" w:color="auto" w:fill="008272"/>
          </w:tcPr>
          <w:p w14:paraId="76E95155" w14:textId="77777777" w:rsidR="000D4E93" w:rsidRPr="003815D6" w:rsidRDefault="4BAA7215" w:rsidP="00B44F57">
            <w:pPr>
              <w:pStyle w:val="Table-Header"/>
            </w:pPr>
            <w:r w:rsidRPr="003815D6">
              <w:t>Description</w:t>
            </w:r>
          </w:p>
        </w:tc>
        <w:tc>
          <w:tcPr>
            <w:tcW w:w="3238" w:type="dxa"/>
            <w:shd w:val="clear" w:color="auto" w:fill="008272"/>
          </w:tcPr>
          <w:p w14:paraId="6FE211BA" w14:textId="77777777" w:rsidR="000D4E93" w:rsidRPr="003815D6" w:rsidRDefault="4BAA7215" w:rsidP="00B44F57">
            <w:pPr>
              <w:pStyle w:val="Table-Header"/>
            </w:pPr>
            <w:r w:rsidRPr="003815D6">
              <w:t>Remediation in scope?</w:t>
            </w:r>
          </w:p>
        </w:tc>
      </w:tr>
      <w:tr w:rsidR="00D863DF" w:rsidRPr="003815D6" w14:paraId="1EAB248A" w14:textId="77777777" w:rsidTr="00EC68DA">
        <w:trPr>
          <w:trHeight w:val="432"/>
        </w:trPr>
        <w:tc>
          <w:tcPr>
            <w:tcW w:w="1082" w:type="dxa"/>
            <w:shd w:val="clear" w:color="auto" w:fill="auto"/>
          </w:tcPr>
          <w:p w14:paraId="76C569B6" w14:textId="77777777" w:rsidR="000D4E93" w:rsidRPr="003815D6" w:rsidRDefault="4BAA7215" w:rsidP="00117AE2">
            <w:pPr>
              <w:pStyle w:val="TableText"/>
            </w:pPr>
            <w:r w:rsidRPr="003815D6">
              <w:t>P1</w:t>
            </w:r>
          </w:p>
        </w:tc>
        <w:tc>
          <w:tcPr>
            <w:tcW w:w="5042" w:type="dxa"/>
            <w:shd w:val="clear" w:color="auto" w:fill="FFFFFF" w:themeFill="background1"/>
          </w:tcPr>
          <w:p w14:paraId="0E7557C4" w14:textId="77777777" w:rsidR="000D4E93" w:rsidRPr="003815D6" w:rsidRDefault="4BAA7215" w:rsidP="4BAA7215">
            <w:pPr>
              <w:pStyle w:val="TableText"/>
              <w:rPr>
                <w:rFonts w:ascii="Segoe UI Semilight" w:hAnsi="Segoe UI Semilight"/>
              </w:rPr>
            </w:pPr>
            <w:r w:rsidRPr="003815D6">
              <w:rPr>
                <w:rFonts w:cs="Segoe UI"/>
                <w:b/>
                <w:bCs/>
              </w:rPr>
              <w:t>Blocking defect</w:t>
            </w:r>
            <w:r w:rsidRPr="003815D6">
              <w:rPr>
                <w:rFonts w:cs="Segoe UI"/>
              </w:rPr>
              <w:t xml:space="preserve"> </w:t>
            </w:r>
            <w:r w:rsidR="00D17C12" w:rsidRPr="003815D6">
              <w:br/>
            </w:r>
            <w:r w:rsidRPr="003815D6">
              <w:rPr>
                <w:rFonts w:cs="Segoe UI"/>
              </w:rPr>
              <w:t>Development, testing, or production launch cannot proceed until this type of defect is corrected. A defect of this type blocks further progress in this area. The solution cannot ship and the project team cannot achieve the next milestone until such a defect is corrected.</w:t>
            </w:r>
          </w:p>
        </w:tc>
        <w:tc>
          <w:tcPr>
            <w:tcW w:w="3238" w:type="dxa"/>
            <w:shd w:val="clear" w:color="auto" w:fill="FFFFFF" w:themeFill="background1"/>
          </w:tcPr>
          <w:p w14:paraId="46B4BC5D" w14:textId="77777777" w:rsidR="000D4E93" w:rsidRPr="003815D6" w:rsidRDefault="4BAA7215" w:rsidP="00117AE2">
            <w:pPr>
              <w:pStyle w:val="TableText"/>
            </w:pPr>
            <w:r w:rsidRPr="003815D6">
              <w:t>Yes</w:t>
            </w:r>
          </w:p>
        </w:tc>
      </w:tr>
      <w:tr w:rsidR="00D863DF" w:rsidRPr="003815D6" w14:paraId="2ABBC0C1" w14:textId="77777777" w:rsidTr="00EC68DA">
        <w:trPr>
          <w:trHeight w:val="432"/>
        </w:trPr>
        <w:tc>
          <w:tcPr>
            <w:tcW w:w="1082" w:type="dxa"/>
            <w:shd w:val="clear" w:color="auto" w:fill="auto"/>
          </w:tcPr>
          <w:p w14:paraId="26A57310" w14:textId="77777777" w:rsidR="000D4E93" w:rsidRPr="003815D6" w:rsidRDefault="4BAA7215" w:rsidP="00117AE2">
            <w:pPr>
              <w:pStyle w:val="TableText"/>
            </w:pPr>
            <w:r w:rsidRPr="003815D6">
              <w:t>P2</w:t>
            </w:r>
          </w:p>
        </w:tc>
        <w:tc>
          <w:tcPr>
            <w:tcW w:w="5042" w:type="dxa"/>
            <w:shd w:val="clear" w:color="auto" w:fill="FFFFFF" w:themeFill="background1"/>
          </w:tcPr>
          <w:p w14:paraId="343BF7BE" w14:textId="77777777" w:rsidR="000D4E93" w:rsidRPr="003815D6" w:rsidRDefault="4BAA7215" w:rsidP="4BAA7215">
            <w:pPr>
              <w:pStyle w:val="TableText"/>
              <w:rPr>
                <w:rFonts w:ascii="Segoe UI Semilight" w:hAnsi="Segoe UI Semilight"/>
              </w:rPr>
            </w:pPr>
            <w:r w:rsidRPr="003815D6">
              <w:rPr>
                <w:rFonts w:cs="Segoe UI"/>
                <w:b/>
                <w:bCs/>
              </w:rPr>
              <w:t>Significant defect</w:t>
            </w:r>
            <w:r w:rsidR="000D4E93" w:rsidRPr="003815D6">
              <w:br/>
            </w:r>
            <w:r w:rsidRPr="003815D6">
              <w:t>This type of defect must be fixed prior to moving to production. Such a defect, however, will not affect test plan implementation.</w:t>
            </w:r>
          </w:p>
        </w:tc>
        <w:tc>
          <w:tcPr>
            <w:tcW w:w="3238" w:type="dxa"/>
            <w:shd w:val="clear" w:color="auto" w:fill="FFFFFF" w:themeFill="background1"/>
          </w:tcPr>
          <w:p w14:paraId="7B9C0013" w14:textId="77777777" w:rsidR="000D4E93" w:rsidRPr="003815D6" w:rsidRDefault="4BAA7215" w:rsidP="00117AE2">
            <w:pPr>
              <w:pStyle w:val="TableText"/>
            </w:pPr>
            <w:r w:rsidRPr="003815D6">
              <w:t>Yes</w:t>
            </w:r>
          </w:p>
        </w:tc>
      </w:tr>
      <w:tr w:rsidR="00D863DF" w:rsidRPr="003815D6" w14:paraId="6D575FF6" w14:textId="77777777" w:rsidTr="00EC68DA">
        <w:trPr>
          <w:trHeight w:val="432"/>
        </w:trPr>
        <w:tc>
          <w:tcPr>
            <w:tcW w:w="1082" w:type="dxa"/>
            <w:shd w:val="clear" w:color="auto" w:fill="auto"/>
          </w:tcPr>
          <w:p w14:paraId="7FDE7CA8" w14:textId="77777777" w:rsidR="000D4E93" w:rsidRPr="003815D6" w:rsidRDefault="4BAA7215" w:rsidP="00117AE2">
            <w:pPr>
              <w:pStyle w:val="TableText"/>
            </w:pPr>
            <w:r w:rsidRPr="003815D6">
              <w:t>P3</w:t>
            </w:r>
          </w:p>
        </w:tc>
        <w:tc>
          <w:tcPr>
            <w:tcW w:w="5042" w:type="dxa"/>
            <w:shd w:val="clear" w:color="auto" w:fill="FFFFFF" w:themeFill="background1"/>
          </w:tcPr>
          <w:p w14:paraId="1561435A" w14:textId="77777777" w:rsidR="000D4E93" w:rsidRPr="003815D6" w:rsidRDefault="4BAA7215" w:rsidP="00117AE2">
            <w:pPr>
              <w:pStyle w:val="TableText"/>
            </w:pPr>
            <w:r w:rsidRPr="003815D6">
              <w:rPr>
                <w:rFonts w:cs="Segoe UI"/>
                <w:b/>
                <w:bCs/>
              </w:rPr>
              <w:t>Important defect</w:t>
            </w:r>
            <w:r w:rsidR="000D4E93" w:rsidRPr="003815D6">
              <w:br/>
            </w:r>
            <w:r w:rsidRPr="003815D6">
              <w:t xml:space="preserve">It is important to correct this type of defect. However, </w:t>
            </w:r>
            <w:r w:rsidRPr="003815D6">
              <w:lastRenderedPageBreak/>
              <w:t>it is possible to move forward into production through the use of a workaround.</w:t>
            </w:r>
          </w:p>
        </w:tc>
        <w:tc>
          <w:tcPr>
            <w:tcW w:w="3238" w:type="dxa"/>
            <w:shd w:val="clear" w:color="auto" w:fill="FFFFFF" w:themeFill="background1"/>
          </w:tcPr>
          <w:p w14:paraId="4F619329" w14:textId="77777777" w:rsidR="000D4E93" w:rsidRPr="003815D6" w:rsidRDefault="4BAA7215" w:rsidP="00117AE2">
            <w:pPr>
              <w:pStyle w:val="TableText"/>
            </w:pPr>
            <w:r w:rsidRPr="003815D6">
              <w:lastRenderedPageBreak/>
              <w:t xml:space="preserve">No; the problem will be logged. Remediation will be performed </w:t>
            </w:r>
            <w:r w:rsidRPr="003815D6">
              <w:lastRenderedPageBreak/>
              <w:t>through an agreed-upon change request only.</w:t>
            </w:r>
          </w:p>
        </w:tc>
      </w:tr>
      <w:tr w:rsidR="00D863DF" w:rsidRPr="003815D6" w14:paraId="3402A3A9" w14:textId="77777777" w:rsidTr="00EC68DA">
        <w:trPr>
          <w:trHeight w:val="432"/>
        </w:trPr>
        <w:tc>
          <w:tcPr>
            <w:tcW w:w="1082" w:type="dxa"/>
            <w:shd w:val="clear" w:color="auto" w:fill="auto"/>
          </w:tcPr>
          <w:p w14:paraId="4C0958ED" w14:textId="77777777" w:rsidR="000D4E93" w:rsidRPr="003815D6" w:rsidRDefault="4BAA7215" w:rsidP="00117AE2">
            <w:pPr>
              <w:pStyle w:val="TableText"/>
            </w:pPr>
            <w:r w:rsidRPr="003815D6">
              <w:lastRenderedPageBreak/>
              <w:t>P4</w:t>
            </w:r>
          </w:p>
        </w:tc>
        <w:tc>
          <w:tcPr>
            <w:tcW w:w="5042" w:type="dxa"/>
            <w:shd w:val="clear" w:color="auto" w:fill="FFFFFF" w:themeFill="background1"/>
          </w:tcPr>
          <w:p w14:paraId="1DA55FFB" w14:textId="77777777" w:rsidR="000D4E93" w:rsidRPr="003815D6" w:rsidRDefault="4BAA7215" w:rsidP="4BAA7215">
            <w:pPr>
              <w:pStyle w:val="TableText"/>
              <w:rPr>
                <w:b/>
                <w:bCs/>
              </w:rPr>
            </w:pPr>
            <w:r w:rsidRPr="003815D6">
              <w:rPr>
                <w:rFonts w:cs="Segoe UI"/>
                <w:b/>
                <w:bCs/>
              </w:rPr>
              <w:t>Enhancements and low priority defects</w:t>
            </w:r>
            <w:r w:rsidR="000D4E93" w:rsidRPr="003815D6">
              <w:br/>
            </w:r>
            <w:r w:rsidRPr="003815D6">
              <w:t>P4 defects consist of feature enhancement and cosmetic defects. These include design requests that vary from original concepts.</w:t>
            </w:r>
          </w:p>
        </w:tc>
        <w:tc>
          <w:tcPr>
            <w:tcW w:w="3238" w:type="dxa"/>
            <w:shd w:val="clear" w:color="auto" w:fill="FFFFFF" w:themeFill="background1"/>
          </w:tcPr>
          <w:p w14:paraId="6C5FD887" w14:textId="77777777" w:rsidR="000D4E93" w:rsidRPr="003815D6" w:rsidRDefault="4BAA7215" w:rsidP="00117AE2">
            <w:pPr>
              <w:pStyle w:val="TableText"/>
            </w:pPr>
            <w:r w:rsidRPr="003815D6">
              <w:t>No; the problem will be logged. Remediation will be performed through an agreed-upon change request only.</w:t>
            </w:r>
          </w:p>
        </w:tc>
      </w:tr>
    </w:tbl>
    <w:p w14:paraId="644D6488" w14:textId="0B8557E8" w:rsidR="009D4EBC" w:rsidRPr="003815D6" w:rsidRDefault="004C2A6F" w:rsidP="00C84DD9">
      <w:pPr>
        <w:pStyle w:val="Heading2"/>
      </w:pPr>
      <w:bookmarkStart w:id="54" w:name="_Toc476167705"/>
      <w:bookmarkStart w:id="55" w:name="_Toc476168032"/>
      <w:bookmarkStart w:id="56" w:name="_Toc514413041"/>
      <w:bookmarkStart w:id="57" w:name="_Toc517761997"/>
      <w:bookmarkStart w:id="58" w:name="_Toc22884103"/>
      <w:r w:rsidRPr="003815D6">
        <w:t>Areas out of scope</w:t>
      </w:r>
      <w:bookmarkEnd w:id="54"/>
      <w:bookmarkEnd w:id="55"/>
      <w:bookmarkEnd w:id="56"/>
      <w:bookmarkEnd w:id="57"/>
      <w:bookmarkEnd w:id="58"/>
    </w:p>
    <w:p w14:paraId="0BDF3B78" w14:textId="4315DD07" w:rsidR="00DE5AB0" w:rsidRDefault="00881E85" w:rsidP="00881E85">
      <w:r w:rsidRPr="003815D6">
        <w:t xml:space="preserve">Any area not explicitly included in the </w:t>
      </w:r>
      <w:r w:rsidRPr="003815D6">
        <w:fldChar w:fldCharType="begin"/>
      </w:r>
      <w:r w:rsidRPr="003815D6">
        <w:instrText xml:space="preserve"> REF _Ref477786310 \h </w:instrText>
      </w:r>
      <w:r w:rsidRPr="003815D6">
        <w:fldChar w:fldCharType="separate"/>
      </w:r>
      <w:r w:rsidR="00664262" w:rsidRPr="003815D6">
        <w:t>Areas in scope</w:t>
      </w:r>
      <w:r w:rsidRPr="003815D6">
        <w:fldChar w:fldCharType="end"/>
      </w:r>
      <w:r w:rsidRPr="003815D6">
        <w:t xml:space="preserve"> section is out of scope for Microsoft during this project. Areas out of scope for this project are listed in the following table.</w:t>
      </w:r>
    </w:p>
    <w:tbl>
      <w:tblPr>
        <w:tblStyle w:val="TableGrid1"/>
        <w:tblW w:w="9362"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872"/>
        <w:gridCol w:w="2169"/>
        <w:gridCol w:w="5321"/>
      </w:tblGrid>
      <w:tr w:rsidR="00DE5AB0" w:rsidRPr="00C0436C" w14:paraId="73D9E11D" w14:textId="77777777" w:rsidTr="00DE5AB0">
        <w:trPr>
          <w:trHeight w:val="360"/>
          <w:tblHeader/>
        </w:trPr>
        <w:tc>
          <w:tcPr>
            <w:tcW w:w="1872" w:type="dxa"/>
            <w:shd w:val="clear" w:color="auto" w:fill="008272"/>
          </w:tcPr>
          <w:p w14:paraId="33550409" w14:textId="77777777" w:rsidR="00DE5AB0" w:rsidRPr="00C0436C" w:rsidRDefault="00DE5AB0" w:rsidP="00DE5AB0">
            <w:pPr>
              <w:pStyle w:val="Table-Header"/>
              <w:rPr>
                <w:rFonts w:cs="Segoe UI"/>
                <w:szCs w:val="20"/>
              </w:rPr>
            </w:pPr>
            <w:r w:rsidRPr="00C0436C">
              <w:rPr>
                <w:rFonts w:cs="Segoe UI"/>
                <w:szCs w:val="20"/>
              </w:rPr>
              <w:t>Component ID</w:t>
            </w:r>
          </w:p>
        </w:tc>
        <w:tc>
          <w:tcPr>
            <w:tcW w:w="2169" w:type="dxa"/>
            <w:shd w:val="clear" w:color="auto" w:fill="008272"/>
          </w:tcPr>
          <w:p w14:paraId="5F8895CC" w14:textId="77777777" w:rsidR="00DE5AB0" w:rsidRPr="00C0436C" w:rsidRDefault="00DE5AB0" w:rsidP="00DE5AB0">
            <w:pPr>
              <w:pStyle w:val="Table-Header"/>
              <w:rPr>
                <w:rFonts w:cs="Segoe UI"/>
                <w:szCs w:val="20"/>
              </w:rPr>
            </w:pPr>
            <w:r w:rsidRPr="00C0436C">
              <w:rPr>
                <w:rFonts w:cs="Segoe UI"/>
                <w:szCs w:val="20"/>
              </w:rPr>
              <w:t>Area</w:t>
            </w:r>
          </w:p>
        </w:tc>
        <w:tc>
          <w:tcPr>
            <w:tcW w:w="5321" w:type="dxa"/>
            <w:shd w:val="clear" w:color="auto" w:fill="008272"/>
          </w:tcPr>
          <w:p w14:paraId="15E7ACB9" w14:textId="77777777" w:rsidR="00DE5AB0" w:rsidRPr="00C0436C" w:rsidRDefault="00DE5AB0" w:rsidP="00DE5AB0">
            <w:pPr>
              <w:pStyle w:val="Table-Header"/>
              <w:rPr>
                <w:rFonts w:cs="Segoe UI"/>
                <w:szCs w:val="20"/>
              </w:rPr>
            </w:pPr>
            <w:r w:rsidRPr="00C0436C">
              <w:rPr>
                <w:rFonts w:cs="Segoe UI"/>
                <w:szCs w:val="20"/>
              </w:rPr>
              <w:t>Description</w:t>
            </w:r>
          </w:p>
        </w:tc>
      </w:tr>
      <w:tr w:rsidR="00DE5AB0" w:rsidRPr="00C0436C" w14:paraId="080B2032" w14:textId="77777777" w:rsidTr="00DE5AB0">
        <w:trPr>
          <w:trHeight w:val="432"/>
        </w:trPr>
        <w:tc>
          <w:tcPr>
            <w:tcW w:w="1872" w:type="dxa"/>
            <w:vMerge w:val="restart"/>
          </w:tcPr>
          <w:p w14:paraId="089E0050" w14:textId="77777777" w:rsidR="00DE5AB0" w:rsidRPr="00C0436C" w:rsidRDefault="00DE5AB0" w:rsidP="00DE5AB0">
            <w:pPr>
              <w:pStyle w:val="TableText"/>
              <w:rPr>
                <w:rFonts w:cs="Segoe UI"/>
                <w:szCs w:val="20"/>
              </w:rPr>
            </w:pPr>
            <w:r w:rsidRPr="00C0436C">
              <w:rPr>
                <w:rFonts w:cs="Segoe UI"/>
                <w:szCs w:val="20"/>
              </w:rPr>
              <w:t>All components</w:t>
            </w:r>
          </w:p>
        </w:tc>
        <w:tc>
          <w:tcPr>
            <w:tcW w:w="2169" w:type="dxa"/>
            <w:shd w:val="clear" w:color="auto" w:fill="auto"/>
          </w:tcPr>
          <w:p w14:paraId="307EAA65" w14:textId="77777777" w:rsidR="00DE5AB0" w:rsidRPr="00C0436C" w:rsidRDefault="00DE5AB0" w:rsidP="00DE5AB0">
            <w:pPr>
              <w:pStyle w:val="TableText"/>
              <w:rPr>
                <w:rFonts w:cs="Segoe UI"/>
                <w:szCs w:val="20"/>
              </w:rPr>
            </w:pPr>
            <w:r w:rsidRPr="00C0436C">
              <w:rPr>
                <w:rFonts w:cs="Segoe UI"/>
                <w:szCs w:val="20"/>
              </w:rPr>
              <w:t>Product licenses and subscriptions</w:t>
            </w:r>
          </w:p>
        </w:tc>
        <w:tc>
          <w:tcPr>
            <w:tcW w:w="5321" w:type="dxa"/>
            <w:shd w:val="clear" w:color="auto" w:fill="auto"/>
          </w:tcPr>
          <w:p w14:paraId="065BBA6A" w14:textId="77777777" w:rsidR="00DE5AB0" w:rsidRPr="00C0436C" w:rsidRDefault="00DE5AB0" w:rsidP="00DE5AB0">
            <w:pPr>
              <w:pStyle w:val="TableText"/>
              <w:rPr>
                <w:rFonts w:cs="Segoe UI"/>
                <w:szCs w:val="20"/>
              </w:rPr>
            </w:pPr>
            <w:r w:rsidRPr="00C0436C">
              <w:rPr>
                <w:rFonts w:cs="Segoe UI"/>
                <w:szCs w:val="20"/>
              </w:rPr>
              <w:t xml:space="preserve">Product licenses (Microsoft or non-Microsoft) and cloud service subscriptions are not included. </w:t>
            </w:r>
          </w:p>
        </w:tc>
      </w:tr>
      <w:tr w:rsidR="00DE5AB0" w:rsidRPr="00C0436C" w14:paraId="1AAED90F" w14:textId="77777777" w:rsidTr="00DE5AB0">
        <w:trPr>
          <w:trHeight w:val="432"/>
        </w:trPr>
        <w:tc>
          <w:tcPr>
            <w:tcW w:w="1872" w:type="dxa"/>
            <w:vMerge/>
          </w:tcPr>
          <w:p w14:paraId="2DDECDAC" w14:textId="77777777" w:rsidR="00DE5AB0" w:rsidRPr="00C0436C" w:rsidRDefault="00DE5AB0" w:rsidP="00DE5AB0">
            <w:pPr>
              <w:pStyle w:val="TableText"/>
              <w:rPr>
                <w:rFonts w:cs="Segoe UI"/>
                <w:szCs w:val="20"/>
              </w:rPr>
            </w:pPr>
          </w:p>
        </w:tc>
        <w:tc>
          <w:tcPr>
            <w:tcW w:w="2169" w:type="dxa"/>
            <w:shd w:val="clear" w:color="auto" w:fill="auto"/>
          </w:tcPr>
          <w:p w14:paraId="5784F91A" w14:textId="77777777" w:rsidR="00DE5AB0" w:rsidRPr="00C0436C" w:rsidRDefault="00DE5AB0" w:rsidP="00DE5AB0">
            <w:pPr>
              <w:pStyle w:val="TableText"/>
              <w:rPr>
                <w:rFonts w:cs="Segoe UI"/>
                <w:szCs w:val="20"/>
              </w:rPr>
            </w:pPr>
            <w:r w:rsidRPr="00C0436C">
              <w:rPr>
                <w:rFonts w:cs="Segoe UI"/>
                <w:szCs w:val="20"/>
              </w:rPr>
              <w:t>Hardware</w:t>
            </w:r>
          </w:p>
        </w:tc>
        <w:tc>
          <w:tcPr>
            <w:tcW w:w="5321" w:type="dxa"/>
            <w:shd w:val="clear" w:color="auto" w:fill="auto"/>
          </w:tcPr>
          <w:p w14:paraId="23554E70" w14:textId="77777777" w:rsidR="00DE5AB0" w:rsidRPr="00C0436C" w:rsidRDefault="00DE5AB0" w:rsidP="00DE5AB0">
            <w:pPr>
              <w:pStyle w:val="TableText"/>
              <w:rPr>
                <w:rFonts w:cs="Segoe UI"/>
                <w:szCs w:val="20"/>
              </w:rPr>
            </w:pPr>
            <w:r w:rsidRPr="00C0436C">
              <w:rPr>
                <w:rFonts w:cs="Segoe UI"/>
                <w:szCs w:val="20"/>
              </w:rPr>
              <w:t>Microsoft will not provide hardware for this project.</w:t>
            </w:r>
          </w:p>
        </w:tc>
      </w:tr>
      <w:tr w:rsidR="00DE5AB0" w:rsidRPr="00C0436C" w14:paraId="6BAA2EEF" w14:textId="77777777" w:rsidTr="00DE5AB0">
        <w:trPr>
          <w:trHeight w:val="432"/>
        </w:trPr>
        <w:tc>
          <w:tcPr>
            <w:tcW w:w="1872" w:type="dxa"/>
            <w:vMerge/>
          </w:tcPr>
          <w:p w14:paraId="40C9DB08" w14:textId="77777777" w:rsidR="00DE5AB0" w:rsidRPr="00C0436C" w:rsidRDefault="00DE5AB0" w:rsidP="00DE5AB0">
            <w:pPr>
              <w:pStyle w:val="TableText"/>
              <w:rPr>
                <w:rFonts w:cs="Segoe UI"/>
                <w:szCs w:val="20"/>
              </w:rPr>
            </w:pPr>
          </w:p>
        </w:tc>
        <w:tc>
          <w:tcPr>
            <w:tcW w:w="2169" w:type="dxa"/>
            <w:shd w:val="clear" w:color="auto" w:fill="auto"/>
          </w:tcPr>
          <w:p w14:paraId="1AE49FCB" w14:textId="77777777" w:rsidR="00DE5AB0" w:rsidRPr="00C0436C" w:rsidRDefault="00DE5AB0" w:rsidP="00DE5AB0">
            <w:pPr>
              <w:pStyle w:val="TableText"/>
              <w:rPr>
                <w:rFonts w:cs="Segoe UI"/>
                <w:szCs w:val="20"/>
              </w:rPr>
            </w:pPr>
            <w:r w:rsidRPr="00C0436C">
              <w:rPr>
                <w:rFonts w:cs="Segoe UI"/>
                <w:szCs w:val="20"/>
              </w:rPr>
              <w:t>Client</w:t>
            </w:r>
          </w:p>
        </w:tc>
        <w:tc>
          <w:tcPr>
            <w:tcW w:w="5321" w:type="dxa"/>
            <w:shd w:val="clear" w:color="auto" w:fill="auto"/>
          </w:tcPr>
          <w:p w14:paraId="4FD2F913" w14:textId="5AE98F3E" w:rsidR="00DE5AB0" w:rsidRPr="00C0436C" w:rsidRDefault="00DE5AB0" w:rsidP="00DE5AB0">
            <w:pPr>
              <w:pStyle w:val="TableText"/>
              <w:rPr>
                <w:rFonts w:cs="Segoe UI"/>
                <w:szCs w:val="20"/>
              </w:rPr>
            </w:pPr>
            <w:r w:rsidRPr="00C0436C">
              <w:rPr>
                <w:rFonts w:cs="Segoe UI"/>
                <w:szCs w:val="20"/>
              </w:rPr>
              <w:t xml:space="preserve">Deployment and configuration of client software is out of scope for the project unless explicitly listed as in scope in the </w:t>
            </w:r>
            <w:r w:rsidRPr="00C0436C">
              <w:rPr>
                <w:rFonts w:cs="Segoe UI"/>
                <w:szCs w:val="20"/>
              </w:rPr>
              <w:fldChar w:fldCharType="begin"/>
            </w:r>
            <w:r w:rsidRPr="00C0436C">
              <w:rPr>
                <w:rFonts w:cs="Segoe UI"/>
                <w:szCs w:val="20"/>
              </w:rPr>
              <w:instrText xml:space="preserve"> REF _Ref514765574 \h </w:instrText>
            </w:r>
            <w:r>
              <w:rPr>
                <w:rFonts w:cs="Segoe UI"/>
                <w:szCs w:val="20"/>
              </w:rPr>
              <w:instrText xml:space="preserve"> \* MERGEFORMAT </w:instrText>
            </w:r>
            <w:r w:rsidRPr="00C0436C">
              <w:rPr>
                <w:rFonts w:cs="Segoe UI"/>
                <w:szCs w:val="20"/>
              </w:rPr>
            </w:r>
            <w:r w:rsidRPr="00C0436C">
              <w:rPr>
                <w:rFonts w:cs="Segoe UI"/>
                <w:szCs w:val="20"/>
              </w:rPr>
              <w:fldChar w:fldCharType="separate"/>
            </w:r>
            <w:r w:rsidR="00664262" w:rsidRPr="003815D6">
              <w:t>General project scope</w:t>
            </w:r>
            <w:r w:rsidRPr="00C0436C">
              <w:rPr>
                <w:rFonts w:cs="Segoe UI"/>
                <w:szCs w:val="20"/>
              </w:rPr>
              <w:fldChar w:fldCharType="end"/>
            </w:r>
            <w:r w:rsidRPr="00C0436C">
              <w:rPr>
                <w:rFonts w:cs="Segoe UI"/>
                <w:szCs w:val="20"/>
              </w:rPr>
              <w:t>.</w:t>
            </w:r>
          </w:p>
        </w:tc>
      </w:tr>
      <w:tr w:rsidR="00DE5AB0" w:rsidRPr="00C0436C" w14:paraId="7BDCA9E3" w14:textId="77777777" w:rsidTr="00DE5AB0">
        <w:trPr>
          <w:trHeight w:val="432"/>
        </w:trPr>
        <w:tc>
          <w:tcPr>
            <w:tcW w:w="1872" w:type="dxa"/>
            <w:vMerge/>
          </w:tcPr>
          <w:p w14:paraId="7AD76947" w14:textId="77777777" w:rsidR="00DE5AB0" w:rsidRPr="00C0436C" w:rsidRDefault="00DE5AB0" w:rsidP="00DE5AB0">
            <w:pPr>
              <w:pStyle w:val="TableText"/>
              <w:rPr>
                <w:rFonts w:cs="Segoe UI"/>
                <w:szCs w:val="20"/>
              </w:rPr>
            </w:pPr>
          </w:p>
        </w:tc>
        <w:tc>
          <w:tcPr>
            <w:tcW w:w="2169" w:type="dxa"/>
            <w:shd w:val="clear" w:color="auto" w:fill="auto"/>
          </w:tcPr>
          <w:p w14:paraId="34EEBCB5" w14:textId="77777777" w:rsidR="00DE5AB0" w:rsidRPr="00C0436C" w:rsidRDefault="00DE5AB0" w:rsidP="00DE5AB0">
            <w:pPr>
              <w:pStyle w:val="TableText"/>
              <w:rPr>
                <w:rFonts w:cs="Segoe UI"/>
                <w:szCs w:val="20"/>
              </w:rPr>
            </w:pPr>
            <w:r w:rsidRPr="00C0436C">
              <w:rPr>
                <w:rFonts w:cs="Segoe UI"/>
                <w:szCs w:val="20"/>
              </w:rPr>
              <w:t>Integration with third-party software</w:t>
            </w:r>
          </w:p>
        </w:tc>
        <w:tc>
          <w:tcPr>
            <w:tcW w:w="5321" w:type="dxa"/>
            <w:shd w:val="clear" w:color="auto" w:fill="auto"/>
          </w:tcPr>
          <w:p w14:paraId="45CA4598" w14:textId="77777777" w:rsidR="00DE5AB0" w:rsidRPr="00C0436C" w:rsidRDefault="00DE5AB0" w:rsidP="00DE5AB0">
            <w:pPr>
              <w:pStyle w:val="TableText"/>
              <w:rPr>
                <w:rFonts w:cs="Segoe UI"/>
                <w:szCs w:val="20"/>
              </w:rPr>
            </w:pPr>
            <w:r w:rsidRPr="00C0436C">
              <w:rPr>
                <w:rFonts w:cs="Segoe UI"/>
                <w:szCs w:val="20"/>
              </w:rPr>
              <w:t>Microsoft will not be responsible for integration with third-party software.</w:t>
            </w:r>
          </w:p>
        </w:tc>
      </w:tr>
      <w:tr w:rsidR="00DE5AB0" w:rsidRPr="00C0436C" w14:paraId="58506C9D" w14:textId="77777777" w:rsidTr="00DE5AB0">
        <w:trPr>
          <w:trHeight w:val="432"/>
        </w:trPr>
        <w:tc>
          <w:tcPr>
            <w:tcW w:w="1872" w:type="dxa"/>
            <w:vMerge/>
          </w:tcPr>
          <w:p w14:paraId="5B6E6937" w14:textId="77777777" w:rsidR="00DE5AB0" w:rsidRPr="00C0436C" w:rsidRDefault="00DE5AB0" w:rsidP="00DE5AB0">
            <w:pPr>
              <w:pStyle w:val="TableText"/>
              <w:rPr>
                <w:rFonts w:cs="Segoe UI"/>
                <w:szCs w:val="20"/>
              </w:rPr>
            </w:pPr>
          </w:p>
        </w:tc>
        <w:tc>
          <w:tcPr>
            <w:tcW w:w="2169" w:type="dxa"/>
            <w:shd w:val="clear" w:color="auto" w:fill="auto"/>
          </w:tcPr>
          <w:p w14:paraId="35C757A5" w14:textId="77777777" w:rsidR="00DE5AB0" w:rsidRPr="00C0436C" w:rsidRDefault="00DE5AB0" w:rsidP="00DE5AB0">
            <w:pPr>
              <w:pStyle w:val="TableText"/>
              <w:rPr>
                <w:rFonts w:cs="Segoe UI"/>
                <w:szCs w:val="20"/>
              </w:rPr>
            </w:pPr>
            <w:r w:rsidRPr="00C0436C">
              <w:rPr>
                <w:rFonts w:cs="Segoe UI"/>
                <w:szCs w:val="20"/>
              </w:rPr>
              <w:t xml:space="preserve">Product bugs </w:t>
            </w:r>
            <w:r w:rsidRPr="00C0436C">
              <w:rPr>
                <w:rFonts w:cs="Segoe UI"/>
                <w:szCs w:val="20"/>
              </w:rPr>
              <w:br/>
              <w:t>and upgrades</w:t>
            </w:r>
          </w:p>
        </w:tc>
        <w:tc>
          <w:tcPr>
            <w:tcW w:w="5321" w:type="dxa"/>
            <w:shd w:val="clear" w:color="auto" w:fill="auto"/>
          </w:tcPr>
          <w:p w14:paraId="3B7A27AA" w14:textId="77777777" w:rsidR="00DE5AB0" w:rsidRPr="00C0436C" w:rsidRDefault="00DE5AB0" w:rsidP="00DE5AB0">
            <w:pPr>
              <w:pStyle w:val="TableText"/>
              <w:rPr>
                <w:rFonts w:cs="Segoe UI"/>
                <w:szCs w:val="20"/>
              </w:rPr>
            </w:pPr>
            <w:r w:rsidRPr="00C0436C">
              <w:rPr>
                <w:rFonts w:cs="Segoe UI"/>
                <w:szCs w:val="20"/>
              </w:rPr>
              <w:t>Product upgrades, bugs, and design change requests for Microsoft products.</w:t>
            </w:r>
          </w:p>
        </w:tc>
      </w:tr>
      <w:tr w:rsidR="00DE5AB0" w:rsidRPr="00C0436C" w14:paraId="5DD1500C" w14:textId="77777777" w:rsidTr="00DE5AB0">
        <w:trPr>
          <w:trHeight w:val="432"/>
        </w:trPr>
        <w:tc>
          <w:tcPr>
            <w:tcW w:w="1872" w:type="dxa"/>
            <w:vMerge/>
          </w:tcPr>
          <w:p w14:paraId="2063A44B" w14:textId="77777777" w:rsidR="00DE5AB0" w:rsidRPr="00C0436C" w:rsidRDefault="00DE5AB0" w:rsidP="00DE5AB0">
            <w:pPr>
              <w:pStyle w:val="TableText"/>
              <w:rPr>
                <w:rFonts w:cs="Segoe UI"/>
                <w:szCs w:val="20"/>
              </w:rPr>
            </w:pPr>
          </w:p>
        </w:tc>
        <w:tc>
          <w:tcPr>
            <w:tcW w:w="2169" w:type="dxa"/>
            <w:shd w:val="clear" w:color="auto" w:fill="auto"/>
          </w:tcPr>
          <w:p w14:paraId="29A2A23F" w14:textId="77777777" w:rsidR="00DE5AB0" w:rsidRPr="00C0436C" w:rsidRDefault="00DE5AB0" w:rsidP="00DE5AB0">
            <w:pPr>
              <w:pStyle w:val="TableText"/>
              <w:rPr>
                <w:rFonts w:cs="Segoe UI"/>
                <w:szCs w:val="20"/>
              </w:rPr>
            </w:pPr>
            <w:r w:rsidRPr="00C0436C">
              <w:rPr>
                <w:rFonts w:cs="Segoe UI"/>
                <w:szCs w:val="20"/>
              </w:rPr>
              <w:t>Source code review</w:t>
            </w:r>
          </w:p>
        </w:tc>
        <w:tc>
          <w:tcPr>
            <w:tcW w:w="5321" w:type="dxa"/>
            <w:shd w:val="clear" w:color="auto" w:fill="auto"/>
          </w:tcPr>
          <w:p w14:paraId="5F370BEC" w14:textId="77777777" w:rsidR="00DE5AB0" w:rsidRPr="00C0436C" w:rsidRDefault="00DE5AB0" w:rsidP="00DE5AB0">
            <w:pPr>
              <w:pStyle w:val="TableText"/>
              <w:rPr>
                <w:rFonts w:cs="Segoe UI"/>
                <w:szCs w:val="20"/>
              </w:rPr>
            </w:pPr>
            <w:r w:rsidRPr="00C0436C">
              <w:rPr>
                <w:rFonts w:cs="Segoe UI"/>
                <w:szCs w:val="20"/>
              </w:rPr>
              <w:t>The customer will not provide Microsoft with access to non-Microsoft source code or source code information. For any non-Microsoft code, Microsoft Services will be limited to the analysis of binary data, such as a process dump or a network monitor trace.</w:t>
            </w:r>
          </w:p>
        </w:tc>
      </w:tr>
      <w:tr w:rsidR="00DE5AB0" w:rsidRPr="00C0436C" w14:paraId="16950B2C" w14:textId="77777777" w:rsidTr="00DE5AB0">
        <w:trPr>
          <w:trHeight w:val="432"/>
        </w:trPr>
        <w:tc>
          <w:tcPr>
            <w:tcW w:w="1872" w:type="dxa"/>
            <w:vMerge/>
          </w:tcPr>
          <w:p w14:paraId="41F8CB1B" w14:textId="77777777" w:rsidR="00DE5AB0" w:rsidRPr="00C0436C" w:rsidRDefault="00DE5AB0" w:rsidP="00DE5AB0">
            <w:pPr>
              <w:pStyle w:val="TableText"/>
              <w:rPr>
                <w:rFonts w:cs="Segoe UI"/>
                <w:szCs w:val="20"/>
              </w:rPr>
            </w:pPr>
          </w:p>
        </w:tc>
        <w:tc>
          <w:tcPr>
            <w:tcW w:w="2169" w:type="dxa"/>
            <w:shd w:val="clear" w:color="auto" w:fill="auto"/>
          </w:tcPr>
          <w:p w14:paraId="0094901F" w14:textId="77777777" w:rsidR="00DE5AB0" w:rsidRPr="00C0436C" w:rsidRDefault="00DE5AB0" w:rsidP="00DE5AB0">
            <w:pPr>
              <w:pStyle w:val="TableText"/>
              <w:rPr>
                <w:rFonts w:cs="Segoe UI"/>
                <w:szCs w:val="20"/>
              </w:rPr>
            </w:pPr>
            <w:r w:rsidRPr="00C0436C">
              <w:rPr>
                <w:rFonts w:cs="Segoe UI"/>
                <w:szCs w:val="20"/>
              </w:rPr>
              <w:t>Process reengineering</w:t>
            </w:r>
          </w:p>
        </w:tc>
        <w:tc>
          <w:tcPr>
            <w:tcW w:w="5321" w:type="dxa"/>
            <w:shd w:val="clear" w:color="auto" w:fill="auto"/>
          </w:tcPr>
          <w:p w14:paraId="5E69A969" w14:textId="77777777" w:rsidR="00DE5AB0" w:rsidRPr="00C0436C" w:rsidRDefault="00DE5AB0" w:rsidP="00DE5AB0">
            <w:pPr>
              <w:pStyle w:val="TableText"/>
              <w:rPr>
                <w:rFonts w:cs="Segoe UI"/>
                <w:szCs w:val="20"/>
              </w:rPr>
            </w:pPr>
            <w:r w:rsidRPr="00C0436C">
              <w:rPr>
                <w:rFonts w:cs="Segoe UI"/>
                <w:szCs w:val="20"/>
              </w:rPr>
              <w:t>Designing functional business components of the solution is not included.</w:t>
            </w:r>
          </w:p>
        </w:tc>
      </w:tr>
      <w:tr w:rsidR="00DE5AB0" w:rsidRPr="00C0436C" w14:paraId="0EC800E7" w14:textId="77777777" w:rsidTr="00DE5AB0">
        <w:trPr>
          <w:trHeight w:val="432"/>
        </w:trPr>
        <w:tc>
          <w:tcPr>
            <w:tcW w:w="1872" w:type="dxa"/>
            <w:vMerge/>
          </w:tcPr>
          <w:p w14:paraId="6EDA56BF" w14:textId="77777777" w:rsidR="00DE5AB0" w:rsidRPr="00C0436C" w:rsidRDefault="00DE5AB0" w:rsidP="00DE5AB0">
            <w:pPr>
              <w:pStyle w:val="TableText"/>
              <w:rPr>
                <w:rFonts w:cs="Segoe UI"/>
                <w:szCs w:val="20"/>
              </w:rPr>
            </w:pPr>
          </w:p>
        </w:tc>
        <w:tc>
          <w:tcPr>
            <w:tcW w:w="2169" w:type="dxa"/>
            <w:shd w:val="clear" w:color="auto" w:fill="auto"/>
          </w:tcPr>
          <w:p w14:paraId="493ECD54" w14:textId="77777777" w:rsidR="00DE5AB0" w:rsidRPr="00C0436C" w:rsidRDefault="00DE5AB0" w:rsidP="00DE5AB0">
            <w:pPr>
              <w:pStyle w:val="TableText"/>
              <w:rPr>
                <w:rFonts w:cs="Segoe UI"/>
                <w:szCs w:val="20"/>
              </w:rPr>
            </w:pPr>
            <w:r w:rsidRPr="00C0436C">
              <w:rPr>
                <w:rFonts w:cs="Segoe UI"/>
                <w:szCs w:val="20"/>
              </w:rPr>
              <w:t>Organizational change management</w:t>
            </w:r>
          </w:p>
        </w:tc>
        <w:tc>
          <w:tcPr>
            <w:tcW w:w="5321" w:type="dxa"/>
            <w:shd w:val="clear" w:color="auto" w:fill="auto"/>
          </w:tcPr>
          <w:p w14:paraId="0957F7BF" w14:textId="77777777" w:rsidR="00DE5AB0" w:rsidRPr="00C0436C" w:rsidRDefault="00DE5AB0" w:rsidP="00DE5AB0">
            <w:pPr>
              <w:pStyle w:val="TableText"/>
              <w:rPr>
                <w:rFonts w:cs="Segoe UI"/>
                <w:szCs w:val="20"/>
              </w:rPr>
            </w:pPr>
            <w:r w:rsidRPr="00C0436C">
              <w:rPr>
                <w:rFonts w:cs="Segoe UI"/>
                <w:szCs w:val="20"/>
              </w:rPr>
              <w:t>Designing—or redesigning—the customer’s functional organization is not included.</w:t>
            </w:r>
          </w:p>
        </w:tc>
      </w:tr>
      <w:tr w:rsidR="00DE5AB0" w:rsidRPr="00C0436C" w14:paraId="16AA004A" w14:textId="77777777" w:rsidTr="00DE5AB0">
        <w:trPr>
          <w:trHeight w:val="432"/>
        </w:trPr>
        <w:tc>
          <w:tcPr>
            <w:tcW w:w="1872" w:type="dxa"/>
            <w:vMerge/>
          </w:tcPr>
          <w:p w14:paraId="29D75F55" w14:textId="77777777" w:rsidR="00DE5AB0" w:rsidRPr="00C0436C" w:rsidRDefault="00DE5AB0" w:rsidP="00DE5AB0">
            <w:pPr>
              <w:pStyle w:val="TableText"/>
              <w:rPr>
                <w:rFonts w:cs="Segoe UI"/>
                <w:szCs w:val="20"/>
              </w:rPr>
            </w:pPr>
          </w:p>
        </w:tc>
        <w:tc>
          <w:tcPr>
            <w:tcW w:w="2169" w:type="dxa"/>
            <w:shd w:val="clear" w:color="auto" w:fill="auto"/>
          </w:tcPr>
          <w:p w14:paraId="4671094F" w14:textId="77777777" w:rsidR="00DE5AB0" w:rsidRPr="00C0436C" w:rsidRDefault="00DE5AB0" w:rsidP="00DE5AB0">
            <w:pPr>
              <w:pStyle w:val="TableText"/>
              <w:rPr>
                <w:rFonts w:cs="Segoe UI"/>
                <w:szCs w:val="20"/>
              </w:rPr>
            </w:pPr>
            <w:r w:rsidRPr="00C0436C">
              <w:rPr>
                <w:rFonts w:cs="Segoe UI"/>
                <w:szCs w:val="20"/>
              </w:rPr>
              <w:t>End-user communications</w:t>
            </w:r>
          </w:p>
        </w:tc>
        <w:tc>
          <w:tcPr>
            <w:tcW w:w="5321" w:type="dxa"/>
            <w:shd w:val="clear" w:color="auto" w:fill="auto"/>
          </w:tcPr>
          <w:p w14:paraId="797EF5D6" w14:textId="77777777" w:rsidR="00DE5AB0" w:rsidRPr="00C0436C" w:rsidRDefault="00DE5AB0" w:rsidP="00DE5AB0">
            <w:pPr>
              <w:pStyle w:val="TableText"/>
              <w:rPr>
                <w:rFonts w:cs="Segoe UI"/>
                <w:szCs w:val="20"/>
              </w:rPr>
            </w:pPr>
            <w:r w:rsidRPr="00C0436C">
              <w:rPr>
                <w:rFonts w:cs="Segoe UI"/>
                <w:szCs w:val="20"/>
              </w:rPr>
              <w:t>Planning or undertaking of end-user communications is not in scope.</w:t>
            </w:r>
          </w:p>
        </w:tc>
      </w:tr>
      <w:tr w:rsidR="00DE5AB0" w:rsidRPr="00C0436C" w14:paraId="2A3449CC" w14:textId="77777777" w:rsidTr="00DE5AB0">
        <w:trPr>
          <w:trHeight w:val="432"/>
        </w:trPr>
        <w:tc>
          <w:tcPr>
            <w:tcW w:w="1872" w:type="dxa"/>
            <w:vMerge/>
          </w:tcPr>
          <w:p w14:paraId="12D9DFF1" w14:textId="77777777" w:rsidR="00DE5AB0" w:rsidRPr="00C0436C" w:rsidRDefault="00DE5AB0" w:rsidP="00DE5AB0">
            <w:pPr>
              <w:pStyle w:val="TableText"/>
              <w:rPr>
                <w:rFonts w:cs="Segoe UI"/>
                <w:szCs w:val="20"/>
              </w:rPr>
            </w:pPr>
          </w:p>
        </w:tc>
        <w:tc>
          <w:tcPr>
            <w:tcW w:w="2169" w:type="dxa"/>
            <w:shd w:val="clear" w:color="auto" w:fill="auto"/>
          </w:tcPr>
          <w:p w14:paraId="4B70D7D9" w14:textId="77777777" w:rsidR="00DE5AB0" w:rsidRPr="00C0436C" w:rsidRDefault="00DE5AB0" w:rsidP="00DE5AB0">
            <w:pPr>
              <w:pStyle w:val="TableText"/>
              <w:rPr>
                <w:rFonts w:cs="Segoe UI"/>
                <w:szCs w:val="20"/>
              </w:rPr>
            </w:pPr>
            <w:r w:rsidRPr="00C0436C">
              <w:rPr>
                <w:rFonts w:cs="Segoe UI"/>
                <w:szCs w:val="20"/>
              </w:rPr>
              <w:t>Lab environment</w:t>
            </w:r>
          </w:p>
        </w:tc>
        <w:tc>
          <w:tcPr>
            <w:tcW w:w="5321" w:type="dxa"/>
            <w:shd w:val="clear" w:color="auto" w:fill="auto"/>
          </w:tcPr>
          <w:p w14:paraId="43157B9F" w14:textId="77777777" w:rsidR="00DE5AB0" w:rsidRPr="00C0436C" w:rsidRDefault="00DE5AB0" w:rsidP="00DE5AB0">
            <w:pPr>
              <w:pStyle w:val="TableText"/>
              <w:rPr>
                <w:rFonts w:cs="Segoe UI"/>
                <w:szCs w:val="20"/>
              </w:rPr>
            </w:pPr>
            <w:r w:rsidRPr="00C0436C">
              <w:rPr>
                <w:rFonts w:cs="Segoe UI"/>
                <w:szCs w:val="20"/>
              </w:rPr>
              <w:t>Creation of a development or testing lab environment is not included.</w:t>
            </w:r>
          </w:p>
        </w:tc>
      </w:tr>
      <w:tr w:rsidR="00DE5AB0" w:rsidRPr="00C0436C" w14:paraId="76E2B4CE" w14:textId="77777777" w:rsidTr="00DE5AB0">
        <w:trPr>
          <w:trHeight w:val="432"/>
        </w:trPr>
        <w:tc>
          <w:tcPr>
            <w:tcW w:w="1872" w:type="dxa"/>
            <w:vMerge/>
          </w:tcPr>
          <w:p w14:paraId="32FFD214" w14:textId="77777777" w:rsidR="00DE5AB0" w:rsidRPr="00C0436C" w:rsidRDefault="00DE5AB0" w:rsidP="00DE5AB0">
            <w:pPr>
              <w:pStyle w:val="TableText"/>
              <w:rPr>
                <w:rFonts w:cs="Segoe UI"/>
                <w:szCs w:val="20"/>
              </w:rPr>
            </w:pPr>
          </w:p>
        </w:tc>
        <w:tc>
          <w:tcPr>
            <w:tcW w:w="2169" w:type="dxa"/>
            <w:shd w:val="clear" w:color="auto" w:fill="auto"/>
          </w:tcPr>
          <w:p w14:paraId="1B2B213C" w14:textId="77777777" w:rsidR="00DE5AB0" w:rsidRPr="00C0436C" w:rsidRDefault="00DE5AB0" w:rsidP="00DE5AB0">
            <w:pPr>
              <w:pStyle w:val="TableText"/>
              <w:rPr>
                <w:rFonts w:cs="Segoe UI"/>
                <w:szCs w:val="20"/>
              </w:rPr>
            </w:pPr>
            <w:r w:rsidRPr="00C0436C">
              <w:rPr>
                <w:rFonts w:cs="Segoe UI"/>
                <w:szCs w:val="20"/>
              </w:rPr>
              <w:t xml:space="preserve">Training </w:t>
            </w:r>
          </w:p>
        </w:tc>
        <w:tc>
          <w:tcPr>
            <w:tcW w:w="5321" w:type="dxa"/>
            <w:shd w:val="clear" w:color="auto" w:fill="auto"/>
          </w:tcPr>
          <w:p w14:paraId="60A6B7B6" w14:textId="77777777" w:rsidR="00DE5AB0" w:rsidRPr="00C0436C" w:rsidRDefault="00DE5AB0" w:rsidP="00DE5AB0">
            <w:pPr>
              <w:pStyle w:val="TableText"/>
              <w:rPr>
                <w:rFonts w:ascii="Segoe UI Semilight" w:hAnsi="Segoe UI Semilight" w:cs="Segoe UI Semilight"/>
                <w:szCs w:val="18"/>
              </w:rPr>
            </w:pPr>
            <w:r w:rsidRPr="00C0436C">
              <w:rPr>
                <w:rFonts w:cs="Segoe UI"/>
                <w:szCs w:val="20"/>
              </w:rPr>
              <w:t>Formal user training or the creation of training materials is not in scope.</w:t>
            </w:r>
          </w:p>
        </w:tc>
      </w:tr>
      <w:tr w:rsidR="00DE5AB0" w:rsidRPr="00C0436C" w14:paraId="09D8EBDC" w14:textId="77777777" w:rsidTr="00DE5AB0">
        <w:trPr>
          <w:trHeight w:val="432"/>
        </w:trPr>
        <w:tc>
          <w:tcPr>
            <w:tcW w:w="1872" w:type="dxa"/>
            <w:vMerge/>
          </w:tcPr>
          <w:p w14:paraId="723F2E0E" w14:textId="77777777" w:rsidR="00DE5AB0" w:rsidRPr="00C0436C" w:rsidRDefault="00DE5AB0" w:rsidP="00DE5AB0">
            <w:pPr>
              <w:pStyle w:val="TableText"/>
              <w:rPr>
                <w:rFonts w:cs="Segoe UI"/>
                <w:szCs w:val="20"/>
              </w:rPr>
            </w:pPr>
          </w:p>
        </w:tc>
        <w:tc>
          <w:tcPr>
            <w:tcW w:w="2169" w:type="dxa"/>
            <w:shd w:val="clear" w:color="auto" w:fill="auto"/>
          </w:tcPr>
          <w:p w14:paraId="7CD6CC96" w14:textId="77777777" w:rsidR="00DE5AB0" w:rsidRPr="00C0436C" w:rsidRDefault="00DE5AB0" w:rsidP="00DE5AB0">
            <w:pPr>
              <w:pStyle w:val="TableText"/>
              <w:rPr>
                <w:rFonts w:cs="Segoe UI"/>
                <w:szCs w:val="20"/>
              </w:rPr>
            </w:pPr>
            <w:r w:rsidRPr="00C0436C">
              <w:rPr>
                <w:rFonts w:cs="Segoe UI"/>
                <w:szCs w:val="20"/>
              </w:rPr>
              <w:t>Custom solution development</w:t>
            </w:r>
          </w:p>
        </w:tc>
        <w:tc>
          <w:tcPr>
            <w:tcW w:w="5321" w:type="dxa"/>
            <w:shd w:val="clear" w:color="auto" w:fill="auto"/>
          </w:tcPr>
          <w:p w14:paraId="5773A049" w14:textId="77777777" w:rsidR="00DE5AB0" w:rsidRPr="00C0436C" w:rsidRDefault="00DE5AB0" w:rsidP="00DE5AB0">
            <w:pPr>
              <w:pStyle w:val="TableText"/>
              <w:rPr>
                <w:rFonts w:cs="Segoe UI"/>
                <w:szCs w:val="20"/>
              </w:rPr>
            </w:pPr>
            <w:r w:rsidRPr="00C0436C">
              <w:rPr>
                <w:rFonts w:cs="Segoe UI"/>
                <w:szCs w:val="20"/>
              </w:rPr>
              <w:t>Any custom solution development is not in scope.</w:t>
            </w:r>
          </w:p>
        </w:tc>
      </w:tr>
      <w:tr w:rsidR="00DE5AB0" w:rsidRPr="00C0436C" w14:paraId="0EC77B31" w14:textId="77777777" w:rsidTr="00DE5AB0">
        <w:trPr>
          <w:trHeight w:val="432"/>
        </w:trPr>
        <w:tc>
          <w:tcPr>
            <w:tcW w:w="1872" w:type="dxa"/>
            <w:vMerge/>
          </w:tcPr>
          <w:p w14:paraId="61DD1A81" w14:textId="77777777" w:rsidR="00DE5AB0" w:rsidRPr="00C0436C" w:rsidRDefault="00DE5AB0" w:rsidP="00DE5AB0">
            <w:pPr>
              <w:pStyle w:val="TableText"/>
              <w:rPr>
                <w:rFonts w:cs="Segoe UI"/>
                <w:szCs w:val="20"/>
              </w:rPr>
            </w:pPr>
          </w:p>
        </w:tc>
        <w:tc>
          <w:tcPr>
            <w:tcW w:w="2169" w:type="dxa"/>
            <w:shd w:val="clear" w:color="auto" w:fill="auto"/>
          </w:tcPr>
          <w:p w14:paraId="7A4EC0EB" w14:textId="77777777" w:rsidR="00DE5AB0" w:rsidRPr="00C0436C" w:rsidRDefault="00DE5AB0" w:rsidP="00DE5AB0">
            <w:pPr>
              <w:pStyle w:val="TableText"/>
              <w:rPr>
                <w:rFonts w:cs="Segoe UI"/>
                <w:szCs w:val="20"/>
              </w:rPr>
            </w:pPr>
            <w:r w:rsidRPr="00C0436C">
              <w:rPr>
                <w:rFonts w:cs="Segoe UI"/>
                <w:szCs w:val="20"/>
              </w:rPr>
              <w:t>Performance testing</w:t>
            </w:r>
          </w:p>
        </w:tc>
        <w:tc>
          <w:tcPr>
            <w:tcW w:w="5321" w:type="dxa"/>
            <w:shd w:val="clear" w:color="auto" w:fill="auto"/>
          </w:tcPr>
          <w:p w14:paraId="3A4BF374" w14:textId="77777777" w:rsidR="00DE5AB0" w:rsidRPr="00C0436C" w:rsidRDefault="00DE5AB0" w:rsidP="00DE5AB0">
            <w:pPr>
              <w:pStyle w:val="TableText"/>
              <w:rPr>
                <w:rFonts w:cs="Segoe UI"/>
                <w:szCs w:val="20"/>
              </w:rPr>
            </w:pPr>
            <w:r w:rsidRPr="00C0436C">
              <w:rPr>
                <w:rFonts w:cs="Segoe UI"/>
                <w:szCs w:val="20"/>
              </w:rPr>
              <w:t>Performance or stress testing for any environment is not included.</w:t>
            </w:r>
          </w:p>
        </w:tc>
      </w:tr>
      <w:tr w:rsidR="00DE5AB0" w:rsidRPr="00C0436C" w14:paraId="535CA9A2" w14:textId="77777777" w:rsidTr="00DE5AB0">
        <w:trPr>
          <w:trHeight w:val="432"/>
        </w:trPr>
        <w:tc>
          <w:tcPr>
            <w:tcW w:w="1872" w:type="dxa"/>
          </w:tcPr>
          <w:p w14:paraId="15CDB64F" w14:textId="77777777" w:rsidR="00DE5AB0" w:rsidRPr="00C0436C" w:rsidRDefault="00DE5AB0" w:rsidP="00DE5AB0">
            <w:pPr>
              <w:pStyle w:val="TableText"/>
              <w:rPr>
                <w:rFonts w:cs="Segoe UI"/>
                <w:szCs w:val="20"/>
              </w:rPr>
            </w:pPr>
            <w:r w:rsidRPr="00C0436C">
              <w:rPr>
                <w:rFonts w:cs="Segoe UI"/>
                <w:szCs w:val="20"/>
              </w:rPr>
              <w:t>NET-01</w:t>
            </w:r>
          </w:p>
        </w:tc>
        <w:tc>
          <w:tcPr>
            <w:tcW w:w="2169" w:type="dxa"/>
            <w:shd w:val="clear" w:color="auto" w:fill="auto"/>
          </w:tcPr>
          <w:p w14:paraId="0FD7AE53" w14:textId="77777777" w:rsidR="00DE5AB0" w:rsidRPr="00C0436C" w:rsidRDefault="00DE5AB0" w:rsidP="00DE5AB0">
            <w:pPr>
              <w:pStyle w:val="TableText"/>
              <w:rPr>
                <w:rFonts w:cs="Segoe UI"/>
                <w:szCs w:val="20"/>
              </w:rPr>
            </w:pPr>
            <w:r w:rsidRPr="00C0436C">
              <w:rPr>
                <w:rFonts w:cs="Segoe UI"/>
                <w:szCs w:val="20"/>
              </w:rPr>
              <w:t>Network assessment</w:t>
            </w:r>
          </w:p>
        </w:tc>
        <w:tc>
          <w:tcPr>
            <w:tcW w:w="5321" w:type="dxa"/>
            <w:shd w:val="clear" w:color="auto" w:fill="auto"/>
          </w:tcPr>
          <w:p w14:paraId="60474D6A" w14:textId="77777777" w:rsidR="00DE5AB0" w:rsidRPr="00C0436C" w:rsidRDefault="00DE5AB0" w:rsidP="00DE5AB0">
            <w:pPr>
              <w:pStyle w:val="TableBullet1"/>
              <w:rPr>
                <w:rFonts w:cs="Segoe UI"/>
                <w:szCs w:val="20"/>
              </w:rPr>
            </w:pPr>
            <w:r w:rsidRPr="00C0436C">
              <w:rPr>
                <w:rFonts w:cs="Segoe UI"/>
                <w:szCs w:val="20"/>
              </w:rPr>
              <w:t>Assessment of connectivity or traffic not associated with Office 365 connectivity</w:t>
            </w:r>
          </w:p>
          <w:p w14:paraId="2A71BC3E" w14:textId="77777777" w:rsidR="00DE5AB0" w:rsidRPr="00C0436C" w:rsidRDefault="00DE5AB0" w:rsidP="00DE5AB0">
            <w:pPr>
              <w:pStyle w:val="TableBullet1"/>
              <w:rPr>
                <w:rFonts w:cs="Segoe UI"/>
                <w:szCs w:val="20"/>
              </w:rPr>
            </w:pPr>
            <w:r w:rsidRPr="00C0436C">
              <w:rPr>
                <w:rFonts w:cs="Segoe UI"/>
                <w:szCs w:val="20"/>
              </w:rPr>
              <w:t>Assessment of remote access connections (VPNs) and wireless networks</w:t>
            </w:r>
          </w:p>
          <w:p w14:paraId="684F5D1B" w14:textId="77777777" w:rsidR="00DE5AB0" w:rsidRPr="00C0436C" w:rsidRDefault="00DE5AB0" w:rsidP="00DE5AB0">
            <w:pPr>
              <w:pStyle w:val="TableBullet1"/>
              <w:rPr>
                <w:rFonts w:cs="Segoe UI"/>
                <w:szCs w:val="20"/>
              </w:rPr>
            </w:pPr>
            <w:r w:rsidRPr="00C0436C">
              <w:rPr>
                <w:rFonts w:cs="Segoe UI"/>
                <w:szCs w:val="20"/>
              </w:rPr>
              <w:t>Review, design, or configuration of the quality of service on the network</w:t>
            </w:r>
          </w:p>
          <w:p w14:paraId="47B3B2B2" w14:textId="77777777" w:rsidR="00DE5AB0" w:rsidRPr="00C0436C" w:rsidRDefault="00DE5AB0" w:rsidP="00DE5AB0">
            <w:pPr>
              <w:pStyle w:val="TableBullet1"/>
              <w:rPr>
                <w:rFonts w:cs="Segoe UI"/>
                <w:szCs w:val="20"/>
              </w:rPr>
            </w:pPr>
            <w:r w:rsidRPr="00C0436C">
              <w:rPr>
                <w:rFonts w:cs="Segoe UI"/>
                <w:szCs w:val="20"/>
              </w:rPr>
              <w:t>Review of network equipment configuration</w:t>
            </w:r>
          </w:p>
          <w:p w14:paraId="53DB20FE" w14:textId="77777777" w:rsidR="00DE5AB0" w:rsidRPr="00C0436C" w:rsidRDefault="00DE5AB0" w:rsidP="00DE5AB0">
            <w:pPr>
              <w:pStyle w:val="TableBullet1"/>
              <w:rPr>
                <w:rFonts w:cs="Segoe UI"/>
                <w:szCs w:val="20"/>
              </w:rPr>
            </w:pPr>
            <w:r w:rsidRPr="00C0436C">
              <w:rPr>
                <w:rFonts w:cs="Segoe UI"/>
                <w:szCs w:val="20"/>
              </w:rPr>
              <w:t>Design, implementation, or configuration of any network component</w:t>
            </w:r>
          </w:p>
          <w:p w14:paraId="188D914F" w14:textId="77777777" w:rsidR="00DE5AB0" w:rsidRPr="00C0436C" w:rsidRDefault="00DE5AB0" w:rsidP="00DE5AB0">
            <w:pPr>
              <w:pStyle w:val="TableBullet1"/>
              <w:rPr>
                <w:rFonts w:cs="Segoe UI"/>
                <w:szCs w:val="20"/>
              </w:rPr>
            </w:pPr>
            <w:r w:rsidRPr="00C0436C">
              <w:rPr>
                <w:rFonts w:cs="Segoe UI"/>
                <w:szCs w:val="20"/>
              </w:rPr>
              <w:t>Load testing on network connections. This assessment is limited to single-session testing from a given site to Office 365</w:t>
            </w:r>
          </w:p>
          <w:p w14:paraId="0A0C3FCC" w14:textId="77777777" w:rsidR="00DE5AB0" w:rsidRPr="00C0436C" w:rsidRDefault="00DE5AB0" w:rsidP="00DE5AB0">
            <w:pPr>
              <w:pStyle w:val="TableBullet1"/>
              <w:rPr>
                <w:rFonts w:cs="Segoe UI"/>
                <w:szCs w:val="20"/>
              </w:rPr>
            </w:pPr>
            <w:r w:rsidRPr="00C0436C">
              <w:rPr>
                <w:rFonts w:cs="Segoe UI"/>
                <w:szCs w:val="20"/>
              </w:rPr>
              <w:t>Any troubleshooting activity on the network</w:t>
            </w:r>
          </w:p>
          <w:p w14:paraId="12F81C26" w14:textId="77777777" w:rsidR="00DE5AB0" w:rsidRPr="00C0436C" w:rsidRDefault="00DE5AB0" w:rsidP="00DE5AB0">
            <w:pPr>
              <w:pStyle w:val="TableBullet1"/>
              <w:rPr>
                <w:rFonts w:cs="Segoe UI"/>
                <w:szCs w:val="20"/>
              </w:rPr>
            </w:pPr>
            <w:r w:rsidRPr="00C0436C">
              <w:rPr>
                <w:rFonts w:cs="Segoe UI"/>
                <w:szCs w:val="20"/>
              </w:rPr>
              <w:t>Network path analysis beyond a proxy service (when used)</w:t>
            </w:r>
          </w:p>
        </w:tc>
      </w:tr>
      <w:tr w:rsidR="00DE5AB0" w:rsidRPr="00C0436C" w14:paraId="68D348B8" w14:textId="77777777" w:rsidTr="00DE5AB0">
        <w:trPr>
          <w:trHeight w:val="432"/>
        </w:trPr>
        <w:tc>
          <w:tcPr>
            <w:tcW w:w="1872" w:type="dxa"/>
          </w:tcPr>
          <w:p w14:paraId="24E47ECD" w14:textId="77777777" w:rsidR="00DE5AB0" w:rsidRPr="00C0436C" w:rsidRDefault="00DE5AB0" w:rsidP="00DE5AB0">
            <w:pPr>
              <w:pStyle w:val="TableText"/>
              <w:rPr>
                <w:rFonts w:cs="Segoe UI"/>
                <w:szCs w:val="20"/>
              </w:rPr>
            </w:pPr>
            <w:r w:rsidRPr="00476433">
              <w:rPr>
                <w:rFonts w:cs="Segoe UI"/>
                <w:color w:val="000000" w:themeColor="text1"/>
                <w:szCs w:val="20"/>
              </w:rPr>
              <w:t>AAD-01</w:t>
            </w:r>
          </w:p>
        </w:tc>
        <w:tc>
          <w:tcPr>
            <w:tcW w:w="2169" w:type="dxa"/>
            <w:shd w:val="clear" w:color="auto" w:fill="auto"/>
          </w:tcPr>
          <w:p w14:paraId="6CE134DE" w14:textId="72A960F1" w:rsidR="00DE5AB0" w:rsidRPr="00476433" w:rsidRDefault="00DE5AB0" w:rsidP="00DE5AB0">
            <w:pPr>
              <w:pStyle w:val="Instructional"/>
              <w:rPr>
                <w:rFonts w:cs="Segoe UI"/>
                <w:color w:val="000000" w:themeColor="text1"/>
                <w:szCs w:val="20"/>
              </w:rPr>
            </w:pPr>
            <w:r w:rsidRPr="00476433">
              <w:rPr>
                <w:rFonts w:cs="Segoe UI"/>
                <w:b/>
                <w:bCs/>
                <w:color w:val="000000" w:themeColor="text1"/>
                <w:szCs w:val="20"/>
              </w:rPr>
              <w:t>AD FS Farm Deployment</w:t>
            </w:r>
          </w:p>
          <w:p w14:paraId="648C4D7A" w14:textId="61935B53" w:rsidR="00DE5AB0" w:rsidRPr="00C0436C" w:rsidRDefault="00AE40C0" w:rsidP="00DE5AB0">
            <w:pPr>
              <w:pStyle w:val="Instructional"/>
              <w:rPr>
                <w:rFonts w:cs="Segoe UI"/>
                <w:szCs w:val="20"/>
              </w:rPr>
            </w:pPr>
            <w:r w:rsidRPr="00AE40C0">
              <w:rPr>
                <w:rFonts w:eastAsia="Calibri" w:cs="Segoe UI"/>
                <w:color w:val="000000" w:themeColor="text1"/>
              </w:rPr>
              <w:t xml:space="preserve">No AD FS Farm will be deployed as part of this project. </w:t>
            </w:r>
          </w:p>
        </w:tc>
        <w:tc>
          <w:tcPr>
            <w:tcW w:w="5321" w:type="dxa"/>
            <w:shd w:val="clear" w:color="auto" w:fill="auto"/>
          </w:tcPr>
          <w:p w14:paraId="7585251F" w14:textId="40563BFA" w:rsidR="00DE5AB0" w:rsidRPr="00E53396" w:rsidRDefault="00DE5AB0" w:rsidP="00DE5AB0">
            <w:pPr>
              <w:pStyle w:val="Instructional"/>
              <w:rPr>
                <w:rFonts w:cs="Segoe UI"/>
                <w:color w:val="000000" w:themeColor="text1"/>
                <w:szCs w:val="20"/>
              </w:rPr>
            </w:pPr>
            <w:r w:rsidRPr="00E53396">
              <w:rPr>
                <w:rFonts w:cs="Segoe UI"/>
                <w:b/>
                <w:bCs/>
                <w:color w:val="000000" w:themeColor="text1"/>
                <w:szCs w:val="20"/>
              </w:rPr>
              <w:t>AD FS Farm Deployment</w:t>
            </w:r>
          </w:p>
          <w:p w14:paraId="2733FE4B" w14:textId="77777777" w:rsidR="000D25C6" w:rsidRPr="00F06D9F" w:rsidRDefault="000D25C6" w:rsidP="004C53CC">
            <w:pPr>
              <w:pStyle w:val="TableText"/>
              <w:numPr>
                <w:ilvl w:val="0"/>
                <w:numId w:val="10"/>
              </w:numPr>
              <w:ind w:left="360"/>
              <w:contextualSpacing/>
              <w:rPr>
                <w:rFonts w:cs="Segoe UI"/>
              </w:rPr>
            </w:pPr>
            <w:r w:rsidRPr="000D69E2">
              <w:rPr>
                <w:rFonts w:cs="Segoe UI"/>
              </w:rPr>
              <w:t xml:space="preserve">Deployment of AD FS </w:t>
            </w:r>
            <w:r w:rsidRPr="004E57EF">
              <w:rPr>
                <w:rFonts w:cs="Segoe UI"/>
              </w:rPr>
              <w:t xml:space="preserve">Farm, customer </w:t>
            </w:r>
            <w:r>
              <w:rPr>
                <w:rFonts w:cs="Segoe UI"/>
              </w:rPr>
              <w:t xml:space="preserve">is </w:t>
            </w:r>
            <w:r w:rsidRPr="004E57EF">
              <w:rPr>
                <w:rFonts w:cs="Segoe UI"/>
              </w:rPr>
              <w:t xml:space="preserve">using AAD Connect with password# Sync which could be changed to </w:t>
            </w:r>
            <w:r w:rsidRPr="00D1382D">
              <w:rPr>
                <w:rFonts w:cs="Segoe UI"/>
              </w:rPr>
              <w:t>pass through authentication</w:t>
            </w:r>
            <w:r>
              <w:rPr>
                <w:rFonts w:cs="Segoe UI"/>
              </w:rPr>
              <w:t xml:space="preserve"> if required</w:t>
            </w:r>
            <w:r w:rsidRPr="00D1382D">
              <w:rPr>
                <w:rFonts w:cs="Segoe UI"/>
              </w:rPr>
              <w:t>.</w:t>
            </w:r>
          </w:p>
          <w:p w14:paraId="51634823" w14:textId="024C05AF" w:rsidR="00DE5AB0" w:rsidRPr="00C0436C" w:rsidRDefault="00DE5AB0" w:rsidP="00DE5AB0">
            <w:pPr>
              <w:pStyle w:val="Instructional"/>
              <w:rPr>
                <w:rFonts w:cs="Segoe UI"/>
                <w:szCs w:val="20"/>
              </w:rPr>
            </w:pPr>
          </w:p>
        </w:tc>
      </w:tr>
      <w:tr w:rsidR="00DE5AB0" w:rsidRPr="00C0436C" w14:paraId="2F00D7ED" w14:textId="77777777" w:rsidTr="00DE5AB0">
        <w:trPr>
          <w:trHeight w:val="432"/>
        </w:trPr>
        <w:tc>
          <w:tcPr>
            <w:tcW w:w="1872" w:type="dxa"/>
          </w:tcPr>
          <w:p w14:paraId="0C99AB2A" w14:textId="77777777" w:rsidR="00DE5AB0" w:rsidRPr="00C0436C" w:rsidRDefault="00DE5AB0" w:rsidP="00DE5AB0">
            <w:pPr>
              <w:pStyle w:val="TableText"/>
              <w:rPr>
                <w:rFonts w:cs="Segoe UI"/>
                <w:szCs w:val="20"/>
              </w:rPr>
            </w:pPr>
            <w:r w:rsidRPr="00C0436C">
              <w:rPr>
                <w:rFonts w:cs="Segoe UI"/>
                <w:szCs w:val="20"/>
              </w:rPr>
              <w:t>AAD-02</w:t>
            </w:r>
          </w:p>
        </w:tc>
        <w:tc>
          <w:tcPr>
            <w:tcW w:w="2169" w:type="dxa"/>
            <w:shd w:val="clear" w:color="auto" w:fill="auto"/>
          </w:tcPr>
          <w:p w14:paraId="7E482872" w14:textId="77777777" w:rsidR="00DE5AB0" w:rsidRPr="00C0436C" w:rsidRDefault="00DE5AB0" w:rsidP="00DE5AB0">
            <w:pPr>
              <w:rPr>
                <w:rFonts w:cs="Segoe UI"/>
                <w:szCs w:val="20"/>
              </w:rPr>
            </w:pPr>
            <w:r w:rsidRPr="00C0436C">
              <w:rPr>
                <w:rFonts w:cs="Segoe UI"/>
                <w:szCs w:val="20"/>
              </w:rPr>
              <w:t>Azure Multi-Factor Authentication server and third-party providers</w:t>
            </w:r>
          </w:p>
        </w:tc>
        <w:tc>
          <w:tcPr>
            <w:tcW w:w="5321" w:type="dxa"/>
            <w:shd w:val="clear" w:color="auto" w:fill="auto"/>
          </w:tcPr>
          <w:p w14:paraId="3144947A" w14:textId="77777777" w:rsidR="00DE5AB0" w:rsidRPr="00C0436C" w:rsidRDefault="00DE5AB0" w:rsidP="00DE5AB0">
            <w:pPr>
              <w:rPr>
                <w:rFonts w:cs="Segoe UI"/>
                <w:szCs w:val="20"/>
              </w:rPr>
            </w:pPr>
            <w:r w:rsidRPr="00C0436C">
              <w:rPr>
                <w:rFonts w:cs="Segoe UI"/>
                <w:szCs w:val="20"/>
              </w:rPr>
              <w:t>Deployment of the on-premises Azure MFA Server is outside the scope of this project, as is integration with a third-party multi-factor authentication provider.</w:t>
            </w:r>
          </w:p>
        </w:tc>
      </w:tr>
      <w:tr w:rsidR="00DE5AB0" w:rsidRPr="00C0436C" w14:paraId="22EADD10" w14:textId="77777777" w:rsidTr="00DE5AB0">
        <w:trPr>
          <w:trHeight w:val="432"/>
        </w:trPr>
        <w:tc>
          <w:tcPr>
            <w:tcW w:w="1872" w:type="dxa"/>
          </w:tcPr>
          <w:p w14:paraId="4E685D23" w14:textId="77777777" w:rsidR="00DE5AB0" w:rsidRPr="00C0436C" w:rsidRDefault="00DE5AB0" w:rsidP="00DE5AB0">
            <w:pPr>
              <w:pStyle w:val="TableText"/>
              <w:rPr>
                <w:rFonts w:cs="Segoe UI"/>
                <w:szCs w:val="20"/>
              </w:rPr>
            </w:pPr>
            <w:r w:rsidRPr="00C0436C">
              <w:rPr>
                <w:rFonts w:cs="Segoe UI"/>
                <w:szCs w:val="20"/>
              </w:rPr>
              <w:t>EXO-01</w:t>
            </w:r>
          </w:p>
        </w:tc>
        <w:tc>
          <w:tcPr>
            <w:tcW w:w="2169" w:type="dxa"/>
            <w:shd w:val="clear" w:color="auto" w:fill="auto"/>
          </w:tcPr>
          <w:p w14:paraId="14C9F0D8" w14:textId="77777777" w:rsidR="00DE5AB0" w:rsidRPr="00C0436C" w:rsidRDefault="00DE5AB0" w:rsidP="00DE5AB0">
            <w:pPr>
              <w:rPr>
                <w:rFonts w:cs="Segoe UI"/>
                <w:szCs w:val="20"/>
              </w:rPr>
            </w:pPr>
            <w:r w:rsidRPr="00C0436C">
              <w:rPr>
                <w:rFonts w:cs="Segoe UI"/>
                <w:szCs w:val="20"/>
              </w:rPr>
              <w:t>Exchange Online detailed policy design and configuration</w:t>
            </w:r>
          </w:p>
        </w:tc>
        <w:tc>
          <w:tcPr>
            <w:tcW w:w="5321" w:type="dxa"/>
            <w:shd w:val="clear" w:color="auto" w:fill="auto"/>
          </w:tcPr>
          <w:p w14:paraId="22293BE1" w14:textId="3B62A2F6" w:rsidR="00DE5AB0" w:rsidRPr="00C0436C" w:rsidRDefault="00DE5AB0" w:rsidP="00DE5AB0">
            <w:pPr>
              <w:rPr>
                <w:rFonts w:cs="Segoe UI"/>
                <w:szCs w:val="20"/>
              </w:rPr>
            </w:pPr>
            <w:r w:rsidRPr="00C0436C">
              <w:rPr>
                <w:rFonts w:cs="Segoe UI"/>
                <w:szCs w:val="20"/>
              </w:rPr>
              <w:t xml:space="preserve">Exchange Online enablement excludes design and configuration of digital loss prevention (DLP) rules and retention policies are out of scope for the project unless explicitly listed as in scope in the </w:t>
            </w:r>
            <w:r w:rsidRPr="00C0436C">
              <w:rPr>
                <w:rFonts w:cs="Segoe UI"/>
                <w:szCs w:val="20"/>
              </w:rPr>
              <w:fldChar w:fldCharType="begin"/>
            </w:r>
            <w:r w:rsidRPr="00C0436C">
              <w:rPr>
                <w:rFonts w:cs="Segoe UI"/>
                <w:szCs w:val="20"/>
              </w:rPr>
              <w:instrText xml:space="preserve"> REF _Ref514765823 \h </w:instrText>
            </w:r>
            <w:r>
              <w:rPr>
                <w:rFonts w:cs="Segoe UI"/>
                <w:szCs w:val="20"/>
              </w:rPr>
              <w:instrText xml:space="preserve"> \* MERGEFORMAT </w:instrText>
            </w:r>
            <w:r w:rsidRPr="00C0436C">
              <w:rPr>
                <w:rFonts w:cs="Segoe UI"/>
                <w:szCs w:val="20"/>
              </w:rPr>
            </w:r>
            <w:r w:rsidRPr="00C0436C">
              <w:rPr>
                <w:rFonts w:cs="Segoe UI"/>
                <w:szCs w:val="20"/>
              </w:rPr>
              <w:fldChar w:fldCharType="separate"/>
            </w:r>
            <w:r w:rsidR="00664262" w:rsidRPr="003815D6">
              <w:t>General project scope</w:t>
            </w:r>
            <w:r w:rsidRPr="00C0436C">
              <w:rPr>
                <w:rFonts w:cs="Segoe UI"/>
                <w:szCs w:val="20"/>
              </w:rPr>
              <w:fldChar w:fldCharType="end"/>
            </w:r>
            <w:r w:rsidRPr="00C0436C">
              <w:rPr>
                <w:rFonts w:cs="Segoe UI"/>
                <w:szCs w:val="20"/>
              </w:rPr>
              <w:t xml:space="preserve"> section. </w:t>
            </w:r>
          </w:p>
        </w:tc>
      </w:tr>
      <w:tr w:rsidR="00DE5AB0" w:rsidRPr="00C0436C" w14:paraId="5B6B6001" w14:textId="77777777" w:rsidTr="00DE5AB0">
        <w:trPr>
          <w:trHeight w:val="432"/>
        </w:trPr>
        <w:tc>
          <w:tcPr>
            <w:tcW w:w="1872" w:type="dxa"/>
            <w:vMerge w:val="restart"/>
          </w:tcPr>
          <w:p w14:paraId="3E2A2002" w14:textId="77777777" w:rsidR="00DE5AB0" w:rsidRPr="00C0436C" w:rsidRDefault="00DE5AB0" w:rsidP="00DE5AB0">
            <w:pPr>
              <w:pStyle w:val="TableText"/>
              <w:rPr>
                <w:rFonts w:cs="Segoe UI"/>
                <w:szCs w:val="20"/>
              </w:rPr>
            </w:pPr>
            <w:r w:rsidRPr="00C0436C">
              <w:rPr>
                <w:rFonts w:cs="Segoe UI"/>
                <w:szCs w:val="20"/>
              </w:rPr>
              <w:lastRenderedPageBreak/>
              <w:t>ACM-01</w:t>
            </w:r>
          </w:p>
        </w:tc>
        <w:tc>
          <w:tcPr>
            <w:tcW w:w="2169" w:type="dxa"/>
            <w:shd w:val="clear" w:color="auto" w:fill="auto"/>
          </w:tcPr>
          <w:p w14:paraId="711AD420" w14:textId="77777777" w:rsidR="00DE5AB0" w:rsidRPr="00C0436C" w:rsidRDefault="00DE5AB0" w:rsidP="00DE5AB0">
            <w:pPr>
              <w:rPr>
                <w:rFonts w:eastAsia="Calibri" w:cs="Segoe UI"/>
                <w:szCs w:val="20"/>
              </w:rPr>
            </w:pPr>
            <w:r w:rsidRPr="00C0436C">
              <w:rPr>
                <w:rFonts w:cs="Segoe UI"/>
                <w:szCs w:val="20"/>
              </w:rPr>
              <w:t>Training</w:t>
            </w:r>
          </w:p>
        </w:tc>
        <w:tc>
          <w:tcPr>
            <w:tcW w:w="5321" w:type="dxa"/>
            <w:shd w:val="clear" w:color="auto" w:fill="auto"/>
          </w:tcPr>
          <w:p w14:paraId="2D48C2F1" w14:textId="77777777" w:rsidR="00DE5AB0" w:rsidRPr="00C0436C" w:rsidRDefault="00DE5AB0" w:rsidP="00DE5AB0">
            <w:pPr>
              <w:pStyle w:val="TableText"/>
            </w:pPr>
            <w:r w:rsidRPr="00C0436C">
              <w:t>Formal user training related to products or technology that includes workshops, classrooms, and books is not in scope.</w:t>
            </w:r>
          </w:p>
        </w:tc>
      </w:tr>
      <w:tr w:rsidR="00DE5AB0" w:rsidRPr="00C0436C" w14:paraId="3A67EFBB" w14:textId="77777777" w:rsidTr="00DE5AB0">
        <w:trPr>
          <w:trHeight w:val="432"/>
        </w:trPr>
        <w:tc>
          <w:tcPr>
            <w:tcW w:w="1872" w:type="dxa"/>
            <w:vMerge/>
          </w:tcPr>
          <w:p w14:paraId="414EF901" w14:textId="77777777" w:rsidR="00DE5AB0" w:rsidRPr="00C0436C" w:rsidRDefault="00DE5AB0" w:rsidP="00DE5AB0">
            <w:pPr>
              <w:pStyle w:val="TableText"/>
              <w:rPr>
                <w:rFonts w:cs="Segoe UI"/>
                <w:szCs w:val="20"/>
              </w:rPr>
            </w:pPr>
          </w:p>
        </w:tc>
        <w:tc>
          <w:tcPr>
            <w:tcW w:w="2169" w:type="dxa"/>
            <w:shd w:val="clear" w:color="auto" w:fill="auto"/>
          </w:tcPr>
          <w:p w14:paraId="0DB371C2" w14:textId="77777777" w:rsidR="00DE5AB0" w:rsidRPr="00C0436C" w:rsidRDefault="00DE5AB0" w:rsidP="00DE5AB0">
            <w:pPr>
              <w:rPr>
                <w:rFonts w:eastAsia="Calibri" w:cs="Segoe UI"/>
                <w:szCs w:val="20"/>
              </w:rPr>
            </w:pPr>
            <w:r w:rsidRPr="00C0436C">
              <w:rPr>
                <w:rFonts w:cs="Segoe UI"/>
                <w:szCs w:val="20"/>
              </w:rPr>
              <w:t>Branding</w:t>
            </w:r>
          </w:p>
        </w:tc>
        <w:tc>
          <w:tcPr>
            <w:tcW w:w="5321" w:type="dxa"/>
            <w:shd w:val="clear" w:color="auto" w:fill="auto"/>
          </w:tcPr>
          <w:p w14:paraId="381FE383" w14:textId="77777777" w:rsidR="00DE5AB0" w:rsidRPr="00C0436C" w:rsidRDefault="00DE5AB0" w:rsidP="00DE5AB0">
            <w:pPr>
              <w:pStyle w:val="TableText"/>
            </w:pPr>
            <w:r w:rsidRPr="00C0436C">
              <w:t>Corporate branding design and related graphic elements are not in scope.</w:t>
            </w:r>
          </w:p>
        </w:tc>
      </w:tr>
      <w:tr w:rsidR="00DE5AB0" w:rsidRPr="00C0436C" w14:paraId="07DD3339" w14:textId="77777777" w:rsidTr="00DE5AB0">
        <w:trPr>
          <w:trHeight w:val="432"/>
        </w:trPr>
        <w:tc>
          <w:tcPr>
            <w:tcW w:w="1872" w:type="dxa"/>
            <w:vMerge/>
          </w:tcPr>
          <w:p w14:paraId="4064BC4A" w14:textId="77777777" w:rsidR="00DE5AB0" w:rsidRPr="00C0436C" w:rsidRDefault="00DE5AB0" w:rsidP="00DE5AB0">
            <w:pPr>
              <w:pStyle w:val="TableText"/>
              <w:rPr>
                <w:rFonts w:cs="Segoe UI"/>
                <w:szCs w:val="20"/>
              </w:rPr>
            </w:pPr>
          </w:p>
        </w:tc>
        <w:tc>
          <w:tcPr>
            <w:tcW w:w="2169" w:type="dxa"/>
            <w:shd w:val="clear" w:color="auto" w:fill="auto"/>
          </w:tcPr>
          <w:p w14:paraId="7398372D" w14:textId="77777777" w:rsidR="00DE5AB0" w:rsidRPr="00C0436C" w:rsidRDefault="00DE5AB0" w:rsidP="00DE5AB0">
            <w:pPr>
              <w:rPr>
                <w:rFonts w:eastAsia="Calibri" w:cs="Segoe UI"/>
                <w:szCs w:val="20"/>
              </w:rPr>
            </w:pPr>
            <w:r w:rsidRPr="00C0436C">
              <w:rPr>
                <w:rFonts w:cs="Segoe UI"/>
                <w:szCs w:val="20"/>
              </w:rPr>
              <w:t>Business case development</w:t>
            </w:r>
          </w:p>
        </w:tc>
        <w:tc>
          <w:tcPr>
            <w:tcW w:w="5321" w:type="dxa"/>
            <w:shd w:val="clear" w:color="auto" w:fill="auto"/>
          </w:tcPr>
          <w:p w14:paraId="3189A073" w14:textId="77777777" w:rsidR="00DE5AB0" w:rsidRPr="00C0436C" w:rsidRDefault="00DE5AB0" w:rsidP="00DE5AB0">
            <w:pPr>
              <w:pStyle w:val="TableText"/>
            </w:pPr>
            <w:r w:rsidRPr="00C0436C">
              <w:t>Business case creation for the technology investment is out of scope.</w:t>
            </w:r>
          </w:p>
        </w:tc>
      </w:tr>
      <w:tr w:rsidR="00DE5AB0" w:rsidRPr="003815D6" w14:paraId="3A0E655A" w14:textId="77777777" w:rsidTr="00DE5AB0">
        <w:trPr>
          <w:trHeight w:val="432"/>
        </w:trPr>
        <w:tc>
          <w:tcPr>
            <w:tcW w:w="1872" w:type="dxa"/>
          </w:tcPr>
          <w:p w14:paraId="4C02C435" w14:textId="77777777" w:rsidR="00DE5AB0" w:rsidRPr="00C0436C" w:rsidRDefault="00DE5AB0" w:rsidP="00DE5AB0">
            <w:pPr>
              <w:pStyle w:val="TableText"/>
              <w:rPr>
                <w:rFonts w:cs="Segoe UI"/>
                <w:szCs w:val="20"/>
              </w:rPr>
            </w:pPr>
            <w:r w:rsidRPr="00C0436C">
              <w:rPr>
                <w:rFonts w:cs="Segoe UI"/>
                <w:szCs w:val="20"/>
              </w:rPr>
              <w:t>ITSM-01</w:t>
            </w:r>
          </w:p>
        </w:tc>
        <w:tc>
          <w:tcPr>
            <w:tcW w:w="2169" w:type="dxa"/>
            <w:shd w:val="clear" w:color="auto" w:fill="auto"/>
          </w:tcPr>
          <w:p w14:paraId="212E0F6E" w14:textId="77777777" w:rsidR="00DE5AB0" w:rsidRPr="00C0436C" w:rsidRDefault="00DE5AB0" w:rsidP="00DE5AB0">
            <w:pPr>
              <w:rPr>
                <w:rFonts w:cs="Segoe UI"/>
                <w:szCs w:val="20"/>
              </w:rPr>
            </w:pPr>
            <w:r w:rsidRPr="00C0436C">
              <w:t>Implementation and Support</w:t>
            </w:r>
          </w:p>
        </w:tc>
        <w:tc>
          <w:tcPr>
            <w:tcW w:w="5321" w:type="dxa"/>
            <w:shd w:val="clear" w:color="auto" w:fill="auto"/>
          </w:tcPr>
          <w:p w14:paraId="7F12B132" w14:textId="77777777" w:rsidR="00DE5AB0" w:rsidRPr="00C0436C" w:rsidRDefault="00DE5AB0" w:rsidP="004C53CC">
            <w:pPr>
              <w:pStyle w:val="TableText"/>
              <w:numPr>
                <w:ilvl w:val="0"/>
                <w:numId w:val="10"/>
              </w:numPr>
              <w:ind w:left="360"/>
              <w:contextualSpacing/>
            </w:pPr>
            <w:r w:rsidRPr="00C0436C">
              <w:t>Day-to-day operational support of the existing environment.</w:t>
            </w:r>
          </w:p>
          <w:p w14:paraId="0B24BAE3" w14:textId="77777777" w:rsidR="00DE5AB0" w:rsidRPr="00C0436C" w:rsidRDefault="00DE5AB0" w:rsidP="004C53CC">
            <w:pPr>
              <w:pStyle w:val="TableText"/>
              <w:numPr>
                <w:ilvl w:val="0"/>
                <w:numId w:val="10"/>
              </w:numPr>
              <w:ind w:left="360"/>
              <w:contextualSpacing/>
            </w:pPr>
            <w:r w:rsidRPr="00C0436C">
              <w:t>Process implementation</w:t>
            </w:r>
          </w:p>
          <w:p w14:paraId="1B224359" w14:textId="77777777" w:rsidR="00DE5AB0" w:rsidRPr="00C0436C" w:rsidRDefault="00DE5AB0" w:rsidP="004C53CC">
            <w:pPr>
              <w:pStyle w:val="TableText"/>
              <w:numPr>
                <w:ilvl w:val="0"/>
                <w:numId w:val="10"/>
              </w:numPr>
              <w:ind w:left="360"/>
              <w:contextualSpacing/>
            </w:pPr>
            <w:r w:rsidRPr="00C0436C">
              <w:t>Ongoing process improvement</w:t>
            </w:r>
          </w:p>
          <w:p w14:paraId="0C7E7F9B" w14:textId="77777777" w:rsidR="00DE5AB0" w:rsidRPr="00C0436C" w:rsidRDefault="00DE5AB0" w:rsidP="004C53CC">
            <w:pPr>
              <w:pStyle w:val="TableText"/>
              <w:numPr>
                <w:ilvl w:val="0"/>
                <w:numId w:val="10"/>
              </w:numPr>
              <w:ind w:left="360"/>
              <w:contextualSpacing/>
            </w:pPr>
            <w:r w:rsidRPr="00C0436C">
              <w:t>Any additional scorecards (except those provided by Office 365)</w:t>
            </w:r>
          </w:p>
          <w:p w14:paraId="6BF221B7" w14:textId="77777777" w:rsidR="00DE5AB0" w:rsidRPr="00C0436C" w:rsidRDefault="00DE5AB0" w:rsidP="004C53CC">
            <w:pPr>
              <w:pStyle w:val="TableText"/>
              <w:numPr>
                <w:ilvl w:val="0"/>
                <w:numId w:val="10"/>
              </w:numPr>
              <w:ind w:left="360"/>
              <w:contextualSpacing/>
            </w:pPr>
            <w:r w:rsidRPr="00C0436C">
              <w:t>A service catalog</w:t>
            </w:r>
          </w:p>
          <w:p w14:paraId="43046377" w14:textId="77777777" w:rsidR="00DE5AB0" w:rsidRPr="00C0436C" w:rsidRDefault="00DE5AB0" w:rsidP="004C53CC">
            <w:pPr>
              <w:pStyle w:val="TableText"/>
              <w:numPr>
                <w:ilvl w:val="0"/>
                <w:numId w:val="10"/>
              </w:numPr>
              <w:ind w:left="360"/>
              <w:contextualSpacing/>
            </w:pPr>
            <w:r w:rsidRPr="00C0436C">
              <w:t>A fully documented and functional Incident Management process</w:t>
            </w:r>
          </w:p>
          <w:p w14:paraId="1A689AFC" w14:textId="77777777" w:rsidR="00DE5AB0" w:rsidRPr="00C0436C" w:rsidRDefault="00DE5AB0" w:rsidP="004C53CC">
            <w:pPr>
              <w:pStyle w:val="TableText"/>
              <w:numPr>
                <w:ilvl w:val="0"/>
                <w:numId w:val="10"/>
              </w:numPr>
              <w:ind w:left="360"/>
              <w:contextualSpacing/>
            </w:pPr>
            <w:r w:rsidRPr="00C0436C">
              <w:t>Setup of a Service/Help Desk organization</w:t>
            </w:r>
          </w:p>
        </w:tc>
      </w:tr>
      <w:tr w:rsidR="00FA0D29" w:rsidRPr="003815D6" w14:paraId="5BDB774A" w14:textId="77777777" w:rsidTr="00DE5AB0">
        <w:trPr>
          <w:trHeight w:val="432"/>
        </w:trPr>
        <w:tc>
          <w:tcPr>
            <w:tcW w:w="1872" w:type="dxa"/>
          </w:tcPr>
          <w:p w14:paraId="52B6D315" w14:textId="374A04AD" w:rsidR="00FA0D29" w:rsidRPr="00F52AF8" w:rsidRDefault="00FA0D29" w:rsidP="00DE5AB0">
            <w:pPr>
              <w:pStyle w:val="TableText"/>
              <w:rPr>
                <w:rFonts w:cs="Segoe UI"/>
                <w:szCs w:val="20"/>
              </w:rPr>
            </w:pPr>
            <w:r w:rsidRPr="00F52AF8">
              <w:rPr>
                <w:rFonts w:cs="Segoe UI"/>
                <w:szCs w:val="20"/>
              </w:rPr>
              <w:t>COM-01</w:t>
            </w:r>
          </w:p>
        </w:tc>
        <w:tc>
          <w:tcPr>
            <w:tcW w:w="2169" w:type="dxa"/>
            <w:shd w:val="clear" w:color="auto" w:fill="auto"/>
          </w:tcPr>
          <w:p w14:paraId="4ACCB827" w14:textId="222032AD" w:rsidR="00FA0D29" w:rsidRPr="00F52AF8" w:rsidRDefault="002802D8" w:rsidP="00DE5AB0">
            <w:r w:rsidRPr="00F52AF8">
              <w:t>Additional communications platf</w:t>
            </w:r>
            <w:r w:rsidR="00B33F00" w:rsidRPr="00F52AF8">
              <w:t>orms</w:t>
            </w:r>
          </w:p>
        </w:tc>
        <w:tc>
          <w:tcPr>
            <w:tcW w:w="5321" w:type="dxa"/>
            <w:shd w:val="clear" w:color="auto" w:fill="auto"/>
          </w:tcPr>
          <w:p w14:paraId="2AC17CBF" w14:textId="6F7E594A" w:rsidR="00FA0D29" w:rsidRPr="00F52AF8" w:rsidRDefault="00F11C28" w:rsidP="004C53CC">
            <w:pPr>
              <w:pStyle w:val="TableText"/>
              <w:numPr>
                <w:ilvl w:val="0"/>
                <w:numId w:val="10"/>
              </w:numPr>
              <w:ind w:left="360"/>
              <w:contextualSpacing/>
            </w:pPr>
            <w:r w:rsidRPr="00F52AF8">
              <w:t>Only e</w:t>
            </w:r>
            <w:r w:rsidR="00B33F00" w:rsidRPr="00F52AF8">
              <w:t xml:space="preserve">xisting </w:t>
            </w:r>
            <w:r w:rsidR="007C6D91" w:rsidRPr="00F52AF8">
              <w:t xml:space="preserve"> communications platforms</w:t>
            </w:r>
            <w:r w:rsidRPr="00F52AF8">
              <w:t xml:space="preserve"> will be used for communication</w:t>
            </w:r>
          </w:p>
        </w:tc>
      </w:tr>
    </w:tbl>
    <w:p w14:paraId="42EFC38D" w14:textId="77777777" w:rsidR="00DE5AB0" w:rsidRDefault="00DE5AB0" w:rsidP="00881E85"/>
    <w:p w14:paraId="06244AAA" w14:textId="344D58AA" w:rsidR="00942632" w:rsidRPr="003815D6" w:rsidRDefault="00942632" w:rsidP="00C84DD9">
      <w:pPr>
        <w:pStyle w:val="Heading1"/>
      </w:pPr>
      <w:bookmarkStart w:id="59" w:name="_Toc515009691"/>
      <w:bookmarkStart w:id="60" w:name="_Toc476167706"/>
      <w:bookmarkStart w:id="61" w:name="_Toc476168033"/>
      <w:bookmarkStart w:id="62" w:name="_Toc514413042"/>
      <w:bookmarkStart w:id="63" w:name="_Toc517761998"/>
      <w:bookmarkStart w:id="64" w:name="_Toc22884104"/>
      <w:bookmarkEnd w:id="59"/>
      <w:r w:rsidRPr="003815D6">
        <w:t>Project approach, timeline</w:t>
      </w:r>
      <w:r w:rsidR="006209A1" w:rsidRPr="003815D6">
        <w:t>,</w:t>
      </w:r>
      <w:r w:rsidRPr="003815D6">
        <w:t xml:space="preserve"> and deliverable acceptance</w:t>
      </w:r>
      <w:bookmarkEnd w:id="60"/>
      <w:bookmarkEnd w:id="61"/>
      <w:bookmarkEnd w:id="62"/>
      <w:bookmarkEnd w:id="63"/>
      <w:bookmarkEnd w:id="64"/>
    </w:p>
    <w:p w14:paraId="39511EBF" w14:textId="330D2292" w:rsidR="00942632" w:rsidRPr="003815D6" w:rsidRDefault="00942632" w:rsidP="00C84DD9">
      <w:pPr>
        <w:pStyle w:val="Heading2"/>
      </w:pPr>
      <w:bookmarkStart w:id="65" w:name="_Toc476167707"/>
      <w:bookmarkStart w:id="66" w:name="_Toc476168034"/>
      <w:bookmarkStart w:id="67" w:name="_Ref477870375"/>
      <w:bookmarkStart w:id="68" w:name="_Ref477873467"/>
      <w:bookmarkStart w:id="69" w:name="_Ref477936654"/>
      <w:bookmarkStart w:id="70" w:name="_Ref477936937"/>
      <w:bookmarkStart w:id="71" w:name="_Toc514413043"/>
      <w:bookmarkStart w:id="72" w:name="_Toc517761999"/>
      <w:bookmarkStart w:id="73" w:name="_Toc22884105"/>
      <w:r w:rsidRPr="003815D6">
        <w:t>Approach</w:t>
      </w:r>
      <w:bookmarkEnd w:id="65"/>
      <w:bookmarkEnd w:id="66"/>
      <w:bookmarkEnd w:id="67"/>
      <w:bookmarkEnd w:id="68"/>
      <w:bookmarkEnd w:id="69"/>
      <w:bookmarkEnd w:id="70"/>
      <w:bookmarkEnd w:id="71"/>
      <w:bookmarkEnd w:id="72"/>
      <w:bookmarkEnd w:id="73"/>
    </w:p>
    <w:p w14:paraId="781547B2" w14:textId="00DA6A33" w:rsidR="00881E85" w:rsidRPr="003815D6" w:rsidRDefault="00881E85" w:rsidP="00881E85">
      <w:r w:rsidRPr="003815D6">
        <w:t xml:space="preserve">The project will be structured following the Online Solution Lifecyle delivery methodology and </w:t>
      </w:r>
      <w:r w:rsidR="006324A0" w:rsidRPr="003815D6">
        <w:t xml:space="preserve">will </w:t>
      </w:r>
      <w:r w:rsidRPr="003815D6">
        <w:t xml:space="preserve">consist of </w:t>
      </w:r>
      <w:r w:rsidR="000432CD" w:rsidRPr="003815D6">
        <w:t>4</w:t>
      </w:r>
      <w:r w:rsidRPr="003815D6">
        <w:t xml:space="preserve"> distinct phases: Assess, Remediate, Enable, and Migrate.</w:t>
      </w:r>
      <w:r w:rsidRPr="003815D6">
        <w:rPr>
          <w:rFonts w:ascii="Calibri" w:hAnsi="Calibri"/>
        </w:rPr>
        <w:t xml:space="preserve"> </w:t>
      </w:r>
      <w:r w:rsidRPr="003815D6">
        <w:t>Each phase has distinct activities and deliverables that are described in the following sections.</w:t>
      </w:r>
    </w:p>
    <w:p w14:paraId="636C6E59" w14:textId="77777777" w:rsidR="00712FE5" w:rsidRPr="003815D6" w:rsidRDefault="00712FE5" w:rsidP="0032686E">
      <w:r>
        <w:rPr>
          <w:noProof/>
        </w:rPr>
        <w:drawing>
          <wp:inline distT="0" distB="0" distL="0" distR="0" wp14:anchorId="6516873A" wp14:editId="6A0B5DBD">
            <wp:extent cx="4771430" cy="914286"/>
            <wp:effectExtent l="0" t="0" r="0" b="635"/>
            <wp:docPr id="1845637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771430" cy="914286"/>
                    </a:xfrm>
                    <a:prstGeom prst="rect">
                      <a:avLst/>
                    </a:prstGeom>
                  </pic:spPr>
                </pic:pic>
              </a:graphicData>
            </a:graphic>
          </wp:inline>
        </w:drawing>
      </w:r>
    </w:p>
    <w:p w14:paraId="51D241BE" w14:textId="0A8BFC27" w:rsidR="00881E85" w:rsidRPr="003815D6" w:rsidRDefault="00881E85" w:rsidP="0032686E">
      <w:r w:rsidRPr="003815D6">
        <w:t xml:space="preserve">The activities for each in-scope project component will be organized into these phases, and components will generally progress through project phases together. The </w:t>
      </w:r>
      <w:r w:rsidR="006324A0" w:rsidRPr="003815D6">
        <w:t xml:space="preserve">Assess </w:t>
      </w:r>
      <w:r w:rsidRPr="003815D6">
        <w:t xml:space="preserve">phase activities for most components, for example, will be completed before the project proceeds to the </w:t>
      </w:r>
      <w:r w:rsidR="006324A0" w:rsidRPr="003815D6">
        <w:t xml:space="preserve">Remediate </w:t>
      </w:r>
      <w:r w:rsidRPr="003815D6">
        <w:t xml:space="preserve">phase, and the </w:t>
      </w:r>
      <w:r w:rsidR="006324A0" w:rsidRPr="003815D6">
        <w:t xml:space="preserve">Remediate </w:t>
      </w:r>
      <w:r w:rsidRPr="003815D6">
        <w:t xml:space="preserve">phase activities for most components will be completed before the project proceeds to the </w:t>
      </w:r>
      <w:r w:rsidR="006324A0" w:rsidRPr="003815D6">
        <w:t xml:space="preserve">Enable </w:t>
      </w:r>
      <w:r w:rsidRPr="003815D6">
        <w:t xml:space="preserve">phase. Microsoft reserves the right to delay the start of individual project components, when necessary, for the </w:t>
      </w:r>
      <w:r w:rsidRPr="003815D6">
        <w:lastRenderedPageBreak/>
        <w:t xml:space="preserve">purposes of work prioritization or staffing optimization. </w:t>
      </w:r>
      <w:r w:rsidR="006324A0" w:rsidRPr="003815D6">
        <w:t xml:space="preserve">During the Assess phase, a </w:t>
      </w:r>
      <w:r w:rsidRPr="003815D6">
        <w:t>project plan will be produced that documents the detailed delivery schedule.</w:t>
      </w:r>
    </w:p>
    <w:p w14:paraId="37552954" w14:textId="2F33EB0A" w:rsidR="007C2E09" w:rsidRPr="003815D6" w:rsidRDefault="007C2E09" w:rsidP="0032686E">
      <w:pPr>
        <w:rPr>
          <w:rFonts w:ascii="Calibri" w:hAnsi="Calibri"/>
        </w:rPr>
      </w:pPr>
      <w:r w:rsidRPr="003815D6">
        <w:t xml:space="preserve">As part of </w:t>
      </w:r>
      <w:r w:rsidR="006256A5" w:rsidRPr="003815D6">
        <w:t>this project</w:t>
      </w:r>
      <w:r w:rsidRPr="003815D6">
        <w:t xml:space="preserve">, various deliverables will be created. If a deliverable requires formal review and acceptance (a process described in the </w:t>
      </w:r>
      <w:r w:rsidRPr="003815D6">
        <w:fldChar w:fldCharType="begin"/>
      </w:r>
      <w:r w:rsidRPr="003815D6">
        <w:instrText xml:space="preserve"> REF _Ref477932041 \h  \* MERGEFORMAT </w:instrText>
      </w:r>
      <w:r w:rsidRPr="003815D6">
        <w:fldChar w:fldCharType="separate"/>
      </w:r>
      <w:r w:rsidR="00664262" w:rsidRPr="003815D6">
        <w:t>Deliverable acceptance process</w:t>
      </w:r>
      <w:r w:rsidRPr="003815D6">
        <w:fldChar w:fldCharType="end"/>
      </w:r>
      <w:r w:rsidRPr="003815D6">
        <w:t xml:space="preserve"> section), this is indicated in the following sections.</w:t>
      </w:r>
    </w:p>
    <w:p w14:paraId="0A310811" w14:textId="77777777" w:rsidR="00B5507E" w:rsidRPr="003815D6" w:rsidRDefault="00B5507E" w:rsidP="00C84DD9">
      <w:pPr>
        <w:pStyle w:val="Heading3"/>
      </w:pPr>
      <w:bookmarkStart w:id="74" w:name="_Toc476168035"/>
      <w:r w:rsidRPr="003815D6">
        <w:t>Engagement initiation</w:t>
      </w:r>
      <w:bookmarkEnd w:id="74"/>
    </w:p>
    <w:p w14:paraId="160F3930" w14:textId="77777777" w:rsidR="00B5507E" w:rsidRPr="003815D6" w:rsidRDefault="4BAA7215" w:rsidP="00B5507E">
      <w:r w:rsidRPr="003815D6">
        <w:t>Before beginning the project, the following prerequisites must be completed.</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3068"/>
        <w:gridCol w:w="6140"/>
        <w:gridCol w:w="13"/>
      </w:tblGrid>
      <w:tr w:rsidR="00D6498A" w:rsidRPr="003815D6" w14:paraId="21D9C950" w14:textId="77777777" w:rsidTr="4BAA7215">
        <w:trPr>
          <w:trHeight w:val="360"/>
          <w:tblHeader/>
        </w:trPr>
        <w:tc>
          <w:tcPr>
            <w:tcW w:w="3068" w:type="dxa"/>
            <w:shd w:val="clear" w:color="auto" w:fill="008272"/>
          </w:tcPr>
          <w:p w14:paraId="6111A513" w14:textId="77777777" w:rsidR="00B5507E" w:rsidRPr="003815D6" w:rsidRDefault="4BAA7215" w:rsidP="00031658">
            <w:pPr>
              <w:pStyle w:val="Table-Header"/>
            </w:pPr>
            <w:r w:rsidRPr="003815D6">
              <w:t>Category</w:t>
            </w:r>
          </w:p>
        </w:tc>
        <w:tc>
          <w:tcPr>
            <w:tcW w:w="6153" w:type="dxa"/>
            <w:gridSpan w:val="2"/>
            <w:shd w:val="clear" w:color="auto" w:fill="008272"/>
          </w:tcPr>
          <w:p w14:paraId="7CF6C468" w14:textId="77777777" w:rsidR="00B5507E" w:rsidRPr="003815D6" w:rsidRDefault="4BAA7215" w:rsidP="00031658">
            <w:pPr>
              <w:pStyle w:val="Table-Header"/>
            </w:pPr>
            <w:r w:rsidRPr="003815D6">
              <w:t>Description</w:t>
            </w:r>
          </w:p>
        </w:tc>
      </w:tr>
      <w:tr w:rsidR="00D6498A" w:rsidRPr="003815D6" w14:paraId="5978B02B" w14:textId="77777777" w:rsidTr="4BAA7215">
        <w:trPr>
          <w:gridAfter w:val="1"/>
          <w:wAfter w:w="13" w:type="dxa"/>
          <w:trHeight w:val="422"/>
        </w:trPr>
        <w:tc>
          <w:tcPr>
            <w:tcW w:w="3068" w:type="dxa"/>
            <w:shd w:val="clear" w:color="auto" w:fill="auto"/>
          </w:tcPr>
          <w:p w14:paraId="3B0CBB88" w14:textId="77777777" w:rsidR="00BC1804" w:rsidRPr="003815D6" w:rsidRDefault="00BC1804" w:rsidP="00BC1804">
            <w:pPr>
              <w:pStyle w:val="TableText"/>
            </w:pPr>
            <w:r w:rsidRPr="003815D6">
              <w:rPr>
                <w:b/>
                <w:bCs/>
              </w:rPr>
              <w:t>Microsoft activities</w:t>
            </w:r>
            <w:r w:rsidRPr="003815D6">
              <w:br/>
              <w:t>The activities to be performed by Microsoft</w:t>
            </w:r>
          </w:p>
        </w:tc>
        <w:tc>
          <w:tcPr>
            <w:tcW w:w="6140" w:type="dxa"/>
            <w:shd w:val="clear" w:color="auto" w:fill="FFFFFF" w:themeFill="background1"/>
          </w:tcPr>
          <w:p w14:paraId="72833675" w14:textId="72FAD401" w:rsidR="00BC1804" w:rsidRPr="003815D6" w:rsidRDefault="00BC1804" w:rsidP="00BC1804">
            <w:pPr>
              <w:pStyle w:val="Bulletlist"/>
            </w:pPr>
            <w:r w:rsidRPr="003815D6">
              <w:t xml:space="preserve">Conduct a preinitiation call </w:t>
            </w:r>
            <w:r w:rsidR="00714D48" w:rsidRPr="003815D6">
              <w:t>to</w:t>
            </w:r>
            <w:r w:rsidRPr="003815D6">
              <w:t xml:space="preserve"> initiate team formation and communicate expectations</w:t>
            </w:r>
            <w:r w:rsidR="00423482">
              <w:t>.</w:t>
            </w:r>
          </w:p>
          <w:p w14:paraId="2ECD0F7B" w14:textId="05E7CA32" w:rsidR="00BC1804" w:rsidRPr="003815D6" w:rsidRDefault="00BC1804" w:rsidP="00BC1804">
            <w:pPr>
              <w:pStyle w:val="Bulletlist"/>
            </w:pPr>
            <w:r w:rsidRPr="003815D6">
              <w:t>Document the project launch prerequisites using input from this SOW</w:t>
            </w:r>
            <w:r w:rsidR="00423482">
              <w:t>.</w:t>
            </w:r>
          </w:p>
          <w:p w14:paraId="0BD7A798" w14:textId="30F624DA" w:rsidR="00BC1804" w:rsidRPr="003815D6" w:rsidRDefault="00BC1804" w:rsidP="00BC1804">
            <w:pPr>
              <w:pStyle w:val="Bulletlist"/>
            </w:pPr>
            <w:r w:rsidRPr="003815D6">
              <w:t>Track the status of launch prerequisites and adjust the engagement initiation phase start date accordingly</w:t>
            </w:r>
            <w:r w:rsidR="00423482">
              <w:t>.</w:t>
            </w:r>
          </w:p>
          <w:p w14:paraId="6B4537C0" w14:textId="145B3835" w:rsidR="00BC1804" w:rsidRPr="003815D6" w:rsidRDefault="00BC1804" w:rsidP="00BC1804">
            <w:pPr>
              <w:pStyle w:val="Bulletlist"/>
            </w:pPr>
            <w:r w:rsidRPr="003815D6">
              <w:t xml:space="preserve">Conduct a detailed walk-through of the SOW with the </w:t>
            </w:r>
            <w:r w:rsidR="009633F4" w:rsidRPr="003815D6">
              <w:t>customer</w:t>
            </w:r>
            <w:r w:rsidRPr="003815D6">
              <w:t xml:space="preserve"> </w:t>
            </w:r>
            <w:r w:rsidR="00714D48" w:rsidRPr="003815D6">
              <w:t>to</w:t>
            </w:r>
            <w:r w:rsidRPr="003815D6">
              <w:t xml:space="preserve"> agree on an initial project schedule and approach</w:t>
            </w:r>
            <w:r w:rsidR="00423482">
              <w:t>.</w:t>
            </w:r>
          </w:p>
        </w:tc>
      </w:tr>
      <w:tr w:rsidR="00D6498A" w:rsidRPr="003815D6" w14:paraId="38AF8A38" w14:textId="77777777" w:rsidTr="4BAA7215">
        <w:trPr>
          <w:gridAfter w:val="1"/>
          <w:wAfter w:w="13" w:type="dxa"/>
          <w:trHeight w:val="422"/>
        </w:trPr>
        <w:tc>
          <w:tcPr>
            <w:tcW w:w="3068" w:type="dxa"/>
            <w:shd w:val="clear" w:color="auto" w:fill="auto"/>
          </w:tcPr>
          <w:p w14:paraId="060B3F5C" w14:textId="77777777" w:rsidR="00BC1804" w:rsidRPr="003815D6" w:rsidRDefault="00BC1804" w:rsidP="00BC1804">
            <w:pPr>
              <w:pStyle w:val="TableText"/>
            </w:pPr>
            <w:r w:rsidRPr="003815D6">
              <w:rPr>
                <w:b/>
                <w:bCs/>
              </w:rPr>
              <w:t>Customer activities</w:t>
            </w:r>
            <w:r w:rsidRPr="003815D6">
              <w:br/>
              <w:t>The activities to be performed by the Customer</w:t>
            </w:r>
          </w:p>
        </w:tc>
        <w:tc>
          <w:tcPr>
            <w:tcW w:w="6140" w:type="dxa"/>
            <w:shd w:val="clear" w:color="auto" w:fill="FFFFFF" w:themeFill="background1"/>
          </w:tcPr>
          <w:p w14:paraId="788A68D0" w14:textId="503A4286" w:rsidR="00BC1804" w:rsidRPr="003815D6" w:rsidRDefault="00BC1804" w:rsidP="00BC1804">
            <w:pPr>
              <w:pStyle w:val="Bulletlist"/>
            </w:pPr>
            <w:r w:rsidRPr="003815D6">
              <w:t>Attend and participate in the preinitiation call</w:t>
            </w:r>
            <w:r w:rsidR="00423482">
              <w:t>.</w:t>
            </w:r>
          </w:p>
          <w:p w14:paraId="70E3DCD6" w14:textId="4E3D8951" w:rsidR="00BC1804" w:rsidRPr="003815D6" w:rsidRDefault="00BC1804" w:rsidP="00BC1804">
            <w:pPr>
              <w:pStyle w:val="Bulletlist"/>
            </w:pPr>
            <w:r w:rsidRPr="003815D6">
              <w:t xml:space="preserve">Assign project initiation and launch prerequisite responsibilities to accountable </w:t>
            </w:r>
            <w:r w:rsidR="009633F4" w:rsidRPr="003815D6">
              <w:t>customer</w:t>
            </w:r>
            <w:r w:rsidRPr="003815D6">
              <w:t xml:space="preserve"> leadership and establish target completion dates</w:t>
            </w:r>
            <w:r w:rsidR="00423482">
              <w:t>.</w:t>
            </w:r>
          </w:p>
          <w:p w14:paraId="709BDF85" w14:textId="0D0EA133" w:rsidR="00BC1804" w:rsidRPr="003815D6" w:rsidRDefault="00BC1804" w:rsidP="00BC1804">
            <w:pPr>
              <w:pStyle w:val="Bulletlist"/>
            </w:pPr>
            <w:r w:rsidRPr="003815D6">
              <w:t>Complete the project initiation and launch prerequisites</w:t>
            </w:r>
            <w:r w:rsidR="00423482">
              <w:t>.</w:t>
            </w:r>
          </w:p>
          <w:p w14:paraId="26DAF32B" w14:textId="1E421E17" w:rsidR="00BC1804" w:rsidRPr="003815D6" w:rsidRDefault="00BC1804" w:rsidP="00BC1804">
            <w:pPr>
              <w:pStyle w:val="Bulletlist"/>
            </w:pPr>
            <w:r w:rsidRPr="003815D6">
              <w:t xml:space="preserve">Staff the project with the required </w:t>
            </w:r>
            <w:r w:rsidR="009633F4" w:rsidRPr="003815D6">
              <w:t>customer</w:t>
            </w:r>
            <w:r w:rsidRPr="003815D6">
              <w:t xml:space="preserve"> resources in the time frames that were agreed upon in the preinitiation call</w:t>
            </w:r>
            <w:r w:rsidR="00423482">
              <w:t>.</w:t>
            </w:r>
          </w:p>
        </w:tc>
      </w:tr>
    </w:tbl>
    <w:p w14:paraId="0331EFA9" w14:textId="10C4A14D" w:rsidR="002641DA" w:rsidRPr="003815D6" w:rsidRDefault="002641DA" w:rsidP="002641DA">
      <w:pPr>
        <w:pStyle w:val="Heading3"/>
      </w:pPr>
      <w:bookmarkStart w:id="75" w:name="_General_project_activities"/>
      <w:bookmarkStart w:id="76" w:name="_Ref514404938"/>
      <w:bookmarkEnd w:id="75"/>
      <w:r w:rsidRPr="003815D6">
        <w:t>General project activities</w:t>
      </w:r>
      <w:bookmarkEnd w:id="76"/>
    </w:p>
    <w:p w14:paraId="2DC3E1D0" w14:textId="75CC9B66" w:rsidR="002641DA" w:rsidRPr="003815D6" w:rsidRDefault="002641DA" w:rsidP="002641DA">
      <w:r w:rsidRPr="003815D6">
        <w:t xml:space="preserve">The following table describes the general activities for the project, organized by phase. These activities will be combined with the activities defined </w:t>
      </w:r>
      <w:r w:rsidR="006F0AD5" w:rsidRPr="003815D6">
        <w:t xml:space="preserve">for </w:t>
      </w:r>
      <w:r w:rsidRPr="003815D6">
        <w:t xml:space="preserve">in-scope </w:t>
      </w:r>
      <w:hyperlink w:anchor="_Project_components_and" w:history="1">
        <w:r w:rsidRPr="003815D6">
          <w:rPr>
            <w:rStyle w:val="Hyperlink"/>
          </w:rPr>
          <w:t>project components</w:t>
        </w:r>
      </w:hyperlink>
      <w:r w:rsidRPr="003815D6">
        <w:t xml:space="preserve"> </w:t>
      </w:r>
      <w:r w:rsidR="00603FA5" w:rsidRPr="003815D6">
        <w:t xml:space="preserve">to </w:t>
      </w:r>
      <w:r w:rsidRPr="003815D6">
        <w:t>establish the overall project approach.</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3068"/>
        <w:gridCol w:w="6140"/>
        <w:gridCol w:w="13"/>
      </w:tblGrid>
      <w:tr w:rsidR="00D6498A" w:rsidRPr="003815D6" w14:paraId="250F62BF" w14:textId="77777777" w:rsidTr="005C3C1C">
        <w:trPr>
          <w:trHeight w:val="360"/>
          <w:tblHeader/>
        </w:trPr>
        <w:tc>
          <w:tcPr>
            <w:tcW w:w="3068" w:type="dxa"/>
            <w:shd w:val="clear" w:color="auto" w:fill="008272"/>
          </w:tcPr>
          <w:p w14:paraId="4EBAC3FA" w14:textId="77777777" w:rsidR="002641DA" w:rsidRPr="003815D6" w:rsidRDefault="002641DA" w:rsidP="005C3C1C">
            <w:pPr>
              <w:pStyle w:val="Table-Header"/>
            </w:pPr>
            <w:r w:rsidRPr="003815D6">
              <w:t>Category</w:t>
            </w:r>
          </w:p>
        </w:tc>
        <w:tc>
          <w:tcPr>
            <w:tcW w:w="6153" w:type="dxa"/>
            <w:gridSpan w:val="2"/>
            <w:shd w:val="clear" w:color="auto" w:fill="008272"/>
          </w:tcPr>
          <w:p w14:paraId="6DFD2F60" w14:textId="77777777" w:rsidR="002641DA" w:rsidRPr="003815D6" w:rsidRDefault="002641DA" w:rsidP="005C3C1C">
            <w:pPr>
              <w:pStyle w:val="Table-Header"/>
            </w:pPr>
            <w:r w:rsidRPr="003815D6">
              <w:t>Description</w:t>
            </w:r>
          </w:p>
        </w:tc>
      </w:tr>
      <w:tr w:rsidR="002641DA" w:rsidRPr="003815D6" w14:paraId="6D2043E5" w14:textId="77777777" w:rsidTr="005C3C1C">
        <w:trPr>
          <w:gridAfter w:val="1"/>
          <w:wAfter w:w="13" w:type="dxa"/>
          <w:trHeight w:val="422"/>
        </w:trPr>
        <w:tc>
          <w:tcPr>
            <w:tcW w:w="3068" w:type="dxa"/>
            <w:shd w:val="clear" w:color="auto" w:fill="auto"/>
          </w:tcPr>
          <w:p w14:paraId="5A4C1061" w14:textId="77777777" w:rsidR="002641DA" w:rsidRPr="003815D6" w:rsidRDefault="002641DA" w:rsidP="005C3C1C">
            <w:pPr>
              <w:pStyle w:val="TableText"/>
            </w:pPr>
            <w:r w:rsidRPr="003815D6">
              <w:rPr>
                <w:b/>
              </w:rPr>
              <w:t>Microsoft activities</w:t>
            </w:r>
            <w:r w:rsidRPr="003815D6">
              <w:br/>
              <w:t>The activities to be performed by Microsoft</w:t>
            </w:r>
          </w:p>
        </w:tc>
        <w:tc>
          <w:tcPr>
            <w:tcW w:w="6140" w:type="dxa"/>
            <w:shd w:val="clear" w:color="auto" w:fill="auto"/>
          </w:tcPr>
          <w:p w14:paraId="331D2EA8" w14:textId="6C121A76" w:rsidR="002641DA" w:rsidRPr="003815D6" w:rsidRDefault="002641DA" w:rsidP="005C3C1C">
            <w:pPr>
              <w:pStyle w:val="TableBullet1"/>
              <w:numPr>
                <w:ilvl w:val="0"/>
                <w:numId w:val="0"/>
              </w:numPr>
              <w:rPr>
                <w:rFonts w:eastAsia="Calibri"/>
                <w:b/>
              </w:rPr>
            </w:pPr>
            <w:r w:rsidRPr="003815D6">
              <w:rPr>
                <w:rFonts w:eastAsia="Calibri"/>
                <w:b/>
              </w:rPr>
              <w:t>Assess</w:t>
            </w:r>
            <w:r w:rsidR="00DE0541" w:rsidRPr="003815D6">
              <w:rPr>
                <w:rFonts w:eastAsia="Calibri"/>
                <w:b/>
              </w:rPr>
              <w:t xml:space="preserve"> phase</w:t>
            </w:r>
          </w:p>
          <w:p w14:paraId="0193BF92" w14:textId="6A776986" w:rsidR="002641DA" w:rsidRPr="003815D6" w:rsidRDefault="00AD76C8" w:rsidP="004C53CC">
            <w:pPr>
              <w:pStyle w:val="TableBullet1"/>
              <w:numPr>
                <w:ilvl w:val="0"/>
                <w:numId w:val="11"/>
              </w:numPr>
              <w:ind w:left="360"/>
            </w:pPr>
            <w:r w:rsidRPr="003815D6">
              <w:t>Prepare for</w:t>
            </w:r>
            <w:r w:rsidR="00AD2FA2" w:rsidRPr="003815D6">
              <w:t>,</w:t>
            </w:r>
            <w:r w:rsidRPr="003815D6">
              <w:t xml:space="preserve"> and c</w:t>
            </w:r>
            <w:r w:rsidR="002641DA" w:rsidRPr="003815D6">
              <w:t>onduct</w:t>
            </w:r>
            <w:r w:rsidR="00AD2FA2" w:rsidRPr="003815D6">
              <w:t>,</w:t>
            </w:r>
            <w:r w:rsidR="002641DA" w:rsidRPr="003815D6">
              <w:t xml:space="preserve"> </w:t>
            </w:r>
            <w:r w:rsidR="004151C6" w:rsidRPr="003815D6">
              <w:t xml:space="preserve">the </w:t>
            </w:r>
            <w:r w:rsidR="002641DA" w:rsidRPr="003815D6">
              <w:t>project kick</w:t>
            </w:r>
            <w:r w:rsidR="00E92BB5" w:rsidRPr="003815D6">
              <w:t>off</w:t>
            </w:r>
            <w:r w:rsidR="002641DA" w:rsidRPr="003815D6">
              <w:t xml:space="preserve"> meeting</w:t>
            </w:r>
            <w:r w:rsidR="00423482">
              <w:t>.</w:t>
            </w:r>
          </w:p>
          <w:p w14:paraId="1C290408" w14:textId="7D83B42C" w:rsidR="002641DA" w:rsidRPr="003815D6" w:rsidRDefault="002641DA" w:rsidP="004C53CC">
            <w:pPr>
              <w:pStyle w:val="TableBullet1"/>
              <w:numPr>
                <w:ilvl w:val="0"/>
                <w:numId w:val="11"/>
              </w:numPr>
              <w:ind w:left="360"/>
            </w:pPr>
            <w:r w:rsidRPr="003815D6">
              <w:t xml:space="preserve">Document, </w:t>
            </w:r>
            <w:r w:rsidR="00AD76C8" w:rsidRPr="003815D6">
              <w:t>d</w:t>
            </w:r>
            <w:r w:rsidRPr="003815D6">
              <w:t xml:space="preserve">iscuss, </w:t>
            </w:r>
            <w:r w:rsidR="00AD76C8" w:rsidRPr="003815D6">
              <w:t xml:space="preserve">and </w:t>
            </w:r>
            <w:r w:rsidRPr="003815D6">
              <w:t xml:space="preserve">review </w:t>
            </w:r>
            <w:r w:rsidR="00AD76C8" w:rsidRPr="003815D6">
              <w:t>c</w:t>
            </w:r>
            <w:r w:rsidRPr="003815D6">
              <w:t xml:space="preserve">onditions of </w:t>
            </w:r>
            <w:r w:rsidR="00AD76C8" w:rsidRPr="003815D6">
              <w:t>s</w:t>
            </w:r>
            <w:r w:rsidRPr="003815D6">
              <w:t xml:space="preserve">atisfaction </w:t>
            </w:r>
            <w:r w:rsidR="00AD76C8" w:rsidRPr="003815D6">
              <w:t xml:space="preserve">and </w:t>
            </w:r>
            <w:r w:rsidRPr="003815D6">
              <w:t xml:space="preserve">define critical success factors </w:t>
            </w:r>
            <w:r w:rsidR="003F3C29" w:rsidRPr="003815D6">
              <w:t xml:space="preserve">of </w:t>
            </w:r>
            <w:r w:rsidRPr="003815D6">
              <w:t>the project</w:t>
            </w:r>
            <w:r w:rsidR="00423482">
              <w:t>.</w:t>
            </w:r>
          </w:p>
          <w:p w14:paraId="6C8C5F07" w14:textId="7D7CC8BD" w:rsidR="002641DA" w:rsidRPr="003815D6" w:rsidRDefault="002641DA" w:rsidP="004C53CC">
            <w:pPr>
              <w:pStyle w:val="TableBullet1"/>
              <w:numPr>
                <w:ilvl w:val="0"/>
                <w:numId w:val="11"/>
              </w:numPr>
              <w:ind w:left="360"/>
            </w:pPr>
            <w:r w:rsidRPr="003815D6">
              <w:t xml:space="preserve">Create </w:t>
            </w:r>
            <w:r w:rsidR="00E24F5E" w:rsidRPr="003815D6">
              <w:t>a risk</w:t>
            </w:r>
            <w:r w:rsidR="00301E76" w:rsidRPr="003815D6">
              <w:t>s,</w:t>
            </w:r>
            <w:r w:rsidR="000A015C" w:rsidRPr="003815D6">
              <w:t xml:space="preserve"> </w:t>
            </w:r>
            <w:r w:rsidRPr="003815D6">
              <w:t xml:space="preserve">actions, issues, decisions (RAID) log and review </w:t>
            </w:r>
            <w:r w:rsidR="000A015C" w:rsidRPr="003815D6">
              <w:t xml:space="preserve">it </w:t>
            </w:r>
            <w:r w:rsidRPr="003815D6">
              <w:t xml:space="preserve">with </w:t>
            </w:r>
            <w:r w:rsidR="000A015C" w:rsidRPr="003815D6">
              <w:t xml:space="preserve">the </w:t>
            </w:r>
            <w:r w:rsidR="009633F4" w:rsidRPr="003815D6">
              <w:t>customer</w:t>
            </w:r>
            <w:r w:rsidR="00423482">
              <w:t>.</w:t>
            </w:r>
          </w:p>
          <w:p w14:paraId="602676C1" w14:textId="5F0FCCD5" w:rsidR="002641DA" w:rsidRPr="003815D6" w:rsidRDefault="002641DA" w:rsidP="004C53CC">
            <w:pPr>
              <w:pStyle w:val="TableBullet1"/>
              <w:numPr>
                <w:ilvl w:val="0"/>
                <w:numId w:val="11"/>
              </w:numPr>
              <w:ind w:left="360"/>
            </w:pPr>
            <w:r w:rsidRPr="003815D6">
              <w:t xml:space="preserve">Generate </w:t>
            </w:r>
            <w:r w:rsidR="000A015C" w:rsidRPr="003815D6">
              <w:t xml:space="preserve">a </w:t>
            </w:r>
            <w:r w:rsidRPr="003815D6">
              <w:t xml:space="preserve">project communication matrix </w:t>
            </w:r>
            <w:r w:rsidR="000A015C" w:rsidRPr="003815D6">
              <w:t xml:space="preserve">that can be </w:t>
            </w:r>
            <w:r w:rsidRPr="003815D6">
              <w:t>used to identify meeting</w:t>
            </w:r>
            <w:r w:rsidR="00AD76C8" w:rsidRPr="003815D6">
              <w:t xml:space="preserve"> cadence</w:t>
            </w:r>
            <w:r w:rsidRPr="003815D6">
              <w:t>, key stakeholders</w:t>
            </w:r>
            <w:r w:rsidR="00AD76C8" w:rsidRPr="003815D6">
              <w:t>,</w:t>
            </w:r>
            <w:r w:rsidRPr="003815D6">
              <w:t xml:space="preserve"> and </w:t>
            </w:r>
            <w:r w:rsidR="000A015C" w:rsidRPr="003815D6">
              <w:t xml:space="preserve">the </w:t>
            </w:r>
            <w:r w:rsidR="00AD76C8" w:rsidRPr="003815D6">
              <w:t>general communication strategy</w:t>
            </w:r>
            <w:r w:rsidR="00423482">
              <w:t>.</w:t>
            </w:r>
          </w:p>
          <w:p w14:paraId="3EA6BF3A" w14:textId="1E34F5AE" w:rsidR="002641DA" w:rsidRPr="003815D6" w:rsidRDefault="002641DA" w:rsidP="004C53CC">
            <w:pPr>
              <w:pStyle w:val="TableBullet1"/>
              <w:numPr>
                <w:ilvl w:val="0"/>
                <w:numId w:val="11"/>
              </w:numPr>
              <w:ind w:left="360"/>
            </w:pPr>
            <w:r w:rsidRPr="003815D6">
              <w:lastRenderedPageBreak/>
              <w:t xml:space="preserve">Create </w:t>
            </w:r>
            <w:r w:rsidR="003F3010" w:rsidRPr="003815D6">
              <w:t xml:space="preserve">a preliminary </w:t>
            </w:r>
            <w:r w:rsidRPr="003815D6">
              <w:t xml:space="preserve">project status report to review with </w:t>
            </w:r>
            <w:r w:rsidR="00EF6F85" w:rsidRPr="003815D6">
              <w:t xml:space="preserve">the </w:t>
            </w:r>
            <w:r w:rsidRPr="003815D6">
              <w:t xml:space="preserve">customer </w:t>
            </w:r>
            <w:r w:rsidR="000C26BF" w:rsidRPr="003815D6">
              <w:t xml:space="preserve">Project </w:t>
            </w:r>
            <w:r w:rsidR="00B4488A" w:rsidRPr="003815D6">
              <w:t>Manager and</w:t>
            </w:r>
            <w:r w:rsidRPr="003815D6">
              <w:t xml:space="preserve"> refine as necessary based on </w:t>
            </w:r>
            <w:r w:rsidR="00EF6F85" w:rsidRPr="003815D6">
              <w:t xml:space="preserve">that person’s </w:t>
            </w:r>
            <w:r w:rsidRPr="003815D6">
              <w:t>input</w:t>
            </w:r>
            <w:r w:rsidR="00423482">
              <w:t>.</w:t>
            </w:r>
          </w:p>
          <w:p w14:paraId="1E02EA3E" w14:textId="45727DCF" w:rsidR="002641DA" w:rsidRPr="003815D6" w:rsidRDefault="002641DA" w:rsidP="004C53CC">
            <w:pPr>
              <w:pStyle w:val="TableBullet1"/>
              <w:numPr>
                <w:ilvl w:val="0"/>
                <w:numId w:val="11"/>
              </w:numPr>
              <w:ind w:left="360"/>
            </w:pPr>
            <w:r w:rsidRPr="003815D6">
              <w:t xml:space="preserve">Deliver workshops and complete other </w:t>
            </w:r>
            <w:r w:rsidR="00EF6F85" w:rsidRPr="003815D6">
              <w:t xml:space="preserve">Assess </w:t>
            </w:r>
            <w:r w:rsidRPr="003815D6">
              <w:t xml:space="preserve">phase activities for in-scope components as defined in </w:t>
            </w:r>
            <w:hyperlink w:anchor="_Project_components_and" w:history="1">
              <w:r w:rsidR="00A15EAC" w:rsidRPr="003815D6">
                <w:rPr>
                  <w:rStyle w:val="Hyperlink"/>
                </w:rPr>
                <w:t>Project components and deliverables</w:t>
              </w:r>
            </w:hyperlink>
            <w:r w:rsidR="00A15EAC" w:rsidRPr="003815D6">
              <w:t xml:space="preserve"> section</w:t>
            </w:r>
            <w:r w:rsidR="00423482">
              <w:t>.</w:t>
            </w:r>
          </w:p>
          <w:p w14:paraId="70E0FBA7" w14:textId="557B552A" w:rsidR="002641DA" w:rsidRPr="003815D6" w:rsidRDefault="002641DA" w:rsidP="004C53CC">
            <w:pPr>
              <w:pStyle w:val="TableBullet1"/>
              <w:numPr>
                <w:ilvl w:val="0"/>
                <w:numId w:val="11"/>
              </w:numPr>
              <w:ind w:left="360"/>
            </w:pPr>
            <w:r w:rsidRPr="003815D6">
              <w:t xml:space="preserve">Produce a preparation checklist that details the tasks that </w:t>
            </w:r>
            <w:r w:rsidR="00286281" w:rsidRPr="003815D6">
              <w:t xml:space="preserve">are needed to </w:t>
            </w:r>
            <w:r w:rsidRPr="003815D6">
              <w:t>complete</w:t>
            </w:r>
            <w:r w:rsidR="00286281" w:rsidRPr="003815D6">
              <w:t xml:space="preserve"> the</w:t>
            </w:r>
            <w:r w:rsidRPr="003815D6">
              <w:t xml:space="preserve"> in-scope </w:t>
            </w:r>
            <w:r w:rsidR="00286281" w:rsidRPr="003815D6">
              <w:t xml:space="preserve">Enable </w:t>
            </w:r>
            <w:r w:rsidRPr="003815D6">
              <w:t xml:space="preserve">phase activities, including the resources that must be procured by the </w:t>
            </w:r>
            <w:r w:rsidR="009633F4" w:rsidRPr="003815D6">
              <w:t>customer</w:t>
            </w:r>
            <w:r w:rsidR="00423482">
              <w:t>.</w:t>
            </w:r>
          </w:p>
          <w:p w14:paraId="0223192D" w14:textId="245B03E0" w:rsidR="00711F42" w:rsidRPr="003815D6" w:rsidRDefault="002641DA" w:rsidP="004C53CC">
            <w:pPr>
              <w:pStyle w:val="TableBullet1"/>
              <w:numPr>
                <w:ilvl w:val="0"/>
                <w:numId w:val="11"/>
              </w:numPr>
              <w:ind w:left="360"/>
            </w:pPr>
            <w:r w:rsidRPr="003815D6">
              <w:t>Produce</w:t>
            </w:r>
            <w:r w:rsidR="00286281" w:rsidRPr="003815D6">
              <w:t>,</w:t>
            </w:r>
            <w:r w:rsidRPr="003815D6">
              <w:t xml:space="preserve"> design</w:t>
            </w:r>
            <w:r w:rsidR="00286281" w:rsidRPr="003815D6">
              <w:t>,</w:t>
            </w:r>
            <w:r w:rsidRPr="003815D6">
              <w:t xml:space="preserve"> and plan </w:t>
            </w:r>
            <w:r w:rsidR="00286281" w:rsidRPr="003815D6">
              <w:t xml:space="preserve">the project </w:t>
            </w:r>
            <w:r w:rsidRPr="003815D6">
              <w:t>documentation</w:t>
            </w:r>
            <w:r w:rsidR="00423482">
              <w:t>.</w:t>
            </w:r>
          </w:p>
          <w:p w14:paraId="17898F38" w14:textId="03EDF80E" w:rsidR="002641DA" w:rsidRPr="003815D6" w:rsidRDefault="00711F42" w:rsidP="004C53CC">
            <w:pPr>
              <w:pStyle w:val="TableBullet1"/>
              <w:numPr>
                <w:ilvl w:val="0"/>
                <w:numId w:val="11"/>
              </w:numPr>
              <w:ind w:left="360"/>
            </w:pPr>
            <w:r w:rsidRPr="003815D6">
              <w:t>Produce a project plan for Microsoft project activities</w:t>
            </w:r>
            <w:r w:rsidR="00423482">
              <w:t>.</w:t>
            </w:r>
            <w:r w:rsidR="001E028E" w:rsidRPr="003815D6">
              <w:br/>
            </w:r>
          </w:p>
          <w:p w14:paraId="13480FD8" w14:textId="52D9D406" w:rsidR="002641DA" w:rsidRPr="003815D6" w:rsidRDefault="002641DA" w:rsidP="005C3C1C">
            <w:pPr>
              <w:pStyle w:val="TableBullet1"/>
              <w:numPr>
                <w:ilvl w:val="0"/>
                <w:numId w:val="0"/>
              </w:numPr>
              <w:rPr>
                <w:rFonts w:eastAsia="Calibri"/>
                <w:b/>
              </w:rPr>
            </w:pPr>
            <w:r w:rsidRPr="003815D6">
              <w:rPr>
                <w:rFonts w:eastAsia="Calibri"/>
                <w:b/>
              </w:rPr>
              <w:t>Remediate</w:t>
            </w:r>
            <w:r w:rsidR="00DE0541" w:rsidRPr="003815D6">
              <w:rPr>
                <w:rFonts w:eastAsia="Calibri"/>
                <w:b/>
              </w:rPr>
              <w:t xml:space="preserve"> phase</w:t>
            </w:r>
          </w:p>
          <w:p w14:paraId="3CF92A4A" w14:textId="671C897E" w:rsidR="00CA4322" w:rsidRPr="00804467" w:rsidRDefault="002641DA" w:rsidP="004C53CC">
            <w:pPr>
              <w:pStyle w:val="TableBullet1"/>
              <w:numPr>
                <w:ilvl w:val="0"/>
                <w:numId w:val="11"/>
              </w:numPr>
              <w:ind w:left="360"/>
            </w:pPr>
            <w:r w:rsidRPr="00804467">
              <w:t>Generate a weekly project status report and facilitate project status review meetings with the project team</w:t>
            </w:r>
            <w:r w:rsidR="008C71E9" w:rsidRPr="00804467">
              <w:t>.</w:t>
            </w:r>
          </w:p>
          <w:p w14:paraId="705797A8" w14:textId="517E80AB" w:rsidR="00CA4322" w:rsidRPr="00804467" w:rsidRDefault="00CA4322" w:rsidP="004C53CC">
            <w:pPr>
              <w:pStyle w:val="TableBullet1"/>
              <w:numPr>
                <w:ilvl w:val="0"/>
                <w:numId w:val="11"/>
              </w:numPr>
              <w:ind w:left="360"/>
            </w:pPr>
            <w:r w:rsidRPr="00804467">
              <w:t>Provide technical guidance and assistance, and answer questions during the customer-led completion of identified preparation tasks</w:t>
            </w:r>
            <w:r w:rsidR="008C71E9" w:rsidRPr="00804467">
              <w:t>.</w:t>
            </w:r>
          </w:p>
          <w:p w14:paraId="4E949A4C" w14:textId="29026FFD" w:rsidR="002641DA" w:rsidRPr="00804467" w:rsidRDefault="00CA4322" w:rsidP="004C53CC">
            <w:pPr>
              <w:pStyle w:val="TableBullet1"/>
              <w:numPr>
                <w:ilvl w:val="0"/>
                <w:numId w:val="11"/>
              </w:numPr>
              <w:ind w:left="360"/>
              <w:contextualSpacing w:val="0"/>
            </w:pPr>
            <w:r w:rsidRPr="00804467">
              <w:t>Provide input on user communications related to the project</w:t>
            </w:r>
            <w:r w:rsidR="008C71E9" w:rsidRPr="00804467">
              <w:t>.</w:t>
            </w:r>
          </w:p>
          <w:p w14:paraId="5D897BB8" w14:textId="64A98EC3" w:rsidR="002641DA" w:rsidRPr="007B612A" w:rsidRDefault="002641DA" w:rsidP="004C53CC">
            <w:pPr>
              <w:pStyle w:val="TableBullet1"/>
              <w:numPr>
                <w:ilvl w:val="0"/>
                <w:numId w:val="11"/>
              </w:numPr>
              <w:ind w:left="360"/>
              <w:contextualSpacing w:val="0"/>
            </w:pPr>
            <w:r w:rsidRPr="007B612A">
              <w:t xml:space="preserve">Facilitate </w:t>
            </w:r>
            <w:r w:rsidR="004A6F94" w:rsidRPr="007B612A">
              <w:t xml:space="preserve">preparation </w:t>
            </w:r>
            <w:r w:rsidRPr="007B612A">
              <w:t xml:space="preserve">checklist review meetings with the </w:t>
            </w:r>
            <w:r w:rsidR="009633F4" w:rsidRPr="007B612A">
              <w:t>customer</w:t>
            </w:r>
            <w:r w:rsidRPr="007B612A">
              <w:t xml:space="preserve"> to track activity status, prioritization, and completion timelines</w:t>
            </w:r>
            <w:r w:rsidR="00423482" w:rsidRPr="007B612A">
              <w:t>.</w:t>
            </w:r>
          </w:p>
          <w:p w14:paraId="742C8FE5" w14:textId="5DE97911" w:rsidR="002641DA" w:rsidRPr="00804467" w:rsidRDefault="002641DA" w:rsidP="000D626E">
            <w:pPr>
              <w:pStyle w:val="TableBullet1"/>
              <w:numPr>
                <w:ilvl w:val="0"/>
                <w:numId w:val="0"/>
              </w:numPr>
              <w:spacing w:before="240"/>
              <w:rPr>
                <w:rFonts w:eastAsia="Calibri"/>
                <w:b/>
              </w:rPr>
            </w:pPr>
            <w:r w:rsidRPr="00804467">
              <w:rPr>
                <w:rFonts w:eastAsia="Calibri"/>
                <w:b/>
              </w:rPr>
              <w:t>Enable</w:t>
            </w:r>
            <w:r w:rsidR="00DE0541" w:rsidRPr="00804467">
              <w:rPr>
                <w:rFonts w:eastAsia="Calibri"/>
                <w:b/>
              </w:rPr>
              <w:t xml:space="preserve"> phase</w:t>
            </w:r>
          </w:p>
          <w:p w14:paraId="1B9740DA" w14:textId="3232E0A1" w:rsidR="00CA4322" w:rsidRPr="00804467" w:rsidRDefault="00CA4322" w:rsidP="004C53CC">
            <w:pPr>
              <w:pStyle w:val="TableBullet1"/>
              <w:numPr>
                <w:ilvl w:val="0"/>
                <w:numId w:val="11"/>
              </w:numPr>
              <w:ind w:left="360"/>
            </w:pPr>
            <w:r w:rsidRPr="00804467">
              <w:t xml:space="preserve">Produce test cases that will be used to validate the implemented </w:t>
            </w:r>
            <w:r w:rsidR="008C71E9" w:rsidRPr="00804467">
              <w:t>S</w:t>
            </w:r>
            <w:r w:rsidRPr="00804467">
              <w:t>olution functions as designed</w:t>
            </w:r>
            <w:r w:rsidR="008C71E9" w:rsidRPr="00804467">
              <w:t>.</w:t>
            </w:r>
          </w:p>
          <w:p w14:paraId="149FB06F" w14:textId="54513B73" w:rsidR="00CA4322" w:rsidRPr="00804467" w:rsidRDefault="00CA4322" w:rsidP="004C53CC">
            <w:pPr>
              <w:pStyle w:val="TableBullet1"/>
              <w:numPr>
                <w:ilvl w:val="0"/>
                <w:numId w:val="11"/>
              </w:numPr>
              <w:ind w:left="360"/>
            </w:pPr>
            <w:r w:rsidRPr="00804467">
              <w:t xml:space="preserve">Complete Enable phase activities for in-scope components as defined in </w:t>
            </w:r>
            <w:hyperlink w:anchor="_Project_components_and" w:history="1">
              <w:r w:rsidRPr="00804467">
                <w:rPr>
                  <w:rStyle w:val="Hyperlink"/>
                </w:rPr>
                <w:t>Project components and deliverables</w:t>
              </w:r>
            </w:hyperlink>
            <w:r w:rsidRPr="00804467">
              <w:t xml:space="preserve"> section</w:t>
            </w:r>
            <w:r w:rsidR="008C71E9" w:rsidRPr="00804467">
              <w:t>.</w:t>
            </w:r>
          </w:p>
          <w:p w14:paraId="4D403F81" w14:textId="7EF4B694" w:rsidR="00CA4322" w:rsidRPr="00804467" w:rsidRDefault="00CA4322" w:rsidP="004C53CC">
            <w:pPr>
              <w:pStyle w:val="TableBullet1"/>
              <w:numPr>
                <w:ilvl w:val="0"/>
                <w:numId w:val="11"/>
              </w:numPr>
              <w:ind w:left="360"/>
            </w:pPr>
            <w:r w:rsidRPr="00804467">
              <w:t>Complete in-scope testing for the project</w:t>
            </w:r>
            <w:r w:rsidR="001308D6" w:rsidRPr="00804467">
              <w:t>.</w:t>
            </w:r>
          </w:p>
          <w:p w14:paraId="34D12602" w14:textId="439D971C" w:rsidR="00CA4322" w:rsidRPr="00804467" w:rsidRDefault="00CA4322" w:rsidP="004C53CC">
            <w:pPr>
              <w:pStyle w:val="TableBullet1"/>
              <w:numPr>
                <w:ilvl w:val="0"/>
                <w:numId w:val="11"/>
              </w:numPr>
              <w:ind w:left="360"/>
            </w:pPr>
            <w:r w:rsidRPr="00804467">
              <w:t>Produce delivery summary documentation for the project</w:t>
            </w:r>
            <w:r w:rsidR="001308D6" w:rsidRPr="00804467">
              <w:t>.</w:t>
            </w:r>
          </w:p>
          <w:p w14:paraId="4F2C6513" w14:textId="73AAFDA4" w:rsidR="002641DA" w:rsidRPr="00206B63" w:rsidRDefault="001000B2" w:rsidP="004C53CC">
            <w:pPr>
              <w:pStyle w:val="TableBullet1"/>
              <w:numPr>
                <w:ilvl w:val="0"/>
                <w:numId w:val="11"/>
              </w:numPr>
              <w:ind w:left="360"/>
            </w:pPr>
            <w:r w:rsidRPr="00206B63">
              <w:t>F</w:t>
            </w:r>
            <w:r w:rsidR="002641DA" w:rsidRPr="00206B63">
              <w:t>acilitate project status meetings with the project team to track the activity status, prioritization, and completion timelines for project work items and active RAID log entries</w:t>
            </w:r>
            <w:r w:rsidR="00423482" w:rsidRPr="00206B63">
              <w:t>.</w:t>
            </w:r>
          </w:p>
          <w:p w14:paraId="752E7246" w14:textId="627CA968" w:rsidR="002641DA" w:rsidRPr="00206B63" w:rsidRDefault="002641DA" w:rsidP="004C53CC">
            <w:pPr>
              <w:pStyle w:val="TableBullet1"/>
              <w:numPr>
                <w:ilvl w:val="0"/>
                <w:numId w:val="11"/>
              </w:numPr>
              <w:ind w:left="360"/>
            </w:pPr>
            <w:r w:rsidRPr="00206B63">
              <w:t>Generate a weekly project status report and facilitate weekly project status review meetings with the project team</w:t>
            </w:r>
            <w:r w:rsidR="00423482" w:rsidRPr="00206B63">
              <w:t>.</w:t>
            </w:r>
          </w:p>
          <w:p w14:paraId="4DD7A3A3" w14:textId="24737A75" w:rsidR="002641DA" w:rsidRPr="003815D6" w:rsidRDefault="002641DA" w:rsidP="000D626E">
            <w:pPr>
              <w:pStyle w:val="TableText"/>
              <w:rPr>
                <w:b/>
              </w:rPr>
            </w:pPr>
            <w:r w:rsidRPr="003815D6">
              <w:rPr>
                <w:b/>
              </w:rPr>
              <w:t>Migrate</w:t>
            </w:r>
            <w:r w:rsidR="00DE0541" w:rsidRPr="003815D6">
              <w:rPr>
                <w:b/>
              </w:rPr>
              <w:t xml:space="preserve"> phase</w:t>
            </w:r>
          </w:p>
          <w:p w14:paraId="64AD72F6" w14:textId="4B628F08" w:rsidR="002641DA" w:rsidRPr="003815D6" w:rsidRDefault="002641DA" w:rsidP="004C53CC">
            <w:pPr>
              <w:pStyle w:val="TableBullet1"/>
              <w:numPr>
                <w:ilvl w:val="0"/>
                <w:numId w:val="11"/>
              </w:numPr>
              <w:ind w:left="360"/>
            </w:pPr>
            <w:r w:rsidRPr="003815D6">
              <w:t xml:space="preserve">Complete </w:t>
            </w:r>
            <w:r w:rsidR="00262776" w:rsidRPr="003815D6">
              <w:t xml:space="preserve">Migrate </w:t>
            </w:r>
            <w:r w:rsidRPr="003815D6">
              <w:t xml:space="preserve">phase activities for in-scope components, as defined in </w:t>
            </w:r>
            <w:hyperlink w:anchor="_Project_components_and" w:history="1">
              <w:r w:rsidR="000122F9" w:rsidRPr="003815D6">
                <w:rPr>
                  <w:rStyle w:val="Hyperlink"/>
                </w:rPr>
                <w:t>Project components and deliverables</w:t>
              </w:r>
            </w:hyperlink>
            <w:r w:rsidR="000122F9" w:rsidRPr="003815D6">
              <w:t xml:space="preserve"> section</w:t>
            </w:r>
          </w:p>
        </w:tc>
      </w:tr>
      <w:tr w:rsidR="002641DA" w:rsidRPr="003815D6" w14:paraId="2053C01D" w14:textId="77777777" w:rsidTr="005C3C1C">
        <w:trPr>
          <w:gridAfter w:val="1"/>
          <w:wAfter w:w="13" w:type="dxa"/>
          <w:trHeight w:val="422"/>
        </w:trPr>
        <w:tc>
          <w:tcPr>
            <w:tcW w:w="3068" w:type="dxa"/>
            <w:shd w:val="clear" w:color="auto" w:fill="auto"/>
          </w:tcPr>
          <w:p w14:paraId="09D9A40D" w14:textId="05828629" w:rsidR="002641DA" w:rsidRPr="003815D6" w:rsidRDefault="002641DA" w:rsidP="005C3C1C">
            <w:pPr>
              <w:pStyle w:val="TableText"/>
            </w:pPr>
            <w:r w:rsidRPr="003815D6">
              <w:rPr>
                <w:b/>
              </w:rPr>
              <w:lastRenderedPageBreak/>
              <w:t>Customer activities</w:t>
            </w:r>
            <w:r w:rsidR="004B3D27">
              <w:rPr>
                <w:b/>
              </w:rPr>
              <w:t xml:space="preserve"> (</w:t>
            </w:r>
            <w:r w:rsidR="00EB6536">
              <w:rPr>
                <w:b/>
              </w:rPr>
              <w:t xml:space="preserve"> and/or </w:t>
            </w:r>
            <w:r w:rsidR="00605690">
              <w:rPr>
                <w:b/>
              </w:rPr>
              <w:t>)</w:t>
            </w:r>
            <w:r w:rsidRPr="003815D6">
              <w:br/>
              <w:t>The activities to be performed by the Customer</w:t>
            </w:r>
          </w:p>
        </w:tc>
        <w:tc>
          <w:tcPr>
            <w:tcW w:w="6140" w:type="dxa"/>
            <w:shd w:val="clear" w:color="auto" w:fill="auto"/>
          </w:tcPr>
          <w:p w14:paraId="7D7743F0" w14:textId="5ACDC0F6" w:rsidR="002641DA" w:rsidRPr="003815D6" w:rsidRDefault="002641DA" w:rsidP="00423482">
            <w:pPr>
              <w:pStyle w:val="TableBullet1"/>
              <w:numPr>
                <w:ilvl w:val="0"/>
                <w:numId w:val="0"/>
              </w:numPr>
              <w:spacing w:after="0"/>
              <w:contextualSpacing w:val="0"/>
              <w:rPr>
                <w:rFonts w:eastAsia="Calibri"/>
                <w:b/>
              </w:rPr>
            </w:pPr>
            <w:r w:rsidRPr="003815D6">
              <w:rPr>
                <w:rFonts w:eastAsia="Calibri"/>
                <w:b/>
              </w:rPr>
              <w:t>Assess</w:t>
            </w:r>
            <w:r w:rsidR="00DE0541" w:rsidRPr="003815D6">
              <w:rPr>
                <w:rFonts w:eastAsia="Calibri"/>
                <w:b/>
              </w:rPr>
              <w:t xml:space="preserve"> phase</w:t>
            </w:r>
          </w:p>
          <w:p w14:paraId="691291A5" w14:textId="64BB91D2" w:rsidR="00F428C3" w:rsidRPr="00F52AF8" w:rsidRDefault="00F428C3" w:rsidP="005C3C1C">
            <w:pPr>
              <w:pStyle w:val="Bulletlist"/>
              <w:spacing w:before="0" w:after="0"/>
            </w:pPr>
            <w:r w:rsidRPr="00F52AF8">
              <w:t xml:space="preserve">Facilitate the interaction with current mail service provider to ensure </w:t>
            </w:r>
            <w:r w:rsidR="00314E30" w:rsidRPr="00F52AF8">
              <w:t>access to the hosted mail system</w:t>
            </w:r>
            <w:r w:rsidR="001C06E1" w:rsidRPr="00F52AF8">
              <w:t xml:space="preserve"> to run required sc</w:t>
            </w:r>
            <w:r w:rsidR="005A3F3E" w:rsidRPr="00F52AF8">
              <w:t>ripts</w:t>
            </w:r>
          </w:p>
          <w:p w14:paraId="63763763" w14:textId="618FEA0B" w:rsidR="002641DA" w:rsidRPr="003815D6" w:rsidRDefault="002641DA" w:rsidP="005C3C1C">
            <w:pPr>
              <w:pStyle w:val="Bulletlist"/>
              <w:spacing w:before="0" w:after="0"/>
            </w:pPr>
            <w:r w:rsidRPr="003815D6">
              <w:t xml:space="preserve">Provide project manager resources to work with the Microsoft </w:t>
            </w:r>
            <w:r w:rsidR="002E6271" w:rsidRPr="003815D6">
              <w:t>p</w:t>
            </w:r>
            <w:r w:rsidRPr="003815D6">
              <w:t xml:space="preserve">roject </w:t>
            </w:r>
            <w:r w:rsidR="002E6271" w:rsidRPr="003815D6">
              <w:t>m</w:t>
            </w:r>
            <w:r w:rsidRPr="003815D6">
              <w:t xml:space="preserve">anager and </w:t>
            </w:r>
            <w:r w:rsidR="00CA2C49" w:rsidRPr="003815D6">
              <w:t xml:space="preserve">manage </w:t>
            </w:r>
            <w:r w:rsidR="009633F4" w:rsidRPr="003815D6">
              <w:t>customer</w:t>
            </w:r>
            <w:r w:rsidRPr="003815D6">
              <w:t xml:space="preserve"> resources</w:t>
            </w:r>
            <w:r w:rsidR="00CA2C49" w:rsidRPr="003815D6">
              <w:t xml:space="preserve"> and assigned </w:t>
            </w:r>
            <w:r w:rsidRPr="003815D6">
              <w:t>project activities</w:t>
            </w:r>
            <w:r w:rsidR="00423482">
              <w:t>.</w:t>
            </w:r>
          </w:p>
          <w:p w14:paraId="4937ABB4" w14:textId="396F3667" w:rsidR="0081171B" w:rsidRPr="003815D6" w:rsidRDefault="0081171B" w:rsidP="005C3C1C">
            <w:pPr>
              <w:pStyle w:val="Bulletlist"/>
              <w:spacing w:before="0" w:after="0"/>
            </w:pPr>
            <w:r w:rsidRPr="003815D6">
              <w:lastRenderedPageBreak/>
              <w:t>Manage scheduling and logistics for project workshops</w:t>
            </w:r>
            <w:r w:rsidR="00423482">
              <w:t>.</w:t>
            </w:r>
          </w:p>
          <w:p w14:paraId="77C2F0F4" w14:textId="028F0131" w:rsidR="0081171B" w:rsidRPr="003815D6" w:rsidRDefault="0081171B" w:rsidP="0081171B">
            <w:pPr>
              <w:pStyle w:val="Bulletlist"/>
              <w:spacing w:before="0" w:after="0"/>
            </w:pPr>
            <w:r w:rsidRPr="003815D6">
              <w:t>Provide project resources and subject matter experts (SMEs) to participate in workshops and follow-up meetings</w:t>
            </w:r>
            <w:r w:rsidR="00423482">
              <w:t>.</w:t>
            </w:r>
          </w:p>
          <w:p w14:paraId="0CA2B54F" w14:textId="1F160119" w:rsidR="0081171B" w:rsidRPr="003815D6" w:rsidRDefault="0081171B" w:rsidP="005C3C1C">
            <w:pPr>
              <w:pStyle w:val="Bulletlist"/>
              <w:spacing w:before="0" w:after="0"/>
            </w:pPr>
            <w:r w:rsidRPr="003815D6">
              <w:t xml:space="preserve">Make necessary design and planning decisions in a timely fashion to facilitate completion of the </w:t>
            </w:r>
            <w:r w:rsidR="009F0CE8" w:rsidRPr="003815D6">
              <w:t xml:space="preserve">Assess </w:t>
            </w:r>
            <w:r w:rsidRPr="003815D6">
              <w:t>phase within the timelines documented in</w:t>
            </w:r>
            <w:r w:rsidR="00215216" w:rsidRPr="003815D6">
              <w:t xml:space="preserve"> </w:t>
            </w:r>
            <w:hyperlink w:anchor="_Timeline" w:history="1">
              <w:r w:rsidR="00215216" w:rsidRPr="003815D6">
                <w:rPr>
                  <w:rStyle w:val="Hyperlink"/>
                </w:rPr>
                <w:t>Timeline</w:t>
              </w:r>
            </w:hyperlink>
            <w:r w:rsidRPr="003815D6">
              <w:t xml:space="preserve"> section</w:t>
            </w:r>
            <w:r w:rsidR="00423482">
              <w:t>.</w:t>
            </w:r>
          </w:p>
          <w:p w14:paraId="59124421" w14:textId="55C90E5E" w:rsidR="002641DA" w:rsidRPr="003815D6" w:rsidRDefault="002641DA" w:rsidP="005C3C1C">
            <w:pPr>
              <w:pStyle w:val="Bulletlist"/>
              <w:spacing w:before="0" w:after="0"/>
            </w:pPr>
            <w:r w:rsidRPr="003815D6">
              <w:t xml:space="preserve">Review the RAID log with </w:t>
            </w:r>
            <w:r w:rsidR="009F0CE8" w:rsidRPr="003815D6">
              <w:t xml:space="preserve">the </w:t>
            </w:r>
            <w:r w:rsidRPr="003815D6">
              <w:t xml:space="preserve">Microsoft project manager and </w:t>
            </w:r>
            <w:r w:rsidR="0081171B" w:rsidRPr="003815D6">
              <w:t xml:space="preserve">assign </w:t>
            </w:r>
            <w:r w:rsidRPr="003815D6">
              <w:t>appropriate resources to actions, issues, and risks</w:t>
            </w:r>
            <w:r w:rsidR="00423482">
              <w:t>.</w:t>
            </w:r>
          </w:p>
          <w:p w14:paraId="2CCC9B2D" w14:textId="54E249AC" w:rsidR="002641DA" w:rsidRPr="003815D6" w:rsidRDefault="002641DA" w:rsidP="005C3C1C">
            <w:pPr>
              <w:pStyle w:val="Bulletlist"/>
              <w:spacing w:before="0" w:after="0"/>
            </w:pPr>
            <w:r w:rsidRPr="003815D6">
              <w:t xml:space="preserve">Develop </w:t>
            </w:r>
            <w:r w:rsidR="009F0CE8" w:rsidRPr="003815D6">
              <w:t xml:space="preserve">a </w:t>
            </w:r>
            <w:r w:rsidRPr="003815D6">
              <w:t>project communication matrix</w:t>
            </w:r>
            <w:r w:rsidR="00423482">
              <w:t>.</w:t>
            </w:r>
          </w:p>
          <w:p w14:paraId="4069EA7C" w14:textId="7AFDC97F" w:rsidR="002641DA" w:rsidRPr="003815D6" w:rsidRDefault="002641DA" w:rsidP="005C3C1C">
            <w:pPr>
              <w:pStyle w:val="Bulletlist"/>
              <w:spacing w:before="0" w:after="0"/>
            </w:pPr>
            <w:r w:rsidRPr="003815D6">
              <w:t xml:space="preserve">Provide templates or review existing templates </w:t>
            </w:r>
            <w:r w:rsidR="009F0CE8" w:rsidRPr="003815D6">
              <w:t xml:space="preserve">that will be used </w:t>
            </w:r>
            <w:r w:rsidRPr="003815D6">
              <w:t>for weekly status reports and steering committee reports</w:t>
            </w:r>
          </w:p>
          <w:p w14:paraId="3A55686B" w14:textId="65FF0F42" w:rsidR="00571B2A" w:rsidRPr="003815D6" w:rsidRDefault="00571B2A" w:rsidP="005C3C1C">
            <w:pPr>
              <w:pStyle w:val="Bulletlist"/>
              <w:spacing w:before="0" w:after="0"/>
            </w:pPr>
            <w:r w:rsidRPr="003815D6">
              <w:t xml:space="preserve">Review all </w:t>
            </w:r>
            <w:r w:rsidR="00E75E67" w:rsidRPr="003815D6">
              <w:t xml:space="preserve">Assess </w:t>
            </w:r>
            <w:r w:rsidRPr="003815D6">
              <w:t>phase deliverables</w:t>
            </w:r>
            <w:r w:rsidR="00423482">
              <w:t>.</w:t>
            </w:r>
          </w:p>
          <w:p w14:paraId="7993B4BF" w14:textId="07740C92" w:rsidR="002641DA" w:rsidRPr="003815D6" w:rsidRDefault="0081171B" w:rsidP="005C3C1C">
            <w:pPr>
              <w:pStyle w:val="Bulletlist"/>
              <w:spacing w:before="0" w:after="0"/>
            </w:pPr>
            <w:r w:rsidRPr="003815D6">
              <w:t xml:space="preserve">Produce and manage the project plan for </w:t>
            </w:r>
            <w:r w:rsidR="009633F4" w:rsidRPr="003815D6">
              <w:t>customer</w:t>
            </w:r>
            <w:r w:rsidRPr="003815D6">
              <w:t xml:space="preserve"> project activities</w:t>
            </w:r>
            <w:r w:rsidR="00423482">
              <w:t>.</w:t>
            </w:r>
          </w:p>
          <w:p w14:paraId="7473611E" w14:textId="2C80EADD" w:rsidR="002641DA" w:rsidRPr="003815D6" w:rsidRDefault="002641DA" w:rsidP="00423482">
            <w:pPr>
              <w:pStyle w:val="TableBullet1"/>
              <w:numPr>
                <w:ilvl w:val="0"/>
                <w:numId w:val="0"/>
              </w:numPr>
              <w:spacing w:after="0"/>
              <w:contextualSpacing w:val="0"/>
              <w:rPr>
                <w:rFonts w:eastAsia="Calibri"/>
                <w:b/>
              </w:rPr>
            </w:pPr>
            <w:r w:rsidRPr="003815D6">
              <w:rPr>
                <w:rFonts w:eastAsia="Calibri"/>
                <w:b/>
              </w:rPr>
              <w:t>Remediate</w:t>
            </w:r>
            <w:r w:rsidR="00DE0541" w:rsidRPr="003815D6">
              <w:rPr>
                <w:rFonts w:eastAsia="Calibri"/>
                <w:b/>
              </w:rPr>
              <w:t xml:space="preserve"> phase</w:t>
            </w:r>
          </w:p>
          <w:p w14:paraId="0961BC54" w14:textId="2A34D1BB" w:rsidR="002641DA" w:rsidRPr="003815D6" w:rsidRDefault="006324FD" w:rsidP="004E3819">
            <w:pPr>
              <w:pStyle w:val="Bulletlist"/>
              <w:spacing w:before="0" w:after="0"/>
            </w:pPr>
            <w:r w:rsidRPr="003815D6">
              <w:t xml:space="preserve">Complete all tasks identified in the preparation checklist and procure all required resources for the project within the timelines established for remediation, as documented in </w:t>
            </w:r>
            <w:hyperlink w:anchor="_General_project_scope" w:history="1">
              <w:r w:rsidR="00B802AE" w:rsidRPr="003815D6">
                <w:rPr>
                  <w:rStyle w:val="Hyperlink"/>
                </w:rPr>
                <w:t>General project scope</w:t>
              </w:r>
            </w:hyperlink>
            <w:r w:rsidR="00B802AE" w:rsidRPr="003815D6">
              <w:t xml:space="preserve"> </w:t>
            </w:r>
            <w:r w:rsidRPr="003815D6">
              <w:t>section</w:t>
            </w:r>
            <w:r w:rsidR="00423482">
              <w:t>.</w:t>
            </w:r>
          </w:p>
          <w:p w14:paraId="0582A2E2" w14:textId="4AA0DA71" w:rsidR="002641DA" w:rsidRPr="003815D6" w:rsidRDefault="002641DA" w:rsidP="005C3C1C">
            <w:pPr>
              <w:pStyle w:val="Bulletlist"/>
            </w:pPr>
            <w:r w:rsidRPr="003815D6">
              <w:t xml:space="preserve">Update the project plan with updates to project activities and status received from </w:t>
            </w:r>
            <w:r w:rsidR="009633F4" w:rsidRPr="003815D6">
              <w:t>customer</w:t>
            </w:r>
            <w:r w:rsidR="00FE4995" w:rsidRPr="003815D6">
              <w:t xml:space="preserve"> </w:t>
            </w:r>
            <w:r w:rsidRPr="003815D6">
              <w:t>project team members</w:t>
            </w:r>
            <w:r w:rsidR="00423482">
              <w:t>.</w:t>
            </w:r>
          </w:p>
          <w:p w14:paraId="7FAF6CB3" w14:textId="3DF9065C" w:rsidR="002641DA" w:rsidRPr="003815D6" w:rsidRDefault="002641DA" w:rsidP="005C3C1C">
            <w:pPr>
              <w:pStyle w:val="Bulletlist"/>
            </w:pPr>
            <w:r w:rsidRPr="003815D6">
              <w:t>Assist in facilitating weekly project status review meeting</w:t>
            </w:r>
            <w:r w:rsidR="004E3819" w:rsidRPr="003815D6">
              <w:t>s</w:t>
            </w:r>
            <w:r w:rsidR="00423482">
              <w:t>.</w:t>
            </w:r>
          </w:p>
          <w:p w14:paraId="07E9FC80" w14:textId="68AA1296" w:rsidR="002641DA" w:rsidRPr="003815D6" w:rsidRDefault="002641DA" w:rsidP="005C3C1C">
            <w:pPr>
              <w:pStyle w:val="Bulletlist"/>
              <w:spacing w:before="0" w:after="0"/>
            </w:pPr>
            <w:r w:rsidRPr="003815D6">
              <w:t>Prepare user communications for the project</w:t>
            </w:r>
            <w:r w:rsidR="00423482">
              <w:t>.</w:t>
            </w:r>
          </w:p>
          <w:p w14:paraId="36887C83" w14:textId="03EAFCD6" w:rsidR="002641DA" w:rsidRPr="003815D6" w:rsidRDefault="002641DA" w:rsidP="00423482">
            <w:pPr>
              <w:pStyle w:val="TableBullet1"/>
              <w:numPr>
                <w:ilvl w:val="0"/>
                <w:numId w:val="0"/>
              </w:numPr>
              <w:tabs>
                <w:tab w:val="left" w:pos="3510"/>
              </w:tabs>
              <w:spacing w:after="0"/>
              <w:contextualSpacing w:val="0"/>
              <w:rPr>
                <w:rFonts w:eastAsia="Calibri"/>
                <w:b/>
              </w:rPr>
            </w:pPr>
            <w:r w:rsidRPr="003815D6">
              <w:rPr>
                <w:rFonts w:eastAsia="Calibri"/>
                <w:b/>
              </w:rPr>
              <w:t>Enable</w:t>
            </w:r>
            <w:r w:rsidR="00DE0541" w:rsidRPr="003815D6">
              <w:rPr>
                <w:rFonts w:eastAsia="Calibri"/>
                <w:b/>
              </w:rPr>
              <w:t xml:space="preserve"> phase</w:t>
            </w:r>
          </w:p>
          <w:p w14:paraId="2D1D8868" w14:textId="2CDE2013" w:rsidR="002641DA" w:rsidRPr="003815D6" w:rsidRDefault="002E0703" w:rsidP="005C3C1C">
            <w:pPr>
              <w:pStyle w:val="Bulletlist"/>
              <w:spacing w:before="0" w:after="0"/>
            </w:pPr>
            <w:r w:rsidRPr="003815D6">
              <w:t>Provide required production access to Microsoft resources or resources who can work alongside Microsoft to facilitate completion of in-scope implementation tasks</w:t>
            </w:r>
            <w:r w:rsidR="00423482">
              <w:t>.</w:t>
            </w:r>
          </w:p>
          <w:p w14:paraId="6106B6F3" w14:textId="46C32983" w:rsidR="002E0703" w:rsidRPr="003815D6" w:rsidRDefault="002E0703" w:rsidP="002E0703">
            <w:pPr>
              <w:pStyle w:val="Bulletlist"/>
            </w:pPr>
            <w:r w:rsidRPr="003815D6">
              <w:t xml:space="preserve">Update the project plan </w:t>
            </w:r>
            <w:r w:rsidR="0041667A" w:rsidRPr="003815D6">
              <w:t>with</w:t>
            </w:r>
            <w:r w:rsidRPr="003815D6">
              <w:t xml:space="preserve"> status received from </w:t>
            </w:r>
            <w:r w:rsidR="009633F4" w:rsidRPr="003815D6">
              <w:t>customer</w:t>
            </w:r>
            <w:r w:rsidRPr="003815D6">
              <w:t xml:space="preserve"> project team members</w:t>
            </w:r>
            <w:r w:rsidR="00423482">
              <w:t>.</w:t>
            </w:r>
          </w:p>
          <w:p w14:paraId="59A578D2" w14:textId="6EC8FCF8" w:rsidR="002641DA" w:rsidRPr="003815D6" w:rsidRDefault="002E0703" w:rsidP="005C3C1C">
            <w:pPr>
              <w:pStyle w:val="Bulletlist"/>
              <w:spacing w:before="0" w:after="0"/>
            </w:pPr>
            <w:r w:rsidRPr="003815D6">
              <w:t xml:space="preserve">Review test cases and other </w:t>
            </w:r>
            <w:r w:rsidR="008F0695" w:rsidRPr="003815D6">
              <w:t xml:space="preserve">Enable </w:t>
            </w:r>
            <w:r w:rsidRPr="003815D6">
              <w:t>phase project deliverables</w:t>
            </w:r>
            <w:r w:rsidR="00423482">
              <w:t>.</w:t>
            </w:r>
          </w:p>
          <w:p w14:paraId="3C18E363" w14:textId="3D4573E8" w:rsidR="002641DA" w:rsidRPr="003815D6" w:rsidRDefault="002E0703" w:rsidP="005C3C1C">
            <w:pPr>
              <w:pStyle w:val="Bulletlist"/>
              <w:spacing w:before="0" w:after="0"/>
            </w:pPr>
            <w:r w:rsidRPr="003815D6">
              <w:t xml:space="preserve">Participate in in-scope testing for the project and complete any testing activities assigned to the </w:t>
            </w:r>
            <w:r w:rsidR="009633F4" w:rsidRPr="003815D6">
              <w:t>customer</w:t>
            </w:r>
            <w:r w:rsidR="00423482">
              <w:t>.</w:t>
            </w:r>
          </w:p>
          <w:p w14:paraId="21D8114D" w14:textId="0951DB3D" w:rsidR="002641DA" w:rsidRPr="003815D6" w:rsidRDefault="002641DA" w:rsidP="005C3C1C">
            <w:pPr>
              <w:pStyle w:val="Bulletlist"/>
              <w:spacing w:before="0" w:after="0"/>
            </w:pPr>
            <w:r w:rsidRPr="003815D6">
              <w:t>Assist in facilitating weekly project status review meeting</w:t>
            </w:r>
            <w:r w:rsidR="002E0703" w:rsidRPr="003815D6">
              <w:t>s</w:t>
            </w:r>
            <w:r w:rsidR="00423482">
              <w:t>.</w:t>
            </w:r>
          </w:p>
          <w:p w14:paraId="791C839F" w14:textId="6F26FFDA" w:rsidR="005C3C1C" w:rsidRPr="003815D6" w:rsidRDefault="002E0703" w:rsidP="005C3C1C">
            <w:pPr>
              <w:pStyle w:val="Bulletlist"/>
              <w:spacing w:before="0" w:after="0"/>
            </w:pPr>
            <w:r w:rsidRPr="003815D6">
              <w:t xml:space="preserve">Manage </w:t>
            </w:r>
            <w:r w:rsidR="002641DA" w:rsidRPr="003815D6">
              <w:t xml:space="preserve">the change management process </w:t>
            </w:r>
            <w:r w:rsidRPr="003815D6">
              <w:t xml:space="preserve">to </w:t>
            </w:r>
            <w:r w:rsidR="008F0695" w:rsidRPr="003815D6">
              <w:t>fa</w:t>
            </w:r>
            <w:r w:rsidR="003F708B" w:rsidRPr="003815D6">
              <w:t>cilitate</w:t>
            </w:r>
            <w:r w:rsidRPr="003815D6">
              <w:t xml:space="preserve"> timely completion of production implementation tasks</w:t>
            </w:r>
            <w:r w:rsidR="00423482">
              <w:t>.</w:t>
            </w:r>
          </w:p>
          <w:p w14:paraId="55F263FF" w14:textId="1DC9E033" w:rsidR="002641DA" w:rsidRPr="003815D6" w:rsidRDefault="002641DA" w:rsidP="005C3C1C">
            <w:pPr>
              <w:pStyle w:val="Bulletlist"/>
              <w:spacing w:before="0" w:after="0"/>
            </w:pPr>
            <w:r w:rsidRPr="003815D6">
              <w:t>Take ownership of the solution for ongoing management and support</w:t>
            </w:r>
            <w:r w:rsidR="00423482">
              <w:t>.</w:t>
            </w:r>
          </w:p>
          <w:p w14:paraId="4EF30394" w14:textId="537CC576" w:rsidR="002E0703" w:rsidRPr="003815D6" w:rsidRDefault="002E0703" w:rsidP="002658DA">
            <w:pPr>
              <w:pStyle w:val="Bulletlist"/>
              <w:spacing w:before="0"/>
              <w:contextualSpacing w:val="0"/>
            </w:pPr>
            <w:r w:rsidRPr="003815D6">
              <w:t>Manage all end-user communications associated with implementation tasks</w:t>
            </w:r>
            <w:r w:rsidR="00423482">
              <w:t>.</w:t>
            </w:r>
          </w:p>
          <w:p w14:paraId="4EE2FB59" w14:textId="51527627" w:rsidR="00FE4995" w:rsidRPr="003815D6" w:rsidRDefault="00FE4995" w:rsidP="00FE4995">
            <w:pPr>
              <w:pStyle w:val="Bulletlist"/>
              <w:numPr>
                <w:ilvl w:val="0"/>
                <w:numId w:val="0"/>
              </w:numPr>
              <w:spacing w:before="0" w:after="0"/>
              <w:ind w:left="360" w:hanging="360"/>
              <w:rPr>
                <w:b/>
              </w:rPr>
            </w:pPr>
            <w:r w:rsidRPr="003815D6">
              <w:rPr>
                <w:b/>
              </w:rPr>
              <w:t>Migrate</w:t>
            </w:r>
            <w:r w:rsidR="00DE0541" w:rsidRPr="003815D6">
              <w:rPr>
                <w:b/>
              </w:rPr>
              <w:t xml:space="preserve"> </w:t>
            </w:r>
            <w:r w:rsidR="00DE0541" w:rsidRPr="003815D6">
              <w:rPr>
                <w:rFonts w:eastAsia="Calibri"/>
                <w:b/>
              </w:rPr>
              <w:t>phase</w:t>
            </w:r>
          </w:p>
          <w:p w14:paraId="74D16670" w14:textId="6F44764F" w:rsidR="00FE4995" w:rsidRPr="003815D6" w:rsidRDefault="002E0703" w:rsidP="00497445">
            <w:pPr>
              <w:pStyle w:val="Bulletlist"/>
            </w:pPr>
            <w:r w:rsidRPr="003815D6">
              <w:t xml:space="preserve">Manage scheduling and end-user communications for in-scope </w:t>
            </w:r>
            <w:r w:rsidR="00705C85" w:rsidRPr="003815D6">
              <w:t xml:space="preserve">Migrate </w:t>
            </w:r>
            <w:r w:rsidRPr="003815D6">
              <w:t>phase activities</w:t>
            </w:r>
            <w:r w:rsidR="00423482">
              <w:t>.</w:t>
            </w:r>
          </w:p>
        </w:tc>
      </w:tr>
      <w:tr w:rsidR="002641DA" w:rsidRPr="003815D6" w14:paraId="4945BA4D" w14:textId="77777777" w:rsidTr="005C3C1C">
        <w:trPr>
          <w:gridAfter w:val="1"/>
          <w:wAfter w:w="13" w:type="dxa"/>
          <w:trHeight w:val="422"/>
        </w:trPr>
        <w:tc>
          <w:tcPr>
            <w:tcW w:w="3068" w:type="dxa"/>
            <w:shd w:val="clear" w:color="auto" w:fill="auto"/>
          </w:tcPr>
          <w:p w14:paraId="47FDE1E4" w14:textId="1D995452" w:rsidR="002641DA" w:rsidRPr="003815D6" w:rsidRDefault="002641DA" w:rsidP="005C3C1C">
            <w:pPr>
              <w:pStyle w:val="TableText"/>
              <w:rPr>
                <w:b/>
              </w:rPr>
            </w:pPr>
            <w:r w:rsidRPr="003815D6">
              <w:rPr>
                <w:rFonts w:eastAsia="Calibri"/>
                <w:b/>
              </w:rPr>
              <w:lastRenderedPageBreak/>
              <w:t>Key assumptions</w:t>
            </w:r>
          </w:p>
        </w:tc>
        <w:tc>
          <w:tcPr>
            <w:tcW w:w="6140" w:type="dxa"/>
            <w:shd w:val="clear" w:color="auto" w:fill="auto"/>
          </w:tcPr>
          <w:p w14:paraId="10E98F15" w14:textId="475ECEDF" w:rsidR="002641DA" w:rsidRPr="003815D6" w:rsidRDefault="00FE4995" w:rsidP="00497445">
            <w:pPr>
              <w:pStyle w:val="Bulletlist"/>
            </w:pPr>
            <w:r w:rsidRPr="003815D6">
              <w:t xml:space="preserve">If the defined duration or effort for remediation is exhausted before the completion of critical path (blocking) remediation </w:t>
            </w:r>
            <w:r w:rsidRPr="003815D6">
              <w:lastRenderedPageBreak/>
              <w:t xml:space="preserve">and preparation tasks, </w:t>
            </w:r>
            <w:r w:rsidR="004F3B32" w:rsidRPr="003815D6">
              <w:t>a change</w:t>
            </w:r>
            <w:r w:rsidRPr="003815D6">
              <w:t xml:space="preserve"> will be </w:t>
            </w:r>
            <w:r w:rsidR="004F3B32" w:rsidRPr="003815D6">
              <w:t xml:space="preserve">submitted </w:t>
            </w:r>
            <w:r w:rsidR="00224701" w:rsidRPr="003815D6">
              <w:t xml:space="preserve">following the </w:t>
            </w:r>
            <w:hyperlink w:anchor="_Change_management_process" w:history="1">
              <w:r w:rsidR="00224701" w:rsidRPr="003815D6">
                <w:rPr>
                  <w:rStyle w:val="Hyperlink"/>
                  <w:color w:val="auto"/>
                  <w:u w:val="none"/>
                </w:rPr>
                <w:t>Change management process</w:t>
              </w:r>
            </w:hyperlink>
            <w:r w:rsidR="00224701" w:rsidRPr="003815D6">
              <w:t xml:space="preserve"> </w:t>
            </w:r>
            <w:r w:rsidR="000C2611" w:rsidRPr="003815D6">
              <w:t xml:space="preserve">in order </w:t>
            </w:r>
            <w:r w:rsidRPr="003815D6">
              <w:t>to adjust project scope, timeline, and cost as necessary</w:t>
            </w:r>
            <w:r w:rsidR="00423482">
              <w:t>.</w:t>
            </w:r>
          </w:p>
          <w:p w14:paraId="7BE47FB8" w14:textId="77777777" w:rsidR="002641DA" w:rsidRPr="00F03936" w:rsidRDefault="00497445" w:rsidP="00497445">
            <w:pPr>
              <w:pStyle w:val="Bulletlist"/>
              <w:rPr>
                <w:rFonts w:eastAsia="Calibri"/>
                <w:b/>
              </w:rPr>
            </w:pPr>
            <w:r w:rsidRPr="003815D6">
              <w:t>The c</w:t>
            </w:r>
            <w:r w:rsidR="00D7452A" w:rsidRPr="003815D6">
              <w:t>ustomer</w:t>
            </w:r>
            <w:r w:rsidR="00D7452A" w:rsidRPr="003815D6">
              <w:rPr>
                <w:rFonts w:eastAsia="Calibri"/>
              </w:rPr>
              <w:t xml:space="preserve"> will make all necessary design and planning decisions during the Assess phase of the project. </w:t>
            </w:r>
            <w:r w:rsidR="00AE69FE" w:rsidRPr="003815D6">
              <w:rPr>
                <w:rFonts w:eastAsia="Calibri"/>
              </w:rPr>
              <w:t xml:space="preserve">Acceptance of the Design and Plan deliverable constitutes finalization of </w:t>
            </w:r>
            <w:r w:rsidR="00FB5E16" w:rsidRPr="003815D6">
              <w:rPr>
                <w:rFonts w:eastAsia="Calibri"/>
              </w:rPr>
              <w:t xml:space="preserve">all </w:t>
            </w:r>
            <w:r w:rsidR="00CD77CA" w:rsidRPr="003815D6">
              <w:rPr>
                <w:rFonts w:eastAsia="Calibri"/>
              </w:rPr>
              <w:t>options for implementation. Changes to customer decision</w:t>
            </w:r>
            <w:r w:rsidR="00FB5E16" w:rsidRPr="003815D6">
              <w:rPr>
                <w:rFonts w:eastAsia="Calibri"/>
              </w:rPr>
              <w:t>s</w:t>
            </w:r>
            <w:r w:rsidR="00CD77CA" w:rsidRPr="003815D6">
              <w:rPr>
                <w:rFonts w:eastAsia="Calibri"/>
              </w:rPr>
              <w:t xml:space="preserve"> after deliverable acceptance will be subject to a project change request.</w:t>
            </w:r>
          </w:p>
          <w:p w14:paraId="71CFBAFF" w14:textId="3B9530B4" w:rsidR="00F03936" w:rsidRPr="003815D6" w:rsidRDefault="00F03936" w:rsidP="00497445">
            <w:pPr>
              <w:pStyle w:val="Bulletlist"/>
              <w:rPr>
                <w:rFonts w:eastAsia="Calibri"/>
                <w:b/>
              </w:rPr>
            </w:pPr>
            <w:r w:rsidRPr="00F52AF8">
              <w:rPr>
                <w:rFonts w:eastAsia="Calibri"/>
              </w:rPr>
              <w:t>Mi</w:t>
            </w:r>
            <w:r w:rsidR="002D378E" w:rsidRPr="00F52AF8">
              <w:rPr>
                <w:rFonts w:eastAsia="Calibri"/>
              </w:rPr>
              <w:t xml:space="preserve">crosoft resources will have the required access to the hosted Exchange mail environment to </w:t>
            </w:r>
            <w:r w:rsidR="00C34CB6" w:rsidRPr="00F52AF8">
              <w:rPr>
                <w:rFonts w:eastAsia="Calibri"/>
              </w:rPr>
              <w:t>complete in-scope implementation tasks</w:t>
            </w:r>
          </w:p>
        </w:tc>
      </w:tr>
    </w:tbl>
    <w:p w14:paraId="4BB1E4F2" w14:textId="55483E71" w:rsidR="00237B24" w:rsidRPr="003815D6" w:rsidRDefault="005A04A2" w:rsidP="005F0926">
      <w:pPr>
        <w:pStyle w:val="Heading4"/>
      </w:pPr>
      <w:bookmarkStart w:id="77" w:name="_Ref514404570"/>
      <w:r w:rsidRPr="003815D6">
        <w:lastRenderedPageBreak/>
        <w:t>General project c</w:t>
      </w:r>
      <w:r w:rsidR="00237B24" w:rsidRPr="003815D6">
        <w:t>omponent deliverables:</w:t>
      </w:r>
    </w:p>
    <w:p w14:paraId="015A8FCF" w14:textId="1B3315FC" w:rsidR="0089050C" w:rsidRPr="003815D6" w:rsidRDefault="0089050C" w:rsidP="0089050C">
      <w:r w:rsidRPr="003815D6">
        <w:t>Microsoft will produce the following project deliverables that include content from in-scope project components in the phases shown. Not all components will be covered in all deliverables, and</w:t>
      </w:r>
      <w:r w:rsidR="00C76716" w:rsidRPr="003815D6">
        <w:t xml:space="preserve"> </w:t>
      </w:r>
      <w:hyperlink w:anchor="_Project_components_and" w:history="1">
        <w:r w:rsidR="00C76716" w:rsidRPr="003815D6">
          <w:rPr>
            <w:rStyle w:val="Hyperlink"/>
          </w:rPr>
          <w:t>Project components</w:t>
        </w:r>
      </w:hyperlink>
      <w:r w:rsidR="00C76716" w:rsidRPr="003815D6">
        <w:t xml:space="preserve"> </w:t>
      </w:r>
      <w:r w:rsidRPr="003815D6">
        <w:t>section documents how each component will be covered in these project deliverables. Deliverables will either be prepared as combined documents with content for all in-scope components, or multiple component-specific instances of these deliverables will be produced. During the Assess phase of the project, Microsoft and the customer will mutually agree on a consolidated or per-component deliverable structure and then use that structure for all deliverable acceptance.</w:t>
      </w:r>
    </w:p>
    <w:p w14:paraId="0A4BB917" w14:textId="11DF1747" w:rsidR="0089050C" w:rsidRDefault="0089050C" w:rsidP="0089050C">
      <w:pPr>
        <w:rPr>
          <w:rStyle w:val="Hyperlink"/>
        </w:rPr>
      </w:pPr>
      <w:r w:rsidRPr="003815D6">
        <w:t>Additional component-specific deliverables may be produced for the project and any such deliverables are described in section</w:t>
      </w:r>
      <w:r w:rsidR="003D5976" w:rsidRPr="003815D6">
        <w:t xml:space="preserve"> </w:t>
      </w:r>
      <w:hyperlink w:anchor="_Project_components_and" w:history="1">
        <w:r w:rsidR="003D5976" w:rsidRPr="003815D6">
          <w:rPr>
            <w:rStyle w:val="Hyperlink"/>
          </w:rPr>
          <w:t>Project components and deliverables.</w:t>
        </w:r>
      </w:hyperlink>
    </w:p>
    <w:tbl>
      <w:tblPr>
        <w:tblStyle w:val="TableGrid1"/>
        <w:tblW w:w="9781" w:type="dxa"/>
        <w:tblInd w:w="-5" w:type="dxa"/>
        <w:tblLook w:val="04A0" w:firstRow="1" w:lastRow="0" w:firstColumn="1" w:lastColumn="0" w:noHBand="0" w:noVBand="1"/>
      </w:tblPr>
      <w:tblGrid>
        <w:gridCol w:w="1556"/>
        <w:gridCol w:w="2543"/>
        <w:gridCol w:w="851"/>
        <w:gridCol w:w="1292"/>
        <w:gridCol w:w="1980"/>
        <w:gridCol w:w="1559"/>
      </w:tblGrid>
      <w:tr w:rsidR="00264327" w:rsidRPr="003F779C" w14:paraId="3BD48FB7" w14:textId="77777777" w:rsidTr="00FE384A">
        <w:trPr>
          <w:trHeight w:val="361"/>
          <w:tblHeader/>
        </w:trPr>
        <w:tc>
          <w:tcPr>
            <w:tcW w:w="1559" w:type="dxa"/>
            <w:shd w:val="clear" w:color="auto" w:fill="008272"/>
          </w:tcPr>
          <w:p w14:paraId="2B1AAA0A" w14:textId="77777777" w:rsidR="00264327" w:rsidRPr="00BC4E85" w:rsidRDefault="00264327" w:rsidP="00667A8F">
            <w:pPr>
              <w:pStyle w:val="Table-Header"/>
            </w:pPr>
            <w:r w:rsidRPr="00BC4E85">
              <w:t>Name</w:t>
            </w:r>
          </w:p>
        </w:tc>
        <w:tc>
          <w:tcPr>
            <w:tcW w:w="2552" w:type="dxa"/>
            <w:shd w:val="clear" w:color="auto" w:fill="008272"/>
          </w:tcPr>
          <w:p w14:paraId="38FA1853" w14:textId="77777777" w:rsidR="00264327" w:rsidRPr="00BC4E85" w:rsidRDefault="00264327" w:rsidP="00667A8F">
            <w:pPr>
              <w:pStyle w:val="Table-Header"/>
            </w:pPr>
            <w:r w:rsidRPr="00BC4E85">
              <w:t>Description</w:t>
            </w:r>
          </w:p>
        </w:tc>
        <w:tc>
          <w:tcPr>
            <w:tcW w:w="851" w:type="dxa"/>
            <w:shd w:val="clear" w:color="auto" w:fill="008272"/>
          </w:tcPr>
          <w:p w14:paraId="6D84080F" w14:textId="77777777" w:rsidR="00264327" w:rsidRPr="00BC4E85" w:rsidRDefault="00264327" w:rsidP="00667A8F">
            <w:pPr>
              <w:pStyle w:val="Table-Header"/>
            </w:pPr>
            <w:r>
              <w:t>Phase</w:t>
            </w:r>
          </w:p>
        </w:tc>
        <w:tc>
          <w:tcPr>
            <w:tcW w:w="1275" w:type="dxa"/>
            <w:shd w:val="clear" w:color="auto" w:fill="008272"/>
          </w:tcPr>
          <w:p w14:paraId="7D361477" w14:textId="77777777" w:rsidR="00264327" w:rsidRPr="00BC4E85" w:rsidRDefault="00264327" w:rsidP="00667A8F">
            <w:pPr>
              <w:pStyle w:val="Table-Header"/>
            </w:pPr>
            <w:r w:rsidRPr="00BC4E85">
              <w:t xml:space="preserve">Acceptance </w:t>
            </w:r>
            <w:r>
              <w:t>required</w:t>
            </w:r>
            <w:r w:rsidRPr="00BC4E85">
              <w:t>?</w:t>
            </w:r>
          </w:p>
        </w:tc>
        <w:tc>
          <w:tcPr>
            <w:tcW w:w="1985" w:type="dxa"/>
            <w:shd w:val="clear" w:color="auto" w:fill="008272"/>
          </w:tcPr>
          <w:p w14:paraId="1EBC2486" w14:textId="77777777" w:rsidR="00264327" w:rsidRPr="00BC4E85" w:rsidRDefault="00264327" w:rsidP="00667A8F">
            <w:pPr>
              <w:pStyle w:val="Table-Header"/>
            </w:pPr>
            <w:r>
              <w:t>Acceptance Criteria</w:t>
            </w:r>
          </w:p>
        </w:tc>
        <w:tc>
          <w:tcPr>
            <w:tcW w:w="1559" w:type="dxa"/>
            <w:shd w:val="clear" w:color="auto" w:fill="008272"/>
          </w:tcPr>
          <w:p w14:paraId="32D1F5EF" w14:textId="77777777" w:rsidR="00264327" w:rsidRPr="00BC4E85" w:rsidRDefault="00264327" w:rsidP="00667A8F">
            <w:pPr>
              <w:pStyle w:val="Table-Header"/>
            </w:pPr>
            <w:r w:rsidRPr="00BC4E85">
              <w:t>Responsibility</w:t>
            </w:r>
          </w:p>
        </w:tc>
      </w:tr>
      <w:tr w:rsidR="00264327" w:rsidRPr="003F779C" w14:paraId="1484C409" w14:textId="77777777" w:rsidTr="00FE384A">
        <w:trPr>
          <w:trHeight w:val="417"/>
        </w:trPr>
        <w:tc>
          <w:tcPr>
            <w:tcW w:w="1559" w:type="dxa"/>
            <w:shd w:val="clear" w:color="auto" w:fill="auto"/>
          </w:tcPr>
          <w:p w14:paraId="649A3AAB" w14:textId="77777777" w:rsidR="00264327" w:rsidRDefault="00264327" w:rsidP="00667A8F">
            <w:pPr>
              <w:pStyle w:val="TableText"/>
              <w:rPr>
                <w:rFonts w:eastAsia="Calibri"/>
              </w:rPr>
            </w:pPr>
            <w:r>
              <w:rPr>
                <w:rFonts w:eastAsia="Calibri"/>
              </w:rPr>
              <w:t>Project plan</w:t>
            </w:r>
          </w:p>
        </w:tc>
        <w:tc>
          <w:tcPr>
            <w:tcW w:w="2552" w:type="dxa"/>
            <w:shd w:val="clear" w:color="auto" w:fill="auto"/>
          </w:tcPr>
          <w:p w14:paraId="0BC98E23" w14:textId="77777777" w:rsidR="00264327" w:rsidRDefault="00264327" w:rsidP="00667A8F">
            <w:pPr>
              <w:pStyle w:val="TableText"/>
              <w:rPr>
                <w:rFonts w:eastAsia="Calibri"/>
              </w:rPr>
            </w:pPr>
            <w:r>
              <w:t>K</w:t>
            </w:r>
            <w:r w:rsidRPr="004249B3">
              <w:t>ey</w:t>
            </w:r>
            <w:r>
              <w:t xml:space="preserve"> Microsoft</w:t>
            </w:r>
            <w:r w:rsidRPr="004249B3">
              <w:t xml:space="preserve"> activities, milestones, dependencies, and durations</w:t>
            </w:r>
          </w:p>
        </w:tc>
        <w:tc>
          <w:tcPr>
            <w:tcW w:w="851" w:type="dxa"/>
          </w:tcPr>
          <w:p w14:paraId="4E5E8A4A" w14:textId="77777777" w:rsidR="00264327" w:rsidRDefault="00264327" w:rsidP="00667A8F">
            <w:pPr>
              <w:pStyle w:val="TableText"/>
              <w:rPr>
                <w:rFonts w:eastAsia="Calibri"/>
              </w:rPr>
            </w:pPr>
            <w:r>
              <w:rPr>
                <w:rFonts w:eastAsia="Calibri"/>
              </w:rPr>
              <w:t>Assess</w:t>
            </w:r>
          </w:p>
        </w:tc>
        <w:tc>
          <w:tcPr>
            <w:tcW w:w="1275" w:type="dxa"/>
            <w:shd w:val="clear" w:color="auto" w:fill="auto"/>
          </w:tcPr>
          <w:p w14:paraId="1BEC0DDB" w14:textId="0550D7F0" w:rsidR="00264327" w:rsidRDefault="00E51EAC" w:rsidP="00667A8F">
            <w:pPr>
              <w:pStyle w:val="TableText"/>
              <w:rPr>
                <w:rFonts w:eastAsia="Calibri"/>
              </w:rPr>
            </w:pPr>
            <w:r>
              <w:rPr>
                <w:rFonts w:eastAsia="Calibri"/>
              </w:rPr>
              <w:t>No</w:t>
            </w:r>
          </w:p>
        </w:tc>
        <w:tc>
          <w:tcPr>
            <w:tcW w:w="1985" w:type="dxa"/>
          </w:tcPr>
          <w:p w14:paraId="49DC3D49" w14:textId="77777777" w:rsidR="00264327" w:rsidRPr="00F52AF8" w:rsidRDefault="00264327" w:rsidP="00667A8F">
            <w:pPr>
              <w:pStyle w:val="TableText"/>
              <w:rPr>
                <w:rFonts w:eastAsia="Calibri"/>
              </w:rPr>
            </w:pPr>
            <w:r w:rsidRPr="00F52AF8">
              <w:rPr>
                <w:rFonts w:eastAsia="Calibri"/>
              </w:rPr>
              <w:t>The plan reflects the activities, dependencies and durations as agreed with the Customer</w:t>
            </w:r>
          </w:p>
        </w:tc>
        <w:tc>
          <w:tcPr>
            <w:tcW w:w="1559" w:type="dxa"/>
            <w:shd w:val="clear" w:color="auto" w:fill="auto"/>
          </w:tcPr>
          <w:p w14:paraId="2127F23D" w14:textId="77777777" w:rsidR="00264327" w:rsidRDefault="00264327" w:rsidP="00667A8F">
            <w:pPr>
              <w:pStyle w:val="TableText"/>
              <w:rPr>
                <w:rFonts w:eastAsia="Calibri"/>
              </w:rPr>
            </w:pPr>
            <w:r>
              <w:rPr>
                <w:rFonts w:eastAsia="Calibri"/>
              </w:rPr>
              <w:t xml:space="preserve">Microsoft </w:t>
            </w:r>
          </w:p>
        </w:tc>
      </w:tr>
      <w:tr w:rsidR="00264327" w:rsidRPr="003F779C" w14:paraId="4F10BA0F" w14:textId="77777777" w:rsidTr="00FE384A">
        <w:trPr>
          <w:trHeight w:val="417"/>
        </w:trPr>
        <w:tc>
          <w:tcPr>
            <w:tcW w:w="1559" w:type="dxa"/>
            <w:shd w:val="clear" w:color="auto" w:fill="auto"/>
          </w:tcPr>
          <w:p w14:paraId="446157C0" w14:textId="77777777" w:rsidR="00264327" w:rsidRDefault="00264327" w:rsidP="00667A8F">
            <w:pPr>
              <w:pStyle w:val="TableText"/>
              <w:rPr>
                <w:rFonts w:eastAsia="Calibri"/>
              </w:rPr>
            </w:pPr>
            <w:r>
              <w:rPr>
                <w:rFonts w:eastAsia="Calibri"/>
              </w:rPr>
              <w:t>Preparation checklist</w:t>
            </w:r>
          </w:p>
        </w:tc>
        <w:tc>
          <w:tcPr>
            <w:tcW w:w="2552" w:type="dxa"/>
            <w:shd w:val="clear" w:color="auto" w:fill="auto"/>
          </w:tcPr>
          <w:p w14:paraId="6570295B" w14:textId="77777777" w:rsidR="00264327" w:rsidRDefault="00264327" w:rsidP="00667A8F">
            <w:pPr>
              <w:pStyle w:val="TableText"/>
            </w:pPr>
            <w:r>
              <w:rPr>
                <w:rFonts w:eastAsia="Calibri"/>
              </w:rPr>
              <w:t>An Excel spreadsheet that documents the tasks that must be completed by the customer and the resources that must be procured in order to complete the in-scope work.</w:t>
            </w:r>
          </w:p>
        </w:tc>
        <w:tc>
          <w:tcPr>
            <w:tcW w:w="851" w:type="dxa"/>
          </w:tcPr>
          <w:p w14:paraId="1AEF6246" w14:textId="77777777" w:rsidR="00264327" w:rsidRDefault="00264327" w:rsidP="00667A8F">
            <w:pPr>
              <w:pStyle w:val="TableText"/>
              <w:rPr>
                <w:rFonts w:eastAsia="Calibri"/>
              </w:rPr>
            </w:pPr>
            <w:r>
              <w:rPr>
                <w:rFonts w:eastAsia="Calibri"/>
              </w:rPr>
              <w:t>Assess</w:t>
            </w:r>
          </w:p>
        </w:tc>
        <w:tc>
          <w:tcPr>
            <w:tcW w:w="1275" w:type="dxa"/>
            <w:shd w:val="clear" w:color="auto" w:fill="auto"/>
          </w:tcPr>
          <w:p w14:paraId="6C99E594" w14:textId="77777777" w:rsidR="00264327" w:rsidRDefault="00264327" w:rsidP="00667A8F">
            <w:pPr>
              <w:pStyle w:val="TableText"/>
              <w:rPr>
                <w:rFonts w:eastAsia="Calibri"/>
              </w:rPr>
            </w:pPr>
            <w:r>
              <w:rPr>
                <w:rFonts w:eastAsia="Calibri"/>
              </w:rPr>
              <w:t>Yes</w:t>
            </w:r>
          </w:p>
        </w:tc>
        <w:tc>
          <w:tcPr>
            <w:tcW w:w="1985" w:type="dxa"/>
          </w:tcPr>
          <w:p w14:paraId="670949E9" w14:textId="77777777" w:rsidR="00264327" w:rsidRPr="00F52AF8" w:rsidRDefault="00264327" w:rsidP="00667A8F">
            <w:pPr>
              <w:pStyle w:val="TableText"/>
              <w:rPr>
                <w:rFonts w:eastAsia="Calibri"/>
              </w:rPr>
            </w:pPr>
            <w:r w:rsidRPr="00F52AF8">
              <w:rPr>
                <w:rFonts w:eastAsia="Calibri"/>
              </w:rPr>
              <w:t>The spreadsheet accurately documents the tasks that need to be completed and resources that need to be procured</w:t>
            </w:r>
          </w:p>
        </w:tc>
        <w:tc>
          <w:tcPr>
            <w:tcW w:w="1559" w:type="dxa"/>
            <w:shd w:val="clear" w:color="auto" w:fill="auto"/>
          </w:tcPr>
          <w:p w14:paraId="6A656641" w14:textId="77777777" w:rsidR="00264327" w:rsidRDefault="00264327" w:rsidP="00667A8F">
            <w:pPr>
              <w:pStyle w:val="TableText"/>
              <w:rPr>
                <w:rFonts w:eastAsia="Calibri"/>
              </w:rPr>
            </w:pPr>
            <w:r>
              <w:rPr>
                <w:rFonts w:eastAsia="Calibri"/>
              </w:rPr>
              <w:t>Microsoft</w:t>
            </w:r>
          </w:p>
        </w:tc>
      </w:tr>
      <w:tr w:rsidR="00264327" w:rsidRPr="003F779C" w14:paraId="69334DC6" w14:textId="77777777" w:rsidTr="00FE384A">
        <w:trPr>
          <w:trHeight w:val="417"/>
        </w:trPr>
        <w:tc>
          <w:tcPr>
            <w:tcW w:w="1559" w:type="dxa"/>
            <w:shd w:val="clear" w:color="auto" w:fill="auto"/>
          </w:tcPr>
          <w:p w14:paraId="4FBEA13F" w14:textId="77777777" w:rsidR="00264327" w:rsidRPr="003F779C" w:rsidRDefault="00264327" w:rsidP="00667A8F">
            <w:pPr>
              <w:pStyle w:val="TableText"/>
            </w:pPr>
            <w:r>
              <w:rPr>
                <w:rFonts w:eastAsia="Calibri"/>
              </w:rPr>
              <w:t>Design and plan</w:t>
            </w:r>
          </w:p>
        </w:tc>
        <w:tc>
          <w:tcPr>
            <w:tcW w:w="2552" w:type="dxa"/>
            <w:shd w:val="clear" w:color="auto" w:fill="auto"/>
          </w:tcPr>
          <w:p w14:paraId="5F3CD8E2" w14:textId="77777777" w:rsidR="00264327" w:rsidRPr="003F779C" w:rsidRDefault="00264327" w:rsidP="00667A8F">
            <w:pPr>
              <w:pStyle w:val="TableText"/>
            </w:pPr>
            <w:r>
              <w:rPr>
                <w:rFonts w:eastAsia="Calibri"/>
              </w:rPr>
              <w:t xml:space="preserve">A Word document that captures design decisions </w:t>
            </w:r>
            <w:r>
              <w:rPr>
                <w:rFonts w:eastAsia="Calibri"/>
              </w:rPr>
              <w:lastRenderedPageBreak/>
              <w:t>made during the workshop, documents the design for the solution, and details the high-level plan for completion of the in-scope work.</w:t>
            </w:r>
          </w:p>
        </w:tc>
        <w:tc>
          <w:tcPr>
            <w:tcW w:w="851" w:type="dxa"/>
          </w:tcPr>
          <w:p w14:paraId="3C593EA1" w14:textId="77777777" w:rsidR="00264327" w:rsidRPr="003F779C" w:rsidRDefault="00264327" w:rsidP="00667A8F">
            <w:pPr>
              <w:pStyle w:val="TableText"/>
            </w:pPr>
            <w:r>
              <w:rPr>
                <w:rFonts w:eastAsia="Calibri"/>
              </w:rPr>
              <w:lastRenderedPageBreak/>
              <w:t>Assess</w:t>
            </w:r>
          </w:p>
        </w:tc>
        <w:tc>
          <w:tcPr>
            <w:tcW w:w="1275" w:type="dxa"/>
            <w:shd w:val="clear" w:color="auto" w:fill="auto"/>
          </w:tcPr>
          <w:p w14:paraId="46C468E0" w14:textId="77777777" w:rsidR="00264327" w:rsidRPr="003F779C" w:rsidRDefault="00264327" w:rsidP="00667A8F">
            <w:pPr>
              <w:pStyle w:val="TableText"/>
            </w:pPr>
            <w:r>
              <w:rPr>
                <w:rFonts w:eastAsia="Calibri"/>
              </w:rPr>
              <w:t>Yes</w:t>
            </w:r>
          </w:p>
        </w:tc>
        <w:tc>
          <w:tcPr>
            <w:tcW w:w="1985" w:type="dxa"/>
          </w:tcPr>
          <w:p w14:paraId="77F830AA" w14:textId="77777777" w:rsidR="00264327" w:rsidRPr="00F52AF8" w:rsidRDefault="00264327" w:rsidP="00667A8F">
            <w:pPr>
              <w:pStyle w:val="TableText"/>
              <w:rPr>
                <w:rFonts w:eastAsia="Calibri"/>
              </w:rPr>
            </w:pPr>
            <w:r w:rsidRPr="00F52AF8">
              <w:rPr>
                <w:rFonts w:eastAsia="Calibri"/>
              </w:rPr>
              <w:t xml:space="preserve">The document accurately captures </w:t>
            </w:r>
            <w:r w:rsidRPr="00F52AF8">
              <w:rPr>
                <w:rFonts w:eastAsia="Calibri"/>
              </w:rPr>
              <w:lastRenderedPageBreak/>
              <w:t>the design decisions made during the workshops, documents the design for the solution and details the high-level plan for completion of in-scope work.</w:t>
            </w:r>
          </w:p>
        </w:tc>
        <w:tc>
          <w:tcPr>
            <w:tcW w:w="1559" w:type="dxa"/>
            <w:shd w:val="clear" w:color="auto" w:fill="auto"/>
          </w:tcPr>
          <w:p w14:paraId="076FDB0E" w14:textId="77777777" w:rsidR="00264327" w:rsidRPr="003F779C" w:rsidRDefault="00264327" w:rsidP="00667A8F">
            <w:pPr>
              <w:pStyle w:val="TableText"/>
            </w:pPr>
            <w:r>
              <w:rPr>
                <w:rFonts w:eastAsia="Calibri"/>
              </w:rPr>
              <w:lastRenderedPageBreak/>
              <w:t>Microsoft</w:t>
            </w:r>
          </w:p>
        </w:tc>
      </w:tr>
      <w:tr w:rsidR="00264327" w:rsidRPr="003F779C" w14:paraId="3FC4ADBD" w14:textId="77777777" w:rsidTr="00FE384A">
        <w:trPr>
          <w:trHeight w:val="417"/>
        </w:trPr>
        <w:tc>
          <w:tcPr>
            <w:tcW w:w="1559" w:type="dxa"/>
            <w:shd w:val="clear" w:color="auto" w:fill="auto"/>
          </w:tcPr>
          <w:p w14:paraId="703B8CC7" w14:textId="77777777" w:rsidR="00264327" w:rsidRPr="003F779C" w:rsidRDefault="00264327" w:rsidP="00667A8F">
            <w:pPr>
              <w:pStyle w:val="TableText"/>
            </w:pPr>
            <w:r>
              <w:rPr>
                <w:rFonts w:eastAsia="Calibri"/>
              </w:rPr>
              <w:t>Test cases</w:t>
            </w:r>
          </w:p>
        </w:tc>
        <w:tc>
          <w:tcPr>
            <w:tcW w:w="2552" w:type="dxa"/>
            <w:shd w:val="clear" w:color="auto" w:fill="auto"/>
          </w:tcPr>
          <w:p w14:paraId="3794A50E" w14:textId="77777777" w:rsidR="00264327" w:rsidRPr="003F779C" w:rsidRDefault="00264327" w:rsidP="00667A8F">
            <w:pPr>
              <w:pStyle w:val="TableText"/>
            </w:pPr>
            <w:r>
              <w:rPr>
                <w:rFonts w:eastAsia="Calibri"/>
              </w:rPr>
              <w:t>An Excel spreadsheet that documents the test cases that will be used to validate that the implemented solution functions as designed.</w:t>
            </w:r>
          </w:p>
        </w:tc>
        <w:tc>
          <w:tcPr>
            <w:tcW w:w="851" w:type="dxa"/>
          </w:tcPr>
          <w:p w14:paraId="5C8CE02D" w14:textId="77777777" w:rsidR="00264327" w:rsidRPr="003F779C" w:rsidRDefault="00264327" w:rsidP="00667A8F">
            <w:pPr>
              <w:pStyle w:val="TableText"/>
            </w:pPr>
            <w:r>
              <w:rPr>
                <w:rFonts w:eastAsia="Calibri"/>
              </w:rPr>
              <w:t>Enable</w:t>
            </w:r>
          </w:p>
        </w:tc>
        <w:tc>
          <w:tcPr>
            <w:tcW w:w="1275" w:type="dxa"/>
            <w:shd w:val="clear" w:color="auto" w:fill="auto"/>
          </w:tcPr>
          <w:p w14:paraId="2381133D" w14:textId="77777777" w:rsidR="00264327" w:rsidRPr="003F779C" w:rsidRDefault="00264327" w:rsidP="00667A8F">
            <w:pPr>
              <w:pStyle w:val="TableText"/>
            </w:pPr>
            <w:r>
              <w:rPr>
                <w:rFonts w:eastAsia="Calibri"/>
              </w:rPr>
              <w:t>Yes</w:t>
            </w:r>
          </w:p>
        </w:tc>
        <w:tc>
          <w:tcPr>
            <w:tcW w:w="1985" w:type="dxa"/>
          </w:tcPr>
          <w:p w14:paraId="29CBCC6D" w14:textId="3359B2D9" w:rsidR="00264327" w:rsidRPr="00F52AF8" w:rsidRDefault="00264327" w:rsidP="00667A8F">
            <w:pPr>
              <w:pStyle w:val="TableText"/>
              <w:rPr>
                <w:rFonts w:eastAsia="Calibri"/>
              </w:rPr>
            </w:pPr>
            <w:r w:rsidRPr="00F52AF8">
              <w:rPr>
                <w:rFonts w:eastAsia="Calibri"/>
              </w:rPr>
              <w:t xml:space="preserve">The test cases are documented </w:t>
            </w:r>
            <w:r w:rsidR="000B644C" w:rsidRPr="00F52AF8">
              <w:rPr>
                <w:rFonts w:eastAsia="Calibri"/>
              </w:rPr>
              <w:t>and</w:t>
            </w:r>
            <w:r w:rsidRPr="00F52AF8">
              <w:rPr>
                <w:rFonts w:eastAsia="Calibri"/>
              </w:rPr>
              <w:t xml:space="preserve"> will be used to validate the implemented solution functions</w:t>
            </w:r>
          </w:p>
        </w:tc>
        <w:tc>
          <w:tcPr>
            <w:tcW w:w="1559" w:type="dxa"/>
            <w:shd w:val="clear" w:color="auto" w:fill="auto"/>
          </w:tcPr>
          <w:p w14:paraId="0A6E2D18" w14:textId="77777777" w:rsidR="00264327" w:rsidRPr="003F779C" w:rsidRDefault="00264327" w:rsidP="00667A8F">
            <w:pPr>
              <w:pStyle w:val="TableText"/>
            </w:pPr>
            <w:r>
              <w:rPr>
                <w:rFonts w:eastAsia="Calibri"/>
              </w:rPr>
              <w:t>Microsoft</w:t>
            </w:r>
          </w:p>
        </w:tc>
      </w:tr>
      <w:tr w:rsidR="00264327" w:rsidRPr="003F779C" w14:paraId="55F45163" w14:textId="77777777" w:rsidTr="00FE384A">
        <w:trPr>
          <w:trHeight w:val="417"/>
        </w:trPr>
        <w:tc>
          <w:tcPr>
            <w:tcW w:w="1559" w:type="dxa"/>
            <w:shd w:val="clear" w:color="auto" w:fill="auto"/>
          </w:tcPr>
          <w:p w14:paraId="7749F217" w14:textId="77777777" w:rsidR="00264327" w:rsidRPr="003F779C" w:rsidRDefault="00264327" w:rsidP="00667A8F">
            <w:pPr>
              <w:pStyle w:val="TableText"/>
            </w:pPr>
            <w:r>
              <w:rPr>
                <w:rFonts w:eastAsia="Calibri"/>
              </w:rPr>
              <w:t>Delivery summary</w:t>
            </w:r>
          </w:p>
        </w:tc>
        <w:tc>
          <w:tcPr>
            <w:tcW w:w="2552" w:type="dxa"/>
            <w:shd w:val="clear" w:color="auto" w:fill="auto"/>
          </w:tcPr>
          <w:p w14:paraId="6AD952AA" w14:textId="77777777" w:rsidR="00264327" w:rsidRPr="003F779C" w:rsidRDefault="00264327" w:rsidP="00667A8F">
            <w:pPr>
              <w:pStyle w:val="TableText"/>
            </w:pPr>
            <w:r>
              <w:rPr>
                <w:rFonts w:eastAsia="Calibri"/>
              </w:rPr>
              <w:t>A Word document that summarizes the work completed, provides any relevant operational guidance, and documents any recommended next steps.</w:t>
            </w:r>
          </w:p>
        </w:tc>
        <w:tc>
          <w:tcPr>
            <w:tcW w:w="851" w:type="dxa"/>
          </w:tcPr>
          <w:p w14:paraId="2E453CC5" w14:textId="77777777" w:rsidR="00264327" w:rsidRPr="003F779C" w:rsidRDefault="00264327" w:rsidP="00667A8F">
            <w:pPr>
              <w:pStyle w:val="TableText"/>
            </w:pPr>
            <w:r>
              <w:rPr>
                <w:rFonts w:eastAsia="Calibri"/>
              </w:rPr>
              <w:t xml:space="preserve">Enable </w:t>
            </w:r>
          </w:p>
        </w:tc>
        <w:tc>
          <w:tcPr>
            <w:tcW w:w="1275" w:type="dxa"/>
            <w:shd w:val="clear" w:color="auto" w:fill="auto"/>
          </w:tcPr>
          <w:p w14:paraId="31391288" w14:textId="77777777" w:rsidR="00264327" w:rsidRPr="003F779C" w:rsidRDefault="00264327" w:rsidP="00667A8F">
            <w:pPr>
              <w:pStyle w:val="TableText"/>
            </w:pPr>
            <w:r>
              <w:rPr>
                <w:rFonts w:eastAsia="Calibri"/>
              </w:rPr>
              <w:t>No</w:t>
            </w:r>
          </w:p>
        </w:tc>
        <w:tc>
          <w:tcPr>
            <w:tcW w:w="1985" w:type="dxa"/>
          </w:tcPr>
          <w:p w14:paraId="7588B163" w14:textId="77777777" w:rsidR="00264327" w:rsidRDefault="00264327" w:rsidP="00667A8F">
            <w:pPr>
              <w:pStyle w:val="TableText"/>
              <w:rPr>
                <w:rFonts w:eastAsia="Calibri"/>
              </w:rPr>
            </w:pPr>
            <w:r>
              <w:rPr>
                <w:rFonts w:eastAsia="Calibri"/>
              </w:rPr>
              <w:t>N/A</w:t>
            </w:r>
          </w:p>
        </w:tc>
        <w:tc>
          <w:tcPr>
            <w:tcW w:w="1559" w:type="dxa"/>
            <w:shd w:val="clear" w:color="auto" w:fill="auto"/>
          </w:tcPr>
          <w:p w14:paraId="180A15D5" w14:textId="77777777" w:rsidR="00264327" w:rsidRPr="003F779C" w:rsidRDefault="00264327" w:rsidP="00667A8F">
            <w:pPr>
              <w:pStyle w:val="TableText"/>
            </w:pPr>
            <w:r>
              <w:rPr>
                <w:rFonts w:eastAsia="Calibri"/>
              </w:rPr>
              <w:t>Microsoft</w:t>
            </w:r>
          </w:p>
        </w:tc>
      </w:tr>
    </w:tbl>
    <w:p w14:paraId="5BA64B71" w14:textId="77777777" w:rsidR="00264327" w:rsidRPr="003815D6" w:rsidRDefault="00264327" w:rsidP="0089050C"/>
    <w:p w14:paraId="5CF599C3" w14:textId="274BFF97" w:rsidR="002641DA" w:rsidRPr="003815D6" w:rsidRDefault="002641DA" w:rsidP="002641DA">
      <w:pPr>
        <w:pStyle w:val="Heading3"/>
      </w:pPr>
      <w:bookmarkStart w:id="78" w:name="_Project_components_and"/>
      <w:bookmarkEnd w:id="78"/>
      <w:r w:rsidRPr="003815D6">
        <w:t>Project components and deliverables</w:t>
      </w:r>
      <w:bookmarkEnd w:id="77"/>
    </w:p>
    <w:p w14:paraId="5518C25A" w14:textId="368CB125" w:rsidR="002641DA" w:rsidRPr="003815D6" w:rsidRDefault="002641DA" w:rsidP="002641DA">
      <w:r w:rsidRPr="003815D6">
        <w:t xml:space="preserve">The following subsections describe the activities for in-scope project components, organized by overall project phase. These activities will be combined with the </w:t>
      </w:r>
      <w:hyperlink w:anchor="_General_project_activities" w:history="1">
        <w:r w:rsidRPr="003815D6">
          <w:rPr>
            <w:rStyle w:val="Hyperlink"/>
          </w:rPr>
          <w:t>general project activities</w:t>
        </w:r>
      </w:hyperlink>
      <w:r w:rsidRPr="003815D6">
        <w:t xml:space="preserve"> to establish the overall project approach.</w:t>
      </w:r>
      <w:r w:rsidR="00603FA5" w:rsidRPr="003815D6">
        <w:t xml:space="preserve"> The unique deliverables for each component, and the project deliverables to which each component contributes, are also described below.</w:t>
      </w:r>
    </w:p>
    <w:p w14:paraId="31E4E1D8" w14:textId="6EAA557E" w:rsidR="002641DA" w:rsidRPr="003815D6" w:rsidRDefault="002641DA" w:rsidP="00BD3F15">
      <w:pPr>
        <w:pStyle w:val="Heading4"/>
      </w:pPr>
      <w:r w:rsidRPr="003815D6">
        <w:t xml:space="preserve">Office 365 </w:t>
      </w:r>
      <w:r w:rsidR="00056ABB" w:rsidRPr="003815D6">
        <w:t xml:space="preserve">tenant planning </w:t>
      </w:r>
      <w:r w:rsidRPr="003815D6">
        <w:t xml:space="preserve">and </w:t>
      </w:r>
      <w:r w:rsidR="00056ABB" w:rsidRPr="003815D6">
        <w:t xml:space="preserve">configuration </w:t>
      </w:r>
      <w:r w:rsidRPr="003815D6">
        <w:t>(TPC-01)</w:t>
      </w:r>
    </w:p>
    <w:tbl>
      <w:tblPr>
        <w:tblStyle w:val="TableGrid1"/>
        <w:tblW w:w="9221" w:type="dxa"/>
        <w:tblInd w:w="-5"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ook w:val="04A0" w:firstRow="1" w:lastRow="0" w:firstColumn="1" w:lastColumn="0" w:noHBand="0" w:noVBand="1"/>
      </w:tblPr>
      <w:tblGrid>
        <w:gridCol w:w="3068"/>
        <w:gridCol w:w="6140"/>
        <w:gridCol w:w="13"/>
      </w:tblGrid>
      <w:tr w:rsidR="00DE2FE1" w:rsidRPr="003815D6" w14:paraId="5957B51D" w14:textId="77777777" w:rsidTr="1010A115">
        <w:trPr>
          <w:trHeight w:val="542"/>
          <w:tblHeader/>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008272"/>
          </w:tcPr>
          <w:p w14:paraId="34B8EB91" w14:textId="77777777" w:rsidR="002641DA" w:rsidRPr="003815D6" w:rsidRDefault="002641DA" w:rsidP="005C3C1C">
            <w:pPr>
              <w:rPr>
                <w:rFonts w:eastAsia="Calibri"/>
                <w:b/>
                <w:color w:val="FFFFFF"/>
              </w:rPr>
            </w:pPr>
            <w:r w:rsidRPr="003815D6">
              <w:rPr>
                <w:rFonts w:eastAsia="Calibri"/>
                <w:b/>
                <w:color w:val="FFFFFF"/>
              </w:rPr>
              <w:t>Category</w:t>
            </w:r>
          </w:p>
        </w:tc>
        <w:tc>
          <w:tcPr>
            <w:tcW w:w="6153" w:type="dxa"/>
            <w:gridSpan w:val="2"/>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008272"/>
          </w:tcPr>
          <w:p w14:paraId="3531FA2F" w14:textId="77777777" w:rsidR="002641DA" w:rsidRPr="003815D6" w:rsidRDefault="002641DA" w:rsidP="005C3C1C">
            <w:pPr>
              <w:rPr>
                <w:rFonts w:eastAsia="Calibri"/>
                <w:b/>
                <w:color w:val="FFFFFF"/>
              </w:rPr>
            </w:pPr>
            <w:r w:rsidRPr="003815D6">
              <w:rPr>
                <w:rFonts w:eastAsia="Calibri"/>
                <w:b/>
                <w:color w:val="FFFFFF"/>
              </w:rPr>
              <w:t>Description</w:t>
            </w:r>
          </w:p>
        </w:tc>
      </w:tr>
      <w:tr w:rsidR="00D6498A" w:rsidRPr="003815D6" w14:paraId="3DA8BEBD" w14:textId="77777777" w:rsidTr="1010A115">
        <w:trPr>
          <w:gridAfter w:val="1"/>
          <w:wAfter w:w="13" w:type="dxa"/>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14CC03C9" w14:textId="77777777" w:rsidR="002641DA" w:rsidRPr="003815D6" w:rsidRDefault="002641DA" w:rsidP="005C3C1C">
            <w:pPr>
              <w:rPr>
                <w:rFonts w:eastAsia="Calibri"/>
              </w:rPr>
            </w:pPr>
            <w:r w:rsidRPr="003815D6">
              <w:rPr>
                <w:rFonts w:eastAsia="Calibri"/>
                <w:b/>
              </w:rPr>
              <w:t>Microsoft activities</w:t>
            </w:r>
            <w:r w:rsidRPr="003815D6">
              <w:rPr>
                <w:rFonts w:eastAsia="Calibri"/>
                <w:b/>
              </w:rPr>
              <w:br/>
            </w:r>
            <w:r w:rsidRPr="003815D6">
              <w:rPr>
                <w:rFonts w:eastAsia="Calibri"/>
              </w:rPr>
              <w:t>The activities to be performed by Microsoft</w:t>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71B9FF39" w14:textId="4996EEF3" w:rsidR="002641DA" w:rsidRPr="003815D6" w:rsidRDefault="002641DA" w:rsidP="005C3C1C">
            <w:pPr>
              <w:pStyle w:val="TableBullet1"/>
              <w:numPr>
                <w:ilvl w:val="0"/>
                <w:numId w:val="0"/>
              </w:numPr>
              <w:rPr>
                <w:rFonts w:eastAsia="Calibri"/>
                <w:b/>
              </w:rPr>
            </w:pPr>
            <w:r w:rsidRPr="003815D6">
              <w:rPr>
                <w:rFonts w:eastAsia="Calibri"/>
                <w:b/>
              </w:rPr>
              <w:t>Assess</w:t>
            </w:r>
            <w:r w:rsidR="00DE0541" w:rsidRPr="003815D6">
              <w:rPr>
                <w:rFonts w:eastAsia="Calibri"/>
                <w:b/>
              </w:rPr>
              <w:t xml:space="preserve"> phase</w:t>
            </w:r>
          </w:p>
          <w:p w14:paraId="0781194F" w14:textId="6159F8FF" w:rsidR="002641DA" w:rsidRPr="003815D6" w:rsidRDefault="002641DA" w:rsidP="004C53CC">
            <w:pPr>
              <w:pStyle w:val="TableBullet1"/>
              <w:numPr>
                <w:ilvl w:val="0"/>
                <w:numId w:val="11"/>
              </w:numPr>
              <w:spacing w:before="0"/>
              <w:ind w:left="360"/>
              <w:contextualSpacing w:val="0"/>
              <w:rPr>
                <w:rFonts w:eastAsia="Calibri"/>
              </w:rPr>
            </w:pPr>
            <w:r w:rsidRPr="003815D6">
              <w:t xml:space="preserve">Deliver configuration assessment workshops to provide an overview of Office 365 enablement activities and identity remediation and enablement requirements for the </w:t>
            </w:r>
            <w:r w:rsidR="00F5049E" w:rsidRPr="003815D6">
              <w:t>c</w:t>
            </w:r>
            <w:r w:rsidRPr="003815D6">
              <w:t>ustomer’s Office 365 deployment</w:t>
            </w:r>
            <w:r w:rsidR="00423482">
              <w:t>.</w:t>
            </w:r>
          </w:p>
          <w:p w14:paraId="7159DDE1" w14:textId="5A17BA0A" w:rsidR="002641DA" w:rsidRPr="003815D6" w:rsidRDefault="002641DA" w:rsidP="005C3C1C">
            <w:pPr>
              <w:pStyle w:val="TableBullet1"/>
              <w:numPr>
                <w:ilvl w:val="0"/>
                <w:numId w:val="0"/>
              </w:numPr>
              <w:rPr>
                <w:rFonts w:eastAsia="Calibri"/>
                <w:b/>
              </w:rPr>
            </w:pPr>
            <w:r w:rsidRPr="003815D6">
              <w:rPr>
                <w:rFonts w:eastAsia="Calibri"/>
                <w:b/>
              </w:rPr>
              <w:t>Enable</w:t>
            </w:r>
            <w:r w:rsidR="00DE0541" w:rsidRPr="003815D6">
              <w:rPr>
                <w:rFonts w:eastAsia="Calibri"/>
                <w:b/>
              </w:rPr>
              <w:t xml:space="preserve"> phase</w:t>
            </w:r>
          </w:p>
          <w:p w14:paraId="1FA2018B" w14:textId="040C9571" w:rsidR="002641DA" w:rsidRPr="003815D6" w:rsidRDefault="002641DA" w:rsidP="004C53CC">
            <w:pPr>
              <w:pStyle w:val="TableBullet1"/>
              <w:numPr>
                <w:ilvl w:val="0"/>
                <w:numId w:val="11"/>
              </w:numPr>
              <w:ind w:left="360"/>
            </w:pPr>
            <w:r w:rsidRPr="003815D6">
              <w:lastRenderedPageBreak/>
              <w:t xml:space="preserve">Provide guidance to the </w:t>
            </w:r>
            <w:r w:rsidR="009633F4" w:rsidRPr="003815D6">
              <w:t>customer</w:t>
            </w:r>
            <w:r w:rsidRPr="003815D6">
              <w:t xml:space="preserve"> </w:t>
            </w:r>
            <w:r w:rsidR="00F5049E" w:rsidRPr="003815D6">
              <w:t xml:space="preserve">related to </w:t>
            </w:r>
            <w:r w:rsidRPr="003815D6">
              <w:t xml:space="preserve">technical resource readiness and recommended training for ongoing support of in-scope </w:t>
            </w:r>
            <w:r w:rsidR="00123C36">
              <w:t>s</w:t>
            </w:r>
            <w:r w:rsidRPr="003815D6">
              <w:t>ervices</w:t>
            </w:r>
            <w:r w:rsidR="00423482">
              <w:t>.</w:t>
            </w:r>
          </w:p>
          <w:p w14:paraId="2521EE44" w14:textId="6894539D" w:rsidR="002641DA" w:rsidRPr="003815D6" w:rsidRDefault="002641DA" w:rsidP="004C53CC">
            <w:pPr>
              <w:pStyle w:val="TableBullet1"/>
              <w:numPr>
                <w:ilvl w:val="0"/>
                <w:numId w:val="11"/>
              </w:numPr>
              <w:ind w:left="360"/>
            </w:pPr>
            <w:r w:rsidRPr="003815D6">
              <w:t xml:space="preserve">Provision the </w:t>
            </w:r>
            <w:r w:rsidR="009633F4" w:rsidRPr="003815D6">
              <w:t>customer</w:t>
            </w:r>
            <w:r w:rsidRPr="003815D6">
              <w:t xml:space="preserve">’s Office 365 tenant by using </w:t>
            </w:r>
            <w:r w:rsidR="00F5049E" w:rsidRPr="003815D6">
              <w:t xml:space="preserve">its </w:t>
            </w:r>
            <w:r w:rsidRPr="003815D6">
              <w:t>licenses if the tenant does not already exist</w:t>
            </w:r>
            <w:r w:rsidR="00423482">
              <w:t>.</w:t>
            </w:r>
          </w:p>
          <w:p w14:paraId="21BE6618" w14:textId="234B5531" w:rsidR="002641DA" w:rsidRPr="003815D6" w:rsidRDefault="002641DA" w:rsidP="004C53CC">
            <w:pPr>
              <w:pStyle w:val="TableBullet1"/>
              <w:numPr>
                <w:ilvl w:val="0"/>
                <w:numId w:val="11"/>
              </w:numPr>
              <w:ind w:left="360"/>
            </w:pPr>
            <w:r w:rsidRPr="003815D6">
              <w:t xml:space="preserve">Configure user license assignment using </w:t>
            </w:r>
            <w:r w:rsidR="00793381">
              <w:t xml:space="preserve">the </w:t>
            </w:r>
            <w:r w:rsidRPr="003815D6">
              <w:t>group-based licensing feature</w:t>
            </w:r>
            <w:r w:rsidR="009F0B5C">
              <w:t>.</w:t>
            </w:r>
          </w:p>
          <w:p w14:paraId="205F73D2" w14:textId="3F985DB3" w:rsidR="002641DA" w:rsidRPr="003815D6" w:rsidRDefault="002641DA" w:rsidP="004C53CC">
            <w:pPr>
              <w:pStyle w:val="TableBullet1"/>
              <w:numPr>
                <w:ilvl w:val="0"/>
                <w:numId w:val="11"/>
              </w:numPr>
              <w:ind w:left="360"/>
              <w:rPr>
                <w:rFonts w:eastAsia="Calibri"/>
              </w:rPr>
            </w:pPr>
            <w:r w:rsidRPr="003815D6">
              <w:t xml:space="preserve">Conduct a tenant configuration workshop to gather </w:t>
            </w:r>
            <w:r w:rsidR="009633F4" w:rsidRPr="003815D6">
              <w:t>customer</w:t>
            </w:r>
            <w:r w:rsidRPr="003815D6">
              <w:t xml:space="preserve"> design decisions and apply the configuration to the tenant</w:t>
            </w:r>
            <w:r w:rsidR="00423482">
              <w:t>.</w:t>
            </w:r>
          </w:p>
          <w:p w14:paraId="08EB159C" w14:textId="348C3D81" w:rsidR="002641DA" w:rsidRPr="003815D6" w:rsidRDefault="002641DA" w:rsidP="004C53CC">
            <w:pPr>
              <w:pStyle w:val="TableBullet1"/>
              <w:numPr>
                <w:ilvl w:val="0"/>
                <w:numId w:val="11"/>
              </w:numPr>
              <w:ind w:left="360"/>
              <w:rPr>
                <w:rFonts w:eastAsia="Calibri"/>
              </w:rPr>
            </w:pPr>
            <w:r w:rsidRPr="003815D6">
              <w:t>Provide architectural and technical assistance that is specific to the on-premises and Office 365 environment and supports required configuration changes</w:t>
            </w:r>
            <w:r w:rsidR="00423482">
              <w:t>.</w:t>
            </w:r>
          </w:p>
        </w:tc>
      </w:tr>
      <w:tr w:rsidR="00D6498A" w:rsidRPr="003815D6" w14:paraId="2D327B3A" w14:textId="77777777" w:rsidTr="1010A115">
        <w:trPr>
          <w:gridAfter w:val="1"/>
          <w:wAfter w:w="13" w:type="dxa"/>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0DAA33ED" w14:textId="7B61949A" w:rsidR="002641DA" w:rsidRPr="003815D6" w:rsidRDefault="002641DA" w:rsidP="005C3C1C">
            <w:pPr>
              <w:rPr>
                <w:rFonts w:eastAsia="Calibri"/>
              </w:rPr>
            </w:pPr>
            <w:r w:rsidRPr="003815D6">
              <w:rPr>
                <w:rFonts w:eastAsia="Calibri"/>
                <w:b/>
              </w:rPr>
              <w:lastRenderedPageBreak/>
              <w:t>Customer activities</w:t>
            </w:r>
            <w:r w:rsidR="000B4F20">
              <w:rPr>
                <w:rFonts w:eastAsia="Calibri"/>
                <w:b/>
              </w:rPr>
              <w:t xml:space="preserve"> (</w:t>
            </w:r>
            <w:r w:rsidR="00EB6536">
              <w:rPr>
                <w:rFonts w:eastAsia="Calibri"/>
                <w:b/>
              </w:rPr>
              <w:t xml:space="preserve"> and/or </w:t>
            </w:r>
            <w:r w:rsidR="000B4F20">
              <w:rPr>
                <w:rFonts w:eastAsia="Calibri"/>
                <w:b/>
              </w:rPr>
              <w:t>)</w:t>
            </w:r>
            <w:r w:rsidRPr="003815D6">
              <w:rPr>
                <w:rFonts w:eastAsia="Calibri"/>
                <w:b/>
              </w:rPr>
              <w:br/>
            </w:r>
            <w:r w:rsidRPr="003815D6">
              <w:rPr>
                <w:rFonts w:eastAsia="Calibri"/>
              </w:rPr>
              <w:t>The activities to be performed by the Customer</w:t>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14788F4D" w14:textId="3ADEC18D" w:rsidR="002641DA" w:rsidRPr="003815D6" w:rsidRDefault="002641DA" w:rsidP="004C53CC">
            <w:pPr>
              <w:pStyle w:val="TableBullet1"/>
              <w:numPr>
                <w:ilvl w:val="0"/>
                <w:numId w:val="11"/>
              </w:numPr>
              <w:ind w:left="360"/>
            </w:pPr>
            <w:r w:rsidRPr="003815D6">
              <w:t>Provide technical leads who can provide service usage requirements that will be used for the base tenant configuration</w:t>
            </w:r>
            <w:r w:rsidR="00423482">
              <w:t>.</w:t>
            </w:r>
          </w:p>
          <w:p w14:paraId="701E2BF3" w14:textId="00A13B84" w:rsidR="002641DA" w:rsidRPr="003815D6" w:rsidRDefault="002641DA" w:rsidP="004C53CC">
            <w:pPr>
              <w:pStyle w:val="TableBullet1"/>
              <w:numPr>
                <w:ilvl w:val="0"/>
                <w:numId w:val="11"/>
              </w:numPr>
              <w:ind w:left="360"/>
            </w:pPr>
            <w:r w:rsidRPr="003815D6">
              <w:t xml:space="preserve">Provide technical resources </w:t>
            </w:r>
            <w:r w:rsidR="00047F18" w:rsidRPr="003815D6">
              <w:t xml:space="preserve">who can </w:t>
            </w:r>
            <w:r w:rsidRPr="003815D6">
              <w:t xml:space="preserve">implement required on-premises and service configurations </w:t>
            </w:r>
            <w:r w:rsidR="00912DBC" w:rsidRPr="003815D6">
              <w:t xml:space="preserve">needed </w:t>
            </w:r>
            <w:r w:rsidRPr="003815D6">
              <w:t>for service enablement</w:t>
            </w:r>
            <w:r w:rsidR="00423482">
              <w:t>.</w:t>
            </w:r>
          </w:p>
          <w:p w14:paraId="50890535" w14:textId="241142A9" w:rsidR="002641DA" w:rsidRPr="003815D6" w:rsidRDefault="002641DA" w:rsidP="004C53CC">
            <w:pPr>
              <w:pStyle w:val="TableBullet1"/>
              <w:numPr>
                <w:ilvl w:val="0"/>
                <w:numId w:val="11"/>
              </w:numPr>
              <w:ind w:left="360"/>
            </w:pPr>
            <w:r w:rsidRPr="003815D6">
              <w:t xml:space="preserve">Provide licenses for Office 365 tenant creation if the </w:t>
            </w:r>
            <w:r w:rsidR="009633F4" w:rsidRPr="003815D6">
              <w:t>customer</w:t>
            </w:r>
            <w:r w:rsidRPr="003815D6">
              <w:t xml:space="preserve"> has not already provisioned </w:t>
            </w:r>
            <w:r w:rsidR="00912DBC" w:rsidRPr="003815D6">
              <w:t xml:space="preserve">its </w:t>
            </w:r>
            <w:r w:rsidRPr="003815D6">
              <w:t>tenant</w:t>
            </w:r>
            <w:r w:rsidR="00423482">
              <w:t>.</w:t>
            </w:r>
          </w:p>
          <w:p w14:paraId="3399ACE1" w14:textId="010D6643" w:rsidR="002641DA" w:rsidRPr="003815D6" w:rsidRDefault="002641DA" w:rsidP="004C53CC">
            <w:pPr>
              <w:pStyle w:val="TableBullet1"/>
              <w:numPr>
                <w:ilvl w:val="0"/>
                <w:numId w:val="11"/>
              </w:numPr>
              <w:ind w:left="360"/>
            </w:pPr>
            <w:r w:rsidRPr="003815D6">
              <w:t xml:space="preserve">Provide up to </w:t>
            </w:r>
            <w:r w:rsidR="00912DBC" w:rsidRPr="003815D6">
              <w:t xml:space="preserve">4 </w:t>
            </w:r>
            <w:r w:rsidRPr="003815D6">
              <w:t>licensing profiles that will be used to configure automated licensing</w:t>
            </w:r>
            <w:r w:rsidR="00423482">
              <w:t>.</w:t>
            </w:r>
          </w:p>
          <w:p w14:paraId="2989F96C" w14:textId="0408CF92" w:rsidR="002641DA" w:rsidRPr="003815D6" w:rsidRDefault="002641DA" w:rsidP="004C53CC">
            <w:pPr>
              <w:pStyle w:val="TableBullet1"/>
              <w:numPr>
                <w:ilvl w:val="0"/>
                <w:numId w:val="11"/>
              </w:numPr>
              <w:ind w:left="360"/>
            </w:pPr>
            <w:r w:rsidRPr="003815D6">
              <w:t>Make decisions for configuration options presented in the tenant configuration workshop</w:t>
            </w:r>
            <w:r w:rsidR="00423482">
              <w:t>.</w:t>
            </w:r>
          </w:p>
        </w:tc>
      </w:tr>
      <w:tr w:rsidR="00D6498A" w:rsidRPr="003815D6" w14:paraId="7AFDA243" w14:textId="77777777" w:rsidTr="1010A115">
        <w:trPr>
          <w:gridAfter w:val="1"/>
          <w:wAfter w:w="13" w:type="dxa"/>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04AE357E" w14:textId="0D4826FE" w:rsidR="002641DA" w:rsidRPr="003815D6" w:rsidRDefault="002641DA" w:rsidP="005C3C1C">
            <w:pPr>
              <w:rPr>
                <w:rFonts w:eastAsia="Calibri"/>
              </w:rPr>
            </w:pP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2A46D8F3" w14:textId="01C058EC" w:rsidR="002641DA" w:rsidRPr="003815D6" w:rsidRDefault="002641DA" w:rsidP="1010A115">
            <w:pPr>
              <w:pStyle w:val="TableText"/>
              <w:rPr>
                <w:rFonts w:cs="Segoe UI"/>
                <w:color w:val="171717"/>
              </w:rPr>
            </w:pPr>
          </w:p>
        </w:tc>
      </w:tr>
      <w:tr w:rsidR="00D6498A" w:rsidRPr="003815D6" w14:paraId="25FEF977" w14:textId="77777777" w:rsidTr="1010A115">
        <w:trPr>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6F46E92F" w14:textId="77777777" w:rsidR="002641DA" w:rsidRPr="003815D6" w:rsidRDefault="002641DA" w:rsidP="005C3C1C">
            <w:pPr>
              <w:rPr>
                <w:rFonts w:eastAsia="Calibri"/>
                <w:b/>
              </w:rPr>
            </w:pPr>
            <w:r w:rsidRPr="003815D6">
              <w:rPr>
                <w:rFonts w:eastAsia="Calibri"/>
                <w:b/>
              </w:rPr>
              <w:t>Project deliverables</w:t>
            </w:r>
            <w:r w:rsidRPr="003815D6">
              <w:rPr>
                <w:rFonts w:eastAsia="Calibri"/>
                <w:b/>
              </w:rPr>
              <w:br/>
            </w:r>
            <w:r w:rsidRPr="003815D6">
              <w:rPr>
                <w:rFonts w:eastAsia="Calibri"/>
              </w:rPr>
              <w:t>Content for this project component will be included in these project deliverables</w:t>
            </w:r>
          </w:p>
        </w:tc>
        <w:tc>
          <w:tcPr>
            <w:tcW w:w="6140" w:type="dxa"/>
            <w:gridSpan w:val="2"/>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0E6CB23A" w14:textId="77777777" w:rsidR="002641DA" w:rsidRPr="003815D6" w:rsidRDefault="002641DA" w:rsidP="004C53CC">
            <w:pPr>
              <w:pStyle w:val="TableBullet1"/>
              <w:numPr>
                <w:ilvl w:val="0"/>
                <w:numId w:val="11"/>
              </w:numPr>
              <w:ind w:left="360"/>
            </w:pPr>
            <w:r w:rsidRPr="003815D6">
              <w:t>Preparation checklist</w:t>
            </w:r>
          </w:p>
          <w:p w14:paraId="7AFE222D" w14:textId="77777777" w:rsidR="002641DA" w:rsidRPr="003815D6" w:rsidRDefault="002641DA" w:rsidP="004C53CC">
            <w:pPr>
              <w:pStyle w:val="TableBullet1"/>
              <w:numPr>
                <w:ilvl w:val="0"/>
                <w:numId w:val="11"/>
              </w:numPr>
              <w:ind w:left="360"/>
            </w:pPr>
            <w:r w:rsidRPr="003815D6">
              <w:t>Design and plan</w:t>
            </w:r>
          </w:p>
          <w:p w14:paraId="027200A7" w14:textId="77777777" w:rsidR="002641DA" w:rsidRPr="003815D6" w:rsidRDefault="002641DA" w:rsidP="004C53CC">
            <w:pPr>
              <w:pStyle w:val="TableBullet1"/>
              <w:numPr>
                <w:ilvl w:val="0"/>
                <w:numId w:val="11"/>
              </w:numPr>
              <w:ind w:left="360"/>
            </w:pPr>
            <w:r w:rsidRPr="003815D6">
              <w:t>Test cases</w:t>
            </w:r>
          </w:p>
          <w:p w14:paraId="6A8FB426" w14:textId="77777777" w:rsidR="002641DA" w:rsidRPr="003815D6" w:rsidRDefault="002641DA" w:rsidP="004C53CC">
            <w:pPr>
              <w:pStyle w:val="TableBullet1"/>
              <w:numPr>
                <w:ilvl w:val="0"/>
                <w:numId w:val="11"/>
              </w:numPr>
              <w:ind w:left="360"/>
            </w:pPr>
            <w:r w:rsidRPr="003815D6">
              <w:t>Delivery summary</w:t>
            </w:r>
          </w:p>
        </w:tc>
      </w:tr>
    </w:tbl>
    <w:p w14:paraId="58812E66" w14:textId="5EAA3240" w:rsidR="002641DA" w:rsidRPr="003815D6" w:rsidRDefault="002641DA" w:rsidP="00BD3F15">
      <w:pPr>
        <w:pStyle w:val="Heading4"/>
      </w:pPr>
      <w:r w:rsidRPr="003815D6">
        <w:t xml:space="preserve">Network </w:t>
      </w:r>
      <w:r w:rsidR="001678C8" w:rsidRPr="003815D6">
        <w:t xml:space="preserve">readiness assessment </w:t>
      </w:r>
      <w:r w:rsidRPr="003815D6">
        <w:t xml:space="preserve">and </w:t>
      </w:r>
      <w:r w:rsidR="001678C8" w:rsidRPr="003815D6">
        <w:t xml:space="preserve">planning </w:t>
      </w:r>
      <w:r w:rsidRPr="003815D6">
        <w:t>for Office 365 (NET-01)</w:t>
      </w:r>
    </w:p>
    <w:tbl>
      <w:tblPr>
        <w:tblStyle w:val="TableGrid1"/>
        <w:tblW w:w="9221" w:type="dxa"/>
        <w:tblInd w:w="-5"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ook w:val="04A0" w:firstRow="1" w:lastRow="0" w:firstColumn="1" w:lastColumn="0" w:noHBand="0" w:noVBand="1"/>
      </w:tblPr>
      <w:tblGrid>
        <w:gridCol w:w="3068"/>
        <w:gridCol w:w="6140"/>
        <w:gridCol w:w="13"/>
      </w:tblGrid>
      <w:tr w:rsidR="00DE2FE1" w:rsidRPr="003815D6" w14:paraId="08B97FDD" w14:textId="77777777" w:rsidTr="005C3C1C">
        <w:trPr>
          <w:trHeight w:val="542"/>
          <w:tblHeader/>
        </w:trPr>
        <w:tc>
          <w:tcPr>
            <w:tcW w:w="3068" w:type="dxa"/>
            <w:tcBorders>
              <w:top w:val="single" w:sz="2" w:space="0" w:color="7F7F7F"/>
              <w:left w:val="single" w:sz="2" w:space="0" w:color="7F7F7F"/>
              <w:bottom w:val="single" w:sz="2" w:space="0" w:color="7F7F7F"/>
              <w:right w:val="single" w:sz="2" w:space="0" w:color="7F7F7F"/>
            </w:tcBorders>
            <w:shd w:val="clear" w:color="auto" w:fill="008272"/>
          </w:tcPr>
          <w:p w14:paraId="6EDDD8D1" w14:textId="77777777" w:rsidR="002641DA" w:rsidRPr="003815D6" w:rsidRDefault="002641DA" w:rsidP="005C3C1C">
            <w:pPr>
              <w:rPr>
                <w:rFonts w:eastAsia="Calibri"/>
                <w:b/>
                <w:color w:val="FFFFFF"/>
              </w:rPr>
            </w:pPr>
            <w:r w:rsidRPr="003815D6">
              <w:rPr>
                <w:rFonts w:eastAsia="Calibri"/>
                <w:b/>
                <w:color w:val="FFFFFF"/>
              </w:rPr>
              <w:t>Category</w:t>
            </w:r>
          </w:p>
        </w:tc>
        <w:tc>
          <w:tcPr>
            <w:tcW w:w="6153" w:type="dxa"/>
            <w:gridSpan w:val="2"/>
            <w:tcBorders>
              <w:top w:val="single" w:sz="2" w:space="0" w:color="7F7F7F"/>
              <w:left w:val="single" w:sz="2" w:space="0" w:color="7F7F7F"/>
              <w:bottom w:val="single" w:sz="2" w:space="0" w:color="7F7F7F"/>
              <w:right w:val="single" w:sz="2" w:space="0" w:color="7F7F7F"/>
            </w:tcBorders>
            <w:shd w:val="clear" w:color="auto" w:fill="008272"/>
          </w:tcPr>
          <w:p w14:paraId="4FD3BAFE" w14:textId="77777777" w:rsidR="002641DA" w:rsidRPr="003815D6" w:rsidRDefault="002641DA" w:rsidP="005C3C1C">
            <w:pPr>
              <w:rPr>
                <w:rFonts w:eastAsia="Calibri"/>
                <w:b/>
                <w:color w:val="FFFFFF"/>
              </w:rPr>
            </w:pPr>
            <w:r w:rsidRPr="003815D6">
              <w:rPr>
                <w:rFonts w:eastAsia="Calibri"/>
                <w:b/>
                <w:color w:val="FFFFFF"/>
              </w:rPr>
              <w:t>Description</w:t>
            </w:r>
          </w:p>
        </w:tc>
      </w:tr>
      <w:tr w:rsidR="00D6498A" w:rsidRPr="003815D6" w14:paraId="602B0B25" w14:textId="77777777" w:rsidTr="005C3C1C">
        <w:trPr>
          <w:gridAfter w:val="1"/>
          <w:wAfter w:w="13" w:type="dxa"/>
          <w:trHeight w:val="422"/>
        </w:trPr>
        <w:tc>
          <w:tcPr>
            <w:tcW w:w="3068" w:type="dxa"/>
            <w:tcBorders>
              <w:top w:val="single" w:sz="2" w:space="0" w:color="7F7F7F"/>
              <w:left w:val="single" w:sz="2" w:space="0" w:color="7F7F7F"/>
              <w:bottom w:val="single" w:sz="2" w:space="0" w:color="7F7F7F"/>
              <w:right w:val="single" w:sz="2" w:space="0" w:color="7F7F7F"/>
            </w:tcBorders>
            <w:shd w:val="clear" w:color="auto" w:fill="auto"/>
          </w:tcPr>
          <w:p w14:paraId="4F6AEFBD" w14:textId="77777777" w:rsidR="002641DA" w:rsidRPr="003815D6" w:rsidRDefault="002641DA" w:rsidP="005C3C1C">
            <w:pPr>
              <w:rPr>
                <w:rFonts w:eastAsia="Calibri"/>
              </w:rPr>
            </w:pPr>
            <w:r w:rsidRPr="003815D6">
              <w:rPr>
                <w:rFonts w:eastAsia="Calibri"/>
                <w:b/>
              </w:rPr>
              <w:t>Microsoft activities</w:t>
            </w:r>
            <w:r w:rsidRPr="003815D6">
              <w:rPr>
                <w:rFonts w:eastAsia="Calibri"/>
                <w:b/>
              </w:rPr>
              <w:br/>
            </w:r>
            <w:r w:rsidRPr="003815D6">
              <w:rPr>
                <w:rFonts w:eastAsia="Calibri"/>
              </w:rPr>
              <w:t>The activities to be performed by Microsoft</w:t>
            </w:r>
          </w:p>
        </w:tc>
        <w:tc>
          <w:tcPr>
            <w:tcW w:w="6140" w:type="dxa"/>
            <w:tcBorders>
              <w:top w:val="single" w:sz="2" w:space="0" w:color="7F7F7F"/>
              <w:left w:val="single" w:sz="2" w:space="0" w:color="7F7F7F"/>
              <w:bottom w:val="single" w:sz="2" w:space="0" w:color="7F7F7F"/>
              <w:right w:val="single" w:sz="2" w:space="0" w:color="7F7F7F"/>
            </w:tcBorders>
            <w:shd w:val="clear" w:color="auto" w:fill="FFFFFF"/>
          </w:tcPr>
          <w:p w14:paraId="547C172D" w14:textId="1751F7F7" w:rsidR="002641DA" w:rsidRPr="00F52AF8" w:rsidRDefault="002641DA" w:rsidP="005C3C1C">
            <w:pPr>
              <w:pStyle w:val="TableBullet1"/>
              <w:numPr>
                <w:ilvl w:val="0"/>
                <w:numId w:val="0"/>
              </w:numPr>
              <w:rPr>
                <w:rFonts w:eastAsia="Calibri"/>
                <w:b/>
              </w:rPr>
            </w:pPr>
            <w:r w:rsidRPr="00F52AF8">
              <w:rPr>
                <w:rFonts w:eastAsia="Calibri"/>
                <w:b/>
              </w:rPr>
              <w:t>Assess</w:t>
            </w:r>
            <w:r w:rsidR="00DE0541" w:rsidRPr="00F52AF8">
              <w:rPr>
                <w:rFonts w:eastAsia="Calibri"/>
                <w:b/>
              </w:rPr>
              <w:t xml:space="preserve"> phase</w:t>
            </w:r>
          </w:p>
          <w:p w14:paraId="71457E74" w14:textId="77777777" w:rsidR="003A665A" w:rsidRPr="00F52AF8" w:rsidRDefault="003A665A" w:rsidP="00F52AF8">
            <w:pPr>
              <w:pStyle w:val="TableBullet1"/>
            </w:pPr>
            <w:r w:rsidRPr="00F52AF8">
              <w:t xml:space="preserve">Review the current NPA reports and the implementation of the recommendations. </w:t>
            </w:r>
          </w:p>
          <w:p w14:paraId="12112101" w14:textId="77777777" w:rsidR="003A665A" w:rsidRPr="00F52AF8" w:rsidRDefault="003A665A" w:rsidP="00F52AF8">
            <w:pPr>
              <w:pStyle w:val="TableBullet1"/>
            </w:pPr>
            <w:r w:rsidRPr="00F52AF8">
              <w:t>Creation of a bandwidth plan for up to 5 personas</w:t>
            </w:r>
          </w:p>
          <w:p w14:paraId="4E6A5426" w14:textId="362BD664" w:rsidR="002641DA" w:rsidRPr="00F52AF8" w:rsidRDefault="003A665A" w:rsidP="00F52AF8">
            <w:pPr>
              <w:pStyle w:val="TableBullet1"/>
              <w:rPr>
                <w:rFonts w:eastAsia="Calibri"/>
              </w:rPr>
            </w:pPr>
            <w:r w:rsidRPr="00F52AF8">
              <w:t>Use NPA reports as input to these documents</w:t>
            </w:r>
            <w:r w:rsidR="00423482" w:rsidRPr="00F52AF8">
              <w:rPr>
                <w:rFonts w:eastAsia="Calibri"/>
              </w:rPr>
              <w:t>.</w:t>
            </w:r>
          </w:p>
        </w:tc>
      </w:tr>
      <w:tr w:rsidR="00D6498A" w:rsidRPr="003815D6" w14:paraId="4E900A49" w14:textId="77777777" w:rsidTr="005C3C1C">
        <w:trPr>
          <w:gridAfter w:val="1"/>
          <w:wAfter w:w="13" w:type="dxa"/>
          <w:trHeight w:val="422"/>
        </w:trPr>
        <w:tc>
          <w:tcPr>
            <w:tcW w:w="3068" w:type="dxa"/>
            <w:tcBorders>
              <w:top w:val="single" w:sz="2" w:space="0" w:color="7F7F7F"/>
              <w:left w:val="single" w:sz="2" w:space="0" w:color="7F7F7F"/>
              <w:bottom w:val="single" w:sz="2" w:space="0" w:color="7F7F7F"/>
              <w:right w:val="single" w:sz="2" w:space="0" w:color="7F7F7F"/>
            </w:tcBorders>
            <w:shd w:val="clear" w:color="auto" w:fill="auto"/>
          </w:tcPr>
          <w:p w14:paraId="6E57865F" w14:textId="698EE39C" w:rsidR="002641DA" w:rsidRPr="003815D6" w:rsidRDefault="002641DA" w:rsidP="005C3C1C">
            <w:pPr>
              <w:rPr>
                <w:rFonts w:eastAsia="Calibri"/>
              </w:rPr>
            </w:pPr>
            <w:r w:rsidRPr="003815D6">
              <w:rPr>
                <w:rFonts w:eastAsia="Calibri"/>
                <w:b/>
              </w:rPr>
              <w:lastRenderedPageBreak/>
              <w:t>Customer activities</w:t>
            </w:r>
            <w:r w:rsidR="0006440D">
              <w:rPr>
                <w:rFonts w:eastAsia="Calibri"/>
                <w:b/>
              </w:rPr>
              <w:t xml:space="preserve"> (</w:t>
            </w:r>
            <w:r w:rsidR="00EB6536">
              <w:rPr>
                <w:rFonts w:eastAsia="Calibri"/>
                <w:b/>
              </w:rPr>
              <w:t xml:space="preserve"> and/or </w:t>
            </w:r>
            <w:r w:rsidR="0006440D">
              <w:rPr>
                <w:rFonts w:eastAsia="Calibri"/>
                <w:b/>
              </w:rPr>
              <w:t>)</w:t>
            </w:r>
            <w:r w:rsidRPr="003815D6">
              <w:rPr>
                <w:rFonts w:eastAsia="Calibri"/>
                <w:b/>
              </w:rPr>
              <w:br/>
            </w:r>
            <w:r w:rsidRPr="003815D6">
              <w:rPr>
                <w:rFonts w:eastAsia="Calibri"/>
              </w:rPr>
              <w:t>The activities to be performed by the Customer</w:t>
            </w:r>
          </w:p>
        </w:tc>
        <w:tc>
          <w:tcPr>
            <w:tcW w:w="6140" w:type="dxa"/>
            <w:tcBorders>
              <w:top w:val="single" w:sz="2" w:space="0" w:color="7F7F7F"/>
              <w:left w:val="single" w:sz="2" w:space="0" w:color="7F7F7F"/>
              <w:bottom w:val="single" w:sz="2" w:space="0" w:color="7F7F7F"/>
              <w:right w:val="single" w:sz="2" w:space="0" w:color="7F7F7F"/>
            </w:tcBorders>
            <w:shd w:val="clear" w:color="auto" w:fill="FFFFFF"/>
          </w:tcPr>
          <w:p w14:paraId="2ECAD4FC" w14:textId="52543F76" w:rsidR="002641DA" w:rsidRPr="00F52AF8" w:rsidRDefault="002641DA" w:rsidP="005C3C1C">
            <w:pPr>
              <w:pStyle w:val="TableBullet1"/>
              <w:numPr>
                <w:ilvl w:val="0"/>
                <w:numId w:val="0"/>
              </w:numPr>
              <w:rPr>
                <w:rFonts w:eastAsia="Calibri"/>
                <w:b/>
              </w:rPr>
            </w:pPr>
            <w:r w:rsidRPr="00F52AF8">
              <w:rPr>
                <w:rFonts w:eastAsia="Calibri"/>
                <w:b/>
              </w:rPr>
              <w:t>Assess</w:t>
            </w:r>
            <w:r w:rsidR="00DE0541" w:rsidRPr="00F52AF8">
              <w:rPr>
                <w:rFonts w:eastAsia="Calibri"/>
                <w:b/>
              </w:rPr>
              <w:t xml:space="preserve"> phase</w:t>
            </w:r>
          </w:p>
          <w:p w14:paraId="44962180" w14:textId="32CB6BD5" w:rsidR="002641DA" w:rsidRPr="00F52AF8" w:rsidRDefault="00885227" w:rsidP="004C53CC">
            <w:pPr>
              <w:pStyle w:val="TableBullet1"/>
              <w:numPr>
                <w:ilvl w:val="0"/>
                <w:numId w:val="11"/>
              </w:numPr>
              <w:ind w:left="360"/>
              <w:rPr>
                <w:rFonts w:eastAsia="Calibri"/>
                <w:b/>
              </w:rPr>
            </w:pPr>
            <w:r w:rsidRPr="00F52AF8">
              <w:rPr>
                <w:rFonts w:eastAsia="Calibri"/>
              </w:rPr>
              <w:t>Review findings with Microsoft and confirm findings were implemented as documented in Network Performance Assessment (NPA) Reports</w:t>
            </w:r>
          </w:p>
        </w:tc>
      </w:tr>
      <w:tr w:rsidR="00D6498A" w:rsidRPr="003815D6" w14:paraId="378AFBAF" w14:textId="77777777" w:rsidTr="005C3C1C">
        <w:trPr>
          <w:gridAfter w:val="1"/>
          <w:wAfter w:w="13" w:type="dxa"/>
          <w:trHeight w:val="422"/>
        </w:trPr>
        <w:tc>
          <w:tcPr>
            <w:tcW w:w="3068" w:type="dxa"/>
            <w:tcBorders>
              <w:top w:val="single" w:sz="2" w:space="0" w:color="7F7F7F"/>
              <w:left w:val="single" w:sz="2" w:space="0" w:color="7F7F7F"/>
              <w:bottom w:val="single" w:sz="2" w:space="0" w:color="7F7F7F"/>
              <w:right w:val="single" w:sz="2" w:space="0" w:color="7F7F7F"/>
            </w:tcBorders>
            <w:shd w:val="clear" w:color="auto" w:fill="auto"/>
          </w:tcPr>
          <w:p w14:paraId="06E763BF" w14:textId="57D7DC05" w:rsidR="002641DA" w:rsidRPr="003815D6" w:rsidRDefault="002641DA" w:rsidP="005C3C1C">
            <w:pPr>
              <w:rPr>
                <w:rFonts w:eastAsia="Calibri"/>
              </w:rPr>
            </w:pPr>
            <w:r w:rsidRPr="003815D6">
              <w:rPr>
                <w:rFonts w:eastAsia="Calibri"/>
                <w:b/>
              </w:rPr>
              <w:t>Key assumptions</w:t>
            </w:r>
          </w:p>
        </w:tc>
        <w:tc>
          <w:tcPr>
            <w:tcW w:w="6140" w:type="dxa"/>
            <w:tcBorders>
              <w:top w:val="single" w:sz="2" w:space="0" w:color="7F7F7F"/>
              <w:left w:val="single" w:sz="2" w:space="0" w:color="7F7F7F"/>
              <w:bottom w:val="single" w:sz="2" w:space="0" w:color="7F7F7F"/>
              <w:right w:val="single" w:sz="2" w:space="0" w:color="7F7F7F"/>
            </w:tcBorders>
            <w:shd w:val="clear" w:color="auto" w:fill="FFFFFF"/>
          </w:tcPr>
          <w:p w14:paraId="75EA45F7" w14:textId="516C889F" w:rsidR="002641DA" w:rsidRPr="00F52AF8" w:rsidRDefault="005D450D" w:rsidP="000D626E">
            <w:pPr>
              <w:pStyle w:val="TableText"/>
            </w:pPr>
            <w:r w:rsidRPr="00F52AF8">
              <w:t>Recommendations from the NPA Reports were implemented</w:t>
            </w:r>
            <w:r w:rsidR="001A2543" w:rsidRPr="00F52AF8">
              <w:t>.</w:t>
            </w:r>
          </w:p>
        </w:tc>
      </w:tr>
      <w:tr w:rsidR="00D6498A" w:rsidRPr="003815D6" w14:paraId="0E539BB8" w14:textId="77777777" w:rsidTr="005C3C1C">
        <w:trPr>
          <w:gridAfter w:val="1"/>
          <w:wAfter w:w="13" w:type="dxa"/>
          <w:trHeight w:val="422"/>
        </w:trPr>
        <w:tc>
          <w:tcPr>
            <w:tcW w:w="3068" w:type="dxa"/>
            <w:tcBorders>
              <w:top w:val="single" w:sz="2" w:space="0" w:color="7F7F7F"/>
              <w:left w:val="single" w:sz="2" w:space="0" w:color="7F7F7F"/>
              <w:bottom w:val="single" w:sz="2" w:space="0" w:color="7F7F7F"/>
              <w:right w:val="single" w:sz="2" w:space="0" w:color="7F7F7F"/>
            </w:tcBorders>
            <w:shd w:val="clear" w:color="auto" w:fill="auto"/>
          </w:tcPr>
          <w:p w14:paraId="69E6323A" w14:textId="77777777" w:rsidR="002641DA" w:rsidRPr="003815D6" w:rsidRDefault="002641DA" w:rsidP="005C3C1C">
            <w:pPr>
              <w:rPr>
                <w:rFonts w:eastAsia="Calibri"/>
                <w:b/>
              </w:rPr>
            </w:pPr>
            <w:r w:rsidRPr="003815D6">
              <w:rPr>
                <w:rFonts w:eastAsia="Calibri"/>
                <w:b/>
              </w:rPr>
              <w:t>Project deliverables</w:t>
            </w:r>
            <w:r w:rsidRPr="003815D6">
              <w:rPr>
                <w:rFonts w:eastAsia="Calibri"/>
                <w:b/>
              </w:rPr>
              <w:br/>
            </w:r>
            <w:r w:rsidRPr="003815D6">
              <w:rPr>
                <w:rFonts w:eastAsia="Calibri"/>
              </w:rPr>
              <w:t>Content for this project component will be included in these project deliverables</w:t>
            </w:r>
          </w:p>
        </w:tc>
        <w:tc>
          <w:tcPr>
            <w:tcW w:w="6140" w:type="dxa"/>
            <w:tcBorders>
              <w:top w:val="single" w:sz="2" w:space="0" w:color="7F7F7F"/>
              <w:left w:val="single" w:sz="2" w:space="0" w:color="7F7F7F"/>
              <w:bottom w:val="single" w:sz="2" w:space="0" w:color="7F7F7F"/>
              <w:right w:val="single" w:sz="2" w:space="0" w:color="7F7F7F"/>
            </w:tcBorders>
            <w:shd w:val="clear" w:color="auto" w:fill="FFFFFF"/>
          </w:tcPr>
          <w:p w14:paraId="3F21CA1D" w14:textId="51A2DC1B" w:rsidR="002641DA" w:rsidRPr="003815D6" w:rsidRDefault="005D450D" w:rsidP="000D626E">
            <w:pPr>
              <w:pStyle w:val="TableText"/>
            </w:pPr>
            <w:r>
              <w:t>N/A</w:t>
            </w:r>
          </w:p>
        </w:tc>
      </w:tr>
    </w:tbl>
    <w:p w14:paraId="354E6906" w14:textId="68661A80" w:rsidR="002641DA" w:rsidRPr="003815D6" w:rsidRDefault="002641DA" w:rsidP="00BD3F15">
      <w:pPr>
        <w:pStyle w:val="Heading4"/>
      </w:pPr>
      <w:r w:rsidRPr="003815D6">
        <w:t xml:space="preserve">Azure </w:t>
      </w:r>
      <w:r w:rsidR="001049E4" w:rsidRPr="003815D6">
        <w:t xml:space="preserve">Active Directory </w:t>
      </w:r>
      <w:r w:rsidR="00C1431C" w:rsidRPr="003815D6">
        <w:t xml:space="preserve">integration </w:t>
      </w:r>
      <w:r w:rsidRPr="003815D6">
        <w:t>(AAD-01)</w:t>
      </w:r>
    </w:p>
    <w:tbl>
      <w:tblPr>
        <w:tblStyle w:val="TableGrid1"/>
        <w:tblW w:w="9221" w:type="dxa"/>
        <w:tblInd w:w="-5"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ook w:val="04A0" w:firstRow="1" w:lastRow="0" w:firstColumn="1" w:lastColumn="0" w:noHBand="0" w:noVBand="1"/>
      </w:tblPr>
      <w:tblGrid>
        <w:gridCol w:w="3068"/>
        <w:gridCol w:w="6140"/>
        <w:gridCol w:w="13"/>
      </w:tblGrid>
      <w:tr w:rsidR="00DE2FE1" w:rsidRPr="003815D6" w14:paraId="6AA30C75" w14:textId="77777777" w:rsidTr="005C3C1C">
        <w:trPr>
          <w:trHeight w:val="542"/>
          <w:tblHeader/>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008272"/>
          </w:tcPr>
          <w:p w14:paraId="1C1FE95E" w14:textId="77777777" w:rsidR="002641DA" w:rsidRPr="003815D6" w:rsidRDefault="002641DA" w:rsidP="005C3C1C">
            <w:pPr>
              <w:rPr>
                <w:rFonts w:eastAsia="Calibri"/>
                <w:b/>
                <w:bCs/>
                <w:color w:val="FFFFFF" w:themeColor="background1"/>
                <w:szCs w:val="20"/>
              </w:rPr>
            </w:pPr>
            <w:r w:rsidRPr="003815D6">
              <w:rPr>
                <w:rFonts w:eastAsia="Calibri"/>
                <w:b/>
                <w:bCs/>
                <w:color w:val="FFFFFF" w:themeColor="background1"/>
                <w:szCs w:val="20"/>
              </w:rPr>
              <w:t>Category</w:t>
            </w:r>
          </w:p>
        </w:tc>
        <w:tc>
          <w:tcPr>
            <w:tcW w:w="6153" w:type="dxa"/>
            <w:gridSpan w:val="2"/>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008272"/>
          </w:tcPr>
          <w:p w14:paraId="0F487AFE" w14:textId="77777777" w:rsidR="002641DA" w:rsidRPr="003815D6" w:rsidRDefault="002641DA" w:rsidP="005C3C1C">
            <w:pPr>
              <w:rPr>
                <w:rFonts w:eastAsia="Calibri"/>
                <w:b/>
                <w:bCs/>
                <w:color w:val="FFFFFF" w:themeColor="background1"/>
                <w:szCs w:val="20"/>
              </w:rPr>
            </w:pPr>
            <w:r w:rsidRPr="003815D6">
              <w:rPr>
                <w:rFonts w:eastAsia="Calibri"/>
                <w:b/>
                <w:bCs/>
                <w:color w:val="FFFFFF" w:themeColor="background1"/>
                <w:szCs w:val="20"/>
              </w:rPr>
              <w:t>Description</w:t>
            </w:r>
          </w:p>
        </w:tc>
      </w:tr>
      <w:tr w:rsidR="00D6498A" w:rsidRPr="003815D6" w14:paraId="28D41FE7" w14:textId="77777777" w:rsidTr="005C3C1C">
        <w:trPr>
          <w:gridAfter w:val="1"/>
          <w:wAfter w:w="13" w:type="dxa"/>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0C21C876" w14:textId="77777777" w:rsidR="002641DA" w:rsidRPr="003815D6" w:rsidRDefault="002641DA" w:rsidP="005C3C1C">
            <w:pPr>
              <w:rPr>
                <w:rFonts w:eastAsia="Calibri"/>
                <w:szCs w:val="20"/>
              </w:rPr>
            </w:pPr>
            <w:r w:rsidRPr="003815D6">
              <w:rPr>
                <w:rFonts w:eastAsia="Calibri"/>
                <w:b/>
                <w:bCs/>
                <w:szCs w:val="20"/>
              </w:rPr>
              <w:t>Microsoft activities</w:t>
            </w:r>
            <w:r w:rsidRPr="003815D6">
              <w:br/>
            </w:r>
            <w:r w:rsidRPr="003815D6">
              <w:rPr>
                <w:rFonts w:eastAsia="Calibri"/>
                <w:szCs w:val="20"/>
              </w:rPr>
              <w:t>The activities to be performed by Microsoft</w:t>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0714162F" w14:textId="17C49960" w:rsidR="002641DA" w:rsidRPr="003815D6" w:rsidRDefault="002641DA" w:rsidP="005C3C1C">
            <w:pPr>
              <w:pStyle w:val="TableBullet1"/>
              <w:numPr>
                <w:ilvl w:val="0"/>
                <w:numId w:val="0"/>
              </w:numPr>
              <w:rPr>
                <w:rFonts w:eastAsia="Calibri"/>
                <w:b/>
                <w:bCs/>
              </w:rPr>
            </w:pPr>
            <w:r w:rsidRPr="003815D6">
              <w:rPr>
                <w:rFonts w:eastAsia="Calibri"/>
                <w:b/>
                <w:bCs/>
              </w:rPr>
              <w:t>Assess</w:t>
            </w:r>
            <w:r w:rsidR="00DE0541" w:rsidRPr="003815D6">
              <w:rPr>
                <w:rFonts w:eastAsia="Calibri"/>
                <w:b/>
                <w:bCs/>
              </w:rPr>
              <w:t xml:space="preserve"> </w:t>
            </w:r>
            <w:r w:rsidR="00DE0541" w:rsidRPr="003815D6">
              <w:rPr>
                <w:rFonts w:eastAsia="Calibri"/>
                <w:b/>
              </w:rPr>
              <w:t>phase</w:t>
            </w:r>
          </w:p>
          <w:p w14:paraId="28A3CF35" w14:textId="7829647F" w:rsidR="002641DA" w:rsidRPr="003815D6" w:rsidRDefault="002641DA" w:rsidP="004C53CC">
            <w:pPr>
              <w:pStyle w:val="TableBullet1"/>
              <w:numPr>
                <w:ilvl w:val="0"/>
                <w:numId w:val="11"/>
              </w:numPr>
              <w:ind w:left="360"/>
              <w:rPr>
                <w:rFonts w:eastAsia="Calibri"/>
              </w:rPr>
            </w:pPr>
            <w:r w:rsidRPr="003815D6">
              <w:t xml:space="preserve">Conduct an assessment and planning workshop to gather requirements, information about the current environment, and </w:t>
            </w:r>
            <w:r w:rsidR="001A2543" w:rsidRPr="003815D6">
              <w:t>c</w:t>
            </w:r>
            <w:r w:rsidRPr="003815D6">
              <w:t>ustomer design decisions for Azure AD</w:t>
            </w:r>
            <w:r w:rsidR="001A2543" w:rsidRPr="003815D6">
              <w:t xml:space="preserve"> </w:t>
            </w:r>
            <w:r w:rsidRPr="003815D6">
              <w:t>integration</w:t>
            </w:r>
            <w:r w:rsidR="002658DA">
              <w:t>.</w:t>
            </w:r>
          </w:p>
          <w:p w14:paraId="2F50FEB2" w14:textId="19AB64C7" w:rsidR="002641DA" w:rsidRPr="003815D6" w:rsidRDefault="002641DA" w:rsidP="004C53CC">
            <w:pPr>
              <w:pStyle w:val="TableBullet1"/>
              <w:numPr>
                <w:ilvl w:val="0"/>
                <w:numId w:val="11"/>
              </w:numPr>
              <w:ind w:left="360"/>
              <w:rPr>
                <w:rFonts w:eastAsia="Calibri"/>
              </w:rPr>
            </w:pPr>
            <w:r w:rsidRPr="003815D6">
              <w:t xml:space="preserve">Assist </w:t>
            </w:r>
            <w:r w:rsidR="001A2543" w:rsidRPr="003815D6">
              <w:t>the c</w:t>
            </w:r>
            <w:r w:rsidRPr="003815D6">
              <w:t xml:space="preserve">ustomer with the </w:t>
            </w:r>
            <w:r w:rsidR="00D55564" w:rsidRPr="003815D6">
              <w:t xml:space="preserve">running </w:t>
            </w:r>
            <w:r w:rsidRPr="003815D6">
              <w:t xml:space="preserve">of the Office 365 IdFix tool to identify conflicts and formatting errors in </w:t>
            </w:r>
            <w:r w:rsidR="00D34116" w:rsidRPr="003815D6">
              <w:t>AD </w:t>
            </w:r>
            <w:r w:rsidRPr="003815D6">
              <w:t>DS that need to be remediated prior to directory synchronization</w:t>
            </w:r>
            <w:r w:rsidR="002658DA">
              <w:t>.</w:t>
            </w:r>
          </w:p>
          <w:p w14:paraId="461F14D8" w14:textId="72C141CD" w:rsidR="002641DA" w:rsidRPr="003815D6" w:rsidRDefault="002641DA" w:rsidP="00423482">
            <w:pPr>
              <w:pStyle w:val="TableText"/>
              <w:spacing w:after="0"/>
              <w:rPr>
                <w:b/>
              </w:rPr>
            </w:pPr>
            <w:r w:rsidRPr="003815D6">
              <w:rPr>
                <w:b/>
              </w:rPr>
              <w:t>Enable</w:t>
            </w:r>
            <w:r w:rsidR="00DE0541" w:rsidRPr="003815D6">
              <w:rPr>
                <w:b/>
              </w:rPr>
              <w:t xml:space="preserve"> phase</w:t>
            </w:r>
          </w:p>
          <w:p w14:paraId="316F73B1" w14:textId="26257C96" w:rsidR="002641DA" w:rsidRPr="00F52AF8" w:rsidRDefault="008F7373" w:rsidP="004C53CC">
            <w:pPr>
              <w:pStyle w:val="TableBullet1"/>
              <w:numPr>
                <w:ilvl w:val="0"/>
                <w:numId w:val="12"/>
              </w:numPr>
              <w:spacing w:before="0" w:after="0"/>
              <w:contextualSpacing w:val="0"/>
              <w:rPr>
                <w:rFonts w:eastAsia="Calibri"/>
              </w:rPr>
            </w:pPr>
            <w:r w:rsidRPr="00F52AF8">
              <w:rPr>
                <w:rFonts w:eastAsia="Calibri"/>
              </w:rPr>
              <w:t>Change configuration of Azure Active Directory Connect to support pass-through authentication and install agents on the identified servers</w:t>
            </w:r>
            <w:r w:rsidR="00423482" w:rsidRPr="00F52AF8">
              <w:rPr>
                <w:rFonts w:eastAsia="Calibri"/>
              </w:rPr>
              <w:t>.</w:t>
            </w:r>
          </w:p>
          <w:p w14:paraId="3572E87A" w14:textId="594648A7" w:rsidR="002641DA" w:rsidRPr="00E14109" w:rsidRDefault="002641DA" w:rsidP="004C53CC">
            <w:pPr>
              <w:pStyle w:val="TableBullet1"/>
              <w:numPr>
                <w:ilvl w:val="0"/>
                <w:numId w:val="12"/>
              </w:numPr>
              <w:rPr>
                <w:rFonts w:eastAsia="Calibri"/>
              </w:rPr>
            </w:pPr>
            <w:r w:rsidRPr="00F52AF8">
              <w:rPr>
                <w:rFonts w:eastAsia="Calibri"/>
              </w:rPr>
              <w:t>Configure the Azure AD</w:t>
            </w:r>
            <w:r w:rsidRPr="00E14109">
              <w:rPr>
                <w:rFonts w:eastAsia="Calibri"/>
              </w:rPr>
              <w:t xml:space="preserve"> seamless single sign-on feature if the </w:t>
            </w:r>
            <w:r w:rsidR="001A2543" w:rsidRPr="00E14109">
              <w:rPr>
                <w:rFonts w:eastAsia="Calibri"/>
              </w:rPr>
              <w:t>c</w:t>
            </w:r>
            <w:r w:rsidRPr="00E14109">
              <w:rPr>
                <w:rFonts w:eastAsia="Calibri"/>
              </w:rPr>
              <w:t>ustomer elects to use it and is not using federated authentication</w:t>
            </w:r>
            <w:r w:rsidR="00423482" w:rsidRPr="00E14109">
              <w:rPr>
                <w:rFonts w:eastAsia="Calibri"/>
              </w:rPr>
              <w:t>.</w:t>
            </w:r>
          </w:p>
          <w:p w14:paraId="65E9F299" w14:textId="4A65A238" w:rsidR="002641DA" w:rsidRPr="003815D6" w:rsidRDefault="002641DA" w:rsidP="004C53CC">
            <w:pPr>
              <w:pStyle w:val="TableBullet1"/>
              <w:numPr>
                <w:ilvl w:val="0"/>
                <w:numId w:val="12"/>
              </w:numPr>
            </w:pPr>
            <w:r w:rsidRPr="003815D6">
              <w:rPr>
                <w:rFonts w:eastAsia="Calibri"/>
              </w:rPr>
              <w:t xml:space="preserve">Configure authentication for </w:t>
            </w:r>
            <w:r w:rsidR="009633F4" w:rsidRPr="003815D6">
              <w:rPr>
                <w:rFonts w:eastAsia="Calibri"/>
              </w:rPr>
              <w:t>customer</w:t>
            </w:r>
            <w:r w:rsidRPr="003815D6">
              <w:rPr>
                <w:rFonts w:eastAsia="Calibri"/>
              </w:rPr>
              <w:t xml:space="preserve"> domains in Azure AD</w:t>
            </w:r>
            <w:r w:rsidR="00423482">
              <w:rPr>
                <w:rFonts w:eastAsia="Calibri"/>
              </w:rPr>
              <w:t>.</w:t>
            </w:r>
          </w:p>
          <w:p w14:paraId="149164C9" w14:textId="6BB97BB5" w:rsidR="002641DA" w:rsidRPr="003815D6" w:rsidRDefault="002641DA" w:rsidP="004C53CC">
            <w:pPr>
              <w:pStyle w:val="TableBullet1"/>
              <w:numPr>
                <w:ilvl w:val="0"/>
                <w:numId w:val="12"/>
              </w:numPr>
              <w:rPr>
                <w:rFonts w:eastAsia="Calibri"/>
              </w:rPr>
            </w:pPr>
            <w:r w:rsidRPr="003815D6">
              <w:rPr>
                <w:rFonts w:eastAsia="Calibri"/>
              </w:rPr>
              <w:t>Configure and demonstrate Azure AD</w:t>
            </w:r>
            <w:r w:rsidR="00E55A45" w:rsidRPr="003815D6">
              <w:rPr>
                <w:rFonts w:eastAsia="Calibri"/>
              </w:rPr>
              <w:t xml:space="preserve"> </w:t>
            </w:r>
            <w:r w:rsidRPr="003815D6">
              <w:rPr>
                <w:rFonts w:eastAsia="Calibri"/>
              </w:rPr>
              <w:t>B2B</w:t>
            </w:r>
            <w:r w:rsidR="00423482">
              <w:rPr>
                <w:rFonts w:eastAsia="Calibri"/>
              </w:rPr>
              <w:t>.</w:t>
            </w:r>
          </w:p>
        </w:tc>
      </w:tr>
      <w:tr w:rsidR="00D6498A" w:rsidRPr="003815D6" w14:paraId="46D70118" w14:textId="77777777" w:rsidTr="005C3C1C">
        <w:trPr>
          <w:gridAfter w:val="1"/>
          <w:wAfter w:w="13" w:type="dxa"/>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6CD8B330" w14:textId="29BEC7B1" w:rsidR="002641DA" w:rsidRPr="003815D6" w:rsidRDefault="002641DA" w:rsidP="005C3C1C">
            <w:pPr>
              <w:rPr>
                <w:rFonts w:eastAsia="Calibri"/>
                <w:szCs w:val="20"/>
              </w:rPr>
            </w:pPr>
            <w:r w:rsidRPr="003815D6">
              <w:rPr>
                <w:rFonts w:eastAsia="Calibri"/>
                <w:b/>
                <w:bCs/>
                <w:szCs w:val="20"/>
              </w:rPr>
              <w:t>Customer activities</w:t>
            </w:r>
            <w:r w:rsidR="0006440D">
              <w:rPr>
                <w:rFonts w:eastAsia="Calibri"/>
                <w:b/>
                <w:bCs/>
                <w:szCs w:val="20"/>
              </w:rPr>
              <w:t xml:space="preserve"> (</w:t>
            </w:r>
            <w:r w:rsidR="00EB6536">
              <w:rPr>
                <w:rFonts w:eastAsia="Calibri"/>
                <w:b/>
                <w:bCs/>
                <w:szCs w:val="20"/>
              </w:rPr>
              <w:t xml:space="preserve"> and/or </w:t>
            </w:r>
            <w:r w:rsidR="0006440D">
              <w:rPr>
                <w:rFonts w:eastAsia="Calibri"/>
                <w:b/>
                <w:bCs/>
                <w:szCs w:val="20"/>
              </w:rPr>
              <w:t>)</w:t>
            </w:r>
            <w:r w:rsidRPr="003815D6">
              <w:br/>
            </w:r>
            <w:r w:rsidRPr="003815D6">
              <w:rPr>
                <w:rFonts w:eastAsia="Calibri"/>
                <w:szCs w:val="20"/>
              </w:rPr>
              <w:t>The activities to be performed by the Customer</w:t>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505F2336" w14:textId="04EFEC7C" w:rsidR="002641DA" w:rsidRPr="003815D6" w:rsidRDefault="002641DA" w:rsidP="005C3C1C">
            <w:pPr>
              <w:pStyle w:val="TableBullet1"/>
              <w:numPr>
                <w:ilvl w:val="0"/>
                <w:numId w:val="0"/>
              </w:numPr>
              <w:rPr>
                <w:rFonts w:eastAsia="Calibri"/>
                <w:b/>
                <w:bCs/>
              </w:rPr>
            </w:pPr>
            <w:r w:rsidRPr="003815D6">
              <w:rPr>
                <w:rFonts w:eastAsia="Calibri"/>
                <w:b/>
                <w:bCs/>
              </w:rPr>
              <w:t>Assess</w:t>
            </w:r>
            <w:r w:rsidR="00DE0541" w:rsidRPr="003815D6">
              <w:rPr>
                <w:rFonts w:eastAsia="Calibri"/>
                <w:b/>
                <w:bCs/>
              </w:rPr>
              <w:t xml:space="preserve"> </w:t>
            </w:r>
            <w:r w:rsidR="00DE0541" w:rsidRPr="003815D6">
              <w:rPr>
                <w:rFonts w:eastAsia="Calibri"/>
                <w:b/>
              </w:rPr>
              <w:t>phase</w:t>
            </w:r>
          </w:p>
          <w:p w14:paraId="6CD6A24F" w14:textId="45E9697F" w:rsidR="002641DA" w:rsidRPr="003815D6" w:rsidRDefault="002641DA" w:rsidP="004C53CC">
            <w:pPr>
              <w:pStyle w:val="TableBullet1"/>
              <w:numPr>
                <w:ilvl w:val="0"/>
                <w:numId w:val="11"/>
              </w:numPr>
              <w:ind w:left="360"/>
              <w:rPr>
                <w:rFonts w:eastAsia="Calibri"/>
              </w:rPr>
            </w:pPr>
            <w:r w:rsidRPr="003815D6">
              <w:rPr>
                <w:rFonts w:eastAsia="Calibri"/>
              </w:rPr>
              <w:t>Participate in the assessment and planning workshop, communicate requirements, provide current environmental information, and make design decisions</w:t>
            </w:r>
            <w:r w:rsidR="00423482">
              <w:rPr>
                <w:rFonts w:eastAsia="Calibri"/>
              </w:rPr>
              <w:t>.</w:t>
            </w:r>
          </w:p>
          <w:p w14:paraId="011DACC9" w14:textId="68C4D570" w:rsidR="002641DA" w:rsidRPr="003815D6" w:rsidRDefault="002641DA" w:rsidP="004C53CC">
            <w:pPr>
              <w:pStyle w:val="TableBullet1"/>
              <w:numPr>
                <w:ilvl w:val="0"/>
                <w:numId w:val="11"/>
              </w:numPr>
              <w:ind w:left="360"/>
              <w:rPr>
                <w:rFonts w:eastAsia="Calibri"/>
              </w:rPr>
            </w:pPr>
            <w:r w:rsidRPr="003815D6">
              <w:rPr>
                <w:rFonts w:eastAsia="Calibri"/>
              </w:rPr>
              <w:t xml:space="preserve">Run the Office 365 IdFix tool in each in-scope </w:t>
            </w:r>
            <w:r w:rsidR="00E55A45" w:rsidRPr="003815D6">
              <w:rPr>
                <w:rFonts w:eastAsia="Calibri"/>
              </w:rPr>
              <w:t>AD </w:t>
            </w:r>
            <w:r w:rsidRPr="003815D6">
              <w:rPr>
                <w:rFonts w:eastAsia="Calibri"/>
              </w:rPr>
              <w:t xml:space="preserve">DS forest and provide the results to Microsoft for evaluation. The tool requires read-only permissions in </w:t>
            </w:r>
            <w:r w:rsidR="00E55A45" w:rsidRPr="003815D6">
              <w:rPr>
                <w:rFonts w:eastAsia="Calibri"/>
              </w:rPr>
              <w:t>AD </w:t>
            </w:r>
            <w:r w:rsidRPr="003815D6">
              <w:rPr>
                <w:rFonts w:eastAsia="Calibri"/>
              </w:rPr>
              <w:t>DS.</w:t>
            </w:r>
          </w:p>
          <w:p w14:paraId="6A7A46B3" w14:textId="2FE9E1D5" w:rsidR="002641DA" w:rsidRPr="003815D6" w:rsidRDefault="002641DA" w:rsidP="00423482">
            <w:pPr>
              <w:pStyle w:val="TableText"/>
              <w:spacing w:after="0"/>
              <w:rPr>
                <w:b/>
              </w:rPr>
            </w:pPr>
            <w:r w:rsidRPr="003815D6">
              <w:rPr>
                <w:b/>
              </w:rPr>
              <w:t>Remediate</w:t>
            </w:r>
            <w:r w:rsidR="00DE0541" w:rsidRPr="003815D6">
              <w:rPr>
                <w:b/>
              </w:rPr>
              <w:t xml:space="preserve"> phase</w:t>
            </w:r>
          </w:p>
          <w:p w14:paraId="6FF73D42" w14:textId="5BDD9731" w:rsidR="002641DA" w:rsidRPr="003815D6" w:rsidRDefault="00F74C28" w:rsidP="004C53CC">
            <w:pPr>
              <w:pStyle w:val="TableBullet1"/>
              <w:numPr>
                <w:ilvl w:val="0"/>
                <w:numId w:val="11"/>
              </w:numPr>
              <w:spacing w:before="0"/>
              <w:ind w:left="360"/>
              <w:contextualSpacing w:val="0"/>
              <w:rPr>
                <w:rFonts w:eastAsia="Calibri"/>
              </w:rPr>
            </w:pPr>
            <w:r w:rsidRPr="003815D6">
              <w:rPr>
                <w:rFonts w:eastAsia="Calibri"/>
              </w:rPr>
              <w:t xml:space="preserve">Complete </w:t>
            </w:r>
            <w:r w:rsidR="002641DA" w:rsidRPr="003815D6">
              <w:rPr>
                <w:rFonts w:eastAsia="Calibri"/>
              </w:rPr>
              <w:t>IdFix error remediation in the on-premises AD DS forest and user principal name (UPN) changes, if necessary</w:t>
            </w:r>
            <w:r w:rsidR="00423482">
              <w:rPr>
                <w:rFonts w:eastAsia="Calibri"/>
              </w:rPr>
              <w:t>.</w:t>
            </w:r>
          </w:p>
          <w:p w14:paraId="4948335B" w14:textId="56462A27" w:rsidR="002641DA" w:rsidRPr="003815D6" w:rsidRDefault="002641DA" w:rsidP="000D626E">
            <w:pPr>
              <w:pStyle w:val="TableText"/>
              <w:rPr>
                <w:b/>
              </w:rPr>
            </w:pPr>
            <w:r w:rsidRPr="003815D6">
              <w:rPr>
                <w:b/>
              </w:rPr>
              <w:lastRenderedPageBreak/>
              <w:t>Enable</w:t>
            </w:r>
            <w:r w:rsidR="00DE0541" w:rsidRPr="003815D6">
              <w:rPr>
                <w:b/>
              </w:rPr>
              <w:t xml:space="preserve"> </w:t>
            </w:r>
            <w:r w:rsidR="00DE0541" w:rsidRPr="003815D6">
              <w:rPr>
                <w:rFonts w:eastAsia="Calibri"/>
                <w:b/>
              </w:rPr>
              <w:t>phase</w:t>
            </w:r>
          </w:p>
          <w:p w14:paraId="6062BC19" w14:textId="71F502EA" w:rsidR="002641DA" w:rsidRPr="003815D6" w:rsidRDefault="002641DA" w:rsidP="004C53CC">
            <w:pPr>
              <w:pStyle w:val="TableBullet1"/>
              <w:numPr>
                <w:ilvl w:val="0"/>
                <w:numId w:val="11"/>
              </w:numPr>
              <w:ind w:left="360"/>
            </w:pPr>
            <w:r w:rsidRPr="003815D6">
              <w:rPr>
                <w:rFonts w:eastAsia="Calibri"/>
              </w:rPr>
              <w:t>Assist Microsoft, as necessary, during production implementation tasks</w:t>
            </w:r>
            <w:r w:rsidR="00423482">
              <w:rPr>
                <w:rFonts w:eastAsia="Calibri"/>
              </w:rPr>
              <w:t>.</w:t>
            </w:r>
          </w:p>
        </w:tc>
      </w:tr>
      <w:tr w:rsidR="00D6498A" w:rsidRPr="003815D6" w14:paraId="31D1E073" w14:textId="77777777" w:rsidTr="005C3C1C">
        <w:trPr>
          <w:gridAfter w:val="1"/>
          <w:wAfter w:w="13" w:type="dxa"/>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4151D2C8" w14:textId="4429CA90" w:rsidR="002641DA" w:rsidRPr="003815D6" w:rsidRDefault="002641DA" w:rsidP="005C3C1C">
            <w:pPr>
              <w:rPr>
                <w:rFonts w:eastAsia="Calibri"/>
                <w:szCs w:val="20"/>
              </w:rPr>
            </w:pPr>
            <w:r w:rsidRPr="003815D6">
              <w:rPr>
                <w:rFonts w:eastAsia="Calibri"/>
                <w:b/>
                <w:bCs/>
                <w:szCs w:val="20"/>
              </w:rPr>
              <w:lastRenderedPageBreak/>
              <w:t>Key assumptions</w:t>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7B100D0F" w14:textId="77777777" w:rsidR="002641DA" w:rsidRPr="003815D6" w:rsidRDefault="005C3C1C" w:rsidP="005C3C1C">
            <w:pPr>
              <w:pStyle w:val="TableBullet1"/>
              <w:numPr>
                <w:ilvl w:val="0"/>
                <w:numId w:val="0"/>
              </w:numPr>
              <w:rPr>
                <w:rFonts w:eastAsia="Calibri"/>
              </w:rPr>
            </w:pPr>
            <w:r w:rsidRPr="003815D6">
              <w:rPr>
                <w:rFonts w:eastAsia="Calibri"/>
              </w:rPr>
              <w:t>None</w:t>
            </w:r>
          </w:p>
        </w:tc>
      </w:tr>
      <w:tr w:rsidR="00D6498A" w:rsidRPr="003815D6" w14:paraId="1AF08EBE" w14:textId="77777777" w:rsidTr="005C3C1C">
        <w:trPr>
          <w:gridAfter w:val="1"/>
          <w:wAfter w:w="13" w:type="dxa"/>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5B9C7A1C" w14:textId="77777777" w:rsidR="002641DA" w:rsidRPr="003815D6" w:rsidRDefault="002641DA" w:rsidP="005C3C1C">
            <w:pPr>
              <w:rPr>
                <w:rFonts w:eastAsia="Calibri"/>
                <w:b/>
                <w:bCs/>
                <w:szCs w:val="20"/>
              </w:rPr>
            </w:pPr>
            <w:r w:rsidRPr="003815D6">
              <w:rPr>
                <w:rFonts w:eastAsia="Calibri"/>
                <w:b/>
              </w:rPr>
              <w:t>Project deliverables</w:t>
            </w:r>
            <w:r w:rsidRPr="003815D6">
              <w:rPr>
                <w:rFonts w:eastAsia="Calibri"/>
                <w:b/>
              </w:rPr>
              <w:br/>
            </w:r>
            <w:r w:rsidRPr="003815D6">
              <w:rPr>
                <w:rFonts w:eastAsia="Calibri"/>
              </w:rPr>
              <w:t>Content for this project component will be included in these project deliverables</w:t>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1D057850" w14:textId="77777777" w:rsidR="002641DA" w:rsidRPr="003815D6" w:rsidRDefault="002641DA" w:rsidP="004C53CC">
            <w:pPr>
              <w:pStyle w:val="TableBullet1"/>
              <w:numPr>
                <w:ilvl w:val="0"/>
                <w:numId w:val="11"/>
              </w:numPr>
              <w:ind w:left="360"/>
            </w:pPr>
            <w:r w:rsidRPr="003815D6">
              <w:t>Preparation checklist</w:t>
            </w:r>
          </w:p>
          <w:p w14:paraId="75E55D5E" w14:textId="77777777" w:rsidR="002641DA" w:rsidRPr="003815D6" w:rsidRDefault="002641DA" w:rsidP="004C53CC">
            <w:pPr>
              <w:pStyle w:val="TableBullet1"/>
              <w:numPr>
                <w:ilvl w:val="0"/>
                <w:numId w:val="11"/>
              </w:numPr>
              <w:ind w:left="360"/>
            </w:pPr>
            <w:r w:rsidRPr="003815D6">
              <w:t>Design and plan</w:t>
            </w:r>
          </w:p>
          <w:p w14:paraId="7B3BC3D9" w14:textId="77777777" w:rsidR="002641DA" w:rsidRPr="003815D6" w:rsidRDefault="002641DA" w:rsidP="004C53CC">
            <w:pPr>
              <w:pStyle w:val="TableBullet1"/>
              <w:numPr>
                <w:ilvl w:val="0"/>
                <w:numId w:val="11"/>
              </w:numPr>
              <w:ind w:left="360"/>
            </w:pPr>
            <w:r w:rsidRPr="003815D6">
              <w:t>Test cases</w:t>
            </w:r>
          </w:p>
          <w:p w14:paraId="3ED560D5" w14:textId="77777777" w:rsidR="002641DA" w:rsidRPr="003815D6" w:rsidRDefault="002641DA" w:rsidP="004C53CC">
            <w:pPr>
              <w:pStyle w:val="TableBullet1"/>
              <w:numPr>
                <w:ilvl w:val="0"/>
                <w:numId w:val="11"/>
              </w:numPr>
              <w:ind w:left="360"/>
            </w:pPr>
            <w:r w:rsidRPr="003815D6">
              <w:t>Delivery summary</w:t>
            </w:r>
          </w:p>
        </w:tc>
      </w:tr>
    </w:tbl>
    <w:p w14:paraId="490486A5" w14:textId="45047474" w:rsidR="002641DA" w:rsidRPr="003815D6" w:rsidRDefault="002641DA" w:rsidP="00BD3F15">
      <w:pPr>
        <w:pStyle w:val="Heading4"/>
      </w:pPr>
      <w:r w:rsidRPr="003815D6">
        <w:t xml:space="preserve">Azure </w:t>
      </w:r>
      <w:r w:rsidR="001049E4" w:rsidRPr="003815D6">
        <w:t xml:space="preserve">Active Directory </w:t>
      </w:r>
      <w:r w:rsidRPr="003815D6">
        <w:t xml:space="preserve">Conditional Access and </w:t>
      </w:r>
      <w:r w:rsidR="00A24DAF" w:rsidRPr="003815D6">
        <w:t xml:space="preserve">Azure </w:t>
      </w:r>
      <w:r w:rsidRPr="003815D6">
        <w:t>Multi-Factor Authentication (AAD-02)</w:t>
      </w:r>
    </w:p>
    <w:tbl>
      <w:tblPr>
        <w:tblStyle w:val="TableGrid1"/>
        <w:tblW w:w="9221" w:type="dxa"/>
        <w:tblInd w:w="-5"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ook w:val="04A0" w:firstRow="1" w:lastRow="0" w:firstColumn="1" w:lastColumn="0" w:noHBand="0" w:noVBand="1"/>
      </w:tblPr>
      <w:tblGrid>
        <w:gridCol w:w="3068"/>
        <w:gridCol w:w="6140"/>
        <w:gridCol w:w="13"/>
      </w:tblGrid>
      <w:tr w:rsidR="00DE2FE1" w:rsidRPr="003815D6" w14:paraId="33B3A1EB" w14:textId="77777777" w:rsidTr="005C3C1C">
        <w:trPr>
          <w:trHeight w:val="542"/>
          <w:tblHeader/>
        </w:trPr>
        <w:tc>
          <w:tcPr>
            <w:tcW w:w="3068" w:type="dxa"/>
            <w:tcBorders>
              <w:top w:val="single" w:sz="2" w:space="0" w:color="7F7F7F"/>
              <w:left w:val="single" w:sz="2" w:space="0" w:color="7F7F7F"/>
              <w:bottom w:val="single" w:sz="2" w:space="0" w:color="7F7F7F"/>
              <w:right w:val="single" w:sz="2" w:space="0" w:color="7F7F7F"/>
            </w:tcBorders>
            <w:shd w:val="clear" w:color="auto" w:fill="008272"/>
          </w:tcPr>
          <w:p w14:paraId="4DAE38DD" w14:textId="77777777" w:rsidR="002641DA" w:rsidRPr="003815D6" w:rsidRDefault="002641DA" w:rsidP="005C3C1C">
            <w:pPr>
              <w:rPr>
                <w:rFonts w:eastAsia="Calibri"/>
                <w:b/>
                <w:color w:val="FFFFFF"/>
              </w:rPr>
            </w:pPr>
            <w:r w:rsidRPr="003815D6">
              <w:rPr>
                <w:rFonts w:eastAsia="Calibri"/>
                <w:b/>
                <w:color w:val="FFFFFF"/>
              </w:rPr>
              <w:t>Category</w:t>
            </w:r>
          </w:p>
        </w:tc>
        <w:tc>
          <w:tcPr>
            <w:tcW w:w="6153" w:type="dxa"/>
            <w:gridSpan w:val="2"/>
            <w:tcBorders>
              <w:top w:val="single" w:sz="2" w:space="0" w:color="7F7F7F"/>
              <w:left w:val="single" w:sz="2" w:space="0" w:color="7F7F7F"/>
              <w:bottom w:val="single" w:sz="2" w:space="0" w:color="7F7F7F"/>
              <w:right w:val="single" w:sz="2" w:space="0" w:color="7F7F7F"/>
            </w:tcBorders>
            <w:shd w:val="clear" w:color="auto" w:fill="008272"/>
          </w:tcPr>
          <w:p w14:paraId="2FC856B8" w14:textId="77777777" w:rsidR="002641DA" w:rsidRPr="003815D6" w:rsidRDefault="002641DA" w:rsidP="005C3C1C">
            <w:pPr>
              <w:rPr>
                <w:rFonts w:eastAsia="Calibri"/>
                <w:b/>
                <w:color w:val="FFFFFF"/>
              </w:rPr>
            </w:pPr>
            <w:r w:rsidRPr="003815D6">
              <w:rPr>
                <w:rFonts w:eastAsia="Calibri"/>
                <w:b/>
                <w:color w:val="FFFFFF"/>
              </w:rPr>
              <w:t>Description</w:t>
            </w:r>
          </w:p>
        </w:tc>
      </w:tr>
      <w:tr w:rsidR="00D6498A" w:rsidRPr="003815D6" w14:paraId="1360AAC1" w14:textId="77777777" w:rsidTr="005C3C1C">
        <w:trPr>
          <w:gridAfter w:val="1"/>
          <w:wAfter w:w="13" w:type="dxa"/>
          <w:trHeight w:val="422"/>
        </w:trPr>
        <w:tc>
          <w:tcPr>
            <w:tcW w:w="3068" w:type="dxa"/>
            <w:tcBorders>
              <w:top w:val="single" w:sz="2" w:space="0" w:color="7F7F7F"/>
              <w:left w:val="single" w:sz="2" w:space="0" w:color="7F7F7F"/>
              <w:bottom w:val="single" w:sz="2" w:space="0" w:color="7F7F7F"/>
              <w:right w:val="single" w:sz="2" w:space="0" w:color="7F7F7F"/>
            </w:tcBorders>
            <w:shd w:val="clear" w:color="auto" w:fill="auto"/>
          </w:tcPr>
          <w:p w14:paraId="0D577C61" w14:textId="77777777" w:rsidR="002641DA" w:rsidRPr="003815D6" w:rsidRDefault="002641DA" w:rsidP="005C3C1C">
            <w:pPr>
              <w:rPr>
                <w:rFonts w:eastAsia="Calibri"/>
              </w:rPr>
            </w:pPr>
            <w:r w:rsidRPr="003815D6">
              <w:rPr>
                <w:rFonts w:eastAsia="Calibri"/>
                <w:b/>
              </w:rPr>
              <w:t>Microsoft activities</w:t>
            </w:r>
            <w:r w:rsidRPr="003815D6">
              <w:rPr>
                <w:rFonts w:eastAsia="Calibri"/>
                <w:b/>
              </w:rPr>
              <w:br/>
            </w:r>
            <w:r w:rsidRPr="003815D6">
              <w:rPr>
                <w:rFonts w:eastAsia="Calibri"/>
              </w:rPr>
              <w:t>The activities to be performed by Microsoft</w:t>
            </w:r>
          </w:p>
        </w:tc>
        <w:tc>
          <w:tcPr>
            <w:tcW w:w="6140" w:type="dxa"/>
            <w:tcBorders>
              <w:top w:val="single" w:sz="2" w:space="0" w:color="7F7F7F"/>
              <w:left w:val="single" w:sz="2" w:space="0" w:color="7F7F7F"/>
              <w:bottom w:val="single" w:sz="2" w:space="0" w:color="7F7F7F"/>
              <w:right w:val="single" w:sz="2" w:space="0" w:color="7F7F7F"/>
            </w:tcBorders>
            <w:shd w:val="clear" w:color="auto" w:fill="FFFFFF"/>
          </w:tcPr>
          <w:p w14:paraId="704B5E11" w14:textId="5EBC952C" w:rsidR="002641DA" w:rsidRPr="003815D6" w:rsidRDefault="002641DA" w:rsidP="005C3C1C">
            <w:pPr>
              <w:pStyle w:val="TableBullet1"/>
              <w:numPr>
                <w:ilvl w:val="0"/>
                <w:numId w:val="0"/>
              </w:numPr>
              <w:rPr>
                <w:rFonts w:eastAsia="Calibri"/>
                <w:b/>
              </w:rPr>
            </w:pPr>
            <w:r w:rsidRPr="003815D6">
              <w:rPr>
                <w:rFonts w:eastAsia="Calibri"/>
                <w:b/>
              </w:rPr>
              <w:t>Assess</w:t>
            </w:r>
            <w:r w:rsidR="00DE0541" w:rsidRPr="003815D6">
              <w:rPr>
                <w:rFonts w:eastAsia="Calibri"/>
                <w:b/>
              </w:rPr>
              <w:t xml:space="preserve"> phase</w:t>
            </w:r>
          </w:p>
          <w:p w14:paraId="1664A14C" w14:textId="468CB860" w:rsidR="002641DA" w:rsidRPr="003815D6" w:rsidRDefault="002641DA" w:rsidP="004C53CC">
            <w:pPr>
              <w:pStyle w:val="TableBullet1"/>
              <w:numPr>
                <w:ilvl w:val="0"/>
                <w:numId w:val="11"/>
              </w:numPr>
              <w:ind w:left="360"/>
              <w:rPr>
                <w:rFonts w:eastAsia="Calibri"/>
              </w:rPr>
            </w:pPr>
            <w:r w:rsidRPr="003815D6">
              <w:t xml:space="preserve">Conduct an assessment and planning workshop to gather requirements and information about the current environment, provide education on Azure </w:t>
            </w:r>
            <w:r w:rsidR="00B23223" w:rsidRPr="003815D6">
              <w:t xml:space="preserve">Multi-Factor Authentication </w:t>
            </w:r>
            <w:r w:rsidRPr="003815D6">
              <w:t xml:space="preserve">and Azure AD </w:t>
            </w:r>
            <w:r w:rsidR="00975B19" w:rsidRPr="003815D6">
              <w:t xml:space="preserve">Conditional Access </w:t>
            </w:r>
            <w:r w:rsidRPr="003815D6">
              <w:t xml:space="preserve">capabilities, and facilitate </w:t>
            </w:r>
            <w:r w:rsidR="009633F4" w:rsidRPr="003815D6">
              <w:t>customer</w:t>
            </w:r>
            <w:r w:rsidRPr="003815D6">
              <w:t xml:space="preserve"> design decisions</w:t>
            </w:r>
            <w:r w:rsidR="00423482">
              <w:t>.</w:t>
            </w:r>
          </w:p>
          <w:p w14:paraId="2D8CA279" w14:textId="5A4CF376" w:rsidR="002641DA" w:rsidRPr="003815D6" w:rsidRDefault="002641DA" w:rsidP="004C53CC">
            <w:pPr>
              <w:pStyle w:val="TableBullet1"/>
              <w:numPr>
                <w:ilvl w:val="0"/>
                <w:numId w:val="11"/>
              </w:numPr>
              <w:spacing w:before="0"/>
              <w:ind w:left="360"/>
              <w:contextualSpacing w:val="0"/>
              <w:rPr>
                <w:rFonts w:eastAsia="Calibri"/>
              </w:rPr>
            </w:pPr>
            <w:r w:rsidRPr="003815D6">
              <w:rPr>
                <w:rFonts w:eastAsia="Calibri"/>
              </w:rPr>
              <w:t>Design Azure AD</w:t>
            </w:r>
            <w:r w:rsidR="00B23223" w:rsidRPr="003815D6">
              <w:rPr>
                <w:rFonts w:eastAsia="Calibri"/>
              </w:rPr>
              <w:t xml:space="preserve"> </w:t>
            </w:r>
            <w:r w:rsidR="00975B19" w:rsidRPr="003815D6">
              <w:rPr>
                <w:rFonts w:eastAsia="Calibri"/>
              </w:rPr>
              <w:t xml:space="preserve">Conditional Access </w:t>
            </w:r>
            <w:r w:rsidRPr="003815D6">
              <w:rPr>
                <w:rFonts w:eastAsia="Calibri"/>
              </w:rPr>
              <w:t xml:space="preserve">policies based on </w:t>
            </w:r>
            <w:r w:rsidR="009633F4" w:rsidRPr="003815D6">
              <w:rPr>
                <w:rFonts w:eastAsia="Calibri"/>
              </w:rPr>
              <w:t>customer</w:t>
            </w:r>
            <w:r w:rsidRPr="003815D6">
              <w:rPr>
                <w:rFonts w:eastAsia="Calibri"/>
              </w:rPr>
              <w:t xml:space="preserve"> requirements</w:t>
            </w:r>
            <w:r w:rsidR="00423482">
              <w:rPr>
                <w:rFonts w:eastAsia="Calibri"/>
              </w:rPr>
              <w:t>.</w:t>
            </w:r>
          </w:p>
          <w:p w14:paraId="0741C8D6" w14:textId="522D3D03" w:rsidR="002641DA" w:rsidRPr="003815D6" w:rsidRDefault="002641DA" w:rsidP="00423482">
            <w:pPr>
              <w:pStyle w:val="TableBullet1"/>
              <w:numPr>
                <w:ilvl w:val="0"/>
                <w:numId w:val="0"/>
              </w:numPr>
              <w:spacing w:after="0"/>
              <w:contextualSpacing w:val="0"/>
              <w:rPr>
                <w:rFonts w:eastAsia="Calibri"/>
                <w:b/>
              </w:rPr>
            </w:pPr>
            <w:r w:rsidRPr="003815D6">
              <w:rPr>
                <w:rFonts w:eastAsia="Calibri"/>
                <w:b/>
              </w:rPr>
              <w:t>Enable</w:t>
            </w:r>
            <w:r w:rsidR="00DE0541" w:rsidRPr="003815D6">
              <w:rPr>
                <w:rFonts w:eastAsia="Calibri"/>
                <w:b/>
              </w:rPr>
              <w:t xml:space="preserve"> phase</w:t>
            </w:r>
          </w:p>
          <w:p w14:paraId="01C27B29" w14:textId="11E6FE4B" w:rsidR="002641DA" w:rsidRPr="003815D6" w:rsidRDefault="002641DA" w:rsidP="004C53CC">
            <w:pPr>
              <w:pStyle w:val="TableBullet1"/>
              <w:numPr>
                <w:ilvl w:val="0"/>
                <w:numId w:val="11"/>
              </w:numPr>
              <w:ind w:left="360"/>
              <w:rPr>
                <w:rFonts w:eastAsia="Calibri"/>
              </w:rPr>
            </w:pPr>
            <w:r w:rsidRPr="003815D6">
              <w:rPr>
                <w:rFonts w:eastAsia="Calibri"/>
              </w:rPr>
              <w:t xml:space="preserve">Configure Azure </w:t>
            </w:r>
            <w:r w:rsidR="00B23223" w:rsidRPr="003815D6">
              <w:rPr>
                <w:rFonts w:eastAsia="Calibri"/>
              </w:rPr>
              <w:t>Multi-Factor Authentication</w:t>
            </w:r>
            <w:r w:rsidR="00423482">
              <w:rPr>
                <w:rFonts w:eastAsia="Calibri"/>
              </w:rPr>
              <w:t>.</w:t>
            </w:r>
          </w:p>
          <w:p w14:paraId="1CFB76F7" w14:textId="46B4463F" w:rsidR="002641DA" w:rsidRPr="003815D6" w:rsidRDefault="002641DA" w:rsidP="004C53CC">
            <w:pPr>
              <w:pStyle w:val="TableBullet1"/>
              <w:numPr>
                <w:ilvl w:val="0"/>
                <w:numId w:val="11"/>
              </w:numPr>
              <w:ind w:left="360"/>
              <w:rPr>
                <w:rFonts w:eastAsia="Calibri"/>
              </w:rPr>
            </w:pPr>
            <w:r w:rsidRPr="003815D6">
              <w:rPr>
                <w:rFonts w:eastAsia="Calibri"/>
              </w:rPr>
              <w:t>Implement Azure AD</w:t>
            </w:r>
            <w:r w:rsidR="00B23223" w:rsidRPr="003815D6">
              <w:rPr>
                <w:rFonts w:eastAsia="Calibri"/>
              </w:rPr>
              <w:t xml:space="preserve"> </w:t>
            </w:r>
            <w:r w:rsidR="00975B19" w:rsidRPr="003815D6">
              <w:rPr>
                <w:rFonts w:eastAsia="Calibri"/>
              </w:rPr>
              <w:t xml:space="preserve">Conditional Access </w:t>
            </w:r>
            <w:r w:rsidRPr="003815D6">
              <w:rPr>
                <w:rFonts w:eastAsia="Calibri"/>
              </w:rPr>
              <w:t>policies, initially scoped for test user accounts</w:t>
            </w:r>
            <w:r w:rsidR="00423482">
              <w:rPr>
                <w:rFonts w:eastAsia="Calibri"/>
              </w:rPr>
              <w:t>.</w:t>
            </w:r>
          </w:p>
          <w:p w14:paraId="760F9581" w14:textId="654A34D2" w:rsidR="002641DA" w:rsidRPr="003815D6" w:rsidRDefault="002641DA" w:rsidP="004C53CC">
            <w:pPr>
              <w:pStyle w:val="TableBullet1"/>
              <w:numPr>
                <w:ilvl w:val="0"/>
                <w:numId w:val="11"/>
              </w:numPr>
              <w:ind w:left="360"/>
              <w:rPr>
                <w:rFonts w:eastAsia="Calibri"/>
              </w:rPr>
            </w:pPr>
            <w:r w:rsidRPr="003815D6">
              <w:rPr>
                <w:rFonts w:eastAsia="Calibri"/>
              </w:rPr>
              <w:t>Enable and configure Azure AD</w:t>
            </w:r>
            <w:r w:rsidR="00B23223" w:rsidRPr="003815D6">
              <w:rPr>
                <w:rFonts w:eastAsia="Calibri"/>
              </w:rPr>
              <w:t xml:space="preserve"> </w:t>
            </w:r>
            <w:r w:rsidRPr="003815D6">
              <w:rPr>
                <w:rFonts w:eastAsia="Calibri"/>
              </w:rPr>
              <w:t>Identity Protection</w:t>
            </w:r>
            <w:r w:rsidR="00423482">
              <w:rPr>
                <w:rFonts w:eastAsia="Calibri"/>
              </w:rPr>
              <w:t>.</w:t>
            </w:r>
          </w:p>
          <w:p w14:paraId="4EE77A69" w14:textId="74ED8A1C" w:rsidR="002641DA" w:rsidRPr="003815D6" w:rsidRDefault="002641DA" w:rsidP="004C53CC">
            <w:pPr>
              <w:pStyle w:val="TableBullet1"/>
              <w:numPr>
                <w:ilvl w:val="0"/>
                <w:numId w:val="11"/>
              </w:numPr>
              <w:ind w:left="360"/>
              <w:rPr>
                <w:rFonts w:eastAsia="Calibri"/>
              </w:rPr>
            </w:pPr>
            <w:r w:rsidRPr="003815D6">
              <w:rPr>
                <w:rFonts w:eastAsia="Calibri"/>
              </w:rPr>
              <w:t xml:space="preserve">Apply the </w:t>
            </w:r>
            <w:r w:rsidR="009126E2" w:rsidRPr="003815D6">
              <w:rPr>
                <w:rFonts w:eastAsia="Calibri"/>
              </w:rPr>
              <w:t>Azure Multi-Factor Authentication</w:t>
            </w:r>
            <w:r w:rsidR="00975B19" w:rsidRPr="003815D6" w:rsidDel="00975B19">
              <w:rPr>
                <w:rFonts w:eastAsia="Calibri"/>
              </w:rPr>
              <w:t xml:space="preserve"> </w:t>
            </w:r>
            <w:r w:rsidRPr="003815D6">
              <w:rPr>
                <w:rFonts w:eastAsia="Calibri"/>
              </w:rPr>
              <w:t xml:space="preserve">and </w:t>
            </w:r>
            <w:r w:rsidR="005434F0" w:rsidRPr="003815D6">
              <w:rPr>
                <w:rFonts w:eastAsia="Calibri"/>
              </w:rPr>
              <w:t>Azure Active Directory Conditional Access</w:t>
            </w:r>
            <w:r w:rsidRPr="003815D6">
              <w:rPr>
                <w:rFonts w:eastAsia="Calibri"/>
              </w:rPr>
              <w:t xml:space="preserve"> solution to users, optionally performed </w:t>
            </w:r>
            <w:r w:rsidR="009126E2" w:rsidRPr="003815D6">
              <w:rPr>
                <w:rFonts w:eastAsia="Calibri"/>
              </w:rPr>
              <w:t xml:space="preserve">through a </w:t>
            </w:r>
            <w:r w:rsidRPr="003815D6">
              <w:rPr>
                <w:rFonts w:eastAsia="Calibri"/>
              </w:rPr>
              <w:t xml:space="preserve">phased rollout. Microsoft will disengage after </w:t>
            </w:r>
            <w:r w:rsidR="009126E2" w:rsidRPr="003815D6">
              <w:rPr>
                <w:rFonts w:eastAsia="Calibri"/>
              </w:rPr>
              <w:t xml:space="preserve">1 </w:t>
            </w:r>
            <w:r w:rsidRPr="003815D6">
              <w:rPr>
                <w:rFonts w:eastAsia="Calibri"/>
              </w:rPr>
              <w:t xml:space="preserve">week of </w:t>
            </w:r>
            <w:r w:rsidR="009126E2" w:rsidRPr="003815D6">
              <w:rPr>
                <w:rFonts w:eastAsia="Calibri"/>
              </w:rPr>
              <w:t xml:space="preserve">a </w:t>
            </w:r>
            <w:r w:rsidRPr="003815D6">
              <w:rPr>
                <w:rFonts w:eastAsia="Calibri"/>
              </w:rPr>
              <w:t xml:space="preserve">phased rollout, after which the </w:t>
            </w:r>
            <w:r w:rsidR="009633F4" w:rsidRPr="003815D6">
              <w:rPr>
                <w:rFonts w:eastAsia="Calibri"/>
              </w:rPr>
              <w:t>customer</w:t>
            </w:r>
            <w:r w:rsidRPr="003815D6">
              <w:rPr>
                <w:rFonts w:eastAsia="Calibri"/>
              </w:rPr>
              <w:t xml:space="preserve"> will be responsible for completion.</w:t>
            </w:r>
          </w:p>
          <w:p w14:paraId="214FF46D" w14:textId="2EE2F958" w:rsidR="002641DA" w:rsidRPr="003815D6" w:rsidRDefault="002641DA" w:rsidP="004C53CC">
            <w:pPr>
              <w:pStyle w:val="TableBullet1"/>
              <w:numPr>
                <w:ilvl w:val="0"/>
                <w:numId w:val="11"/>
              </w:numPr>
              <w:ind w:left="360"/>
              <w:rPr>
                <w:rFonts w:eastAsia="Calibri"/>
              </w:rPr>
            </w:pPr>
            <w:r w:rsidRPr="003815D6">
              <w:rPr>
                <w:rFonts w:eastAsia="Calibri"/>
              </w:rPr>
              <w:t>Demonstrate Azure AD</w:t>
            </w:r>
            <w:r w:rsidR="00B23223" w:rsidRPr="003815D6">
              <w:rPr>
                <w:rFonts w:eastAsia="Calibri"/>
              </w:rPr>
              <w:t xml:space="preserve"> </w:t>
            </w:r>
            <w:r w:rsidRPr="003815D6">
              <w:rPr>
                <w:rFonts w:eastAsia="Calibri"/>
              </w:rPr>
              <w:t xml:space="preserve">Identity Protection for </w:t>
            </w:r>
            <w:r w:rsidR="009126E2" w:rsidRPr="003815D6">
              <w:rPr>
                <w:rFonts w:eastAsia="Calibri"/>
              </w:rPr>
              <w:t xml:space="preserve">the </w:t>
            </w:r>
            <w:r w:rsidR="009633F4" w:rsidRPr="003815D6">
              <w:rPr>
                <w:rFonts w:eastAsia="Calibri"/>
              </w:rPr>
              <w:t>customer</w:t>
            </w:r>
            <w:r w:rsidR="00423482">
              <w:rPr>
                <w:rFonts w:eastAsia="Calibri"/>
              </w:rPr>
              <w:t>.</w:t>
            </w:r>
          </w:p>
        </w:tc>
      </w:tr>
      <w:tr w:rsidR="00D6498A" w:rsidRPr="003815D6" w14:paraId="11FC85C4" w14:textId="77777777" w:rsidTr="005C3C1C">
        <w:trPr>
          <w:gridAfter w:val="1"/>
          <w:wAfter w:w="13" w:type="dxa"/>
          <w:trHeight w:val="422"/>
        </w:trPr>
        <w:tc>
          <w:tcPr>
            <w:tcW w:w="3068" w:type="dxa"/>
            <w:tcBorders>
              <w:top w:val="single" w:sz="2" w:space="0" w:color="7F7F7F"/>
              <w:left w:val="single" w:sz="2" w:space="0" w:color="7F7F7F"/>
              <w:bottom w:val="single" w:sz="2" w:space="0" w:color="7F7F7F"/>
              <w:right w:val="single" w:sz="2" w:space="0" w:color="7F7F7F"/>
            </w:tcBorders>
            <w:shd w:val="clear" w:color="auto" w:fill="auto"/>
          </w:tcPr>
          <w:p w14:paraId="7E836794" w14:textId="16FF99FC" w:rsidR="002641DA" w:rsidRPr="003815D6" w:rsidRDefault="002641DA" w:rsidP="005C3C1C">
            <w:pPr>
              <w:rPr>
                <w:rFonts w:eastAsia="Calibri"/>
              </w:rPr>
            </w:pPr>
            <w:r w:rsidRPr="003815D6">
              <w:rPr>
                <w:rFonts w:eastAsia="Calibri"/>
                <w:b/>
              </w:rPr>
              <w:t>Customer activities</w:t>
            </w:r>
            <w:r w:rsidR="0006440D">
              <w:rPr>
                <w:rFonts w:eastAsia="Calibri"/>
                <w:b/>
              </w:rPr>
              <w:t xml:space="preserve"> (</w:t>
            </w:r>
            <w:r w:rsidR="00EB6536">
              <w:rPr>
                <w:rFonts w:eastAsia="Calibri"/>
                <w:b/>
              </w:rPr>
              <w:t xml:space="preserve"> and/or </w:t>
            </w:r>
            <w:r w:rsidR="0006440D">
              <w:rPr>
                <w:rFonts w:eastAsia="Calibri"/>
                <w:b/>
              </w:rPr>
              <w:t>)</w:t>
            </w:r>
            <w:r w:rsidRPr="003815D6">
              <w:rPr>
                <w:rFonts w:eastAsia="Calibri"/>
                <w:b/>
              </w:rPr>
              <w:br/>
            </w:r>
            <w:r w:rsidRPr="003815D6">
              <w:rPr>
                <w:rFonts w:eastAsia="Calibri"/>
              </w:rPr>
              <w:t xml:space="preserve">The activities to be performed by the </w:t>
            </w:r>
            <w:r w:rsidR="001A2543" w:rsidRPr="003815D6">
              <w:rPr>
                <w:rFonts w:eastAsia="Calibri"/>
              </w:rPr>
              <w:t>Customer</w:t>
            </w:r>
          </w:p>
        </w:tc>
        <w:tc>
          <w:tcPr>
            <w:tcW w:w="6140" w:type="dxa"/>
            <w:tcBorders>
              <w:top w:val="single" w:sz="2" w:space="0" w:color="7F7F7F"/>
              <w:left w:val="single" w:sz="2" w:space="0" w:color="7F7F7F"/>
              <w:bottom w:val="single" w:sz="2" w:space="0" w:color="7F7F7F"/>
              <w:right w:val="single" w:sz="2" w:space="0" w:color="7F7F7F"/>
            </w:tcBorders>
            <w:shd w:val="clear" w:color="auto" w:fill="FFFFFF"/>
          </w:tcPr>
          <w:p w14:paraId="1229A52F" w14:textId="23EDCB7F" w:rsidR="002641DA" w:rsidRPr="003815D6" w:rsidRDefault="002641DA" w:rsidP="005C3C1C">
            <w:pPr>
              <w:pStyle w:val="TableBullet1"/>
              <w:numPr>
                <w:ilvl w:val="0"/>
                <w:numId w:val="0"/>
              </w:numPr>
              <w:rPr>
                <w:rFonts w:eastAsia="Calibri"/>
                <w:b/>
              </w:rPr>
            </w:pPr>
            <w:r w:rsidRPr="003815D6">
              <w:rPr>
                <w:rFonts w:eastAsia="Calibri"/>
                <w:b/>
              </w:rPr>
              <w:t>Assess</w:t>
            </w:r>
            <w:r w:rsidR="00DE0541" w:rsidRPr="003815D6">
              <w:rPr>
                <w:rFonts w:eastAsia="Calibri"/>
                <w:b/>
              </w:rPr>
              <w:t xml:space="preserve"> phase</w:t>
            </w:r>
          </w:p>
          <w:p w14:paraId="62B2BED5" w14:textId="5D52A08E" w:rsidR="002641DA" w:rsidRPr="003815D6" w:rsidRDefault="002641DA" w:rsidP="004C53CC">
            <w:pPr>
              <w:pStyle w:val="TableBullet1"/>
              <w:numPr>
                <w:ilvl w:val="0"/>
                <w:numId w:val="11"/>
              </w:numPr>
              <w:spacing w:before="0"/>
              <w:ind w:left="360"/>
              <w:contextualSpacing w:val="0"/>
              <w:rPr>
                <w:rFonts w:eastAsia="Calibri"/>
              </w:rPr>
            </w:pPr>
            <w:r w:rsidRPr="003815D6">
              <w:t>Participate in the assessment and planning workshop, communicate requirements, provide current environmental information, and make design decisions</w:t>
            </w:r>
            <w:r w:rsidR="00423482">
              <w:t>.</w:t>
            </w:r>
          </w:p>
          <w:p w14:paraId="7E4FEB82" w14:textId="54F2392D" w:rsidR="002641DA" w:rsidRPr="003815D6" w:rsidRDefault="002641DA" w:rsidP="005C3C1C">
            <w:pPr>
              <w:pStyle w:val="TableBullet1"/>
              <w:numPr>
                <w:ilvl w:val="0"/>
                <w:numId w:val="0"/>
              </w:numPr>
              <w:rPr>
                <w:rFonts w:eastAsia="Calibri"/>
                <w:b/>
              </w:rPr>
            </w:pPr>
            <w:r w:rsidRPr="003815D6">
              <w:rPr>
                <w:rFonts w:eastAsia="Calibri"/>
                <w:b/>
              </w:rPr>
              <w:t>Enable</w:t>
            </w:r>
            <w:r w:rsidR="00DE0541" w:rsidRPr="003815D6">
              <w:rPr>
                <w:rFonts w:eastAsia="Calibri"/>
                <w:b/>
              </w:rPr>
              <w:t xml:space="preserve"> phase</w:t>
            </w:r>
          </w:p>
          <w:p w14:paraId="5B0ADD46" w14:textId="47C1C5E5" w:rsidR="002641DA" w:rsidRPr="003815D6" w:rsidRDefault="002641DA" w:rsidP="004C53CC">
            <w:pPr>
              <w:pStyle w:val="TableBullet1"/>
              <w:numPr>
                <w:ilvl w:val="0"/>
                <w:numId w:val="11"/>
              </w:numPr>
              <w:ind w:left="360"/>
              <w:rPr>
                <w:rFonts w:eastAsia="Calibri"/>
              </w:rPr>
            </w:pPr>
            <w:r w:rsidRPr="003815D6">
              <w:rPr>
                <w:rFonts w:eastAsia="Calibri"/>
              </w:rPr>
              <w:t>Assist Microsoft, as necessary, during production implementation tasks</w:t>
            </w:r>
            <w:r w:rsidR="00423482">
              <w:rPr>
                <w:rFonts w:eastAsia="Calibri"/>
              </w:rPr>
              <w:t>.</w:t>
            </w:r>
          </w:p>
          <w:p w14:paraId="4AD7BACB" w14:textId="74F5387B" w:rsidR="002641DA" w:rsidRPr="003815D6" w:rsidRDefault="002641DA" w:rsidP="004C53CC">
            <w:pPr>
              <w:pStyle w:val="TableBullet1"/>
              <w:numPr>
                <w:ilvl w:val="0"/>
                <w:numId w:val="11"/>
              </w:numPr>
              <w:ind w:left="360"/>
              <w:rPr>
                <w:rFonts w:eastAsia="Calibri"/>
              </w:rPr>
            </w:pPr>
            <w:r w:rsidRPr="003815D6">
              <w:rPr>
                <w:rFonts w:eastAsia="Calibri"/>
              </w:rPr>
              <w:t>Participate in solution validation testing</w:t>
            </w:r>
            <w:r w:rsidR="00423482">
              <w:rPr>
                <w:rFonts w:eastAsia="Calibri"/>
              </w:rPr>
              <w:t>.</w:t>
            </w:r>
          </w:p>
          <w:p w14:paraId="5125DAF5" w14:textId="0C80CC49" w:rsidR="002641DA" w:rsidRPr="003815D6" w:rsidRDefault="002641DA" w:rsidP="004C53CC">
            <w:pPr>
              <w:pStyle w:val="TableBullet1"/>
              <w:numPr>
                <w:ilvl w:val="0"/>
                <w:numId w:val="11"/>
              </w:numPr>
              <w:ind w:left="360"/>
              <w:rPr>
                <w:rFonts w:eastAsia="Calibri"/>
              </w:rPr>
            </w:pPr>
            <w:r w:rsidRPr="003815D6">
              <w:rPr>
                <w:rFonts w:eastAsia="Calibri"/>
              </w:rPr>
              <w:lastRenderedPageBreak/>
              <w:t xml:space="preserve">Manage all end-user communication related to the rollout of the </w:t>
            </w:r>
            <w:r w:rsidR="009126E2" w:rsidRPr="003815D6">
              <w:rPr>
                <w:rFonts w:eastAsia="Calibri"/>
              </w:rPr>
              <w:t xml:space="preserve">Azure Multi-Factor Authentication </w:t>
            </w:r>
            <w:r w:rsidRPr="003815D6">
              <w:rPr>
                <w:rFonts w:eastAsia="Calibri"/>
              </w:rPr>
              <w:t xml:space="preserve">and </w:t>
            </w:r>
            <w:r w:rsidR="009126E2" w:rsidRPr="003815D6">
              <w:t>Azure Active Directory Conditional Access</w:t>
            </w:r>
            <w:r w:rsidRPr="003815D6">
              <w:rPr>
                <w:rFonts w:eastAsia="Calibri"/>
              </w:rPr>
              <w:t xml:space="preserve"> solution</w:t>
            </w:r>
            <w:r w:rsidR="009126E2" w:rsidRPr="003815D6">
              <w:rPr>
                <w:rFonts w:eastAsia="Calibri"/>
              </w:rPr>
              <w:t>s</w:t>
            </w:r>
            <w:r w:rsidR="00423482">
              <w:rPr>
                <w:rFonts w:eastAsia="Calibri"/>
              </w:rPr>
              <w:t>.</w:t>
            </w:r>
          </w:p>
          <w:p w14:paraId="344DC158" w14:textId="05B2CC81" w:rsidR="002641DA" w:rsidRPr="003815D6" w:rsidRDefault="002641DA" w:rsidP="004C53CC">
            <w:pPr>
              <w:pStyle w:val="TableBullet1"/>
              <w:numPr>
                <w:ilvl w:val="0"/>
                <w:numId w:val="11"/>
              </w:numPr>
              <w:ind w:left="360"/>
              <w:rPr>
                <w:rFonts w:eastAsia="Calibri"/>
              </w:rPr>
            </w:pPr>
            <w:r w:rsidRPr="003815D6">
              <w:rPr>
                <w:rFonts w:eastAsia="Calibri"/>
              </w:rPr>
              <w:t>If deploying the solution</w:t>
            </w:r>
            <w:r w:rsidR="009126E2" w:rsidRPr="003815D6">
              <w:rPr>
                <w:rFonts w:eastAsia="Calibri"/>
              </w:rPr>
              <w:t>s</w:t>
            </w:r>
            <w:r w:rsidRPr="003815D6">
              <w:rPr>
                <w:rFonts w:eastAsia="Calibri"/>
              </w:rPr>
              <w:t xml:space="preserve"> to users </w:t>
            </w:r>
            <w:r w:rsidR="009126E2" w:rsidRPr="003815D6">
              <w:rPr>
                <w:rFonts w:eastAsia="Calibri"/>
              </w:rPr>
              <w:t xml:space="preserve">through </w:t>
            </w:r>
            <w:r w:rsidRPr="003815D6">
              <w:rPr>
                <w:rFonts w:eastAsia="Calibri"/>
              </w:rPr>
              <w:t xml:space="preserve">a phased rollout more than </w:t>
            </w:r>
            <w:r w:rsidR="009126E2" w:rsidRPr="003815D6">
              <w:rPr>
                <w:rFonts w:eastAsia="Calibri"/>
              </w:rPr>
              <w:t xml:space="preserve">1 </w:t>
            </w:r>
            <w:r w:rsidRPr="003815D6">
              <w:rPr>
                <w:rFonts w:eastAsia="Calibri"/>
              </w:rPr>
              <w:t>week in duration, complete the rollout to users after Microsoft disengages</w:t>
            </w:r>
            <w:r w:rsidR="00423482">
              <w:rPr>
                <w:rFonts w:eastAsia="Calibri"/>
              </w:rPr>
              <w:t>.</w:t>
            </w:r>
          </w:p>
          <w:p w14:paraId="25FF2CBB" w14:textId="058C8233" w:rsidR="002641DA" w:rsidRPr="003815D6" w:rsidRDefault="002641DA" w:rsidP="004C53CC">
            <w:pPr>
              <w:pStyle w:val="TableBullet1"/>
              <w:numPr>
                <w:ilvl w:val="0"/>
                <w:numId w:val="11"/>
              </w:numPr>
              <w:ind w:left="360"/>
              <w:rPr>
                <w:rFonts w:eastAsia="Calibri"/>
              </w:rPr>
            </w:pPr>
            <w:r w:rsidRPr="003815D6">
              <w:rPr>
                <w:rFonts w:eastAsia="Calibri"/>
              </w:rPr>
              <w:t xml:space="preserve">Participate in </w:t>
            </w:r>
            <w:r w:rsidR="009126E2" w:rsidRPr="003815D6">
              <w:rPr>
                <w:rFonts w:eastAsia="Calibri"/>
              </w:rPr>
              <w:t xml:space="preserve">a </w:t>
            </w:r>
            <w:r w:rsidRPr="003815D6">
              <w:rPr>
                <w:rFonts w:eastAsia="Calibri"/>
              </w:rPr>
              <w:t>demonstration of Azure AD Identity Protection</w:t>
            </w:r>
            <w:r w:rsidR="00423482">
              <w:rPr>
                <w:rFonts w:eastAsia="Calibri"/>
              </w:rPr>
              <w:t>.</w:t>
            </w:r>
          </w:p>
          <w:p w14:paraId="4963BAA7" w14:textId="6077261B" w:rsidR="002641DA" w:rsidRPr="003815D6" w:rsidRDefault="002641DA" w:rsidP="004C53CC">
            <w:pPr>
              <w:pStyle w:val="TableBullet1"/>
              <w:numPr>
                <w:ilvl w:val="0"/>
                <w:numId w:val="11"/>
              </w:numPr>
              <w:ind w:left="360"/>
              <w:rPr>
                <w:rFonts w:eastAsia="Calibri"/>
              </w:rPr>
            </w:pPr>
            <w:r w:rsidRPr="003815D6">
              <w:rPr>
                <w:rFonts w:eastAsia="Calibri"/>
              </w:rPr>
              <w:t>Take ownership of the solution for ongoing management and support</w:t>
            </w:r>
            <w:r w:rsidR="00423482">
              <w:rPr>
                <w:rFonts w:eastAsia="Calibri"/>
              </w:rPr>
              <w:t>.</w:t>
            </w:r>
          </w:p>
        </w:tc>
      </w:tr>
      <w:tr w:rsidR="00D6498A" w:rsidRPr="003815D6" w14:paraId="32538C40" w14:textId="77777777" w:rsidTr="005C3C1C">
        <w:trPr>
          <w:gridAfter w:val="1"/>
          <w:wAfter w:w="13" w:type="dxa"/>
          <w:trHeight w:val="310"/>
        </w:trPr>
        <w:tc>
          <w:tcPr>
            <w:tcW w:w="3068" w:type="dxa"/>
            <w:tcBorders>
              <w:top w:val="single" w:sz="2" w:space="0" w:color="7F7F7F"/>
              <w:left w:val="single" w:sz="2" w:space="0" w:color="7F7F7F"/>
              <w:bottom w:val="single" w:sz="2" w:space="0" w:color="7F7F7F"/>
              <w:right w:val="single" w:sz="2" w:space="0" w:color="7F7F7F"/>
            </w:tcBorders>
            <w:shd w:val="clear" w:color="auto" w:fill="auto"/>
          </w:tcPr>
          <w:p w14:paraId="1FA475AA" w14:textId="77777777" w:rsidR="002641DA" w:rsidRPr="003815D6" w:rsidRDefault="002641DA" w:rsidP="005C3C1C">
            <w:pPr>
              <w:rPr>
                <w:rFonts w:eastAsia="Calibri"/>
              </w:rPr>
            </w:pPr>
            <w:r w:rsidRPr="003815D6">
              <w:rPr>
                <w:rFonts w:eastAsia="Calibri"/>
                <w:b/>
              </w:rPr>
              <w:lastRenderedPageBreak/>
              <w:t>Key assumptions</w:t>
            </w:r>
            <w:r w:rsidRPr="003815D6">
              <w:rPr>
                <w:rFonts w:eastAsia="Calibri"/>
                <w:b/>
              </w:rPr>
              <w:br/>
            </w:r>
          </w:p>
        </w:tc>
        <w:tc>
          <w:tcPr>
            <w:tcW w:w="6140" w:type="dxa"/>
            <w:tcBorders>
              <w:top w:val="single" w:sz="2" w:space="0" w:color="7F7F7F"/>
              <w:left w:val="single" w:sz="2" w:space="0" w:color="7F7F7F"/>
              <w:bottom w:val="single" w:sz="2" w:space="0" w:color="7F7F7F"/>
              <w:right w:val="single" w:sz="2" w:space="0" w:color="7F7F7F"/>
            </w:tcBorders>
            <w:shd w:val="clear" w:color="auto" w:fill="FFFFFF"/>
          </w:tcPr>
          <w:p w14:paraId="0342BCD9" w14:textId="77777777" w:rsidR="002641DA" w:rsidRPr="003815D6" w:rsidRDefault="005C3C1C" w:rsidP="005C3C1C">
            <w:pPr>
              <w:pStyle w:val="TableBullet1"/>
              <w:numPr>
                <w:ilvl w:val="0"/>
                <w:numId w:val="0"/>
              </w:numPr>
              <w:rPr>
                <w:rFonts w:eastAsia="Calibri"/>
              </w:rPr>
            </w:pPr>
            <w:r w:rsidRPr="003815D6">
              <w:rPr>
                <w:rFonts w:eastAsia="Calibri"/>
              </w:rPr>
              <w:t>None</w:t>
            </w:r>
          </w:p>
        </w:tc>
      </w:tr>
      <w:tr w:rsidR="00D6498A" w:rsidRPr="003815D6" w14:paraId="7A466481" w14:textId="77777777" w:rsidTr="005C3C1C">
        <w:trPr>
          <w:gridAfter w:val="1"/>
          <w:wAfter w:w="13" w:type="dxa"/>
          <w:trHeight w:val="310"/>
        </w:trPr>
        <w:tc>
          <w:tcPr>
            <w:tcW w:w="3068" w:type="dxa"/>
            <w:tcBorders>
              <w:top w:val="single" w:sz="2" w:space="0" w:color="7F7F7F"/>
              <w:left w:val="single" w:sz="2" w:space="0" w:color="7F7F7F"/>
              <w:bottom w:val="single" w:sz="2" w:space="0" w:color="7F7F7F"/>
              <w:right w:val="single" w:sz="2" w:space="0" w:color="7F7F7F"/>
            </w:tcBorders>
            <w:shd w:val="clear" w:color="auto" w:fill="auto"/>
          </w:tcPr>
          <w:p w14:paraId="4A384EAA" w14:textId="77777777" w:rsidR="002641DA" w:rsidRPr="003815D6" w:rsidRDefault="002641DA" w:rsidP="005C3C1C">
            <w:pPr>
              <w:rPr>
                <w:rFonts w:eastAsia="Calibri"/>
                <w:b/>
              </w:rPr>
            </w:pPr>
            <w:r w:rsidRPr="003815D6">
              <w:rPr>
                <w:rFonts w:eastAsia="Calibri"/>
                <w:b/>
              </w:rPr>
              <w:t>Project deliverables</w:t>
            </w:r>
            <w:r w:rsidRPr="003815D6">
              <w:rPr>
                <w:rFonts w:eastAsia="Calibri"/>
                <w:b/>
              </w:rPr>
              <w:br/>
            </w:r>
            <w:r w:rsidRPr="003815D6">
              <w:rPr>
                <w:rFonts w:eastAsia="Calibri"/>
              </w:rPr>
              <w:t>Content for this project component will be included in these project deliverables</w:t>
            </w:r>
          </w:p>
        </w:tc>
        <w:tc>
          <w:tcPr>
            <w:tcW w:w="6140" w:type="dxa"/>
            <w:tcBorders>
              <w:top w:val="single" w:sz="2" w:space="0" w:color="7F7F7F"/>
              <w:left w:val="single" w:sz="2" w:space="0" w:color="7F7F7F"/>
              <w:bottom w:val="single" w:sz="2" w:space="0" w:color="7F7F7F"/>
              <w:right w:val="single" w:sz="2" w:space="0" w:color="7F7F7F"/>
            </w:tcBorders>
            <w:shd w:val="clear" w:color="auto" w:fill="FFFFFF"/>
          </w:tcPr>
          <w:p w14:paraId="6D2EB150" w14:textId="77777777" w:rsidR="002641DA" w:rsidRPr="003815D6" w:rsidRDefault="002641DA" w:rsidP="004C53CC">
            <w:pPr>
              <w:pStyle w:val="TableBullet1"/>
              <w:numPr>
                <w:ilvl w:val="0"/>
                <w:numId w:val="11"/>
              </w:numPr>
              <w:ind w:left="360"/>
            </w:pPr>
            <w:r w:rsidRPr="003815D6">
              <w:t>Preparation checklist</w:t>
            </w:r>
          </w:p>
          <w:p w14:paraId="335536EF" w14:textId="77777777" w:rsidR="002641DA" w:rsidRPr="003815D6" w:rsidRDefault="002641DA" w:rsidP="004C53CC">
            <w:pPr>
              <w:pStyle w:val="TableBullet1"/>
              <w:numPr>
                <w:ilvl w:val="0"/>
                <w:numId w:val="11"/>
              </w:numPr>
              <w:ind w:left="360"/>
            </w:pPr>
            <w:r w:rsidRPr="003815D6">
              <w:t>Design and plan</w:t>
            </w:r>
          </w:p>
          <w:p w14:paraId="672945D0" w14:textId="77777777" w:rsidR="002641DA" w:rsidRPr="003815D6" w:rsidRDefault="002641DA" w:rsidP="004C53CC">
            <w:pPr>
              <w:pStyle w:val="TableBullet1"/>
              <w:numPr>
                <w:ilvl w:val="0"/>
                <w:numId w:val="11"/>
              </w:numPr>
              <w:ind w:left="360"/>
            </w:pPr>
            <w:r w:rsidRPr="003815D6">
              <w:t>Test cases</w:t>
            </w:r>
          </w:p>
          <w:p w14:paraId="35683858" w14:textId="77777777" w:rsidR="002641DA" w:rsidRPr="003815D6" w:rsidRDefault="002641DA" w:rsidP="004C53CC">
            <w:pPr>
              <w:pStyle w:val="TableBullet1"/>
              <w:numPr>
                <w:ilvl w:val="0"/>
                <w:numId w:val="11"/>
              </w:numPr>
              <w:ind w:left="360"/>
            </w:pPr>
            <w:r w:rsidRPr="003815D6">
              <w:t>Delivery summary</w:t>
            </w:r>
          </w:p>
        </w:tc>
      </w:tr>
    </w:tbl>
    <w:p w14:paraId="53A50F9D" w14:textId="5BCCB3B8" w:rsidR="002641DA" w:rsidRPr="003815D6" w:rsidRDefault="002641DA" w:rsidP="00BD3F15">
      <w:pPr>
        <w:pStyle w:val="Heading4"/>
      </w:pPr>
      <w:bookmarkStart w:id="79" w:name="_Ref512950477"/>
      <w:r w:rsidRPr="003815D6">
        <w:t>Exchange Online Enablement (EXO-01)</w:t>
      </w:r>
      <w:bookmarkEnd w:id="79"/>
    </w:p>
    <w:tbl>
      <w:tblPr>
        <w:tblStyle w:val="TableGrid1"/>
        <w:tblW w:w="9221" w:type="dxa"/>
        <w:tblInd w:w="-5"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ook w:val="04A0" w:firstRow="1" w:lastRow="0" w:firstColumn="1" w:lastColumn="0" w:noHBand="0" w:noVBand="1"/>
      </w:tblPr>
      <w:tblGrid>
        <w:gridCol w:w="3068"/>
        <w:gridCol w:w="6140"/>
        <w:gridCol w:w="13"/>
      </w:tblGrid>
      <w:tr w:rsidR="00DE2FE1" w:rsidRPr="003815D6" w14:paraId="6D4AF8B8" w14:textId="77777777" w:rsidTr="1010A115">
        <w:trPr>
          <w:trHeight w:val="542"/>
          <w:tblHeader/>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008272"/>
          </w:tcPr>
          <w:p w14:paraId="7E54E3C1" w14:textId="77777777" w:rsidR="002641DA" w:rsidRPr="003815D6" w:rsidRDefault="002641DA" w:rsidP="005C3C1C">
            <w:pPr>
              <w:rPr>
                <w:rFonts w:eastAsia="Calibri"/>
                <w:b/>
                <w:color w:val="FFFFFF"/>
              </w:rPr>
            </w:pPr>
            <w:r w:rsidRPr="003815D6">
              <w:rPr>
                <w:rFonts w:eastAsia="Calibri"/>
                <w:b/>
                <w:color w:val="FFFFFF"/>
              </w:rPr>
              <w:t>Category</w:t>
            </w:r>
          </w:p>
        </w:tc>
        <w:tc>
          <w:tcPr>
            <w:tcW w:w="6153" w:type="dxa"/>
            <w:gridSpan w:val="2"/>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008272"/>
          </w:tcPr>
          <w:p w14:paraId="19B26EA2" w14:textId="77777777" w:rsidR="002641DA" w:rsidRPr="003815D6" w:rsidRDefault="002641DA" w:rsidP="005C3C1C">
            <w:pPr>
              <w:rPr>
                <w:rFonts w:eastAsia="Calibri"/>
                <w:b/>
                <w:color w:val="FFFFFF"/>
              </w:rPr>
            </w:pPr>
            <w:r w:rsidRPr="003815D6">
              <w:rPr>
                <w:rFonts w:eastAsia="Calibri"/>
                <w:b/>
                <w:color w:val="FFFFFF"/>
              </w:rPr>
              <w:t>Description</w:t>
            </w:r>
          </w:p>
        </w:tc>
      </w:tr>
      <w:tr w:rsidR="00D6498A" w:rsidRPr="003815D6" w14:paraId="6952390B" w14:textId="77777777" w:rsidTr="1010A115">
        <w:trPr>
          <w:gridAfter w:val="1"/>
          <w:wAfter w:w="13" w:type="dxa"/>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703489B3" w14:textId="77777777" w:rsidR="002641DA" w:rsidRPr="003815D6" w:rsidRDefault="002641DA" w:rsidP="005C3C1C">
            <w:pPr>
              <w:rPr>
                <w:rFonts w:eastAsia="Calibri"/>
              </w:rPr>
            </w:pPr>
            <w:r w:rsidRPr="003815D6">
              <w:rPr>
                <w:rFonts w:eastAsia="Calibri"/>
                <w:b/>
              </w:rPr>
              <w:t>Microsoft activities</w:t>
            </w:r>
            <w:r w:rsidRPr="003815D6">
              <w:rPr>
                <w:rFonts w:eastAsia="Calibri"/>
                <w:b/>
              </w:rPr>
              <w:br/>
            </w:r>
            <w:r w:rsidRPr="003815D6">
              <w:rPr>
                <w:rFonts w:eastAsia="Calibri"/>
              </w:rPr>
              <w:t>The activities to be performed by Microsoft</w:t>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2A9396BC" w14:textId="4FF1702C" w:rsidR="002641DA" w:rsidRPr="003815D6" w:rsidRDefault="002641DA" w:rsidP="00780D6C">
            <w:pPr>
              <w:pStyle w:val="TableBullet1"/>
              <w:numPr>
                <w:ilvl w:val="0"/>
                <w:numId w:val="0"/>
              </w:numPr>
              <w:rPr>
                <w:rFonts w:eastAsia="Calibri"/>
                <w:b/>
              </w:rPr>
            </w:pPr>
            <w:r w:rsidRPr="003815D6">
              <w:rPr>
                <w:rFonts w:eastAsia="Calibri"/>
                <w:b/>
              </w:rPr>
              <w:t>Assess</w:t>
            </w:r>
            <w:r w:rsidR="00DE0541" w:rsidRPr="003815D6">
              <w:rPr>
                <w:rFonts w:eastAsia="Calibri"/>
                <w:b/>
              </w:rPr>
              <w:t xml:space="preserve"> phase</w:t>
            </w:r>
          </w:p>
          <w:p w14:paraId="7B0A63C3" w14:textId="557A85FB" w:rsidR="002641DA" w:rsidRPr="003815D6" w:rsidRDefault="002641DA" w:rsidP="004C53CC">
            <w:pPr>
              <w:pStyle w:val="TableBullet1"/>
              <w:numPr>
                <w:ilvl w:val="0"/>
                <w:numId w:val="11"/>
              </w:numPr>
              <w:spacing w:before="0"/>
              <w:ind w:left="360"/>
              <w:contextualSpacing w:val="0"/>
            </w:pPr>
            <w:r w:rsidRPr="003815D6">
              <w:t xml:space="preserve">Conduct a planning workshop to gather requirements, information about the current environment, and </w:t>
            </w:r>
            <w:r w:rsidR="009126E2" w:rsidRPr="003815D6">
              <w:t>c</w:t>
            </w:r>
            <w:r w:rsidRPr="003815D6">
              <w:t>ustomer design decisions for Exchange Online enablement</w:t>
            </w:r>
            <w:r w:rsidR="009126E2" w:rsidRPr="003815D6">
              <w:t xml:space="preserve"> (</w:t>
            </w:r>
            <w:r w:rsidRPr="003815D6">
              <w:t>limited to 4 hours</w:t>
            </w:r>
            <w:r w:rsidR="009126E2" w:rsidRPr="003815D6">
              <w:t>)</w:t>
            </w:r>
            <w:r w:rsidR="00423482">
              <w:t>.</w:t>
            </w:r>
          </w:p>
          <w:p w14:paraId="58A23C41" w14:textId="447968C7" w:rsidR="002641DA" w:rsidRPr="003815D6" w:rsidRDefault="002641DA" w:rsidP="00780D6C">
            <w:pPr>
              <w:pStyle w:val="TableBullet1"/>
              <w:numPr>
                <w:ilvl w:val="0"/>
                <w:numId w:val="0"/>
              </w:numPr>
              <w:rPr>
                <w:rFonts w:eastAsia="Calibri"/>
                <w:b/>
              </w:rPr>
            </w:pPr>
            <w:r w:rsidRPr="003815D6">
              <w:rPr>
                <w:rFonts w:eastAsia="Calibri"/>
                <w:b/>
              </w:rPr>
              <w:t>Enable</w:t>
            </w:r>
            <w:r w:rsidR="00DE0541" w:rsidRPr="003815D6">
              <w:rPr>
                <w:rFonts w:eastAsia="Calibri"/>
                <w:b/>
              </w:rPr>
              <w:t xml:space="preserve"> phase</w:t>
            </w:r>
          </w:p>
          <w:p w14:paraId="62EE72BC" w14:textId="6E34345F" w:rsidR="002641DA" w:rsidRPr="003815D6" w:rsidRDefault="002641DA" w:rsidP="004C53CC">
            <w:pPr>
              <w:pStyle w:val="TableBullet1"/>
              <w:numPr>
                <w:ilvl w:val="0"/>
                <w:numId w:val="11"/>
              </w:numPr>
              <w:ind w:left="360"/>
            </w:pPr>
            <w:r w:rsidRPr="003815D6">
              <w:t>Configure tenant-level settings for Exchange Online, excluding detailed policy design and configuration</w:t>
            </w:r>
            <w:r w:rsidR="00423482">
              <w:t>.</w:t>
            </w:r>
          </w:p>
          <w:p w14:paraId="70B4906D" w14:textId="2F16F56E" w:rsidR="002641DA" w:rsidRPr="003815D6" w:rsidRDefault="002641DA" w:rsidP="004C53CC">
            <w:pPr>
              <w:pStyle w:val="TableBullet1"/>
              <w:numPr>
                <w:ilvl w:val="0"/>
                <w:numId w:val="11"/>
              </w:numPr>
              <w:ind w:left="360"/>
            </w:pPr>
            <w:r w:rsidRPr="003815D6">
              <w:t xml:space="preserve">Configure internet mail flow or routing from a </w:t>
            </w:r>
            <w:r w:rsidR="009633F4" w:rsidRPr="003815D6">
              <w:t>customer</w:t>
            </w:r>
            <w:r w:rsidRPr="003815D6">
              <w:t>-provided relay</w:t>
            </w:r>
            <w:r w:rsidR="00423482">
              <w:t>.</w:t>
            </w:r>
          </w:p>
          <w:p w14:paraId="5A15A8A5" w14:textId="55DD49ED" w:rsidR="002641DA" w:rsidRPr="003815D6" w:rsidRDefault="002641DA" w:rsidP="004C53CC">
            <w:pPr>
              <w:pStyle w:val="TableBullet1"/>
              <w:numPr>
                <w:ilvl w:val="0"/>
                <w:numId w:val="11"/>
              </w:numPr>
              <w:ind w:left="360"/>
            </w:pPr>
            <w:r w:rsidRPr="003815D6">
              <w:t xml:space="preserve">Provide guidance </w:t>
            </w:r>
            <w:r w:rsidR="00647DDE" w:rsidRPr="003815D6">
              <w:t xml:space="preserve">related to </w:t>
            </w:r>
            <w:r w:rsidRPr="003815D6">
              <w:t>SPF, DKIM, and DMARC configuration with Exchange Online</w:t>
            </w:r>
            <w:r w:rsidR="00423482">
              <w:t>.</w:t>
            </w:r>
          </w:p>
          <w:p w14:paraId="0BF3B64F" w14:textId="523676C1" w:rsidR="002641DA" w:rsidRPr="003815D6" w:rsidRDefault="002641DA" w:rsidP="004C53CC">
            <w:pPr>
              <w:pStyle w:val="TableBullet1"/>
              <w:numPr>
                <w:ilvl w:val="0"/>
                <w:numId w:val="11"/>
              </w:numPr>
              <w:ind w:left="360"/>
            </w:pPr>
            <w:r w:rsidRPr="003815D6">
              <w:t xml:space="preserve">Configure a </w:t>
            </w:r>
            <w:r w:rsidR="009633F4" w:rsidRPr="003815D6">
              <w:t>customer</w:t>
            </w:r>
            <w:r w:rsidRPr="003815D6">
              <w:t xml:space="preserve"> Exchange connector for relay</w:t>
            </w:r>
            <w:r w:rsidR="00423482">
              <w:t>.</w:t>
            </w:r>
          </w:p>
          <w:p w14:paraId="1FA5AB8D" w14:textId="54B322FB" w:rsidR="002641DA" w:rsidRPr="003815D6" w:rsidRDefault="002641DA" w:rsidP="004C53CC">
            <w:pPr>
              <w:pStyle w:val="TableBullet1"/>
              <w:numPr>
                <w:ilvl w:val="0"/>
                <w:numId w:val="11"/>
              </w:numPr>
              <w:ind w:left="360"/>
            </w:pPr>
            <w:r w:rsidRPr="003815D6">
              <w:t>Configure the default Exchange ActiveSync policy</w:t>
            </w:r>
            <w:r w:rsidR="00423482">
              <w:t>.</w:t>
            </w:r>
          </w:p>
          <w:p w14:paraId="31B2F233" w14:textId="072E2E55" w:rsidR="002641DA" w:rsidRPr="003815D6" w:rsidRDefault="002641DA" w:rsidP="004C53CC">
            <w:pPr>
              <w:pStyle w:val="TableBullet1"/>
              <w:numPr>
                <w:ilvl w:val="0"/>
                <w:numId w:val="11"/>
              </w:numPr>
              <w:spacing w:before="0" w:after="0"/>
              <w:ind w:left="360"/>
              <w:contextualSpacing w:val="0"/>
            </w:pPr>
            <w:r w:rsidRPr="003815D6">
              <w:t>Deploy an Exchange management server</w:t>
            </w:r>
            <w:r w:rsidR="00423482">
              <w:t>.</w:t>
            </w:r>
          </w:p>
          <w:p w14:paraId="39026E49" w14:textId="32ECAF69" w:rsidR="002641DA" w:rsidRPr="00ED5DA5" w:rsidRDefault="002641DA" w:rsidP="00AE182B">
            <w:pPr>
              <w:pStyle w:val="Instructional"/>
              <w:ind w:left="360"/>
              <w:rPr>
                <w:color w:val="000000" w:themeColor="text1"/>
              </w:rPr>
            </w:pPr>
            <w:r w:rsidRPr="00ED5DA5">
              <w:rPr>
                <w:b/>
                <w:color w:val="000000" w:themeColor="text1"/>
              </w:rPr>
              <w:t>Exchange Hybrid</w:t>
            </w:r>
          </w:p>
          <w:p w14:paraId="2D4DC59B" w14:textId="27FAFD01" w:rsidR="002641DA" w:rsidRPr="00ED5DA5" w:rsidRDefault="002641DA" w:rsidP="004C53CC">
            <w:pPr>
              <w:pStyle w:val="TableBullet1"/>
              <w:numPr>
                <w:ilvl w:val="0"/>
                <w:numId w:val="11"/>
              </w:numPr>
              <w:ind w:left="360"/>
              <w:rPr>
                <w:color w:val="000000" w:themeColor="text1"/>
              </w:rPr>
            </w:pPr>
            <w:r w:rsidRPr="00ED5DA5">
              <w:rPr>
                <w:color w:val="000000" w:themeColor="text1"/>
              </w:rPr>
              <w:t>If necessary, install and configure servers to be used for Exchange hybrid configuration</w:t>
            </w:r>
            <w:r w:rsidR="00423482" w:rsidRPr="00ED5DA5">
              <w:rPr>
                <w:color w:val="000000" w:themeColor="text1"/>
              </w:rPr>
              <w:t>.</w:t>
            </w:r>
          </w:p>
          <w:p w14:paraId="1BA2920B" w14:textId="3B834CDD" w:rsidR="002641DA" w:rsidRPr="00ED5DA5" w:rsidRDefault="002641DA" w:rsidP="004C53CC">
            <w:pPr>
              <w:pStyle w:val="TableBullet1"/>
              <w:numPr>
                <w:ilvl w:val="0"/>
                <w:numId w:val="11"/>
              </w:numPr>
              <w:ind w:left="360"/>
              <w:rPr>
                <w:color w:val="000000" w:themeColor="text1"/>
              </w:rPr>
            </w:pPr>
            <w:r w:rsidRPr="00ED5DA5">
              <w:rPr>
                <w:color w:val="000000" w:themeColor="text1"/>
              </w:rPr>
              <w:t xml:space="preserve">If required by the </w:t>
            </w:r>
            <w:r w:rsidR="009633F4" w:rsidRPr="00ED5DA5">
              <w:rPr>
                <w:color w:val="000000" w:themeColor="text1"/>
              </w:rPr>
              <w:t>customer</w:t>
            </w:r>
            <w:r w:rsidRPr="00ED5DA5">
              <w:rPr>
                <w:color w:val="000000" w:themeColor="text1"/>
              </w:rPr>
              <w:t>, install and configure Exchange edge transport servers to be used for mail flow between the on-premises Exchange organization and Exchange Online</w:t>
            </w:r>
            <w:r w:rsidR="00423482" w:rsidRPr="00ED5DA5">
              <w:rPr>
                <w:color w:val="000000" w:themeColor="text1"/>
              </w:rPr>
              <w:t>.</w:t>
            </w:r>
          </w:p>
          <w:p w14:paraId="46C97574" w14:textId="01A5B06B" w:rsidR="002641DA" w:rsidRPr="00ED5DA5" w:rsidRDefault="002641DA" w:rsidP="004C53CC">
            <w:pPr>
              <w:pStyle w:val="TableBullet1"/>
              <w:numPr>
                <w:ilvl w:val="0"/>
                <w:numId w:val="11"/>
              </w:numPr>
              <w:ind w:left="360"/>
              <w:rPr>
                <w:color w:val="000000" w:themeColor="text1"/>
              </w:rPr>
            </w:pPr>
            <w:r w:rsidRPr="00ED5DA5">
              <w:rPr>
                <w:color w:val="000000" w:themeColor="text1"/>
              </w:rPr>
              <w:lastRenderedPageBreak/>
              <w:t>Use the Exchange hybrid configuration wizard to establish the Exchange hybrid configuration</w:t>
            </w:r>
            <w:r w:rsidR="00423482" w:rsidRPr="00ED5DA5">
              <w:rPr>
                <w:color w:val="000000" w:themeColor="text1"/>
              </w:rPr>
              <w:t>.</w:t>
            </w:r>
          </w:p>
          <w:p w14:paraId="7FF6A191" w14:textId="439AF2ED" w:rsidR="002641DA" w:rsidRPr="003815D6" w:rsidRDefault="002641DA" w:rsidP="00423482">
            <w:pPr>
              <w:pStyle w:val="TableBullet1"/>
              <w:numPr>
                <w:ilvl w:val="0"/>
                <w:numId w:val="0"/>
              </w:numPr>
              <w:spacing w:after="0"/>
              <w:ind w:left="360" w:hanging="360"/>
              <w:contextualSpacing w:val="0"/>
            </w:pPr>
            <w:r w:rsidRPr="003815D6">
              <w:rPr>
                <w:rFonts w:eastAsia="Calibri"/>
                <w:b/>
              </w:rPr>
              <w:t>Migrate</w:t>
            </w:r>
            <w:r w:rsidR="00DE0541" w:rsidRPr="003815D6">
              <w:rPr>
                <w:rFonts w:eastAsia="Calibri"/>
                <w:b/>
              </w:rPr>
              <w:t xml:space="preserve"> phase</w:t>
            </w:r>
          </w:p>
          <w:p w14:paraId="33A13422" w14:textId="1DE1FA7B" w:rsidR="002641DA" w:rsidRPr="00DE5404" w:rsidRDefault="002641DA" w:rsidP="00AE182B">
            <w:pPr>
              <w:pStyle w:val="Instructional"/>
              <w:ind w:left="360"/>
              <w:rPr>
                <w:b/>
                <w:color w:val="000000" w:themeColor="text1"/>
              </w:rPr>
            </w:pPr>
            <w:r w:rsidRPr="00DE5404">
              <w:rPr>
                <w:b/>
                <w:color w:val="000000" w:themeColor="text1"/>
              </w:rPr>
              <w:t>Exchange Hybrid</w:t>
            </w:r>
          </w:p>
          <w:p w14:paraId="4A59CAF3" w14:textId="0004048B" w:rsidR="002641DA" w:rsidRPr="00DE5404" w:rsidRDefault="002641DA" w:rsidP="004C53CC">
            <w:pPr>
              <w:pStyle w:val="TableBullet1"/>
              <w:numPr>
                <w:ilvl w:val="0"/>
                <w:numId w:val="11"/>
              </w:numPr>
              <w:ind w:left="360"/>
              <w:rPr>
                <w:color w:val="000000" w:themeColor="text1"/>
              </w:rPr>
            </w:pPr>
            <w:r w:rsidRPr="00DE5404">
              <w:rPr>
                <w:color w:val="000000" w:themeColor="text1"/>
              </w:rPr>
              <w:t xml:space="preserve">Provide guidance </w:t>
            </w:r>
            <w:r w:rsidR="005A57F2" w:rsidRPr="00DE5404">
              <w:rPr>
                <w:color w:val="000000" w:themeColor="text1"/>
              </w:rPr>
              <w:t xml:space="preserve">related to </w:t>
            </w:r>
            <w:r w:rsidRPr="00DE5404">
              <w:rPr>
                <w:color w:val="000000" w:themeColor="text1"/>
              </w:rPr>
              <w:t>preflight checks prior to pilot mailbox migrations</w:t>
            </w:r>
            <w:r w:rsidR="00423482" w:rsidRPr="00DE5404">
              <w:rPr>
                <w:color w:val="000000" w:themeColor="text1"/>
              </w:rPr>
              <w:t>.</w:t>
            </w:r>
          </w:p>
          <w:p w14:paraId="71CBBADE" w14:textId="787E2359" w:rsidR="002641DA" w:rsidRPr="00DE5404" w:rsidRDefault="002641DA" w:rsidP="004C53CC">
            <w:pPr>
              <w:pStyle w:val="TableBullet1"/>
              <w:numPr>
                <w:ilvl w:val="0"/>
                <w:numId w:val="11"/>
              </w:numPr>
              <w:ind w:left="360"/>
              <w:rPr>
                <w:color w:val="000000" w:themeColor="text1"/>
              </w:rPr>
            </w:pPr>
            <w:r w:rsidRPr="00DE5404">
              <w:rPr>
                <w:color w:val="000000" w:themeColor="text1"/>
              </w:rPr>
              <w:t>Provide technical assistance during pilot mailbox migrations</w:t>
            </w:r>
            <w:r w:rsidR="005A57F2" w:rsidRPr="00DE5404">
              <w:rPr>
                <w:color w:val="000000" w:themeColor="text1"/>
              </w:rPr>
              <w:t xml:space="preserve"> (</w:t>
            </w:r>
            <w:r w:rsidRPr="00DE5404">
              <w:rPr>
                <w:color w:val="000000" w:themeColor="text1"/>
              </w:rPr>
              <w:t xml:space="preserve">limited to </w:t>
            </w:r>
            <w:r w:rsidR="00FA2B12">
              <w:rPr>
                <w:color w:val="000000" w:themeColor="text1"/>
              </w:rPr>
              <w:t>4</w:t>
            </w:r>
            <w:r w:rsidRPr="00DE5404">
              <w:rPr>
                <w:color w:val="000000" w:themeColor="text1"/>
              </w:rPr>
              <w:t xml:space="preserve"> weeks</w:t>
            </w:r>
            <w:r w:rsidR="005A57F2" w:rsidRPr="00DE5404">
              <w:rPr>
                <w:color w:val="000000" w:themeColor="text1"/>
              </w:rPr>
              <w:t>)</w:t>
            </w:r>
            <w:r w:rsidR="00423482" w:rsidRPr="00DE5404">
              <w:rPr>
                <w:color w:val="000000" w:themeColor="text1"/>
              </w:rPr>
              <w:t>.</w:t>
            </w:r>
          </w:p>
          <w:p w14:paraId="60F0B437" w14:textId="1A79A900" w:rsidR="002641DA" w:rsidRPr="00DE5404" w:rsidRDefault="00DE5404" w:rsidP="00AE182B">
            <w:pPr>
              <w:pStyle w:val="Instructional"/>
              <w:ind w:left="360"/>
              <w:rPr>
                <w:color w:val="000000" w:themeColor="text1"/>
              </w:rPr>
            </w:pPr>
            <w:r w:rsidRPr="00DE5404">
              <w:rPr>
                <w:b/>
                <w:color w:val="000000" w:themeColor="text1"/>
              </w:rPr>
              <w:t>Ve</w:t>
            </w:r>
            <w:r w:rsidR="002641DA" w:rsidRPr="00DE5404">
              <w:rPr>
                <w:b/>
                <w:color w:val="000000" w:themeColor="text1"/>
              </w:rPr>
              <w:t>locity Mailbox Migration</w:t>
            </w:r>
            <w:r w:rsidR="003E7A64" w:rsidRPr="00DE5404">
              <w:rPr>
                <w:b/>
                <w:color w:val="000000" w:themeColor="text1"/>
              </w:rPr>
              <w:t xml:space="preserve"> Assistance</w:t>
            </w:r>
          </w:p>
          <w:p w14:paraId="0D3E923A" w14:textId="30F1DF0E" w:rsidR="002641DA" w:rsidRPr="00020B48" w:rsidRDefault="000A6163" w:rsidP="004C53CC">
            <w:pPr>
              <w:pStyle w:val="TableBullet1"/>
              <w:numPr>
                <w:ilvl w:val="0"/>
                <w:numId w:val="11"/>
              </w:numPr>
              <w:ind w:left="360"/>
              <w:rPr>
                <w:color w:val="000000" w:themeColor="text1"/>
              </w:rPr>
            </w:pPr>
            <w:r w:rsidRPr="00020B48">
              <w:rPr>
                <w:color w:val="000000" w:themeColor="text1"/>
              </w:rPr>
              <w:t xml:space="preserve">Assist the </w:t>
            </w:r>
            <w:r w:rsidR="009633F4" w:rsidRPr="00020B48">
              <w:rPr>
                <w:color w:val="000000" w:themeColor="text1"/>
              </w:rPr>
              <w:t>customer</w:t>
            </w:r>
            <w:r w:rsidRPr="00020B48">
              <w:rPr>
                <w:color w:val="000000" w:themeColor="text1"/>
              </w:rPr>
              <w:t xml:space="preserve"> with review</w:t>
            </w:r>
            <w:r w:rsidR="00602B93" w:rsidRPr="00020B48">
              <w:rPr>
                <w:color w:val="000000" w:themeColor="text1"/>
              </w:rPr>
              <w:t>ing</w:t>
            </w:r>
            <w:r w:rsidRPr="00020B48">
              <w:rPr>
                <w:color w:val="000000" w:themeColor="text1"/>
              </w:rPr>
              <w:t xml:space="preserve"> and </w:t>
            </w:r>
            <w:r w:rsidR="00602B93" w:rsidRPr="00020B48">
              <w:rPr>
                <w:color w:val="000000" w:themeColor="text1"/>
              </w:rPr>
              <w:t xml:space="preserve">updating </w:t>
            </w:r>
            <w:r w:rsidR="002641DA" w:rsidRPr="00020B48">
              <w:rPr>
                <w:color w:val="000000" w:themeColor="text1"/>
              </w:rPr>
              <w:t xml:space="preserve">the </w:t>
            </w:r>
            <w:r w:rsidRPr="00020B48">
              <w:rPr>
                <w:color w:val="000000" w:themeColor="text1"/>
              </w:rPr>
              <w:t xml:space="preserve">mailbox </w:t>
            </w:r>
            <w:r w:rsidR="002641DA" w:rsidRPr="00020B48">
              <w:rPr>
                <w:color w:val="000000" w:themeColor="text1"/>
              </w:rPr>
              <w:t xml:space="preserve">migration schedule </w:t>
            </w:r>
            <w:r w:rsidRPr="00020B48">
              <w:rPr>
                <w:color w:val="000000" w:themeColor="text1"/>
              </w:rPr>
              <w:t>for pilot and velocity migrations</w:t>
            </w:r>
            <w:r w:rsidR="00423482" w:rsidRPr="00020B48">
              <w:rPr>
                <w:color w:val="000000" w:themeColor="text1"/>
              </w:rPr>
              <w:t>.</w:t>
            </w:r>
          </w:p>
          <w:p w14:paraId="347C724B" w14:textId="2B843BAE" w:rsidR="002641DA" w:rsidRPr="00020B48" w:rsidRDefault="002641DA" w:rsidP="004C53CC">
            <w:pPr>
              <w:pStyle w:val="TableBullet1"/>
              <w:numPr>
                <w:ilvl w:val="0"/>
                <w:numId w:val="11"/>
              </w:numPr>
              <w:ind w:left="360"/>
              <w:rPr>
                <w:color w:val="000000" w:themeColor="text1"/>
              </w:rPr>
            </w:pPr>
            <w:r w:rsidRPr="00020B48">
              <w:rPr>
                <w:color w:val="000000" w:themeColor="text1"/>
              </w:rPr>
              <w:t xml:space="preserve">Provide guidance </w:t>
            </w:r>
            <w:r w:rsidR="00602B93" w:rsidRPr="00020B48">
              <w:rPr>
                <w:color w:val="000000" w:themeColor="text1"/>
              </w:rPr>
              <w:t xml:space="preserve">related to </w:t>
            </w:r>
            <w:r w:rsidRPr="00020B48">
              <w:rPr>
                <w:color w:val="000000" w:themeColor="text1"/>
              </w:rPr>
              <w:t xml:space="preserve">preflight checks prior to </w:t>
            </w:r>
            <w:r w:rsidR="009C22C1" w:rsidRPr="00020B48">
              <w:rPr>
                <w:color w:val="000000" w:themeColor="text1"/>
              </w:rPr>
              <w:t>v</w:t>
            </w:r>
            <w:r w:rsidRPr="00020B48">
              <w:rPr>
                <w:color w:val="000000" w:themeColor="text1"/>
              </w:rPr>
              <w:t>elocity migrations</w:t>
            </w:r>
            <w:r w:rsidR="00423482" w:rsidRPr="00020B48">
              <w:rPr>
                <w:color w:val="000000" w:themeColor="text1"/>
              </w:rPr>
              <w:t>.</w:t>
            </w:r>
          </w:p>
          <w:p w14:paraId="25397C11" w14:textId="296314D4" w:rsidR="002641DA" w:rsidRPr="00020B48" w:rsidRDefault="002641DA" w:rsidP="004C53CC">
            <w:pPr>
              <w:pStyle w:val="TableBullet1"/>
              <w:numPr>
                <w:ilvl w:val="0"/>
                <w:numId w:val="11"/>
              </w:numPr>
              <w:ind w:left="360"/>
              <w:rPr>
                <w:color w:val="000000" w:themeColor="text1"/>
              </w:rPr>
            </w:pPr>
            <w:r w:rsidRPr="00020B48">
              <w:rPr>
                <w:color w:val="000000" w:themeColor="text1"/>
              </w:rPr>
              <w:t>Provide coordination with the FastTrack migration team during mailbox migrations</w:t>
            </w:r>
            <w:r w:rsidR="00423482" w:rsidRPr="00020B48">
              <w:rPr>
                <w:color w:val="000000" w:themeColor="text1"/>
              </w:rPr>
              <w:t>.</w:t>
            </w:r>
          </w:p>
          <w:p w14:paraId="29596355" w14:textId="1B509D8D" w:rsidR="009F6396" w:rsidRPr="00020B48" w:rsidRDefault="009F6396" w:rsidP="004C53CC">
            <w:pPr>
              <w:pStyle w:val="TableBullet1"/>
              <w:numPr>
                <w:ilvl w:val="0"/>
                <w:numId w:val="11"/>
              </w:numPr>
              <w:ind w:left="360"/>
              <w:rPr>
                <w:color w:val="000000" w:themeColor="text1"/>
              </w:rPr>
            </w:pPr>
            <w:r w:rsidRPr="00020B48">
              <w:rPr>
                <w:color w:val="000000" w:themeColor="text1"/>
              </w:rPr>
              <w:t xml:space="preserve">Assist with </w:t>
            </w:r>
            <w:r w:rsidR="00602B93" w:rsidRPr="00020B48">
              <w:rPr>
                <w:color w:val="000000" w:themeColor="text1"/>
              </w:rPr>
              <w:t xml:space="preserve">the </w:t>
            </w:r>
            <w:r w:rsidRPr="00020B48">
              <w:rPr>
                <w:color w:val="000000" w:themeColor="text1"/>
              </w:rPr>
              <w:t>resolution of mailbox migration failures due to the on-premises messaging system</w:t>
            </w:r>
            <w:r w:rsidR="00423482" w:rsidRPr="00020B48">
              <w:rPr>
                <w:color w:val="000000" w:themeColor="text1"/>
              </w:rPr>
              <w:t>.</w:t>
            </w:r>
          </w:p>
          <w:p w14:paraId="65446E79" w14:textId="516ED5F7" w:rsidR="000A6163" w:rsidRPr="00020B48" w:rsidRDefault="000A6163" w:rsidP="004C53CC">
            <w:pPr>
              <w:pStyle w:val="TableBullet1"/>
              <w:numPr>
                <w:ilvl w:val="0"/>
                <w:numId w:val="11"/>
              </w:numPr>
              <w:ind w:left="360"/>
              <w:rPr>
                <w:color w:val="000000" w:themeColor="text1"/>
              </w:rPr>
            </w:pPr>
            <w:r w:rsidRPr="00020B48">
              <w:rPr>
                <w:color w:val="000000" w:themeColor="text1"/>
              </w:rPr>
              <w:t>Provide full-time support during pilot mailbox migration</w:t>
            </w:r>
            <w:r w:rsidR="00423482" w:rsidRPr="00020B48">
              <w:rPr>
                <w:color w:val="000000" w:themeColor="text1"/>
              </w:rPr>
              <w:t>.</w:t>
            </w:r>
          </w:p>
          <w:p w14:paraId="6E951BA3" w14:textId="4E74B4AD" w:rsidR="002641DA" w:rsidRPr="003815D6" w:rsidRDefault="000A6163" w:rsidP="004C53CC">
            <w:pPr>
              <w:pStyle w:val="TableBullet1"/>
              <w:numPr>
                <w:ilvl w:val="0"/>
                <w:numId w:val="11"/>
              </w:numPr>
              <w:ind w:left="360"/>
              <w:rPr>
                <w:rFonts w:eastAsia="Calibri"/>
              </w:rPr>
            </w:pPr>
            <w:r w:rsidRPr="00020B48">
              <w:rPr>
                <w:color w:val="000000" w:themeColor="text1"/>
              </w:rPr>
              <w:t xml:space="preserve">Provide full-time support during the velocity </w:t>
            </w:r>
            <w:r w:rsidR="009F6396" w:rsidRPr="00020B48">
              <w:rPr>
                <w:color w:val="000000" w:themeColor="text1"/>
              </w:rPr>
              <w:t xml:space="preserve">mailbox migration </w:t>
            </w:r>
            <w:r w:rsidRPr="00020B48">
              <w:rPr>
                <w:color w:val="000000" w:themeColor="text1"/>
              </w:rPr>
              <w:t>ramp</w:t>
            </w:r>
            <w:r w:rsidR="009F6396" w:rsidRPr="00020B48">
              <w:rPr>
                <w:color w:val="000000" w:themeColor="text1"/>
              </w:rPr>
              <w:t xml:space="preserve">, limited to the duration defined in </w:t>
            </w:r>
            <w:r w:rsidR="0081160C" w:rsidRPr="00020B48">
              <w:rPr>
                <w:color w:val="000000" w:themeColor="text1"/>
              </w:rPr>
              <w:t xml:space="preserve">the </w:t>
            </w:r>
            <w:hyperlink w:anchor="_General_project_scope" w:history="1">
              <w:r w:rsidR="008D5F73" w:rsidRPr="00020B48">
                <w:rPr>
                  <w:rStyle w:val="Hyperlink"/>
                  <w:color w:val="000000" w:themeColor="text1"/>
                </w:rPr>
                <w:t>G</w:t>
              </w:r>
              <w:r w:rsidR="00017ECC" w:rsidRPr="00020B48">
                <w:rPr>
                  <w:rStyle w:val="Hyperlink"/>
                  <w:color w:val="000000" w:themeColor="text1"/>
                </w:rPr>
                <w:t>eneral project scope</w:t>
              </w:r>
            </w:hyperlink>
            <w:r w:rsidR="0081160C" w:rsidRPr="00020B48">
              <w:rPr>
                <w:color w:val="000000" w:themeColor="text1"/>
              </w:rPr>
              <w:t xml:space="preserve"> section</w:t>
            </w:r>
            <w:r w:rsidR="00423482" w:rsidRPr="00020B48">
              <w:rPr>
                <w:color w:val="000000" w:themeColor="text1"/>
              </w:rPr>
              <w:t>.</w:t>
            </w:r>
            <w:r w:rsidR="002641DA" w:rsidRPr="003815D6">
              <w:rPr>
                <w:color w:val="FF00FF"/>
              </w:rPr>
              <w:t xml:space="preserve"> </w:t>
            </w:r>
          </w:p>
        </w:tc>
      </w:tr>
      <w:tr w:rsidR="00D6498A" w:rsidRPr="003815D6" w14:paraId="498401F6" w14:textId="77777777" w:rsidTr="1010A115">
        <w:trPr>
          <w:gridAfter w:val="1"/>
          <w:wAfter w:w="13" w:type="dxa"/>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12634C84" w14:textId="66C3135D" w:rsidR="002641DA" w:rsidRPr="003815D6" w:rsidRDefault="002641DA" w:rsidP="005C3C1C">
            <w:pPr>
              <w:rPr>
                <w:rFonts w:eastAsia="Calibri"/>
              </w:rPr>
            </w:pPr>
            <w:r w:rsidRPr="003815D6">
              <w:rPr>
                <w:rFonts w:eastAsia="Calibri"/>
                <w:b/>
              </w:rPr>
              <w:lastRenderedPageBreak/>
              <w:t>Customer activities</w:t>
            </w:r>
            <w:r w:rsidR="0006440D">
              <w:rPr>
                <w:rFonts w:eastAsia="Calibri"/>
                <w:b/>
              </w:rPr>
              <w:t xml:space="preserve"> (</w:t>
            </w:r>
            <w:r w:rsidR="00EB6536">
              <w:rPr>
                <w:rFonts w:eastAsia="Calibri"/>
                <w:b/>
              </w:rPr>
              <w:t xml:space="preserve"> and/or </w:t>
            </w:r>
            <w:r w:rsidR="0006440D">
              <w:rPr>
                <w:rFonts w:eastAsia="Calibri"/>
                <w:b/>
              </w:rPr>
              <w:t>)</w:t>
            </w:r>
            <w:r w:rsidRPr="003815D6">
              <w:rPr>
                <w:rFonts w:eastAsia="Calibri"/>
                <w:b/>
              </w:rPr>
              <w:br/>
            </w:r>
            <w:r w:rsidRPr="003815D6">
              <w:rPr>
                <w:rFonts w:eastAsia="Calibri"/>
              </w:rPr>
              <w:t xml:space="preserve">The activities to be performed by the </w:t>
            </w:r>
            <w:r w:rsidR="001A2543" w:rsidRPr="003815D6">
              <w:rPr>
                <w:rFonts w:eastAsia="Calibri"/>
              </w:rPr>
              <w:t>Customer</w:t>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067B1E8D" w14:textId="6DF3812C" w:rsidR="002641DA" w:rsidRPr="003815D6" w:rsidRDefault="002641DA" w:rsidP="005C3C1C">
            <w:pPr>
              <w:pStyle w:val="TableBullet1"/>
              <w:numPr>
                <w:ilvl w:val="0"/>
                <w:numId w:val="0"/>
              </w:numPr>
              <w:rPr>
                <w:rFonts w:eastAsia="Calibri"/>
                <w:b/>
              </w:rPr>
            </w:pPr>
            <w:r w:rsidRPr="003815D6">
              <w:rPr>
                <w:rFonts w:eastAsia="Calibri"/>
                <w:b/>
              </w:rPr>
              <w:t>Assess</w:t>
            </w:r>
            <w:r w:rsidR="00DE0541" w:rsidRPr="003815D6">
              <w:rPr>
                <w:rFonts w:eastAsia="Calibri"/>
                <w:b/>
              </w:rPr>
              <w:t xml:space="preserve"> phase</w:t>
            </w:r>
          </w:p>
          <w:p w14:paraId="3C4FBC59" w14:textId="7B46C1CB" w:rsidR="002641DA" w:rsidRPr="003815D6" w:rsidRDefault="001A55E7" w:rsidP="004C53CC">
            <w:pPr>
              <w:pStyle w:val="TableBullet1"/>
              <w:numPr>
                <w:ilvl w:val="0"/>
                <w:numId w:val="11"/>
              </w:numPr>
              <w:spacing w:before="0"/>
              <w:ind w:left="360"/>
              <w:contextualSpacing w:val="0"/>
              <w:rPr>
                <w:rFonts w:eastAsia="Calibri"/>
              </w:rPr>
            </w:pPr>
            <w:r w:rsidRPr="003815D6">
              <w:t>Participate in the planning workshop, communicate requirements, provide current environmental information, and make design decisions</w:t>
            </w:r>
            <w:r w:rsidR="00423482">
              <w:t>.</w:t>
            </w:r>
          </w:p>
          <w:p w14:paraId="59F973DA" w14:textId="33F01B98" w:rsidR="002641DA" w:rsidRPr="003815D6" w:rsidRDefault="002641DA" w:rsidP="00423482">
            <w:pPr>
              <w:pStyle w:val="TableBullet1"/>
              <w:numPr>
                <w:ilvl w:val="0"/>
                <w:numId w:val="0"/>
              </w:numPr>
              <w:spacing w:after="0"/>
              <w:contextualSpacing w:val="0"/>
              <w:rPr>
                <w:rFonts w:eastAsia="Calibri"/>
                <w:b/>
              </w:rPr>
            </w:pPr>
            <w:r w:rsidRPr="003815D6">
              <w:rPr>
                <w:rFonts w:eastAsia="Calibri"/>
                <w:b/>
              </w:rPr>
              <w:t>Enable</w:t>
            </w:r>
            <w:r w:rsidR="00DE0541" w:rsidRPr="003815D6">
              <w:rPr>
                <w:rFonts w:eastAsia="Calibri"/>
                <w:b/>
              </w:rPr>
              <w:t xml:space="preserve"> phase</w:t>
            </w:r>
          </w:p>
          <w:p w14:paraId="51DE6403" w14:textId="4586353D" w:rsidR="002641DA" w:rsidRPr="003815D6" w:rsidRDefault="002641DA" w:rsidP="004C53CC">
            <w:pPr>
              <w:pStyle w:val="TableBullet1"/>
              <w:numPr>
                <w:ilvl w:val="0"/>
                <w:numId w:val="11"/>
              </w:numPr>
              <w:ind w:left="360"/>
              <w:rPr>
                <w:rFonts w:eastAsia="Calibri"/>
              </w:rPr>
            </w:pPr>
            <w:r w:rsidRPr="003815D6">
              <w:rPr>
                <w:rFonts w:eastAsia="Calibri"/>
              </w:rPr>
              <w:t>Assist Microsoft, as necessary, during production implementation tasks</w:t>
            </w:r>
            <w:r w:rsidR="00423482">
              <w:rPr>
                <w:rFonts w:eastAsia="Calibri"/>
              </w:rPr>
              <w:t>.</w:t>
            </w:r>
          </w:p>
          <w:p w14:paraId="5BAF9D8E" w14:textId="0C7706FD" w:rsidR="001A55E7" w:rsidRPr="003815D6" w:rsidRDefault="001A55E7" w:rsidP="004C53CC">
            <w:pPr>
              <w:pStyle w:val="TableBullet1"/>
              <w:numPr>
                <w:ilvl w:val="0"/>
                <w:numId w:val="11"/>
              </w:numPr>
              <w:ind w:left="360"/>
              <w:rPr>
                <w:rFonts w:eastAsia="Calibri"/>
              </w:rPr>
            </w:pPr>
            <w:r w:rsidRPr="003815D6">
              <w:t>Provide adequate administrative access to the on-premises Exchange environment and Office 365 tenant or run the required scripts and configuration commands when required</w:t>
            </w:r>
            <w:r w:rsidR="00423482">
              <w:t>.</w:t>
            </w:r>
          </w:p>
          <w:p w14:paraId="5EF09765" w14:textId="7E574A17" w:rsidR="002641DA" w:rsidRPr="003815D6" w:rsidRDefault="002641DA" w:rsidP="005C3C1C">
            <w:pPr>
              <w:pStyle w:val="TableBullet1"/>
              <w:numPr>
                <w:ilvl w:val="0"/>
                <w:numId w:val="0"/>
              </w:numPr>
              <w:rPr>
                <w:rFonts w:eastAsia="Calibri"/>
                <w:b/>
              </w:rPr>
            </w:pPr>
            <w:r w:rsidRPr="003815D6">
              <w:rPr>
                <w:rFonts w:eastAsia="Calibri"/>
                <w:b/>
              </w:rPr>
              <w:t>Migrate</w:t>
            </w:r>
            <w:r w:rsidR="00DE0541" w:rsidRPr="003815D6">
              <w:rPr>
                <w:rFonts w:eastAsia="Calibri"/>
                <w:b/>
              </w:rPr>
              <w:t xml:space="preserve"> phase</w:t>
            </w:r>
          </w:p>
          <w:p w14:paraId="4EECF68D" w14:textId="10214C6B" w:rsidR="002641DA" w:rsidRPr="00393256" w:rsidRDefault="002641DA" w:rsidP="00393256">
            <w:pPr>
              <w:pStyle w:val="Instructional"/>
              <w:ind w:left="360"/>
              <w:rPr>
                <w:color w:val="000000" w:themeColor="text1"/>
              </w:rPr>
            </w:pPr>
            <w:r w:rsidRPr="00393256">
              <w:rPr>
                <w:b/>
                <w:color w:val="000000" w:themeColor="text1"/>
              </w:rPr>
              <w:t>Hybrid</w:t>
            </w:r>
          </w:p>
          <w:p w14:paraId="73BB5889" w14:textId="4CB398BF" w:rsidR="002641DA" w:rsidRPr="00393256" w:rsidRDefault="002641DA" w:rsidP="004C53CC">
            <w:pPr>
              <w:pStyle w:val="TableBullet1"/>
              <w:numPr>
                <w:ilvl w:val="0"/>
                <w:numId w:val="14"/>
              </w:numPr>
              <w:ind w:left="360" w:hanging="360"/>
              <w:rPr>
                <w:rFonts w:cs="Segoe UI"/>
                <w:color w:val="000000" w:themeColor="text1"/>
              </w:rPr>
            </w:pPr>
            <w:r w:rsidRPr="00393256">
              <w:rPr>
                <w:rFonts w:cs="Segoe UI"/>
                <w:color w:val="000000" w:themeColor="text1"/>
              </w:rPr>
              <w:t xml:space="preserve">Provide a list of specific mailboxes that are scheduled to be migrated during </w:t>
            </w:r>
            <w:r w:rsidR="00AA0BD7" w:rsidRPr="00393256">
              <w:rPr>
                <w:rFonts w:cs="Segoe UI"/>
                <w:color w:val="000000" w:themeColor="text1"/>
              </w:rPr>
              <w:t>p</w:t>
            </w:r>
            <w:r w:rsidRPr="00393256">
              <w:rPr>
                <w:rFonts w:cs="Segoe UI"/>
                <w:color w:val="000000" w:themeColor="text1"/>
              </w:rPr>
              <w:t>ilot migration events</w:t>
            </w:r>
            <w:r w:rsidR="00423482" w:rsidRPr="00393256">
              <w:rPr>
                <w:rFonts w:cs="Segoe UI"/>
                <w:color w:val="000000" w:themeColor="text1"/>
              </w:rPr>
              <w:t>.</w:t>
            </w:r>
          </w:p>
          <w:p w14:paraId="75406D63" w14:textId="7A2631E6" w:rsidR="002641DA" w:rsidRPr="00393256" w:rsidRDefault="002641DA" w:rsidP="004C53CC">
            <w:pPr>
              <w:pStyle w:val="TableBullet1"/>
              <w:numPr>
                <w:ilvl w:val="0"/>
                <w:numId w:val="14"/>
              </w:numPr>
              <w:ind w:left="360" w:hanging="360"/>
              <w:rPr>
                <w:rFonts w:cs="Segoe UI"/>
                <w:color w:val="000000" w:themeColor="text1"/>
              </w:rPr>
            </w:pPr>
            <w:r w:rsidRPr="00393256">
              <w:rPr>
                <w:rFonts w:cs="Segoe UI"/>
                <w:color w:val="000000" w:themeColor="text1"/>
              </w:rPr>
              <w:t xml:space="preserve">Provide technical leads who can assist with migration </w:t>
            </w:r>
            <w:r w:rsidR="000F5C2A" w:rsidRPr="00393256">
              <w:rPr>
                <w:rFonts w:cs="Segoe UI"/>
                <w:color w:val="000000" w:themeColor="text1"/>
              </w:rPr>
              <w:t xml:space="preserve">problem </w:t>
            </w:r>
            <w:r w:rsidRPr="00393256">
              <w:rPr>
                <w:rFonts w:cs="Segoe UI"/>
                <w:color w:val="000000" w:themeColor="text1"/>
              </w:rPr>
              <w:t>resolution</w:t>
            </w:r>
            <w:r w:rsidR="00AA0BD7" w:rsidRPr="00393256">
              <w:rPr>
                <w:rFonts w:cs="Segoe UI"/>
                <w:color w:val="000000" w:themeColor="text1"/>
              </w:rPr>
              <w:t xml:space="preserve"> during </w:t>
            </w:r>
            <w:r w:rsidR="000F5C2A" w:rsidRPr="00393256">
              <w:rPr>
                <w:rFonts w:cs="Segoe UI"/>
                <w:color w:val="000000" w:themeColor="text1"/>
              </w:rPr>
              <w:t xml:space="preserve">the </w:t>
            </w:r>
            <w:r w:rsidR="00AA0BD7" w:rsidRPr="00393256">
              <w:rPr>
                <w:rFonts w:cs="Segoe UI"/>
                <w:color w:val="000000" w:themeColor="text1"/>
              </w:rPr>
              <w:t>pilot migration</w:t>
            </w:r>
            <w:r w:rsidR="00423482" w:rsidRPr="00393256">
              <w:rPr>
                <w:rFonts w:cs="Segoe UI"/>
                <w:color w:val="000000" w:themeColor="text1"/>
              </w:rPr>
              <w:t>.</w:t>
            </w:r>
          </w:p>
          <w:p w14:paraId="07872771" w14:textId="36FE792E" w:rsidR="002641DA" w:rsidRPr="00393256" w:rsidRDefault="002641DA" w:rsidP="00AC19AF">
            <w:pPr>
              <w:pStyle w:val="Instructional"/>
              <w:ind w:left="360"/>
              <w:rPr>
                <w:color w:val="000000" w:themeColor="text1"/>
              </w:rPr>
            </w:pPr>
            <w:r w:rsidRPr="00393256">
              <w:rPr>
                <w:b/>
                <w:color w:val="000000" w:themeColor="text1"/>
              </w:rPr>
              <w:t>Velocity Mailbox Migration</w:t>
            </w:r>
            <w:r w:rsidR="003E7A64" w:rsidRPr="00393256">
              <w:rPr>
                <w:b/>
                <w:color w:val="000000" w:themeColor="text1"/>
              </w:rPr>
              <w:t xml:space="preserve"> Assistance</w:t>
            </w:r>
          </w:p>
          <w:p w14:paraId="6700DAF0" w14:textId="5852DD46" w:rsidR="002641DA" w:rsidRPr="00AC19AF" w:rsidRDefault="002641DA" w:rsidP="004C53CC">
            <w:pPr>
              <w:pStyle w:val="TableBullet1"/>
              <w:numPr>
                <w:ilvl w:val="0"/>
                <w:numId w:val="14"/>
              </w:numPr>
              <w:ind w:left="360" w:hanging="360"/>
              <w:rPr>
                <w:rFonts w:cs="Segoe UI"/>
                <w:color w:val="000000" w:themeColor="text1"/>
              </w:rPr>
            </w:pPr>
            <w:r w:rsidRPr="00AC19AF">
              <w:rPr>
                <w:rFonts w:cs="Segoe UI"/>
                <w:color w:val="000000" w:themeColor="text1"/>
              </w:rPr>
              <w:t xml:space="preserve">Provide a list of specific mailboxes that are scheduled to be migrated during </w:t>
            </w:r>
            <w:r w:rsidR="00AB1EF9" w:rsidRPr="00AC19AF">
              <w:rPr>
                <w:rFonts w:cs="Segoe UI"/>
                <w:color w:val="000000" w:themeColor="text1"/>
              </w:rPr>
              <w:t>v</w:t>
            </w:r>
            <w:r w:rsidRPr="00AC19AF">
              <w:rPr>
                <w:rFonts w:cs="Segoe UI"/>
                <w:color w:val="000000" w:themeColor="text1"/>
              </w:rPr>
              <w:t>elocity migration events</w:t>
            </w:r>
            <w:r w:rsidR="00423482" w:rsidRPr="00AC19AF">
              <w:rPr>
                <w:rFonts w:cs="Segoe UI"/>
                <w:color w:val="000000" w:themeColor="text1"/>
              </w:rPr>
              <w:t>.</w:t>
            </w:r>
          </w:p>
          <w:p w14:paraId="26DC0E91" w14:textId="7E9EFB9F" w:rsidR="002641DA" w:rsidRPr="00AC19AF" w:rsidRDefault="002641DA" w:rsidP="004C53CC">
            <w:pPr>
              <w:pStyle w:val="TableBullet1"/>
              <w:numPr>
                <w:ilvl w:val="0"/>
                <w:numId w:val="14"/>
              </w:numPr>
              <w:ind w:left="360" w:hanging="360"/>
              <w:rPr>
                <w:rFonts w:cs="Segoe UI"/>
                <w:color w:val="000000" w:themeColor="text1"/>
              </w:rPr>
            </w:pPr>
            <w:r w:rsidRPr="00AC19AF">
              <w:rPr>
                <w:rFonts w:cs="Segoe UI"/>
                <w:color w:val="000000" w:themeColor="text1"/>
              </w:rPr>
              <w:lastRenderedPageBreak/>
              <w:t>Provide technical leads who can assist with</w:t>
            </w:r>
            <w:r w:rsidR="00AA0BD7" w:rsidRPr="00AC19AF">
              <w:rPr>
                <w:rFonts w:cs="Segoe UI"/>
                <w:color w:val="000000" w:themeColor="text1"/>
              </w:rPr>
              <w:t xml:space="preserve"> </w:t>
            </w:r>
            <w:r w:rsidRPr="00AC19AF">
              <w:rPr>
                <w:rFonts w:cs="Segoe UI"/>
                <w:color w:val="000000" w:themeColor="text1"/>
              </w:rPr>
              <w:t xml:space="preserve">migration </w:t>
            </w:r>
            <w:r w:rsidR="000F5C2A" w:rsidRPr="00AC19AF">
              <w:rPr>
                <w:rFonts w:cs="Segoe UI"/>
                <w:color w:val="000000" w:themeColor="text1"/>
              </w:rPr>
              <w:t xml:space="preserve">problem </w:t>
            </w:r>
            <w:r w:rsidRPr="00AC19AF">
              <w:rPr>
                <w:rFonts w:cs="Segoe UI"/>
                <w:color w:val="000000" w:themeColor="text1"/>
              </w:rPr>
              <w:t>resolution</w:t>
            </w:r>
            <w:r w:rsidR="00AA0BD7" w:rsidRPr="00AC19AF">
              <w:rPr>
                <w:rFonts w:cs="Segoe UI"/>
                <w:color w:val="000000" w:themeColor="text1"/>
              </w:rPr>
              <w:t xml:space="preserve"> during velocity migration</w:t>
            </w:r>
            <w:r w:rsidR="00423482" w:rsidRPr="00AC19AF">
              <w:rPr>
                <w:rFonts w:cs="Segoe UI"/>
                <w:color w:val="000000" w:themeColor="text1"/>
              </w:rPr>
              <w:t>.</w:t>
            </w:r>
          </w:p>
          <w:p w14:paraId="0263CB89" w14:textId="6E4441B0" w:rsidR="002641DA" w:rsidRPr="00664262" w:rsidRDefault="002641DA" w:rsidP="00664262">
            <w:pPr>
              <w:pStyle w:val="TableBullet1"/>
              <w:numPr>
                <w:ilvl w:val="0"/>
                <w:numId w:val="14"/>
              </w:numPr>
              <w:ind w:left="360" w:hanging="360"/>
              <w:rPr>
                <w:rFonts w:cs="Segoe UI"/>
              </w:rPr>
            </w:pPr>
            <w:r w:rsidRPr="00AC19AF">
              <w:rPr>
                <w:rFonts w:cs="Segoe UI"/>
                <w:color w:val="000000" w:themeColor="text1"/>
              </w:rPr>
              <w:t>Prior to the start of migrations, review and accept the FastTrack Terms and Conditions for the FastTrack Data Migration Benefit</w:t>
            </w:r>
            <w:r w:rsidR="00184FCD" w:rsidRPr="00AC19AF">
              <w:rPr>
                <w:rFonts w:cs="Segoe UI"/>
                <w:color w:val="000000" w:themeColor="text1"/>
              </w:rPr>
              <w:t>. More information is available at</w:t>
            </w:r>
            <w:r w:rsidR="00CF288B" w:rsidRPr="00AC19AF">
              <w:rPr>
                <w:rFonts w:cs="Segoe UI"/>
                <w:color w:val="000000" w:themeColor="text1"/>
              </w:rPr>
              <w:t>:</w:t>
            </w:r>
            <w:r w:rsidRPr="00AC19AF">
              <w:rPr>
                <w:rFonts w:cs="Segoe UI"/>
                <w:color w:val="000000" w:themeColor="text1"/>
              </w:rPr>
              <w:t xml:space="preserve"> </w:t>
            </w:r>
            <w:hyperlink r:id="rId13" w:history="1">
              <w:r w:rsidRPr="003815D6">
                <w:rPr>
                  <w:rStyle w:val="Hyperlink"/>
                  <w:rFonts w:cs="Segoe UI"/>
                </w:rPr>
                <w:t>http://aka.ms/fasttrackterms</w:t>
              </w:r>
            </w:hyperlink>
            <w:r w:rsidR="00423482" w:rsidRPr="00423482">
              <w:rPr>
                <w:rStyle w:val="OptionalChar"/>
              </w:rPr>
              <w:t>.</w:t>
            </w:r>
          </w:p>
        </w:tc>
      </w:tr>
      <w:tr w:rsidR="00D6498A" w:rsidRPr="003815D6" w14:paraId="46B73EB1" w14:textId="77777777" w:rsidTr="1010A115">
        <w:trPr>
          <w:gridAfter w:val="1"/>
          <w:wAfter w:w="13" w:type="dxa"/>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684C273D" w14:textId="77777777" w:rsidR="002641DA" w:rsidRPr="003815D6" w:rsidRDefault="002641DA" w:rsidP="005C3C1C">
            <w:pPr>
              <w:rPr>
                <w:rFonts w:eastAsia="Calibri"/>
              </w:rPr>
            </w:pPr>
            <w:r w:rsidRPr="003815D6">
              <w:rPr>
                <w:rFonts w:eastAsia="Calibri"/>
                <w:b/>
              </w:rPr>
              <w:lastRenderedPageBreak/>
              <w:t>Key assumptions</w:t>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4C8A3D14" w14:textId="09B6235F" w:rsidR="002641DA" w:rsidRPr="00AC19AF" w:rsidRDefault="002641DA" w:rsidP="005C3C1C">
            <w:pPr>
              <w:pStyle w:val="Instructional"/>
              <w:rPr>
                <w:color w:val="000000" w:themeColor="text1"/>
              </w:rPr>
            </w:pPr>
            <w:r w:rsidRPr="00AC19AF">
              <w:rPr>
                <w:b/>
                <w:color w:val="000000" w:themeColor="text1"/>
              </w:rPr>
              <w:t>Exchange Online Velocity Mailbox Migration</w:t>
            </w:r>
          </w:p>
          <w:p w14:paraId="6E561403" w14:textId="11E72DDF" w:rsidR="002641DA" w:rsidRPr="00AC19AF" w:rsidRDefault="0079229C" w:rsidP="005C3C1C">
            <w:pPr>
              <w:pStyle w:val="TableBullet1"/>
              <w:rPr>
                <w:rFonts w:eastAsia="Calibri"/>
                <w:color w:val="000000" w:themeColor="text1"/>
              </w:rPr>
            </w:pPr>
            <w:r w:rsidRPr="00AC19AF">
              <w:rPr>
                <w:rFonts w:eastAsia="Calibri"/>
                <w:color w:val="000000" w:themeColor="text1"/>
              </w:rPr>
              <w:t xml:space="preserve">The </w:t>
            </w:r>
            <w:r w:rsidR="002641DA" w:rsidRPr="00AC19AF">
              <w:rPr>
                <w:rFonts w:eastAsia="Calibri"/>
                <w:color w:val="000000" w:themeColor="text1"/>
              </w:rPr>
              <w:t xml:space="preserve">FastTrack Data Migration Benefit does not </w:t>
            </w:r>
            <w:r w:rsidR="00F702EF" w:rsidRPr="00AC19AF">
              <w:rPr>
                <w:rFonts w:eastAsia="Calibri"/>
                <w:color w:val="000000" w:themeColor="text1"/>
              </w:rPr>
              <w:t>include weekend migrations</w:t>
            </w:r>
            <w:r w:rsidR="00423482" w:rsidRPr="00AC19AF">
              <w:rPr>
                <w:rFonts w:eastAsia="Calibri"/>
                <w:color w:val="000000" w:themeColor="text1"/>
              </w:rPr>
              <w:t>.</w:t>
            </w:r>
          </w:p>
          <w:p w14:paraId="774A9892" w14:textId="056C3CF8" w:rsidR="002641DA" w:rsidRPr="00AC19AF" w:rsidRDefault="002641DA" w:rsidP="005C3C1C">
            <w:pPr>
              <w:pStyle w:val="TableBullet1"/>
              <w:rPr>
                <w:rFonts w:eastAsia="Calibri"/>
                <w:color w:val="000000" w:themeColor="text1"/>
              </w:rPr>
            </w:pPr>
            <w:r w:rsidRPr="00AC19AF">
              <w:rPr>
                <w:rFonts w:eastAsia="Calibri"/>
                <w:color w:val="000000" w:themeColor="text1"/>
              </w:rPr>
              <w:t>The size of a migrated mailbox is limited to 85 percent of the user mailbox storage limit as defined in the Office 365 Service Descriptions</w:t>
            </w:r>
            <w:r w:rsidR="00423482" w:rsidRPr="00AC19AF">
              <w:rPr>
                <w:rFonts w:eastAsia="Calibri"/>
                <w:color w:val="000000" w:themeColor="text1"/>
              </w:rPr>
              <w:t>.</w:t>
            </w:r>
          </w:p>
          <w:p w14:paraId="003E862F" w14:textId="77777777" w:rsidR="002641DA" w:rsidRPr="007940D3" w:rsidRDefault="002641DA" w:rsidP="00AC19AF">
            <w:pPr>
              <w:pStyle w:val="TableBullet1"/>
              <w:rPr>
                <w:rFonts w:cs="Segoe UI"/>
              </w:rPr>
            </w:pPr>
            <w:r w:rsidRPr="00AC19AF">
              <w:rPr>
                <w:rFonts w:eastAsia="Calibri"/>
                <w:color w:val="000000" w:themeColor="text1"/>
              </w:rPr>
              <w:t xml:space="preserve">Migrations are </w:t>
            </w:r>
            <w:r w:rsidR="000C0574" w:rsidRPr="00AC19AF">
              <w:rPr>
                <w:rFonts w:eastAsia="Calibri"/>
                <w:color w:val="000000" w:themeColor="text1"/>
              </w:rPr>
              <w:t>to be completed within FastTrack standard migration windows</w:t>
            </w:r>
            <w:r w:rsidR="00423482" w:rsidRPr="00AC19AF">
              <w:rPr>
                <w:rFonts w:eastAsia="Calibri"/>
                <w:color w:val="000000" w:themeColor="text1"/>
              </w:rPr>
              <w:t>.</w:t>
            </w:r>
          </w:p>
          <w:p w14:paraId="25E42C5B" w14:textId="7FDFFFBC" w:rsidR="0019781A" w:rsidRPr="00E878C7" w:rsidRDefault="00745DEC" w:rsidP="00AC19AF">
            <w:pPr>
              <w:pStyle w:val="TableBullet1"/>
              <w:rPr>
                <w:rFonts w:cs="Segoe UI"/>
              </w:rPr>
            </w:pPr>
            <w:r>
              <w:rPr>
                <w:rFonts w:cs="Segoe UI"/>
              </w:rPr>
              <w:t xml:space="preserve">Office 365 </w:t>
            </w:r>
            <w:r w:rsidR="005D03CB">
              <w:rPr>
                <w:rFonts w:cs="Segoe UI"/>
              </w:rPr>
              <w:t xml:space="preserve">ProPlus is </w:t>
            </w:r>
            <w:r w:rsidR="00F14D68">
              <w:rPr>
                <w:rFonts w:cs="Segoe UI"/>
              </w:rPr>
              <w:t xml:space="preserve">installed and </w:t>
            </w:r>
            <w:r w:rsidR="005D03CB">
              <w:rPr>
                <w:rFonts w:cs="Segoe UI"/>
              </w:rPr>
              <w:t xml:space="preserve">functional </w:t>
            </w:r>
            <w:r w:rsidR="00F14D68">
              <w:rPr>
                <w:rFonts w:cs="Segoe UI"/>
              </w:rPr>
              <w:t xml:space="preserve">for all the </w:t>
            </w:r>
            <w:r w:rsidR="0012026B">
              <w:rPr>
                <w:rFonts w:cs="Segoe UI"/>
              </w:rPr>
              <w:t xml:space="preserve">users </w:t>
            </w:r>
            <w:r w:rsidR="00F0591C">
              <w:rPr>
                <w:rFonts w:cs="Segoe UI"/>
              </w:rPr>
              <w:t>that form part of the migration.</w:t>
            </w:r>
            <w:r w:rsidR="00E361E5">
              <w:rPr>
                <w:rFonts w:cs="Segoe UI"/>
              </w:rPr>
              <w:t xml:space="preserve"> </w:t>
            </w:r>
          </w:p>
          <w:p w14:paraId="44031E89" w14:textId="26CEF123" w:rsidR="00E878C7" w:rsidRPr="003815D6" w:rsidRDefault="00E878C7" w:rsidP="1010A115">
            <w:pPr>
              <w:pStyle w:val="TableBullet1"/>
              <w:numPr>
                <w:ilvl w:val="0"/>
                <w:numId w:val="0"/>
              </w:numPr>
              <w:rPr>
                <w:rFonts w:cs="Segoe UI"/>
                <w:b/>
                <w:bCs/>
                <w:color w:val="171717"/>
              </w:rPr>
            </w:pPr>
          </w:p>
        </w:tc>
      </w:tr>
      <w:tr w:rsidR="00D6498A" w:rsidRPr="003815D6" w14:paraId="51E71481" w14:textId="77777777" w:rsidTr="1010A115">
        <w:trPr>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7EECECBB" w14:textId="77777777" w:rsidR="002641DA" w:rsidRPr="003815D6" w:rsidRDefault="002641DA" w:rsidP="005C3C1C">
            <w:pPr>
              <w:rPr>
                <w:rFonts w:eastAsia="Calibri"/>
                <w:b/>
              </w:rPr>
            </w:pPr>
            <w:r w:rsidRPr="003815D6">
              <w:rPr>
                <w:rFonts w:eastAsia="Calibri"/>
                <w:b/>
              </w:rPr>
              <w:t>Project deliverables</w:t>
            </w:r>
            <w:r w:rsidRPr="003815D6">
              <w:rPr>
                <w:rFonts w:eastAsia="Calibri"/>
                <w:b/>
              </w:rPr>
              <w:br/>
            </w:r>
            <w:r w:rsidRPr="003815D6">
              <w:rPr>
                <w:rFonts w:eastAsia="Calibri"/>
              </w:rPr>
              <w:t>Content for this project component will be included in these project deliverables</w:t>
            </w:r>
          </w:p>
        </w:tc>
        <w:tc>
          <w:tcPr>
            <w:tcW w:w="6140" w:type="dxa"/>
            <w:gridSpan w:val="2"/>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6242B95E" w14:textId="77777777" w:rsidR="002641DA" w:rsidRPr="003815D6" w:rsidRDefault="002641DA" w:rsidP="004C53CC">
            <w:pPr>
              <w:pStyle w:val="TableBullet1"/>
              <w:numPr>
                <w:ilvl w:val="0"/>
                <w:numId w:val="11"/>
              </w:numPr>
              <w:ind w:left="360"/>
            </w:pPr>
            <w:r w:rsidRPr="003815D6">
              <w:t>Preparation checklist</w:t>
            </w:r>
          </w:p>
          <w:p w14:paraId="34CE39AB" w14:textId="77777777" w:rsidR="002641DA" w:rsidRPr="003815D6" w:rsidRDefault="002641DA" w:rsidP="004C53CC">
            <w:pPr>
              <w:pStyle w:val="TableBullet1"/>
              <w:numPr>
                <w:ilvl w:val="0"/>
                <w:numId w:val="11"/>
              </w:numPr>
              <w:ind w:left="360"/>
            </w:pPr>
            <w:r w:rsidRPr="003815D6">
              <w:t>Design and plan</w:t>
            </w:r>
          </w:p>
          <w:p w14:paraId="66872BE3" w14:textId="77777777" w:rsidR="002641DA" w:rsidRPr="003815D6" w:rsidRDefault="002641DA" w:rsidP="004C53CC">
            <w:pPr>
              <w:pStyle w:val="TableBullet1"/>
              <w:numPr>
                <w:ilvl w:val="0"/>
                <w:numId w:val="11"/>
              </w:numPr>
              <w:ind w:left="360"/>
            </w:pPr>
            <w:r w:rsidRPr="003815D6">
              <w:t>Test cases</w:t>
            </w:r>
          </w:p>
          <w:p w14:paraId="6AAB8A57" w14:textId="77777777" w:rsidR="002641DA" w:rsidRPr="003815D6" w:rsidRDefault="002641DA" w:rsidP="004C53CC">
            <w:pPr>
              <w:pStyle w:val="TableBullet1"/>
              <w:numPr>
                <w:ilvl w:val="0"/>
                <w:numId w:val="11"/>
              </w:numPr>
              <w:ind w:left="360"/>
              <w:rPr>
                <w:rFonts w:eastAsia="Calibri"/>
              </w:rPr>
            </w:pPr>
            <w:r w:rsidRPr="003815D6">
              <w:t>Delivery summary</w:t>
            </w:r>
          </w:p>
        </w:tc>
      </w:tr>
    </w:tbl>
    <w:p w14:paraId="5AF75C3A" w14:textId="268F799E" w:rsidR="002641DA" w:rsidRPr="003815D6" w:rsidRDefault="002641DA" w:rsidP="00BD3F15">
      <w:pPr>
        <w:pStyle w:val="Heading4"/>
      </w:pPr>
      <w:r w:rsidRPr="003815D6">
        <w:t xml:space="preserve">Operations </w:t>
      </w:r>
      <w:r w:rsidR="00441614" w:rsidRPr="003815D6">
        <w:t>readiness planning—</w:t>
      </w:r>
      <w:r w:rsidR="002667E7" w:rsidRPr="003815D6">
        <w:t xml:space="preserve">support </w:t>
      </w:r>
      <w:r w:rsidRPr="003815D6">
        <w:t xml:space="preserve">and Service Desk </w:t>
      </w:r>
      <w:r w:rsidR="002667E7" w:rsidRPr="003815D6">
        <w:t xml:space="preserve">enablement </w:t>
      </w:r>
      <w:r w:rsidRPr="003815D6">
        <w:t xml:space="preserve">and </w:t>
      </w:r>
      <w:r w:rsidR="002667E7" w:rsidRPr="003815D6">
        <w:t xml:space="preserve">monitoring </w:t>
      </w:r>
      <w:r w:rsidRPr="003815D6">
        <w:t>(ITSM-01)</w:t>
      </w:r>
    </w:p>
    <w:tbl>
      <w:tblPr>
        <w:tblStyle w:val="TableGrid1"/>
        <w:tblW w:w="9221" w:type="dxa"/>
        <w:tblInd w:w="-5"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ook w:val="04A0" w:firstRow="1" w:lastRow="0" w:firstColumn="1" w:lastColumn="0" w:noHBand="0" w:noVBand="1"/>
      </w:tblPr>
      <w:tblGrid>
        <w:gridCol w:w="3068"/>
        <w:gridCol w:w="6140"/>
        <w:gridCol w:w="13"/>
      </w:tblGrid>
      <w:tr w:rsidR="00DE2FE1" w:rsidRPr="003815D6" w14:paraId="2C3F98B2" w14:textId="77777777" w:rsidTr="005C3C1C">
        <w:trPr>
          <w:trHeight w:val="542"/>
          <w:tblHeader/>
        </w:trPr>
        <w:tc>
          <w:tcPr>
            <w:tcW w:w="3068" w:type="dxa"/>
            <w:tcBorders>
              <w:top w:val="single" w:sz="2" w:space="0" w:color="7F7F7F"/>
              <w:left w:val="single" w:sz="2" w:space="0" w:color="7F7F7F"/>
              <w:bottom w:val="single" w:sz="2" w:space="0" w:color="7F7F7F"/>
              <w:right w:val="single" w:sz="2" w:space="0" w:color="7F7F7F"/>
            </w:tcBorders>
            <w:shd w:val="clear" w:color="auto" w:fill="008272"/>
          </w:tcPr>
          <w:p w14:paraId="5E99FB1B" w14:textId="77777777" w:rsidR="002641DA" w:rsidRPr="003815D6" w:rsidRDefault="002641DA" w:rsidP="005C3C1C">
            <w:pPr>
              <w:rPr>
                <w:rFonts w:eastAsia="Calibri"/>
                <w:b/>
                <w:color w:val="FFFFFF"/>
              </w:rPr>
            </w:pPr>
            <w:r w:rsidRPr="003815D6">
              <w:rPr>
                <w:rFonts w:eastAsia="Calibri"/>
                <w:b/>
                <w:color w:val="FFFFFF"/>
              </w:rPr>
              <w:t>Category</w:t>
            </w:r>
          </w:p>
        </w:tc>
        <w:tc>
          <w:tcPr>
            <w:tcW w:w="6153" w:type="dxa"/>
            <w:gridSpan w:val="2"/>
            <w:tcBorders>
              <w:top w:val="single" w:sz="2" w:space="0" w:color="7F7F7F"/>
              <w:left w:val="single" w:sz="2" w:space="0" w:color="7F7F7F"/>
              <w:bottom w:val="single" w:sz="2" w:space="0" w:color="7F7F7F"/>
              <w:right w:val="single" w:sz="2" w:space="0" w:color="7F7F7F"/>
            </w:tcBorders>
            <w:shd w:val="clear" w:color="auto" w:fill="008272"/>
          </w:tcPr>
          <w:p w14:paraId="54431313" w14:textId="77777777" w:rsidR="002641DA" w:rsidRPr="003815D6" w:rsidRDefault="002641DA" w:rsidP="005C3C1C">
            <w:pPr>
              <w:rPr>
                <w:rFonts w:eastAsia="Calibri"/>
                <w:b/>
                <w:color w:val="FFFFFF"/>
              </w:rPr>
            </w:pPr>
            <w:r w:rsidRPr="003815D6">
              <w:rPr>
                <w:rFonts w:eastAsia="Calibri"/>
                <w:b/>
                <w:color w:val="FFFFFF"/>
              </w:rPr>
              <w:t>Description</w:t>
            </w:r>
          </w:p>
        </w:tc>
      </w:tr>
      <w:tr w:rsidR="00815D40" w:rsidRPr="003815D6" w14:paraId="500E4577" w14:textId="77777777" w:rsidTr="005C3C1C">
        <w:trPr>
          <w:gridAfter w:val="1"/>
          <w:wAfter w:w="13" w:type="dxa"/>
          <w:trHeight w:val="422"/>
        </w:trPr>
        <w:tc>
          <w:tcPr>
            <w:tcW w:w="3068" w:type="dxa"/>
            <w:tcBorders>
              <w:top w:val="single" w:sz="2" w:space="0" w:color="7F7F7F"/>
              <w:left w:val="single" w:sz="2" w:space="0" w:color="7F7F7F"/>
              <w:bottom w:val="single" w:sz="2" w:space="0" w:color="7F7F7F"/>
              <w:right w:val="single" w:sz="2" w:space="0" w:color="7F7F7F"/>
            </w:tcBorders>
            <w:shd w:val="clear" w:color="auto" w:fill="auto"/>
          </w:tcPr>
          <w:p w14:paraId="1ED1A182" w14:textId="77777777" w:rsidR="002641DA" w:rsidRPr="003815D6" w:rsidRDefault="002641DA" w:rsidP="005C3C1C">
            <w:pPr>
              <w:rPr>
                <w:rFonts w:eastAsia="Calibri"/>
              </w:rPr>
            </w:pPr>
            <w:r w:rsidRPr="003815D6">
              <w:rPr>
                <w:rFonts w:eastAsia="Calibri"/>
                <w:b/>
              </w:rPr>
              <w:t>Microsoft activities</w:t>
            </w:r>
            <w:r w:rsidRPr="003815D6">
              <w:rPr>
                <w:rFonts w:eastAsia="Calibri"/>
                <w:b/>
              </w:rPr>
              <w:br/>
            </w:r>
            <w:r w:rsidRPr="003815D6">
              <w:rPr>
                <w:rFonts w:eastAsia="Calibri"/>
              </w:rPr>
              <w:t>The activities to be performed by Microsoft</w:t>
            </w:r>
          </w:p>
        </w:tc>
        <w:tc>
          <w:tcPr>
            <w:tcW w:w="6140" w:type="dxa"/>
            <w:tcBorders>
              <w:top w:val="single" w:sz="2" w:space="0" w:color="7F7F7F"/>
              <w:left w:val="single" w:sz="2" w:space="0" w:color="7F7F7F"/>
              <w:bottom w:val="single" w:sz="2" w:space="0" w:color="7F7F7F"/>
              <w:right w:val="single" w:sz="2" w:space="0" w:color="7F7F7F"/>
            </w:tcBorders>
            <w:shd w:val="clear" w:color="auto" w:fill="FFFFFF"/>
          </w:tcPr>
          <w:p w14:paraId="6B2DBE95" w14:textId="424E2786" w:rsidR="002641DA" w:rsidRPr="003815D6" w:rsidRDefault="002641DA" w:rsidP="00434B10">
            <w:pPr>
              <w:pStyle w:val="TableBullet1"/>
              <w:numPr>
                <w:ilvl w:val="0"/>
                <w:numId w:val="0"/>
              </w:numPr>
              <w:rPr>
                <w:rFonts w:eastAsia="Calibri"/>
                <w:b/>
              </w:rPr>
            </w:pPr>
            <w:r w:rsidRPr="003815D6">
              <w:rPr>
                <w:rFonts w:eastAsia="Calibri"/>
                <w:b/>
              </w:rPr>
              <w:t>Assess</w:t>
            </w:r>
            <w:r w:rsidR="006300A4" w:rsidRPr="003815D6">
              <w:rPr>
                <w:rFonts w:eastAsia="Calibri"/>
                <w:b/>
              </w:rPr>
              <w:t xml:space="preserve"> </w:t>
            </w:r>
            <w:r w:rsidR="006300A4" w:rsidRPr="003815D6">
              <w:rPr>
                <w:rFonts w:eastAsia="Calibri"/>
                <w:b/>
                <w:bCs/>
              </w:rPr>
              <w:t>phase</w:t>
            </w:r>
          </w:p>
          <w:p w14:paraId="54F54979" w14:textId="49FFE7D8" w:rsidR="002641DA" w:rsidRPr="003815D6" w:rsidRDefault="002641DA" w:rsidP="004C53CC">
            <w:pPr>
              <w:pStyle w:val="TableBullet1"/>
              <w:numPr>
                <w:ilvl w:val="0"/>
                <w:numId w:val="11"/>
              </w:numPr>
              <w:ind w:left="360"/>
              <w:rPr>
                <w:rFonts w:eastAsia="Calibri"/>
              </w:rPr>
            </w:pPr>
            <w:r w:rsidRPr="003815D6">
              <w:rPr>
                <w:rFonts w:eastAsia="Calibri"/>
              </w:rPr>
              <w:t xml:space="preserve">Conduct </w:t>
            </w:r>
            <w:r w:rsidR="009D46B1" w:rsidRPr="003815D6">
              <w:rPr>
                <w:rFonts w:eastAsia="Calibri"/>
              </w:rPr>
              <w:t>up to 3</w:t>
            </w:r>
            <w:r w:rsidRPr="003815D6">
              <w:rPr>
                <w:rFonts w:eastAsia="Calibri"/>
              </w:rPr>
              <w:t xml:space="preserve"> working sessions</w:t>
            </w:r>
            <w:r w:rsidR="009D46B1" w:rsidRPr="003815D6">
              <w:rPr>
                <w:rFonts w:eastAsia="Calibri"/>
              </w:rPr>
              <w:t xml:space="preserve">, up to 3 hours each, </w:t>
            </w:r>
            <w:r w:rsidRPr="003815D6">
              <w:rPr>
                <w:rFonts w:eastAsia="Calibri"/>
              </w:rPr>
              <w:t>to identify Office 365 environmental dependencies and corresponding team ownership in the organization</w:t>
            </w:r>
            <w:r w:rsidR="008F1C8D">
              <w:rPr>
                <w:rFonts w:eastAsia="Calibri"/>
              </w:rPr>
              <w:t>.</w:t>
            </w:r>
          </w:p>
          <w:p w14:paraId="61107DCC" w14:textId="696AA66B" w:rsidR="002641DA" w:rsidRPr="003815D6" w:rsidRDefault="002641DA" w:rsidP="004C53CC">
            <w:pPr>
              <w:pStyle w:val="TableBullet1"/>
              <w:numPr>
                <w:ilvl w:val="0"/>
                <w:numId w:val="11"/>
              </w:numPr>
              <w:ind w:left="360"/>
              <w:rPr>
                <w:rFonts w:eastAsia="Calibri"/>
              </w:rPr>
            </w:pPr>
            <w:r w:rsidRPr="003815D6">
              <w:rPr>
                <w:rFonts w:eastAsia="Calibri"/>
              </w:rPr>
              <w:t xml:space="preserve">Create a </w:t>
            </w:r>
            <w:r w:rsidR="00CA22F1" w:rsidRPr="003815D6">
              <w:rPr>
                <w:rFonts w:eastAsia="Calibri"/>
              </w:rPr>
              <w:t>s</w:t>
            </w:r>
            <w:r w:rsidRPr="003815D6">
              <w:rPr>
                <w:rFonts w:eastAsia="Calibri"/>
              </w:rPr>
              <w:t xml:space="preserve">ervice </w:t>
            </w:r>
            <w:r w:rsidR="00CA22F1" w:rsidRPr="003815D6">
              <w:rPr>
                <w:rFonts w:eastAsia="Calibri"/>
              </w:rPr>
              <w:t>d</w:t>
            </w:r>
            <w:r w:rsidRPr="003815D6">
              <w:rPr>
                <w:rFonts w:eastAsia="Calibri"/>
              </w:rPr>
              <w:t xml:space="preserve">ependency </w:t>
            </w:r>
            <w:r w:rsidR="00CA22F1" w:rsidRPr="003815D6">
              <w:rPr>
                <w:rFonts w:eastAsia="Calibri"/>
              </w:rPr>
              <w:t>m</w:t>
            </w:r>
            <w:r w:rsidRPr="003815D6">
              <w:rPr>
                <w:rFonts w:eastAsia="Calibri"/>
              </w:rPr>
              <w:t>ap for Office 365 that includes Exchange Online</w:t>
            </w:r>
            <w:r w:rsidR="008F1C8D">
              <w:rPr>
                <w:rFonts w:eastAsia="Calibri"/>
              </w:rPr>
              <w:t>.</w:t>
            </w:r>
          </w:p>
          <w:p w14:paraId="50B6E8F4" w14:textId="2DF78B65" w:rsidR="002641DA" w:rsidRPr="003815D6" w:rsidRDefault="002641DA" w:rsidP="004C53CC">
            <w:pPr>
              <w:pStyle w:val="TableBullet1"/>
              <w:numPr>
                <w:ilvl w:val="0"/>
                <w:numId w:val="11"/>
              </w:numPr>
              <w:ind w:left="360"/>
              <w:rPr>
                <w:rFonts w:eastAsia="Calibri"/>
              </w:rPr>
            </w:pPr>
            <w:r w:rsidRPr="003815D6">
              <w:rPr>
                <w:rFonts w:eastAsia="Calibri"/>
              </w:rPr>
              <w:t xml:space="preserve">Develop </w:t>
            </w:r>
            <w:r w:rsidR="00CA22F1" w:rsidRPr="003815D6">
              <w:rPr>
                <w:rFonts w:eastAsia="Calibri"/>
              </w:rPr>
              <w:t>m</w:t>
            </w:r>
            <w:r w:rsidRPr="003815D6">
              <w:rPr>
                <w:rFonts w:eastAsia="Calibri"/>
              </w:rPr>
              <w:t xml:space="preserve">onitoring </w:t>
            </w:r>
            <w:r w:rsidR="00CA22F1" w:rsidRPr="003815D6">
              <w:rPr>
                <w:rFonts w:eastAsia="Calibri"/>
              </w:rPr>
              <w:t>r</w:t>
            </w:r>
            <w:r w:rsidRPr="003815D6">
              <w:rPr>
                <w:rFonts w:eastAsia="Calibri"/>
              </w:rPr>
              <w:t xml:space="preserve">oles and </w:t>
            </w:r>
            <w:r w:rsidR="00CA22F1" w:rsidRPr="003815D6">
              <w:rPr>
                <w:rFonts w:eastAsia="Calibri"/>
              </w:rPr>
              <w:t>r</w:t>
            </w:r>
            <w:r w:rsidRPr="003815D6">
              <w:rPr>
                <w:rFonts w:eastAsia="Calibri"/>
              </w:rPr>
              <w:t>esponsibilities for Office 365</w:t>
            </w:r>
            <w:r w:rsidR="008F1C8D">
              <w:rPr>
                <w:rFonts w:eastAsia="Calibri"/>
              </w:rPr>
              <w:t>.</w:t>
            </w:r>
          </w:p>
          <w:p w14:paraId="1413BD6C" w14:textId="5862B3EB" w:rsidR="002641DA" w:rsidRPr="003815D6" w:rsidRDefault="002641DA" w:rsidP="004C53CC">
            <w:pPr>
              <w:pStyle w:val="TableBullet1"/>
              <w:numPr>
                <w:ilvl w:val="0"/>
                <w:numId w:val="11"/>
              </w:numPr>
              <w:ind w:left="360"/>
              <w:rPr>
                <w:rFonts w:eastAsia="Calibri"/>
              </w:rPr>
            </w:pPr>
            <w:r w:rsidRPr="003815D6">
              <w:rPr>
                <w:rFonts w:eastAsia="Calibri"/>
              </w:rPr>
              <w:t xml:space="preserve">Identify and document </w:t>
            </w:r>
            <w:r w:rsidR="002667E7" w:rsidRPr="003815D6">
              <w:rPr>
                <w:rFonts w:eastAsia="Calibri"/>
              </w:rPr>
              <w:t xml:space="preserve">the </w:t>
            </w:r>
            <w:r w:rsidRPr="003815D6">
              <w:rPr>
                <w:rFonts w:eastAsia="Calibri"/>
              </w:rPr>
              <w:t xml:space="preserve">monitoring approach and recommended interfaces for Office 365 </w:t>
            </w:r>
            <w:r w:rsidR="00CA22F1" w:rsidRPr="003815D6">
              <w:rPr>
                <w:rFonts w:eastAsia="Calibri"/>
              </w:rPr>
              <w:t>m</w:t>
            </w:r>
            <w:r w:rsidRPr="003815D6">
              <w:rPr>
                <w:rFonts w:eastAsia="Calibri"/>
              </w:rPr>
              <w:t>onitoring</w:t>
            </w:r>
            <w:r w:rsidR="008F1C8D">
              <w:rPr>
                <w:rFonts w:eastAsia="Calibri"/>
              </w:rPr>
              <w:t>.</w:t>
            </w:r>
          </w:p>
          <w:p w14:paraId="54569779" w14:textId="45C6C875" w:rsidR="002641DA" w:rsidRPr="003815D6" w:rsidRDefault="002641DA" w:rsidP="004C53CC">
            <w:pPr>
              <w:pStyle w:val="TableBullet1"/>
              <w:numPr>
                <w:ilvl w:val="0"/>
                <w:numId w:val="11"/>
              </w:numPr>
              <w:ind w:left="360"/>
              <w:rPr>
                <w:rFonts w:eastAsia="Calibri"/>
              </w:rPr>
            </w:pPr>
            <w:r w:rsidRPr="003815D6">
              <w:rPr>
                <w:rFonts w:eastAsia="Calibri"/>
              </w:rPr>
              <w:t xml:space="preserve">Develop </w:t>
            </w:r>
            <w:r w:rsidR="00CA22F1" w:rsidRPr="003815D6">
              <w:rPr>
                <w:rFonts w:eastAsia="Calibri"/>
              </w:rPr>
              <w:t>o</w:t>
            </w:r>
            <w:r w:rsidRPr="003815D6">
              <w:rPr>
                <w:rFonts w:eastAsia="Calibri"/>
              </w:rPr>
              <w:t xml:space="preserve">perating </w:t>
            </w:r>
            <w:r w:rsidR="00CA22F1" w:rsidRPr="003815D6">
              <w:rPr>
                <w:rFonts w:eastAsia="Calibri"/>
              </w:rPr>
              <w:t>l</w:t>
            </w:r>
            <w:r w:rsidRPr="003815D6">
              <w:rPr>
                <w:rFonts w:eastAsia="Calibri"/>
              </w:rPr>
              <w:t xml:space="preserve">evel </w:t>
            </w:r>
            <w:r w:rsidR="00CA22F1" w:rsidRPr="003815D6">
              <w:rPr>
                <w:rFonts w:eastAsia="Calibri"/>
              </w:rPr>
              <w:t>a</w:t>
            </w:r>
            <w:r w:rsidRPr="003815D6">
              <w:rPr>
                <w:rFonts w:eastAsia="Calibri"/>
              </w:rPr>
              <w:t xml:space="preserve">greements between the </w:t>
            </w:r>
            <w:r w:rsidR="0041667A" w:rsidRPr="003815D6">
              <w:rPr>
                <w:rFonts w:eastAsia="Calibri"/>
              </w:rPr>
              <w:t xml:space="preserve">customer </w:t>
            </w:r>
            <w:r w:rsidR="00CA22F1" w:rsidRPr="003815D6">
              <w:rPr>
                <w:rFonts w:eastAsia="Calibri"/>
              </w:rPr>
              <w:t>s</w:t>
            </w:r>
            <w:r w:rsidRPr="003815D6">
              <w:rPr>
                <w:rFonts w:eastAsia="Calibri"/>
              </w:rPr>
              <w:t xml:space="preserve">ervice </w:t>
            </w:r>
            <w:r w:rsidR="00CA22F1" w:rsidRPr="003815D6">
              <w:rPr>
                <w:rFonts w:eastAsia="Calibri"/>
              </w:rPr>
              <w:t>d</w:t>
            </w:r>
            <w:r w:rsidRPr="003815D6">
              <w:rPr>
                <w:rFonts w:eastAsia="Calibri"/>
              </w:rPr>
              <w:t xml:space="preserve">esk and the </w:t>
            </w:r>
            <w:r w:rsidR="00CA22F1" w:rsidRPr="003815D6">
              <w:rPr>
                <w:rFonts w:eastAsia="Calibri"/>
              </w:rPr>
              <w:t>m</w:t>
            </w:r>
            <w:r w:rsidRPr="003815D6">
              <w:rPr>
                <w:rFonts w:eastAsia="Calibri"/>
              </w:rPr>
              <w:t xml:space="preserve">onitoring team, including documented agreements </w:t>
            </w:r>
            <w:r w:rsidR="002667E7" w:rsidRPr="003815D6">
              <w:rPr>
                <w:rFonts w:eastAsia="Calibri"/>
              </w:rPr>
              <w:t xml:space="preserve">related to </w:t>
            </w:r>
            <w:r w:rsidR="009D46B1" w:rsidRPr="003815D6">
              <w:rPr>
                <w:rFonts w:eastAsia="Calibri"/>
              </w:rPr>
              <w:t>alerting targets and response time agreements</w:t>
            </w:r>
            <w:r w:rsidR="008F1C8D">
              <w:rPr>
                <w:rFonts w:eastAsia="Calibri"/>
              </w:rPr>
              <w:t>.</w:t>
            </w:r>
          </w:p>
          <w:p w14:paraId="18FDE27D" w14:textId="4415C261" w:rsidR="002641DA" w:rsidRPr="003815D6" w:rsidRDefault="002641DA" w:rsidP="004C53CC">
            <w:pPr>
              <w:pStyle w:val="TableBullet1"/>
              <w:numPr>
                <w:ilvl w:val="0"/>
                <w:numId w:val="11"/>
              </w:numPr>
              <w:ind w:left="360"/>
              <w:rPr>
                <w:rFonts w:eastAsia="Calibri"/>
              </w:rPr>
            </w:pPr>
            <w:r w:rsidRPr="003815D6">
              <w:rPr>
                <w:rFonts w:eastAsia="Calibri"/>
              </w:rPr>
              <w:t xml:space="preserve">Review and discover </w:t>
            </w:r>
            <w:r w:rsidR="00127BA7" w:rsidRPr="003815D6">
              <w:rPr>
                <w:rFonts w:eastAsia="Calibri"/>
              </w:rPr>
              <w:t xml:space="preserve">the </w:t>
            </w:r>
            <w:r w:rsidRPr="003815D6">
              <w:rPr>
                <w:rFonts w:eastAsia="Calibri"/>
              </w:rPr>
              <w:t xml:space="preserve">current </w:t>
            </w:r>
            <w:r w:rsidR="00CA22F1" w:rsidRPr="003815D6">
              <w:rPr>
                <w:rFonts w:eastAsia="Calibri"/>
              </w:rPr>
              <w:t>i</w:t>
            </w:r>
            <w:r w:rsidRPr="003815D6">
              <w:rPr>
                <w:rFonts w:eastAsia="Calibri"/>
              </w:rPr>
              <w:t xml:space="preserve">ncident </w:t>
            </w:r>
            <w:r w:rsidR="00CA22F1" w:rsidRPr="003815D6">
              <w:rPr>
                <w:rFonts w:eastAsia="Calibri"/>
              </w:rPr>
              <w:t>m</w:t>
            </w:r>
            <w:r w:rsidRPr="003815D6">
              <w:rPr>
                <w:rFonts w:eastAsia="Calibri"/>
              </w:rPr>
              <w:t>anagement process</w:t>
            </w:r>
            <w:r w:rsidR="008F1C8D">
              <w:rPr>
                <w:rFonts w:eastAsia="Calibri"/>
              </w:rPr>
              <w:t>.</w:t>
            </w:r>
          </w:p>
          <w:p w14:paraId="5EE68D9B" w14:textId="358F56BA" w:rsidR="002641DA" w:rsidRPr="003815D6" w:rsidRDefault="002641DA" w:rsidP="004C53CC">
            <w:pPr>
              <w:pStyle w:val="TableBullet1"/>
              <w:numPr>
                <w:ilvl w:val="0"/>
                <w:numId w:val="11"/>
              </w:numPr>
              <w:ind w:left="360"/>
              <w:rPr>
                <w:rFonts w:eastAsia="Calibri"/>
              </w:rPr>
            </w:pPr>
            <w:r w:rsidRPr="003815D6">
              <w:rPr>
                <w:rFonts w:eastAsia="Calibri"/>
              </w:rPr>
              <w:lastRenderedPageBreak/>
              <w:t xml:space="preserve">Develop </w:t>
            </w:r>
            <w:r w:rsidR="00CA22F1" w:rsidRPr="003815D6">
              <w:rPr>
                <w:rFonts w:eastAsia="Calibri"/>
              </w:rPr>
              <w:t>s</w:t>
            </w:r>
            <w:r w:rsidRPr="003815D6">
              <w:rPr>
                <w:rFonts w:eastAsia="Calibri"/>
              </w:rPr>
              <w:t>upport</w:t>
            </w:r>
            <w:r w:rsidR="00DF00A8" w:rsidRPr="003815D6">
              <w:rPr>
                <w:rFonts w:eastAsia="Calibri"/>
              </w:rPr>
              <w:t xml:space="preserve"> or </w:t>
            </w:r>
            <w:r w:rsidR="00CA22F1" w:rsidRPr="003815D6">
              <w:rPr>
                <w:rFonts w:eastAsia="Calibri"/>
              </w:rPr>
              <w:t>i</w:t>
            </w:r>
            <w:r w:rsidRPr="003815D6">
              <w:rPr>
                <w:rFonts w:eastAsia="Calibri"/>
              </w:rPr>
              <w:t xml:space="preserve">ncident </w:t>
            </w:r>
            <w:r w:rsidR="00CA22F1" w:rsidRPr="003815D6">
              <w:rPr>
                <w:rFonts w:eastAsia="Calibri"/>
              </w:rPr>
              <w:t>r</w:t>
            </w:r>
            <w:r w:rsidRPr="003815D6">
              <w:rPr>
                <w:rFonts w:eastAsia="Calibri"/>
              </w:rPr>
              <w:t xml:space="preserve">oles and </w:t>
            </w:r>
            <w:r w:rsidR="00CA22F1" w:rsidRPr="003815D6">
              <w:rPr>
                <w:rFonts w:eastAsia="Calibri"/>
              </w:rPr>
              <w:t>r</w:t>
            </w:r>
            <w:r w:rsidRPr="003815D6">
              <w:rPr>
                <w:rFonts w:eastAsia="Calibri"/>
              </w:rPr>
              <w:t>esponsibilities for Office 365</w:t>
            </w:r>
            <w:r w:rsidR="008F1C8D">
              <w:rPr>
                <w:rFonts w:eastAsia="Calibri"/>
              </w:rPr>
              <w:t>.</w:t>
            </w:r>
          </w:p>
          <w:p w14:paraId="4DD355FD" w14:textId="1FD532BD" w:rsidR="002641DA" w:rsidRPr="003815D6" w:rsidRDefault="002641DA" w:rsidP="004C53CC">
            <w:pPr>
              <w:pStyle w:val="TableBullet1"/>
              <w:numPr>
                <w:ilvl w:val="0"/>
                <w:numId w:val="11"/>
              </w:numPr>
              <w:ind w:left="360"/>
              <w:rPr>
                <w:rFonts w:eastAsia="Calibri"/>
              </w:rPr>
            </w:pPr>
            <w:r w:rsidRPr="003815D6">
              <w:rPr>
                <w:rFonts w:eastAsia="Calibri"/>
              </w:rPr>
              <w:t xml:space="preserve">Develop </w:t>
            </w:r>
            <w:r w:rsidR="00DF00A8" w:rsidRPr="003815D6">
              <w:rPr>
                <w:rFonts w:eastAsia="Calibri"/>
              </w:rPr>
              <w:t xml:space="preserve">a </w:t>
            </w:r>
            <w:r w:rsidRPr="003815D6">
              <w:rPr>
                <w:rFonts w:eastAsia="Calibri"/>
              </w:rPr>
              <w:t>new support process flow for Office 365, including integration with Microsoft Support</w:t>
            </w:r>
            <w:r w:rsidR="008F1C8D">
              <w:rPr>
                <w:rFonts w:eastAsia="Calibri"/>
              </w:rPr>
              <w:t>.</w:t>
            </w:r>
          </w:p>
          <w:p w14:paraId="3F96AD37" w14:textId="01B15A36" w:rsidR="002641DA" w:rsidRPr="003815D6" w:rsidRDefault="002641DA" w:rsidP="004C53CC">
            <w:pPr>
              <w:pStyle w:val="TableBullet1"/>
              <w:numPr>
                <w:ilvl w:val="0"/>
                <w:numId w:val="11"/>
              </w:numPr>
              <w:ind w:left="360"/>
              <w:rPr>
                <w:rFonts w:eastAsia="Calibri"/>
              </w:rPr>
            </w:pPr>
            <w:r w:rsidRPr="003815D6">
              <w:rPr>
                <w:rFonts w:eastAsia="Calibri"/>
              </w:rPr>
              <w:t xml:space="preserve">Identify and document </w:t>
            </w:r>
            <w:r w:rsidR="00190553" w:rsidRPr="003815D6">
              <w:rPr>
                <w:rFonts w:eastAsia="Calibri"/>
              </w:rPr>
              <w:t xml:space="preserve">the </w:t>
            </w:r>
            <w:r w:rsidRPr="003815D6">
              <w:rPr>
                <w:rFonts w:eastAsia="Calibri"/>
              </w:rPr>
              <w:t>escalation path and points of demarcation and interface between the current internal service desk and Microsoft Support</w:t>
            </w:r>
            <w:r w:rsidR="008F1C8D">
              <w:rPr>
                <w:rFonts w:eastAsia="Calibri"/>
              </w:rPr>
              <w:t>.</w:t>
            </w:r>
          </w:p>
          <w:p w14:paraId="127FFCD0" w14:textId="0F71C914" w:rsidR="002641DA" w:rsidRPr="003815D6" w:rsidRDefault="002641DA" w:rsidP="004C53CC">
            <w:pPr>
              <w:pStyle w:val="TableBullet1"/>
              <w:numPr>
                <w:ilvl w:val="0"/>
                <w:numId w:val="11"/>
              </w:numPr>
              <w:ind w:left="360"/>
              <w:rPr>
                <w:rFonts w:eastAsia="Calibri"/>
              </w:rPr>
            </w:pPr>
            <w:r w:rsidRPr="003815D6">
              <w:rPr>
                <w:rFonts w:eastAsia="Calibri"/>
              </w:rPr>
              <w:t>Provide escalation triggers and recommended assignment workflows</w:t>
            </w:r>
            <w:r w:rsidR="008F1C8D">
              <w:rPr>
                <w:rFonts w:eastAsia="Calibri"/>
              </w:rPr>
              <w:t>.</w:t>
            </w:r>
          </w:p>
          <w:p w14:paraId="53126545" w14:textId="2C42676B" w:rsidR="002641DA" w:rsidRPr="003815D6" w:rsidRDefault="002641DA" w:rsidP="004C53CC">
            <w:pPr>
              <w:pStyle w:val="TableBullet1"/>
              <w:numPr>
                <w:ilvl w:val="0"/>
                <w:numId w:val="11"/>
              </w:numPr>
              <w:ind w:left="360"/>
              <w:rPr>
                <w:rFonts w:eastAsia="Calibri"/>
              </w:rPr>
            </w:pPr>
            <w:r w:rsidRPr="003815D6">
              <w:rPr>
                <w:rFonts w:eastAsia="Calibri"/>
              </w:rPr>
              <w:t xml:space="preserve">Develop </w:t>
            </w:r>
            <w:r w:rsidR="00DF00A8" w:rsidRPr="003815D6">
              <w:rPr>
                <w:rFonts w:eastAsia="Calibri"/>
              </w:rPr>
              <w:t xml:space="preserve">a </w:t>
            </w:r>
            <w:r w:rsidR="00CA22F1" w:rsidRPr="003815D6">
              <w:rPr>
                <w:rFonts w:eastAsia="Calibri"/>
              </w:rPr>
              <w:t>m</w:t>
            </w:r>
            <w:r w:rsidRPr="003815D6">
              <w:rPr>
                <w:rFonts w:eastAsia="Calibri"/>
              </w:rPr>
              <w:t xml:space="preserve">ajor </w:t>
            </w:r>
            <w:r w:rsidR="00CA22F1" w:rsidRPr="003815D6">
              <w:rPr>
                <w:rFonts w:eastAsia="Calibri"/>
              </w:rPr>
              <w:t>i</w:t>
            </w:r>
            <w:r w:rsidRPr="003815D6">
              <w:rPr>
                <w:rFonts w:eastAsia="Calibri"/>
              </w:rPr>
              <w:t xml:space="preserve">ncident </w:t>
            </w:r>
            <w:r w:rsidR="00CA22F1" w:rsidRPr="003815D6">
              <w:rPr>
                <w:rFonts w:eastAsia="Calibri"/>
              </w:rPr>
              <w:t>m</w:t>
            </w:r>
            <w:r w:rsidRPr="003815D6">
              <w:rPr>
                <w:rFonts w:eastAsia="Calibri"/>
              </w:rPr>
              <w:t>anagement process flow for Office 365</w:t>
            </w:r>
            <w:r w:rsidR="008F1C8D">
              <w:rPr>
                <w:rFonts w:eastAsia="Calibri"/>
              </w:rPr>
              <w:t>.</w:t>
            </w:r>
          </w:p>
          <w:p w14:paraId="03C3DA44" w14:textId="4B288429" w:rsidR="002641DA" w:rsidRPr="003815D6" w:rsidRDefault="002641DA" w:rsidP="004C53CC">
            <w:pPr>
              <w:pStyle w:val="TableBullet1"/>
              <w:numPr>
                <w:ilvl w:val="0"/>
                <w:numId w:val="11"/>
              </w:numPr>
              <w:ind w:left="360"/>
              <w:rPr>
                <w:rFonts w:eastAsia="Calibri"/>
              </w:rPr>
            </w:pPr>
            <w:r w:rsidRPr="003815D6">
              <w:rPr>
                <w:rFonts w:eastAsia="Calibri"/>
              </w:rPr>
              <w:t xml:space="preserve">Provide guidance and recommendations </w:t>
            </w:r>
            <w:r w:rsidR="00DF00A8" w:rsidRPr="003815D6">
              <w:rPr>
                <w:rFonts w:eastAsia="Calibri"/>
              </w:rPr>
              <w:t xml:space="preserve">related to </w:t>
            </w:r>
            <w:r w:rsidRPr="003815D6">
              <w:rPr>
                <w:rFonts w:eastAsia="Calibri"/>
              </w:rPr>
              <w:t>continuous improvement and key performance indicators for supportability of Office 365</w:t>
            </w:r>
            <w:bookmarkStart w:id="80" w:name="_Toc318629575"/>
            <w:bookmarkStart w:id="81" w:name="_Toc346632285"/>
            <w:r w:rsidR="008F1C8D">
              <w:rPr>
                <w:rFonts w:eastAsia="Calibri"/>
              </w:rPr>
              <w:t>.</w:t>
            </w:r>
          </w:p>
          <w:bookmarkEnd w:id="80"/>
          <w:bookmarkEnd w:id="81"/>
          <w:p w14:paraId="0B992026" w14:textId="523A15D5" w:rsidR="002641DA" w:rsidRPr="003815D6" w:rsidRDefault="002641DA" w:rsidP="004C53CC">
            <w:pPr>
              <w:pStyle w:val="TableBullet1"/>
              <w:numPr>
                <w:ilvl w:val="0"/>
                <w:numId w:val="11"/>
              </w:numPr>
              <w:ind w:left="360"/>
              <w:rPr>
                <w:rFonts w:eastAsia="Calibri"/>
              </w:rPr>
            </w:pPr>
            <w:r w:rsidRPr="003815D6">
              <w:rPr>
                <w:rFonts w:eastAsia="Calibri"/>
              </w:rPr>
              <w:t>Provide guidance identifying and documenting the recommended roles and responsibilities of engineers, administrators, and other operations staff when managing and administrating Office 365</w:t>
            </w:r>
            <w:r w:rsidR="003E6087" w:rsidRPr="003815D6">
              <w:rPr>
                <w:rFonts w:eastAsia="Calibri"/>
              </w:rPr>
              <w:t>.</w:t>
            </w:r>
          </w:p>
          <w:p w14:paraId="0C730330" w14:textId="73BE1CA1" w:rsidR="002641DA" w:rsidRPr="003815D6" w:rsidRDefault="002641DA" w:rsidP="004C53CC">
            <w:pPr>
              <w:pStyle w:val="TableBullet1"/>
              <w:numPr>
                <w:ilvl w:val="0"/>
                <w:numId w:val="11"/>
              </w:numPr>
              <w:ind w:left="360"/>
              <w:rPr>
                <w:rFonts w:eastAsia="Calibri"/>
              </w:rPr>
            </w:pPr>
            <w:r w:rsidRPr="003815D6">
              <w:rPr>
                <w:rFonts w:eastAsia="Calibri"/>
              </w:rPr>
              <w:t xml:space="preserve">Identify and recommend process changes that will </w:t>
            </w:r>
            <w:r w:rsidR="00B73E49" w:rsidRPr="003815D6">
              <w:rPr>
                <w:rFonts w:eastAsia="Calibri"/>
              </w:rPr>
              <w:t xml:space="preserve">help </w:t>
            </w:r>
            <w:r w:rsidRPr="003815D6">
              <w:rPr>
                <w:rFonts w:eastAsia="Calibri"/>
              </w:rPr>
              <w:t xml:space="preserve">the </w:t>
            </w:r>
            <w:r w:rsidR="009633F4" w:rsidRPr="003815D6">
              <w:rPr>
                <w:rFonts w:eastAsia="Calibri"/>
              </w:rPr>
              <w:t>customer</w:t>
            </w:r>
            <w:r w:rsidRPr="003815D6">
              <w:rPr>
                <w:rFonts w:eastAsia="Calibri"/>
              </w:rPr>
              <w:t xml:space="preserve"> consume Office 365 issue alerting proactively for items that </w:t>
            </w:r>
            <w:r w:rsidR="00B73E49" w:rsidRPr="003815D6">
              <w:rPr>
                <w:rFonts w:eastAsia="Calibri"/>
              </w:rPr>
              <w:t xml:space="preserve">it </w:t>
            </w:r>
            <w:r w:rsidRPr="003815D6">
              <w:rPr>
                <w:rFonts w:eastAsia="Calibri"/>
              </w:rPr>
              <w:t>need address</w:t>
            </w:r>
            <w:r w:rsidR="00A34543" w:rsidRPr="003815D6">
              <w:rPr>
                <w:rFonts w:eastAsia="Calibri"/>
              </w:rPr>
              <w:t>ing</w:t>
            </w:r>
            <w:r w:rsidR="008F1C8D">
              <w:rPr>
                <w:rFonts w:eastAsia="Calibri"/>
              </w:rPr>
              <w:t>.</w:t>
            </w:r>
          </w:p>
          <w:p w14:paraId="334DF073" w14:textId="6068B368" w:rsidR="002641DA" w:rsidRPr="003815D6" w:rsidRDefault="00CA22F1" w:rsidP="004C53CC">
            <w:pPr>
              <w:pStyle w:val="TableBullet1"/>
              <w:numPr>
                <w:ilvl w:val="0"/>
                <w:numId w:val="11"/>
              </w:numPr>
              <w:ind w:left="360"/>
            </w:pPr>
            <w:r w:rsidRPr="003815D6">
              <w:rPr>
                <w:rFonts w:eastAsia="Calibri"/>
              </w:rPr>
              <w:t>Conduct k</w:t>
            </w:r>
            <w:r w:rsidR="002641DA" w:rsidRPr="003815D6">
              <w:rPr>
                <w:rFonts w:eastAsia="Calibri"/>
              </w:rPr>
              <w:t xml:space="preserve">nowledge </w:t>
            </w:r>
            <w:r w:rsidRPr="003815D6">
              <w:rPr>
                <w:rFonts w:eastAsia="Calibri"/>
              </w:rPr>
              <w:t>t</w:t>
            </w:r>
            <w:r w:rsidR="002641DA" w:rsidRPr="003815D6">
              <w:rPr>
                <w:rFonts w:eastAsia="Calibri"/>
              </w:rPr>
              <w:t xml:space="preserve">ransfer </w:t>
            </w:r>
            <w:r w:rsidRPr="003815D6">
              <w:rPr>
                <w:rFonts w:eastAsia="Calibri"/>
              </w:rPr>
              <w:t>s</w:t>
            </w:r>
            <w:r w:rsidR="002641DA" w:rsidRPr="003815D6">
              <w:rPr>
                <w:rFonts w:eastAsia="Calibri"/>
              </w:rPr>
              <w:t>essions for the</w:t>
            </w:r>
            <w:r w:rsidR="0041667A" w:rsidRPr="003815D6">
              <w:rPr>
                <w:rFonts w:eastAsia="Calibri"/>
              </w:rPr>
              <w:t xml:space="preserve"> customer</w:t>
            </w:r>
            <w:r w:rsidR="002641DA" w:rsidRPr="003815D6">
              <w:rPr>
                <w:rFonts w:eastAsia="Calibri"/>
              </w:rPr>
              <w:t xml:space="preserve"> </w:t>
            </w:r>
            <w:r w:rsidRPr="003815D6">
              <w:rPr>
                <w:rFonts w:eastAsia="Calibri"/>
              </w:rPr>
              <w:t>s</w:t>
            </w:r>
            <w:r w:rsidR="002641DA" w:rsidRPr="003815D6">
              <w:rPr>
                <w:rFonts w:eastAsia="Calibri"/>
              </w:rPr>
              <w:t xml:space="preserve">ervice </w:t>
            </w:r>
            <w:r w:rsidRPr="003815D6">
              <w:rPr>
                <w:rFonts w:eastAsia="Calibri"/>
              </w:rPr>
              <w:t>d</w:t>
            </w:r>
            <w:r w:rsidR="002641DA" w:rsidRPr="003815D6">
              <w:rPr>
                <w:rFonts w:eastAsia="Calibri"/>
              </w:rPr>
              <w:t>esk</w:t>
            </w:r>
            <w:r w:rsidRPr="003815D6">
              <w:rPr>
                <w:rFonts w:eastAsia="Calibri"/>
              </w:rPr>
              <w:t xml:space="preserve">, </w:t>
            </w:r>
            <w:r w:rsidR="000B179B" w:rsidRPr="003815D6">
              <w:rPr>
                <w:rFonts w:eastAsia="Calibri"/>
              </w:rPr>
              <w:t>(</w:t>
            </w:r>
            <w:r w:rsidRPr="003815D6">
              <w:rPr>
                <w:rFonts w:eastAsia="Calibri"/>
              </w:rPr>
              <w:t xml:space="preserve">limited to </w:t>
            </w:r>
            <w:r w:rsidR="000B179B" w:rsidRPr="003815D6">
              <w:rPr>
                <w:rFonts w:eastAsia="Calibri"/>
              </w:rPr>
              <w:t xml:space="preserve">1 </w:t>
            </w:r>
            <w:r w:rsidRPr="003815D6">
              <w:rPr>
                <w:rFonts w:eastAsia="Calibri"/>
              </w:rPr>
              <w:t>session on Office 365 support workflows and toolsets and a second session on the Office 365 monitoring plan and toolsets</w:t>
            </w:r>
            <w:r w:rsidR="000B179B" w:rsidRPr="003815D6">
              <w:rPr>
                <w:rFonts w:eastAsia="Calibri"/>
              </w:rPr>
              <w:t>)</w:t>
            </w:r>
            <w:r w:rsidR="008F1C8D">
              <w:rPr>
                <w:rFonts w:eastAsia="Calibri"/>
              </w:rPr>
              <w:t>.</w:t>
            </w:r>
          </w:p>
        </w:tc>
      </w:tr>
      <w:tr w:rsidR="00815D40" w:rsidRPr="003815D6" w14:paraId="59784B85" w14:textId="77777777" w:rsidTr="005C3C1C">
        <w:trPr>
          <w:gridAfter w:val="1"/>
          <w:wAfter w:w="13" w:type="dxa"/>
          <w:trHeight w:val="422"/>
        </w:trPr>
        <w:tc>
          <w:tcPr>
            <w:tcW w:w="3068" w:type="dxa"/>
            <w:tcBorders>
              <w:top w:val="single" w:sz="2" w:space="0" w:color="7F7F7F"/>
              <w:left w:val="single" w:sz="2" w:space="0" w:color="7F7F7F"/>
              <w:bottom w:val="single" w:sz="2" w:space="0" w:color="7F7F7F"/>
              <w:right w:val="single" w:sz="2" w:space="0" w:color="7F7F7F"/>
            </w:tcBorders>
            <w:shd w:val="clear" w:color="auto" w:fill="auto"/>
          </w:tcPr>
          <w:p w14:paraId="4E8BD054" w14:textId="64CAC72D" w:rsidR="002641DA" w:rsidRPr="003815D6" w:rsidRDefault="002641DA" w:rsidP="005C3C1C">
            <w:pPr>
              <w:rPr>
                <w:rFonts w:eastAsia="Calibri"/>
              </w:rPr>
            </w:pPr>
            <w:r w:rsidRPr="003815D6">
              <w:rPr>
                <w:rFonts w:eastAsia="Calibri"/>
                <w:b/>
              </w:rPr>
              <w:lastRenderedPageBreak/>
              <w:t>Customer activities</w:t>
            </w:r>
            <w:r w:rsidR="00BB088C">
              <w:rPr>
                <w:rFonts w:eastAsia="Calibri"/>
                <w:b/>
              </w:rPr>
              <w:t xml:space="preserve"> (</w:t>
            </w:r>
            <w:r w:rsidR="00EB6536">
              <w:rPr>
                <w:rFonts w:eastAsia="Calibri"/>
                <w:b/>
              </w:rPr>
              <w:t xml:space="preserve"> and/or </w:t>
            </w:r>
            <w:r w:rsidR="00BB088C">
              <w:rPr>
                <w:rFonts w:eastAsia="Calibri"/>
                <w:b/>
              </w:rPr>
              <w:t>)</w:t>
            </w:r>
            <w:r w:rsidRPr="003815D6">
              <w:rPr>
                <w:rFonts w:eastAsia="Calibri"/>
                <w:b/>
              </w:rPr>
              <w:br/>
            </w:r>
            <w:r w:rsidRPr="003815D6">
              <w:rPr>
                <w:rFonts w:eastAsia="Calibri"/>
              </w:rPr>
              <w:t>The activities to be performed by the Customer</w:t>
            </w:r>
          </w:p>
        </w:tc>
        <w:tc>
          <w:tcPr>
            <w:tcW w:w="6140" w:type="dxa"/>
            <w:tcBorders>
              <w:top w:val="single" w:sz="2" w:space="0" w:color="7F7F7F"/>
              <w:left w:val="single" w:sz="2" w:space="0" w:color="7F7F7F"/>
              <w:bottom w:val="single" w:sz="2" w:space="0" w:color="7F7F7F"/>
              <w:right w:val="single" w:sz="2" w:space="0" w:color="7F7F7F"/>
            </w:tcBorders>
            <w:shd w:val="clear" w:color="auto" w:fill="FFFFFF"/>
          </w:tcPr>
          <w:p w14:paraId="64C40825" w14:textId="4B7AFD28" w:rsidR="002641DA" w:rsidRPr="003815D6" w:rsidRDefault="002641DA" w:rsidP="00434B10">
            <w:pPr>
              <w:pStyle w:val="TableBullet1"/>
              <w:numPr>
                <w:ilvl w:val="0"/>
                <w:numId w:val="0"/>
              </w:numPr>
              <w:rPr>
                <w:rFonts w:eastAsia="Calibri"/>
                <w:b/>
              </w:rPr>
            </w:pPr>
            <w:r w:rsidRPr="003815D6">
              <w:rPr>
                <w:rFonts w:eastAsia="Calibri"/>
                <w:b/>
              </w:rPr>
              <w:t>Assess</w:t>
            </w:r>
            <w:r w:rsidR="006300A4" w:rsidRPr="003815D6">
              <w:rPr>
                <w:rFonts w:eastAsia="Calibri"/>
                <w:b/>
              </w:rPr>
              <w:t xml:space="preserve"> </w:t>
            </w:r>
            <w:r w:rsidR="006300A4" w:rsidRPr="003815D6">
              <w:rPr>
                <w:rFonts w:eastAsia="Calibri"/>
                <w:b/>
                <w:bCs/>
              </w:rPr>
              <w:t>phase</w:t>
            </w:r>
          </w:p>
          <w:p w14:paraId="4F796748" w14:textId="2B27A9F5" w:rsidR="002641DA" w:rsidRPr="003815D6" w:rsidRDefault="002641DA" w:rsidP="000D626E">
            <w:pPr>
              <w:pStyle w:val="TableBullet1"/>
            </w:pPr>
            <w:r w:rsidRPr="003815D6">
              <w:t xml:space="preserve">Provide information </w:t>
            </w:r>
            <w:r w:rsidR="003E6087" w:rsidRPr="003815D6">
              <w:t xml:space="preserve">related to </w:t>
            </w:r>
            <w:r w:rsidRPr="003815D6">
              <w:t>current state process</w:t>
            </w:r>
            <w:r w:rsidR="00E3767D" w:rsidRPr="003815D6">
              <w:t>es</w:t>
            </w:r>
            <w:r w:rsidRPr="003815D6">
              <w:t xml:space="preserve"> and </w:t>
            </w:r>
            <w:r w:rsidR="00E3767D" w:rsidRPr="003815D6">
              <w:t xml:space="preserve">the </w:t>
            </w:r>
            <w:r w:rsidRPr="003815D6">
              <w:t>operational model</w:t>
            </w:r>
            <w:r w:rsidR="008F1C8D">
              <w:t>.</w:t>
            </w:r>
          </w:p>
          <w:p w14:paraId="7F7C07F3" w14:textId="75BC369A" w:rsidR="002641DA" w:rsidRPr="003815D6" w:rsidRDefault="002641DA" w:rsidP="000D626E">
            <w:pPr>
              <w:pStyle w:val="TableBullet1"/>
            </w:pPr>
            <w:r w:rsidRPr="003815D6">
              <w:t>Make process and operational decisions</w:t>
            </w:r>
            <w:r w:rsidR="008F1C8D">
              <w:t>.</w:t>
            </w:r>
          </w:p>
          <w:p w14:paraId="5449EA77" w14:textId="487D3140" w:rsidR="002641DA" w:rsidRPr="003815D6" w:rsidRDefault="00450CE7" w:rsidP="000D626E">
            <w:pPr>
              <w:pStyle w:val="TableBullet1"/>
            </w:pPr>
            <w:r w:rsidRPr="003815D6">
              <w:t xml:space="preserve">Decision </w:t>
            </w:r>
            <w:r w:rsidR="002641DA" w:rsidRPr="003815D6">
              <w:t>makers and operations and support subject matter specialists</w:t>
            </w:r>
            <w:r w:rsidRPr="003815D6">
              <w:t xml:space="preserve"> will fully participate in the workshops</w:t>
            </w:r>
            <w:r w:rsidR="008F1C8D">
              <w:t>.</w:t>
            </w:r>
          </w:p>
          <w:p w14:paraId="32B4B45E" w14:textId="51CFCD6E" w:rsidR="002641DA" w:rsidRPr="003815D6" w:rsidRDefault="002641DA" w:rsidP="000D626E">
            <w:pPr>
              <w:pStyle w:val="TableBullet1"/>
              <w:rPr>
                <w:rFonts w:ascii="Segoe UI Semilight" w:eastAsiaTheme="minorEastAsia" w:hAnsi="Segoe UI Semilight" w:cs="Segoe UI Semilight"/>
                <w:szCs w:val="18"/>
              </w:rPr>
            </w:pPr>
            <w:r w:rsidRPr="003815D6">
              <w:t xml:space="preserve">Attend </w:t>
            </w:r>
            <w:r w:rsidR="000B179B" w:rsidRPr="003815D6">
              <w:t xml:space="preserve">the </w:t>
            </w:r>
            <w:r w:rsidRPr="003815D6">
              <w:t>knowledge transfer session</w:t>
            </w:r>
            <w:r w:rsidR="008F1C8D">
              <w:t>.</w:t>
            </w:r>
          </w:p>
        </w:tc>
      </w:tr>
      <w:tr w:rsidR="00815D40" w:rsidRPr="003815D6" w14:paraId="37FC20A1" w14:textId="77777777" w:rsidTr="005C3C1C">
        <w:trPr>
          <w:gridAfter w:val="1"/>
          <w:wAfter w:w="13" w:type="dxa"/>
          <w:trHeight w:val="422"/>
        </w:trPr>
        <w:tc>
          <w:tcPr>
            <w:tcW w:w="3068" w:type="dxa"/>
            <w:tcBorders>
              <w:top w:val="single" w:sz="2" w:space="0" w:color="7F7F7F"/>
              <w:left w:val="single" w:sz="2" w:space="0" w:color="7F7F7F"/>
              <w:bottom w:val="single" w:sz="2" w:space="0" w:color="7F7F7F"/>
              <w:right w:val="single" w:sz="2" w:space="0" w:color="7F7F7F"/>
            </w:tcBorders>
            <w:shd w:val="clear" w:color="auto" w:fill="auto"/>
          </w:tcPr>
          <w:p w14:paraId="76F61131" w14:textId="42AFA13C" w:rsidR="002641DA" w:rsidRPr="003815D6" w:rsidRDefault="002641DA" w:rsidP="005C3C1C">
            <w:pPr>
              <w:rPr>
                <w:rFonts w:eastAsia="Calibri"/>
              </w:rPr>
            </w:pPr>
            <w:r w:rsidRPr="003815D6">
              <w:rPr>
                <w:rFonts w:eastAsia="Calibri"/>
                <w:b/>
              </w:rPr>
              <w:t>Key assumptions</w:t>
            </w:r>
          </w:p>
        </w:tc>
        <w:tc>
          <w:tcPr>
            <w:tcW w:w="6140" w:type="dxa"/>
            <w:tcBorders>
              <w:top w:val="single" w:sz="2" w:space="0" w:color="7F7F7F"/>
              <w:left w:val="single" w:sz="2" w:space="0" w:color="7F7F7F"/>
              <w:bottom w:val="single" w:sz="2" w:space="0" w:color="7F7F7F"/>
              <w:right w:val="single" w:sz="2" w:space="0" w:color="7F7F7F"/>
            </w:tcBorders>
            <w:shd w:val="clear" w:color="auto" w:fill="FFFFFF"/>
          </w:tcPr>
          <w:p w14:paraId="74875176" w14:textId="77777777" w:rsidR="004D1F0C" w:rsidRPr="00664262" w:rsidRDefault="004D1F0C" w:rsidP="004D1F0C">
            <w:pPr>
              <w:pStyle w:val="TableBullet1"/>
              <w:numPr>
                <w:ilvl w:val="0"/>
                <w:numId w:val="5"/>
              </w:numPr>
              <w:tabs>
                <w:tab w:val="left" w:pos="720"/>
              </w:tabs>
            </w:pPr>
            <w:r w:rsidRPr="00664262">
              <w:t>Participants will be prepared to engage in the workshops to provide insight, make decisions, and engage in discussions to support the completion of all areas in scope.</w:t>
            </w:r>
          </w:p>
          <w:p w14:paraId="064D0EE3" w14:textId="77777777" w:rsidR="004D1F0C" w:rsidRPr="00664262" w:rsidRDefault="004D1F0C" w:rsidP="004D1F0C">
            <w:pPr>
              <w:pStyle w:val="TableBullet1"/>
              <w:numPr>
                <w:ilvl w:val="0"/>
                <w:numId w:val="5"/>
              </w:numPr>
              <w:tabs>
                <w:tab w:val="left" w:pos="720"/>
              </w:tabs>
            </w:pPr>
            <w:r w:rsidRPr="00664262">
              <w:t>Full participation in the workshops by Customer decision makers, architects, and subject matter specialists is assumed.</w:t>
            </w:r>
          </w:p>
          <w:p w14:paraId="5540C70C" w14:textId="77777777" w:rsidR="004D1F0C" w:rsidRPr="00664262" w:rsidRDefault="004D1F0C" w:rsidP="004D1F0C">
            <w:pPr>
              <w:pStyle w:val="TableBullet1"/>
              <w:numPr>
                <w:ilvl w:val="0"/>
                <w:numId w:val="5"/>
              </w:numPr>
              <w:tabs>
                <w:tab w:val="left" w:pos="720"/>
              </w:tabs>
            </w:pPr>
            <w:r w:rsidRPr="00664262">
              <w:t>Customer stakeholders should help with any escalations for decisions or participation in a timely manner.</w:t>
            </w:r>
          </w:p>
          <w:p w14:paraId="58FE89DF" w14:textId="6C05A3AE" w:rsidR="002641DA" w:rsidRPr="003815D6" w:rsidRDefault="002641DA" w:rsidP="00047A03">
            <w:pPr>
              <w:pStyle w:val="TableBullet1"/>
              <w:numPr>
                <w:ilvl w:val="0"/>
                <w:numId w:val="0"/>
              </w:numPr>
              <w:ind w:left="360"/>
              <w:rPr>
                <w:rFonts w:eastAsia="Calibri"/>
              </w:rPr>
            </w:pPr>
          </w:p>
        </w:tc>
      </w:tr>
      <w:tr w:rsidR="00815D40" w:rsidRPr="003815D6" w14:paraId="1718FA80" w14:textId="77777777" w:rsidTr="005C3C1C">
        <w:trPr>
          <w:gridAfter w:val="1"/>
          <w:wAfter w:w="13" w:type="dxa"/>
          <w:trHeight w:val="422"/>
        </w:trPr>
        <w:tc>
          <w:tcPr>
            <w:tcW w:w="3068" w:type="dxa"/>
            <w:tcBorders>
              <w:top w:val="single" w:sz="2" w:space="0" w:color="7F7F7F"/>
              <w:left w:val="single" w:sz="2" w:space="0" w:color="7F7F7F"/>
              <w:bottom w:val="single" w:sz="2" w:space="0" w:color="7F7F7F"/>
              <w:right w:val="single" w:sz="2" w:space="0" w:color="7F7F7F"/>
            </w:tcBorders>
            <w:shd w:val="clear" w:color="auto" w:fill="auto"/>
          </w:tcPr>
          <w:p w14:paraId="5E7C9A8D" w14:textId="77777777" w:rsidR="006453AC" w:rsidRPr="003815D6" w:rsidRDefault="006453AC" w:rsidP="006453AC">
            <w:pPr>
              <w:rPr>
                <w:rFonts w:eastAsia="Calibri"/>
                <w:b/>
              </w:rPr>
            </w:pPr>
            <w:r w:rsidRPr="003815D6">
              <w:rPr>
                <w:rFonts w:eastAsia="Calibri"/>
                <w:b/>
              </w:rPr>
              <w:t>Project deliverables</w:t>
            </w:r>
            <w:r w:rsidRPr="003815D6">
              <w:rPr>
                <w:rFonts w:eastAsia="Calibri"/>
                <w:b/>
              </w:rPr>
              <w:br/>
            </w:r>
            <w:r w:rsidRPr="003815D6">
              <w:rPr>
                <w:rFonts w:eastAsia="Calibri"/>
              </w:rPr>
              <w:t xml:space="preserve">Content for this project </w:t>
            </w:r>
            <w:r w:rsidRPr="003815D6">
              <w:rPr>
                <w:rFonts w:eastAsia="Calibri"/>
              </w:rPr>
              <w:lastRenderedPageBreak/>
              <w:t>component will be included in these project deliverables</w:t>
            </w:r>
          </w:p>
        </w:tc>
        <w:tc>
          <w:tcPr>
            <w:tcW w:w="6140" w:type="dxa"/>
            <w:tcBorders>
              <w:top w:val="single" w:sz="2" w:space="0" w:color="7F7F7F"/>
              <w:left w:val="single" w:sz="2" w:space="0" w:color="7F7F7F"/>
              <w:bottom w:val="single" w:sz="2" w:space="0" w:color="7F7F7F"/>
              <w:right w:val="single" w:sz="2" w:space="0" w:color="7F7F7F"/>
            </w:tcBorders>
            <w:shd w:val="clear" w:color="auto" w:fill="FFFFFF"/>
          </w:tcPr>
          <w:p w14:paraId="6D41F9CC" w14:textId="5016EFFC" w:rsidR="006453AC" w:rsidRPr="003815D6" w:rsidRDefault="006453AC" w:rsidP="006453AC">
            <w:pPr>
              <w:pStyle w:val="TableBullet1"/>
              <w:numPr>
                <w:ilvl w:val="0"/>
                <w:numId w:val="0"/>
              </w:numPr>
              <w:rPr>
                <w:rFonts w:eastAsia="Calibri"/>
              </w:rPr>
            </w:pPr>
            <w:r w:rsidRPr="003815D6">
              <w:lastRenderedPageBreak/>
              <w:t>N</w:t>
            </w:r>
            <w:r w:rsidR="00873538" w:rsidRPr="003815D6">
              <w:t>ot applicable</w:t>
            </w:r>
          </w:p>
        </w:tc>
      </w:tr>
    </w:tbl>
    <w:p w14:paraId="4E889F62" w14:textId="4E3E6445" w:rsidR="002641DA" w:rsidRPr="003815D6" w:rsidRDefault="002641DA" w:rsidP="000D626E">
      <w:pPr>
        <w:pStyle w:val="Heading4"/>
      </w:pPr>
      <w:r w:rsidRPr="003815D6">
        <w:t xml:space="preserve">Component </w:t>
      </w:r>
      <w:r w:rsidR="00873538" w:rsidRPr="003815D6">
        <w:t>deliverables</w:t>
      </w:r>
      <w:r w:rsidRPr="003815D6">
        <w:t>: ITSM-01</w:t>
      </w:r>
    </w:p>
    <w:p w14:paraId="6A574D7D" w14:textId="77777777" w:rsidR="002641DA" w:rsidRPr="003815D6" w:rsidRDefault="002641DA" w:rsidP="002641DA">
      <w:pPr>
        <w:rPr>
          <w:b/>
          <w:szCs w:val="24"/>
        </w:rPr>
      </w:pPr>
      <w:r w:rsidRPr="003815D6">
        <w:t>Microsoft will produce the following additional deliverables for this project component.</w:t>
      </w:r>
    </w:p>
    <w:tbl>
      <w:tblPr>
        <w:tblStyle w:val="TableGrid1"/>
        <w:tblW w:w="9210"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85"/>
        <w:gridCol w:w="3947"/>
        <w:gridCol w:w="1587"/>
        <w:gridCol w:w="1591"/>
      </w:tblGrid>
      <w:tr w:rsidR="00875557" w:rsidRPr="003815D6" w14:paraId="07B65E50" w14:textId="77777777" w:rsidTr="005C3C1C">
        <w:trPr>
          <w:trHeight w:val="361"/>
          <w:tblHeader/>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32449AEA" w14:textId="77777777" w:rsidR="002641DA" w:rsidRPr="003815D6" w:rsidRDefault="002641DA" w:rsidP="005C3C1C">
            <w:pPr>
              <w:pStyle w:val="Table-Header"/>
            </w:pPr>
            <w:r w:rsidRPr="003815D6">
              <w:t>Name</w:t>
            </w:r>
          </w:p>
        </w:tc>
        <w:tc>
          <w:tcPr>
            <w:tcW w:w="394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0CF7C912" w14:textId="77777777" w:rsidR="002641DA" w:rsidRPr="003815D6" w:rsidRDefault="002641DA" w:rsidP="005C3C1C">
            <w:pPr>
              <w:pStyle w:val="Table-Header"/>
            </w:pPr>
            <w:r w:rsidRPr="003815D6">
              <w:t>Description</w:t>
            </w:r>
          </w:p>
        </w:tc>
        <w:tc>
          <w:tcPr>
            <w:tcW w:w="158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18E964A6" w14:textId="77777777" w:rsidR="002641DA" w:rsidRPr="003815D6" w:rsidRDefault="002641DA" w:rsidP="005C3C1C">
            <w:pPr>
              <w:pStyle w:val="Table-Header"/>
            </w:pPr>
            <w:r w:rsidRPr="003815D6">
              <w:t>Acceptance required?</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CC6F51E" w14:textId="77777777" w:rsidR="002641DA" w:rsidRPr="003815D6" w:rsidRDefault="002641DA" w:rsidP="005C3C1C">
            <w:pPr>
              <w:pStyle w:val="Table-Header"/>
            </w:pPr>
            <w:r w:rsidRPr="003815D6">
              <w:t>Responsibility</w:t>
            </w:r>
          </w:p>
        </w:tc>
      </w:tr>
      <w:tr w:rsidR="000057BF" w:rsidRPr="003815D6" w14:paraId="037779ED" w14:textId="77777777" w:rsidTr="005C3C1C">
        <w:trPr>
          <w:trHeight w:val="417"/>
          <w:tblHeader/>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A4CD171" w14:textId="2B55C54A" w:rsidR="002641DA" w:rsidRPr="003815D6" w:rsidRDefault="002641DA" w:rsidP="005C3C1C">
            <w:pPr>
              <w:pStyle w:val="TableText"/>
            </w:pPr>
            <w:r w:rsidRPr="003815D6">
              <w:t xml:space="preserve">Service </w:t>
            </w:r>
            <w:r w:rsidR="00247ED7" w:rsidRPr="003815D6">
              <w:t>dependency map</w:t>
            </w:r>
          </w:p>
        </w:tc>
        <w:tc>
          <w:tcPr>
            <w:tcW w:w="394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00BC699" w14:textId="0E9519F5" w:rsidR="002641DA" w:rsidRPr="003815D6" w:rsidRDefault="00E3767D" w:rsidP="005C3C1C">
            <w:pPr>
              <w:pStyle w:val="TableText"/>
            </w:pPr>
            <w:r w:rsidRPr="003815D6">
              <w:t xml:space="preserve">An Office 365 service dependency map </w:t>
            </w:r>
          </w:p>
        </w:tc>
        <w:tc>
          <w:tcPr>
            <w:tcW w:w="158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ECEC0D0" w14:textId="77777777" w:rsidR="002641DA" w:rsidRPr="003815D6" w:rsidRDefault="002641DA" w:rsidP="005C3C1C">
            <w:pPr>
              <w:pStyle w:val="TableText"/>
            </w:pPr>
            <w:r w:rsidRPr="003815D6">
              <w:t>No</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CC7AE53" w14:textId="77777777" w:rsidR="002641DA" w:rsidRPr="003815D6" w:rsidRDefault="002641DA" w:rsidP="005C3C1C">
            <w:pPr>
              <w:pStyle w:val="TableText"/>
            </w:pPr>
            <w:r w:rsidRPr="003815D6">
              <w:t>Microsoft</w:t>
            </w:r>
          </w:p>
        </w:tc>
      </w:tr>
      <w:tr w:rsidR="000057BF" w:rsidRPr="003815D6" w14:paraId="0FE21B8B" w14:textId="77777777" w:rsidTr="005C3C1C">
        <w:trPr>
          <w:trHeight w:val="417"/>
          <w:tblHeader/>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98D2F6C" w14:textId="77777777" w:rsidR="002641DA" w:rsidRPr="003815D6" w:rsidRDefault="002641DA" w:rsidP="005C3C1C">
            <w:pPr>
              <w:pStyle w:val="TableText"/>
            </w:pPr>
            <w:r w:rsidRPr="003815D6">
              <w:t xml:space="preserve">Monitoring approach </w:t>
            </w:r>
          </w:p>
        </w:tc>
        <w:tc>
          <w:tcPr>
            <w:tcW w:w="394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8611029" w14:textId="02838387" w:rsidR="002641DA" w:rsidRPr="003815D6" w:rsidRDefault="00E3767D" w:rsidP="00C77EDD">
            <w:pPr>
              <w:pStyle w:val="Bulletlist"/>
            </w:pPr>
            <w:r w:rsidRPr="003815D6">
              <w:t xml:space="preserve">A listing of </w:t>
            </w:r>
            <w:r w:rsidR="003C6FD1" w:rsidRPr="003815D6">
              <w:t xml:space="preserve">Office 365 </w:t>
            </w:r>
            <w:r w:rsidRPr="003815D6">
              <w:t xml:space="preserve">monitoring </w:t>
            </w:r>
            <w:r w:rsidR="005F1D74" w:rsidRPr="003815D6">
              <w:t xml:space="preserve">roles </w:t>
            </w:r>
            <w:r w:rsidR="002641DA" w:rsidRPr="003815D6">
              <w:t xml:space="preserve">and </w:t>
            </w:r>
            <w:r w:rsidR="005F1D74" w:rsidRPr="003815D6">
              <w:t>responsibilities</w:t>
            </w:r>
          </w:p>
          <w:p w14:paraId="1EB5CB24" w14:textId="6146B3C6" w:rsidR="002641DA" w:rsidRPr="003815D6" w:rsidRDefault="00E3767D" w:rsidP="00C77EDD">
            <w:pPr>
              <w:pStyle w:val="Bulletlist"/>
            </w:pPr>
            <w:r w:rsidRPr="003815D6">
              <w:t xml:space="preserve">The monitoring </w:t>
            </w:r>
            <w:r w:rsidR="002641DA" w:rsidRPr="003815D6">
              <w:t xml:space="preserve">approach and recommended interfaces for Office 365 </w:t>
            </w:r>
            <w:r w:rsidR="007B520B" w:rsidRPr="003815D6">
              <w:t>monitoring</w:t>
            </w:r>
          </w:p>
        </w:tc>
        <w:tc>
          <w:tcPr>
            <w:tcW w:w="158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F3EDA2D" w14:textId="77777777" w:rsidR="002641DA" w:rsidRPr="003815D6" w:rsidRDefault="002641DA" w:rsidP="005C3C1C">
            <w:pPr>
              <w:pStyle w:val="TableText"/>
            </w:pPr>
            <w:r w:rsidRPr="003815D6">
              <w:t>No</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944CFBB" w14:textId="77777777" w:rsidR="002641DA" w:rsidRPr="003815D6" w:rsidRDefault="002641DA" w:rsidP="005C3C1C">
            <w:pPr>
              <w:pStyle w:val="TableText"/>
            </w:pPr>
            <w:r w:rsidRPr="003815D6">
              <w:t>Microsoft</w:t>
            </w:r>
          </w:p>
        </w:tc>
      </w:tr>
      <w:tr w:rsidR="000057BF" w:rsidRPr="003815D6" w14:paraId="266099F3" w14:textId="77777777" w:rsidTr="005C3C1C">
        <w:trPr>
          <w:trHeight w:val="417"/>
          <w:tblHeader/>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0475878" w14:textId="2B907567" w:rsidR="002641DA" w:rsidRPr="003815D6" w:rsidRDefault="002641DA" w:rsidP="005C3C1C">
            <w:r w:rsidRPr="003815D6">
              <w:t xml:space="preserve">Support </w:t>
            </w:r>
            <w:r w:rsidR="005F1D74" w:rsidRPr="003815D6">
              <w:t>readiness plan</w:t>
            </w:r>
          </w:p>
        </w:tc>
        <w:tc>
          <w:tcPr>
            <w:tcW w:w="394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C19DD8A" w14:textId="0A598B5E" w:rsidR="002641DA" w:rsidRPr="003815D6" w:rsidRDefault="005F1D74" w:rsidP="00C77EDD">
            <w:pPr>
              <w:pStyle w:val="Bulletlist"/>
            </w:pPr>
            <w:r w:rsidRPr="003815D6">
              <w:t xml:space="preserve">A list of Office 365 support or incident roles </w:t>
            </w:r>
            <w:r w:rsidR="002641DA" w:rsidRPr="003815D6">
              <w:t xml:space="preserve">and </w:t>
            </w:r>
            <w:r w:rsidRPr="003815D6">
              <w:t>responsibilities</w:t>
            </w:r>
          </w:p>
          <w:p w14:paraId="0754F158" w14:textId="5C074A03" w:rsidR="002641DA" w:rsidRPr="003815D6" w:rsidRDefault="005F1D74" w:rsidP="00C77EDD">
            <w:pPr>
              <w:pStyle w:val="Bulletlist"/>
            </w:pPr>
            <w:r w:rsidRPr="003815D6">
              <w:t xml:space="preserve">An escalation </w:t>
            </w:r>
            <w:r w:rsidR="002641DA" w:rsidRPr="003815D6">
              <w:t>path and points of demarcation and interface between the current internal service desk and Microsoft Support</w:t>
            </w:r>
          </w:p>
        </w:tc>
        <w:tc>
          <w:tcPr>
            <w:tcW w:w="158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0BB7A55" w14:textId="77777777" w:rsidR="002641DA" w:rsidRPr="003815D6" w:rsidRDefault="002641DA" w:rsidP="005C3C1C">
            <w:pPr>
              <w:pStyle w:val="TableText"/>
            </w:pPr>
            <w:r w:rsidRPr="003815D6">
              <w:t>No</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3510605" w14:textId="77777777" w:rsidR="002641DA" w:rsidRPr="003815D6" w:rsidRDefault="002641DA" w:rsidP="005C3C1C">
            <w:pPr>
              <w:pStyle w:val="TableText"/>
            </w:pPr>
            <w:r w:rsidRPr="003815D6">
              <w:t>Microsoft</w:t>
            </w:r>
          </w:p>
        </w:tc>
      </w:tr>
    </w:tbl>
    <w:p w14:paraId="65C80679" w14:textId="31064CFC" w:rsidR="002641DA" w:rsidRPr="003815D6" w:rsidRDefault="002641DA" w:rsidP="00BD3F15">
      <w:pPr>
        <w:pStyle w:val="Heading4"/>
      </w:pPr>
      <w:r w:rsidRPr="003815D6">
        <w:t xml:space="preserve">Adoption and Change Management </w:t>
      </w:r>
      <w:r w:rsidR="005F1D74" w:rsidRPr="003815D6">
        <w:t xml:space="preserve">assistance </w:t>
      </w:r>
      <w:r w:rsidRPr="003815D6">
        <w:t>(ACM-01)</w:t>
      </w:r>
    </w:p>
    <w:tbl>
      <w:tblPr>
        <w:tblStyle w:val="TableGrid1"/>
        <w:tblW w:w="9221" w:type="dxa"/>
        <w:tblInd w:w="-5"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ook w:val="04A0" w:firstRow="1" w:lastRow="0" w:firstColumn="1" w:lastColumn="0" w:noHBand="0" w:noVBand="1"/>
      </w:tblPr>
      <w:tblGrid>
        <w:gridCol w:w="3068"/>
        <w:gridCol w:w="6140"/>
        <w:gridCol w:w="13"/>
      </w:tblGrid>
      <w:tr w:rsidR="00DE2FE1" w:rsidRPr="003815D6" w14:paraId="5018BE9B" w14:textId="77777777" w:rsidTr="1B10595D">
        <w:trPr>
          <w:trHeight w:val="542"/>
          <w:tblHeader/>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008272"/>
          </w:tcPr>
          <w:p w14:paraId="45AD4632" w14:textId="77777777" w:rsidR="002641DA" w:rsidRPr="003815D6" w:rsidRDefault="002641DA" w:rsidP="005C3C1C">
            <w:pPr>
              <w:rPr>
                <w:rFonts w:eastAsia="Calibri"/>
                <w:b/>
                <w:color w:val="FFFFFF"/>
              </w:rPr>
            </w:pPr>
            <w:r w:rsidRPr="003815D6">
              <w:rPr>
                <w:rFonts w:eastAsia="Calibri"/>
                <w:b/>
                <w:color w:val="FFFFFF"/>
              </w:rPr>
              <w:t>Category</w:t>
            </w:r>
          </w:p>
        </w:tc>
        <w:tc>
          <w:tcPr>
            <w:tcW w:w="6153" w:type="dxa"/>
            <w:gridSpan w:val="2"/>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008272"/>
          </w:tcPr>
          <w:p w14:paraId="236AB7C5" w14:textId="77777777" w:rsidR="002641DA" w:rsidRPr="003815D6" w:rsidRDefault="002641DA" w:rsidP="005C3C1C">
            <w:pPr>
              <w:rPr>
                <w:rFonts w:eastAsia="Calibri"/>
                <w:b/>
                <w:color w:val="FFFFFF"/>
              </w:rPr>
            </w:pPr>
            <w:r w:rsidRPr="003815D6">
              <w:rPr>
                <w:rFonts w:eastAsia="Calibri"/>
                <w:b/>
                <w:color w:val="FFFFFF"/>
              </w:rPr>
              <w:t>Description</w:t>
            </w:r>
          </w:p>
        </w:tc>
      </w:tr>
      <w:tr w:rsidR="00815D40" w:rsidRPr="003815D6" w14:paraId="3B5D6188" w14:textId="77777777" w:rsidTr="1B10595D">
        <w:trPr>
          <w:gridAfter w:val="1"/>
          <w:wAfter w:w="13" w:type="dxa"/>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6055296E" w14:textId="77777777" w:rsidR="002641DA" w:rsidRPr="003815D6" w:rsidRDefault="002641DA" w:rsidP="005C3C1C">
            <w:pPr>
              <w:rPr>
                <w:rFonts w:eastAsia="Calibri"/>
              </w:rPr>
            </w:pPr>
            <w:r w:rsidRPr="003815D6">
              <w:rPr>
                <w:rFonts w:eastAsia="Calibri"/>
                <w:b/>
              </w:rPr>
              <w:t>Microsoft activities</w:t>
            </w:r>
            <w:r w:rsidRPr="003815D6">
              <w:rPr>
                <w:rFonts w:eastAsia="Calibri"/>
                <w:b/>
              </w:rPr>
              <w:br/>
            </w:r>
            <w:r w:rsidRPr="003815D6">
              <w:rPr>
                <w:rFonts w:eastAsia="Calibri"/>
              </w:rPr>
              <w:t>The activities to be performed by Microsoft</w:t>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3E235B18" w14:textId="2C5B1180" w:rsidR="002641DA" w:rsidRPr="003815D6" w:rsidRDefault="002641DA" w:rsidP="008F1C8D">
            <w:pPr>
              <w:pStyle w:val="TableBullet1"/>
              <w:numPr>
                <w:ilvl w:val="0"/>
                <w:numId w:val="0"/>
              </w:numPr>
              <w:spacing w:after="0"/>
              <w:contextualSpacing w:val="0"/>
              <w:rPr>
                <w:rFonts w:eastAsia="Calibri"/>
                <w:b/>
              </w:rPr>
            </w:pPr>
            <w:r w:rsidRPr="003815D6">
              <w:rPr>
                <w:rFonts w:eastAsia="Calibri"/>
                <w:b/>
              </w:rPr>
              <w:t>Assess</w:t>
            </w:r>
            <w:r w:rsidR="006300A4" w:rsidRPr="003815D6">
              <w:rPr>
                <w:rFonts w:eastAsia="Calibri"/>
                <w:b/>
              </w:rPr>
              <w:t xml:space="preserve"> </w:t>
            </w:r>
            <w:r w:rsidR="006300A4" w:rsidRPr="003815D6">
              <w:rPr>
                <w:rFonts w:eastAsia="Calibri"/>
                <w:b/>
                <w:bCs/>
              </w:rPr>
              <w:t>phase</w:t>
            </w:r>
          </w:p>
          <w:p w14:paraId="0C276981" w14:textId="1050F6A7" w:rsidR="473D47FB" w:rsidRPr="00664262" w:rsidRDefault="002641DA" w:rsidP="00047A03">
            <w:pPr>
              <w:pStyle w:val="Bulletlist"/>
              <w:numPr>
                <w:ilvl w:val="0"/>
                <w:numId w:val="20"/>
              </w:numPr>
              <w:spacing w:before="0"/>
            </w:pPr>
            <w:r w:rsidRPr="00664262">
              <w:t xml:space="preserve">The </w:t>
            </w:r>
            <w:r w:rsidR="473D47FB" w:rsidRPr="00664262">
              <w:t>focus of the A</w:t>
            </w:r>
            <w:r w:rsidR="1DCDF1B3" w:rsidRPr="00664262">
              <w:t xml:space="preserve">CM </w:t>
            </w:r>
            <w:r w:rsidR="473D47FB" w:rsidRPr="00664262">
              <w:t xml:space="preserve">engagement </w:t>
            </w:r>
            <w:r w:rsidR="1DCDF1B3" w:rsidRPr="00664262">
              <w:t>will be to:</w:t>
            </w:r>
          </w:p>
          <w:p w14:paraId="15AB2C28" w14:textId="3CDBF1B9" w:rsidR="002641DA" w:rsidRPr="00664262" w:rsidRDefault="1DCDF1B3" w:rsidP="7B61EB20">
            <w:pPr>
              <w:pStyle w:val="Bulletlist"/>
              <w:numPr>
                <w:ilvl w:val="1"/>
                <w:numId w:val="20"/>
              </w:numPr>
              <w:ind w:left="878" w:hanging="446"/>
            </w:pPr>
            <w:r w:rsidRPr="00664262">
              <w:t xml:space="preserve">Assess people impact of the </w:t>
            </w:r>
            <w:r w:rsidR="7B61EB20" w:rsidRPr="00664262">
              <w:t>Exchange Online migration</w:t>
            </w:r>
            <w:r w:rsidR="00BC1344" w:rsidRPr="00664262">
              <w:t>.</w:t>
            </w:r>
          </w:p>
          <w:p w14:paraId="3B225BFE" w14:textId="76D6A28E" w:rsidR="002641DA" w:rsidRPr="00664262" w:rsidRDefault="002641DA" w:rsidP="274D9AED">
            <w:pPr>
              <w:pStyle w:val="Bulletlist"/>
              <w:numPr>
                <w:ilvl w:val="1"/>
                <w:numId w:val="20"/>
              </w:numPr>
              <w:ind w:left="878" w:hanging="446"/>
            </w:pPr>
            <w:r w:rsidRPr="00664262">
              <w:t xml:space="preserve">Assess </w:t>
            </w:r>
            <w:r w:rsidR="2FA9EF03" w:rsidRPr="00664262">
              <w:t>resistance</w:t>
            </w:r>
            <w:r w:rsidR="1879BEBC" w:rsidRPr="00664262">
              <w:t xml:space="preserve"> to the </w:t>
            </w:r>
            <w:r w:rsidR="7B61EB20" w:rsidRPr="00664262">
              <w:t>E</w:t>
            </w:r>
            <w:r w:rsidR="5A24FEAE" w:rsidRPr="00664262">
              <w:t>xchange Online</w:t>
            </w:r>
            <w:r w:rsidR="274D9AED" w:rsidRPr="00664262">
              <w:t xml:space="preserve"> migration</w:t>
            </w:r>
            <w:r w:rsidR="00BC1344" w:rsidRPr="00664262">
              <w:t>.</w:t>
            </w:r>
            <w:r w:rsidR="1879BEBC" w:rsidRPr="00664262">
              <w:t xml:space="preserve"> </w:t>
            </w:r>
          </w:p>
          <w:p w14:paraId="6208D93A" w14:textId="1C1F8C71" w:rsidR="002641DA" w:rsidRPr="00664262" w:rsidRDefault="002641DA" w:rsidP="00434B10">
            <w:pPr>
              <w:pStyle w:val="Bulletlist"/>
            </w:pPr>
            <w:r w:rsidRPr="00664262">
              <w:t>Present the recommended ACM approach</w:t>
            </w:r>
            <w:r w:rsidR="6ED6445B" w:rsidRPr="00664262">
              <w:t xml:space="preserve"> </w:t>
            </w:r>
            <w:r w:rsidR="10416CF0" w:rsidRPr="00664262">
              <w:t>at the kickoff</w:t>
            </w:r>
            <w:r w:rsidR="008F1C8D" w:rsidRPr="00664262">
              <w:t>.</w:t>
            </w:r>
          </w:p>
          <w:p w14:paraId="513A8890" w14:textId="6F315171" w:rsidR="005B08A2" w:rsidRPr="00664262" w:rsidRDefault="002641DA" w:rsidP="00434B10">
            <w:pPr>
              <w:pStyle w:val="Bulletlist"/>
            </w:pPr>
            <w:r w:rsidRPr="00664262">
              <w:t xml:space="preserve">Document engagement activities determined in collaboration with the </w:t>
            </w:r>
            <w:r w:rsidR="009633F4" w:rsidRPr="00664262">
              <w:t>c</w:t>
            </w:r>
            <w:r w:rsidRPr="00664262">
              <w:t>ustomer</w:t>
            </w:r>
            <w:r w:rsidR="008F1C8D" w:rsidRPr="00664262">
              <w:t>.</w:t>
            </w:r>
          </w:p>
          <w:p w14:paraId="1BF7888D" w14:textId="53C6E790" w:rsidR="002641DA" w:rsidRPr="00664262" w:rsidRDefault="002641DA" w:rsidP="001C159E">
            <w:pPr>
              <w:pStyle w:val="TableText"/>
              <w:spacing w:after="0"/>
              <w:rPr>
                <w:b/>
              </w:rPr>
            </w:pPr>
            <w:r w:rsidRPr="00664262">
              <w:rPr>
                <w:b/>
              </w:rPr>
              <w:t>Remediate</w:t>
            </w:r>
            <w:r w:rsidR="006300A4" w:rsidRPr="00664262">
              <w:rPr>
                <w:b/>
              </w:rPr>
              <w:t xml:space="preserve"> phase</w:t>
            </w:r>
          </w:p>
          <w:p w14:paraId="023E4E16" w14:textId="043FACD5" w:rsidR="002641DA" w:rsidRPr="00664262" w:rsidRDefault="002641DA" w:rsidP="008F1C8D">
            <w:pPr>
              <w:pStyle w:val="Bulletlist"/>
              <w:spacing w:before="0" w:after="0"/>
              <w:contextualSpacing w:val="0"/>
            </w:pPr>
            <w:r w:rsidRPr="00664262">
              <w:t xml:space="preserve">Perform the activities agreed on </w:t>
            </w:r>
            <w:r w:rsidR="00E972AC" w:rsidRPr="00664262">
              <w:t xml:space="preserve">during </w:t>
            </w:r>
            <w:r w:rsidRPr="00664262">
              <w:t>the kickoff</w:t>
            </w:r>
            <w:r w:rsidR="008F1C8D" w:rsidRPr="00664262">
              <w:t>.</w:t>
            </w:r>
          </w:p>
          <w:p w14:paraId="492C0FB0" w14:textId="6AA97010" w:rsidR="002641DA" w:rsidRPr="00664262" w:rsidRDefault="4F38B435" w:rsidP="00047A03">
            <w:pPr>
              <w:pStyle w:val="Bulletlist"/>
              <w:numPr>
                <w:ilvl w:val="0"/>
                <w:numId w:val="20"/>
              </w:numPr>
            </w:pPr>
            <w:r w:rsidRPr="00664262">
              <w:t xml:space="preserve">Create </w:t>
            </w:r>
            <w:r w:rsidR="738247A2" w:rsidRPr="00664262">
              <w:t>a</w:t>
            </w:r>
            <w:r w:rsidR="06FBD65E" w:rsidRPr="00664262">
              <w:t xml:space="preserve"> R</w:t>
            </w:r>
            <w:r w:rsidR="49FBE9F4" w:rsidRPr="00664262">
              <w:t xml:space="preserve">esistance </w:t>
            </w:r>
            <w:r w:rsidR="4B816BCD" w:rsidRPr="00664262">
              <w:t xml:space="preserve">Management </w:t>
            </w:r>
            <w:r w:rsidR="22DAA936" w:rsidRPr="00664262">
              <w:t>P</w:t>
            </w:r>
            <w:r w:rsidR="4B816BCD" w:rsidRPr="00664262">
              <w:t>lan</w:t>
            </w:r>
            <w:r w:rsidR="0AB8974E" w:rsidRPr="00664262">
              <w:t xml:space="preserve"> </w:t>
            </w:r>
            <w:r w:rsidR="5F282125" w:rsidRPr="00664262">
              <w:t>for the Exchange Onlin</w:t>
            </w:r>
            <w:r w:rsidR="4A6B2894" w:rsidRPr="00664262">
              <w:t>e migration</w:t>
            </w:r>
            <w:r w:rsidR="213EBAF6" w:rsidRPr="00664262">
              <w:t>.</w:t>
            </w:r>
          </w:p>
          <w:p w14:paraId="43DF530E" w14:textId="41FE1F06" w:rsidR="002641DA" w:rsidRPr="00664262" w:rsidRDefault="002641DA" w:rsidP="005C3C1C">
            <w:pPr>
              <w:pStyle w:val="Bulletlist"/>
            </w:pPr>
            <w:r w:rsidRPr="00664262">
              <w:t>Track the status of project activities and adjust accordingly</w:t>
            </w:r>
            <w:r w:rsidR="008F1C8D" w:rsidRPr="00664262">
              <w:t>.</w:t>
            </w:r>
          </w:p>
          <w:p w14:paraId="69820924" w14:textId="6361EBE8" w:rsidR="002641DA" w:rsidRPr="003815D6" w:rsidRDefault="002641DA" w:rsidP="008F1C8D">
            <w:pPr>
              <w:pStyle w:val="TableBullet1"/>
              <w:numPr>
                <w:ilvl w:val="0"/>
                <w:numId w:val="0"/>
              </w:numPr>
              <w:tabs>
                <w:tab w:val="left" w:pos="720"/>
              </w:tabs>
              <w:spacing w:after="0"/>
              <w:contextualSpacing w:val="0"/>
              <w:rPr>
                <w:b/>
                <w:bCs/>
              </w:rPr>
            </w:pPr>
            <w:r w:rsidRPr="003815D6">
              <w:rPr>
                <w:b/>
                <w:bCs/>
              </w:rPr>
              <w:t>Enable</w:t>
            </w:r>
            <w:r w:rsidR="006300A4" w:rsidRPr="003815D6">
              <w:rPr>
                <w:b/>
                <w:bCs/>
              </w:rPr>
              <w:t xml:space="preserve"> </w:t>
            </w:r>
            <w:r w:rsidR="006300A4" w:rsidRPr="003815D6">
              <w:rPr>
                <w:rFonts w:eastAsia="Calibri"/>
                <w:b/>
                <w:bCs/>
              </w:rPr>
              <w:t>phase</w:t>
            </w:r>
          </w:p>
          <w:p w14:paraId="3CA587BD" w14:textId="20D94940" w:rsidR="002641DA" w:rsidRPr="003815D6" w:rsidRDefault="002641DA" w:rsidP="008F1C8D">
            <w:pPr>
              <w:pStyle w:val="Bulletlist"/>
              <w:spacing w:before="0" w:after="0"/>
              <w:contextualSpacing w:val="0"/>
            </w:pPr>
            <w:r w:rsidRPr="003815D6">
              <w:t>Perform the activities agreed upon in the kickoff meeting and discussed in the progress review meeting</w:t>
            </w:r>
            <w:r w:rsidR="008F1C8D">
              <w:t>.</w:t>
            </w:r>
          </w:p>
          <w:p w14:paraId="35553973" w14:textId="20CBE980" w:rsidR="002641DA" w:rsidRPr="003815D6" w:rsidRDefault="002641DA" w:rsidP="005C3C1C">
            <w:pPr>
              <w:pStyle w:val="Bulletlist"/>
            </w:pPr>
            <w:r w:rsidRPr="003815D6">
              <w:lastRenderedPageBreak/>
              <w:t xml:space="preserve">Facilitate </w:t>
            </w:r>
            <w:r w:rsidR="00283BF4" w:rsidRPr="003815D6">
              <w:t xml:space="preserve">a </w:t>
            </w:r>
            <w:r w:rsidR="00EF4E47" w:rsidRPr="003815D6">
              <w:t xml:space="preserve">virtual </w:t>
            </w:r>
            <w:r w:rsidRPr="003815D6">
              <w:t>meeting or exchange of information (</w:t>
            </w:r>
            <w:r w:rsidR="00EF4E47" w:rsidRPr="003815D6">
              <w:t>through</w:t>
            </w:r>
            <w:r w:rsidRPr="003815D6">
              <w:t xml:space="preserve"> email</w:t>
            </w:r>
            <w:r w:rsidR="00EF4E47" w:rsidRPr="003815D6">
              <w:t xml:space="preserve"> for example</w:t>
            </w:r>
            <w:r w:rsidRPr="003815D6">
              <w:t>)</w:t>
            </w:r>
            <w:r w:rsidR="008F1C8D">
              <w:t>.</w:t>
            </w:r>
          </w:p>
          <w:p w14:paraId="2189B7D0" w14:textId="7004AFC8" w:rsidR="002641DA" w:rsidRPr="003815D6" w:rsidRDefault="002641DA" w:rsidP="005C3C1C">
            <w:pPr>
              <w:pStyle w:val="Bulletlist"/>
              <w:rPr>
                <w:szCs w:val="20"/>
              </w:rPr>
            </w:pPr>
            <w:r w:rsidRPr="003815D6">
              <w:t>Document the project results and the recommended next steps</w:t>
            </w:r>
            <w:r w:rsidR="008F1C8D">
              <w:t>.</w:t>
            </w:r>
          </w:p>
        </w:tc>
      </w:tr>
      <w:tr w:rsidR="00815D40" w:rsidRPr="003815D6" w14:paraId="6EF939C0" w14:textId="77777777" w:rsidTr="1B10595D">
        <w:trPr>
          <w:gridAfter w:val="1"/>
          <w:wAfter w:w="13" w:type="dxa"/>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08737660" w14:textId="5247F4DE" w:rsidR="002641DA" w:rsidRPr="003815D6" w:rsidRDefault="002641DA" w:rsidP="005C3C1C">
            <w:pPr>
              <w:rPr>
                <w:rFonts w:eastAsia="Calibri"/>
              </w:rPr>
            </w:pPr>
            <w:r w:rsidRPr="003815D6">
              <w:rPr>
                <w:rFonts w:eastAsia="Calibri"/>
                <w:b/>
              </w:rPr>
              <w:lastRenderedPageBreak/>
              <w:t>Customer activities</w:t>
            </w:r>
            <w:r w:rsidR="00DD2EC6">
              <w:rPr>
                <w:rFonts w:eastAsia="Calibri"/>
                <w:b/>
              </w:rPr>
              <w:t xml:space="preserve"> (</w:t>
            </w:r>
            <w:r w:rsidR="00EB6536">
              <w:rPr>
                <w:rFonts w:eastAsia="Calibri"/>
                <w:b/>
              </w:rPr>
              <w:t xml:space="preserve"> and/or </w:t>
            </w:r>
            <w:r w:rsidR="00DD2EC6">
              <w:rPr>
                <w:rFonts w:eastAsia="Calibri"/>
                <w:b/>
              </w:rPr>
              <w:t>)</w:t>
            </w:r>
            <w:r w:rsidRPr="003815D6">
              <w:rPr>
                <w:rFonts w:eastAsia="Calibri"/>
                <w:b/>
              </w:rPr>
              <w:br/>
            </w:r>
            <w:r w:rsidRPr="003815D6">
              <w:rPr>
                <w:rFonts w:eastAsia="Calibri"/>
              </w:rPr>
              <w:t>The activities to be performed by the Customer</w:t>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5090FDCB" w14:textId="3E63FBF5" w:rsidR="002641DA" w:rsidRPr="003815D6" w:rsidRDefault="002641DA" w:rsidP="001C1593">
            <w:pPr>
              <w:pStyle w:val="TableBullet1"/>
              <w:numPr>
                <w:ilvl w:val="0"/>
                <w:numId w:val="0"/>
              </w:numPr>
              <w:spacing w:after="0"/>
              <w:contextualSpacing w:val="0"/>
              <w:rPr>
                <w:rFonts w:eastAsia="Calibri"/>
                <w:b/>
              </w:rPr>
            </w:pPr>
            <w:r w:rsidRPr="003815D6">
              <w:rPr>
                <w:rFonts w:eastAsia="Calibri"/>
                <w:b/>
              </w:rPr>
              <w:t>Assess</w:t>
            </w:r>
            <w:r w:rsidR="006300A4" w:rsidRPr="003815D6">
              <w:rPr>
                <w:rFonts w:eastAsia="Calibri"/>
                <w:b/>
              </w:rPr>
              <w:t xml:space="preserve"> </w:t>
            </w:r>
            <w:r w:rsidR="006300A4" w:rsidRPr="003815D6">
              <w:rPr>
                <w:rFonts w:eastAsia="Calibri"/>
                <w:b/>
                <w:bCs/>
              </w:rPr>
              <w:t>phase</w:t>
            </w:r>
          </w:p>
          <w:p w14:paraId="65652212" w14:textId="57A82439" w:rsidR="002641DA" w:rsidRPr="003815D6" w:rsidRDefault="002641DA" w:rsidP="001C1593">
            <w:pPr>
              <w:pStyle w:val="Bulletlist"/>
              <w:spacing w:before="0" w:after="0"/>
              <w:contextualSpacing w:val="0"/>
            </w:pPr>
            <w:r w:rsidRPr="003815D6">
              <w:t>Attend and participate in the kickoff meeting</w:t>
            </w:r>
            <w:r w:rsidR="00A26360">
              <w:t>.</w:t>
            </w:r>
          </w:p>
          <w:p w14:paraId="73D8F7C2" w14:textId="1CE75267" w:rsidR="002641DA" w:rsidRPr="003815D6" w:rsidRDefault="002641DA" w:rsidP="005C3C1C">
            <w:pPr>
              <w:pStyle w:val="Bulletlist"/>
            </w:pPr>
            <w:r w:rsidRPr="003815D6">
              <w:t xml:space="preserve">Assign project initiation responsibilities to accountable </w:t>
            </w:r>
            <w:r w:rsidR="009633F4" w:rsidRPr="003815D6">
              <w:t>c</w:t>
            </w:r>
            <w:r w:rsidRPr="003815D6">
              <w:t>ustomer leadership and establish target completion dates</w:t>
            </w:r>
            <w:r w:rsidR="00A26360">
              <w:t>.</w:t>
            </w:r>
          </w:p>
          <w:p w14:paraId="246602D2" w14:textId="49AF0F0D" w:rsidR="002641DA" w:rsidRPr="003815D6" w:rsidRDefault="002641DA" w:rsidP="005C3C1C">
            <w:pPr>
              <w:pStyle w:val="Bulletlist"/>
            </w:pPr>
            <w:r w:rsidRPr="003815D6">
              <w:t xml:space="preserve">Staff the project with the required </w:t>
            </w:r>
            <w:r w:rsidR="009633F4" w:rsidRPr="003815D6">
              <w:t>c</w:t>
            </w:r>
            <w:r w:rsidRPr="003815D6">
              <w:t>ustomer resources in the time frames that were agreed upon in the kickoff</w:t>
            </w:r>
            <w:r w:rsidR="00A26360">
              <w:t>.</w:t>
            </w:r>
          </w:p>
          <w:p w14:paraId="7886F246" w14:textId="780A86CB" w:rsidR="002641DA" w:rsidRPr="003815D6" w:rsidRDefault="002641DA" w:rsidP="001C1593">
            <w:pPr>
              <w:spacing w:after="0"/>
              <w:rPr>
                <w:b/>
                <w:bCs/>
              </w:rPr>
            </w:pPr>
            <w:r w:rsidRPr="003815D6">
              <w:rPr>
                <w:b/>
                <w:bCs/>
              </w:rPr>
              <w:t>Remediate</w:t>
            </w:r>
            <w:r w:rsidR="005B08A2" w:rsidRPr="003815D6">
              <w:rPr>
                <w:b/>
                <w:bCs/>
              </w:rPr>
              <w:t xml:space="preserve"> </w:t>
            </w:r>
            <w:r w:rsidR="005B08A2" w:rsidRPr="003815D6">
              <w:rPr>
                <w:rFonts w:eastAsia="Calibri"/>
                <w:b/>
                <w:bCs/>
              </w:rPr>
              <w:t>phase</w:t>
            </w:r>
          </w:p>
          <w:p w14:paraId="6C096C46" w14:textId="02309A76" w:rsidR="002641DA" w:rsidRPr="003815D6" w:rsidRDefault="002641DA" w:rsidP="001C1593">
            <w:pPr>
              <w:pStyle w:val="Bulletlist"/>
              <w:spacing w:before="0" w:after="0"/>
              <w:contextualSpacing w:val="0"/>
            </w:pPr>
            <w:r w:rsidRPr="003815D6">
              <w:t xml:space="preserve">Attend </w:t>
            </w:r>
            <w:r w:rsidR="00E77743" w:rsidRPr="003815D6">
              <w:t xml:space="preserve">the </w:t>
            </w:r>
            <w:r w:rsidR="00DA1684" w:rsidRPr="003815D6">
              <w:t>check</w:t>
            </w:r>
            <w:r w:rsidR="000432CD" w:rsidRPr="003815D6">
              <w:t xml:space="preserve"> in</w:t>
            </w:r>
            <w:r w:rsidRPr="003815D6">
              <w:t xml:space="preserve"> meeting</w:t>
            </w:r>
            <w:r w:rsidR="00A26360">
              <w:t>.</w:t>
            </w:r>
          </w:p>
          <w:p w14:paraId="408BBB95" w14:textId="5AAAB0C4" w:rsidR="002641DA" w:rsidRPr="003815D6" w:rsidRDefault="002641DA" w:rsidP="005C3C1C">
            <w:pPr>
              <w:pStyle w:val="Bulletlist"/>
            </w:pPr>
            <w:r w:rsidRPr="003815D6">
              <w:t xml:space="preserve">Provide </w:t>
            </w:r>
            <w:r w:rsidR="00DA1684" w:rsidRPr="003815D6">
              <w:t xml:space="preserve">the </w:t>
            </w:r>
            <w:r w:rsidRPr="003815D6">
              <w:t>resources and information needed to complete the project activities</w:t>
            </w:r>
            <w:r w:rsidR="00A26360">
              <w:t>.</w:t>
            </w:r>
          </w:p>
          <w:p w14:paraId="4BA80A3C" w14:textId="656CF063" w:rsidR="002641DA" w:rsidRPr="003815D6" w:rsidRDefault="002641DA" w:rsidP="001C1593">
            <w:pPr>
              <w:spacing w:after="0"/>
              <w:rPr>
                <w:b/>
                <w:bCs/>
                <w:szCs w:val="20"/>
              </w:rPr>
            </w:pPr>
            <w:r w:rsidRPr="003815D6">
              <w:rPr>
                <w:b/>
                <w:bCs/>
              </w:rPr>
              <w:t>Enable</w:t>
            </w:r>
            <w:r w:rsidR="005B08A2" w:rsidRPr="003815D6">
              <w:rPr>
                <w:b/>
                <w:bCs/>
              </w:rPr>
              <w:t xml:space="preserve"> </w:t>
            </w:r>
            <w:r w:rsidR="005B08A2" w:rsidRPr="003815D6">
              <w:rPr>
                <w:rFonts w:eastAsia="Calibri"/>
                <w:b/>
                <w:bCs/>
              </w:rPr>
              <w:t>phase</w:t>
            </w:r>
          </w:p>
          <w:p w14:paraId="089D881A" w14:textId="264A0518" w:rsidR="002641DA" w:rsidRPr="003815D6" w:rsidRDefault="002641DA" w:rsidP="001C1593">
            <w:pPr>
              <w:pStyle w:val="Bulletlist"/>
              <w:spacing w:before="0" w:after="0"/>
              <w:contextualSpacing w:val="0"/>
            </w:pPr>
            <w:r w:rsidRPr="003815D6">
              <w:t>Attend and participate in the closeout meeting</w:t>
            </w:r>
            <w:r w:rsidR="00A26360">
              <w:t>.</w:t>
            </w:r>
          </w:p>
          <w:p w14:paraId="1E7AFAEE" w14:textId="5C3F55ED" w:rsidR="002641DA" w:rsidRPr="003815D6" w:rsidRDefault="002641DA" w:rsidP="005C3C1C">
            <w:pPr>
              <w:pStyle w:val="Bulletlist"/>
              <w:rPr>
                <w:rFonts w:ascii="Segoe UI Semilight" w:eastAsiaTheme="minorEastAsia" w:hAnsi="Segoe UI Semilight" w:cs="Segoe UI Semilight"/>
                <w:szCs w:val="18"/>
              </w:rPr>
            </w:pPr>
            <w:r w:rsidRPr="003815D6">
              <w:t>Provide feedback on engagement activities</w:t>
            </w:r>
            <w:r w:rsidR="00A26360">
              <w:t>.</w:t>
            </w:r>
          </w:p>
        </w:tc>
      </w:tr>
      <w:tr w:rsidR="00815D40" w:rsidRPr="003815D6" w14:paraId="215E95B9" w14:textId="77777777" w:rsidTr="1B10595D">
        <w:trPr>
          <w:gridAfter w:val="1"/>
          <w:wAfter w:w="13" w:type="dxa"/>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6A296AEA" w14:textId="200A111F" w:rsidR="002641DA" w:rsidRPr="003815D6" w:rsidRDefault="002641DA" w:rsidP="005C3C1C">
            <w:pPr>
              <w:rPr>
                <w:rFonts w:eastAsia="Calibri"/>
              </w:rPr>
            </w:pPr>
            <w:r w:rsidRPr="003815D6">
              <w:rPr>
                <w:rFonts w:eastAsia="Calibri"/>
                <w:b/>
              </w:rPr>
              <w:t>Key assumptions</w:t>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51F79010" w14:textId="77777777" w:rsidR="006453AC" w:rsidRPr="003815D6" w:rsidRDefault="00434B10" w:rsidP="00434B10">
            <w:pPr>
              <w:pStyle w:val="TableBullet1"/>
              <w:numPr>
                <w:ilvl w:val="0"/>
                <w:numId w:val="0"/>
              </w:numPr>
              <w:rPr>
                <w:rFonts w:eastAsia="Calibri"/>
              </w:rPr>
            </w:pPr>
            <w:r w:rsidRPr="003815D6">
              <w:rPr>
                <w:rFonts w:eastAsia="Calibri"/>
              </w:rPr>
              <w:t>None</w:t>
            </w:r>
          </w:p>
        </w:tc>
      </w:tr>
    </w:tbl>
    <w:p w14:paraId="2B0B41F3" w14:textId="3C806CFC" w:rsidR="00D67B48" w:rsidRPr="003815D6" w:rsidRDefault="002641DA" w:rsidP="000D626E">
      <w:pPr>
        <w:pStyle w:val="Heading4"/>
      </w:pPr>
      <w:r w:rsidRPr="003815D6">
        <w:t xml:space="preserve">Component </w:t>
      </w:r>
      <w:r w:rsidR="00D67B48" w:rsidRPr="003815D6">
        <w:t>deliverables</w:t>
      </w:r>
      <w:r w:rsidRPr="003815D6">
        <w:t>: ACM-01</w:t>
      </w:r>
    </w:p>
    <w:p w14:paraId="2642C209" w14:textId="154FA21F" w:rsidR="002641DA" w:rsidRPr="003815D6" w:rsidRDefault="002641DA" w:rsidP="002641DA">
      <w:r w:rsidRPr="003815D6">
        <w:t>Microsoft will produce the following additional deliverables for this project component.</w:t>
      </w:r>
    </w:p>
    <w:tbl>
      <w:tblPr>
        <w:tblStyle w:val="TableGrid1"/>
        <w:tblW w:w="927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4A0" w:firstRow="1" w:lastRow="0" w:firstColumn="1" w:lastColumn="0" w:noHBand="0" w:noVBand="1"/>
      </w:tblPr>
      <w:tblGrid>
        <w:gridCol w:w="1442"/>
        <w:gridCol w:w="3690"/>
        <w:gridCol w:w="1080"/>
        <w:gridCol w:w="1440"/>
        <w:gridCol w:w="1620"/>
      </w:tblGrid>
      <w:tr w:rsidR="00875557" w:rsidRPr="003815D6" w14:paraId="0473D499" w14:textId="77777777" w:rsidTr="00A26360">
        <w:trPr>
          <w:trHeight w:val="361"/>
        </w:trPr>
        <w:tc>
          <w:tcPr>
            <w:tcW w:w="144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6A1A8C23" w14:textId="77777777" w:rsidR="002641DA" w:rsidRPr="003815D6" w:rsidRDefault="002641DA" w:rsidP="005C3C1C">
            <w:pPr>
              <w:pStyle w:val="Table-Header"/>
            </w:pPr>
            <w:r w:rsidRPr="003815D6">
              <w:t>Name</w:t>
            </w:r>
          </w:p>
        </w:tc>
        <w:tc>
          <w:tcPr>
            <w:tcW w:w="36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177F15C0" w14:textId="77777777" w:rsidR="002641DA" w:rsidRPr="003815D6" w:rsidRDefault="002641DA" w:rsidP="005C3C1C">
            <w:pPr>
              <w:pStyle w:val="Table-Header"/>
            </w:pPr>
            <w:r w:rsidRPr="003815D6">
              <w:t>Description</w:t>
            </w:r>
          </w:p>
        </w:tc>
        <w:tc>
          <w:tcPr>
            <w:tcW w:w="108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017223F8" w14:textId="77777777" w:rsidR="002641DA" w:rsidRPr="003815D6" w:rsidRDefault="002641DA" w:rsidP="005C3C1C">
            <w:pPr>
              <w:pStyle w:val="Table-Header"/>
            </w:pPr>
            <w:r w:rsidRPr="003815D6">
              <w:t>Phase</w:t>
            </w:r>
          </w:p>
        </w:tc>
        <w:tc>
          <w:tcPr>
            <w:tcW w:w="144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12DAA3EF" w14:textId="77777777" w:rsidR="002641DA" w:rsidRPr="003815D6" w:rsidRDefault="002641DA" w:rsidP="005C3C1C">
            <w:pPr>
              <w:pStyle w:val="Table-Header"/>
            </w:pPr>
            <w:r w:rsidRPr="003815D6">
              <w:t>Acceptance required?</w:t>
            </w:r>
          </w:p>
        </w:tc>
        <w:tc>
          <w:tcPr>
            <w:tcW w:w="16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68CFBC33" w14:textId="77777777" w:rsidR="002641DA" w:rsidRPr="003815D6" w:rsidRDefault="002641DA" w:rsidP="005C3C1C">
            <w:pPr>
              <w:pStyle w:val="Table-Header"/>
            </w:pPr>
            <w:r w:rsidRPr="003815D6">
              <w:t>Responsibility</w:t>
            </w:r>
          </w:p>
        </w:tc>
      </w:tr>
      <w:tr w:rsidR="000057BF" w:rsidRPr="003815D6" w14:paraId="134E52FD" w14:textId="77777777" w:rsidTr="00A26360">
        <w:trPr>
          <w:trHeight w:val="417"/>
        </w:trPr>
        <w:tc>
          <w:tcPr>
            <w:tcW w:w="144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AAFA821" w14:textId="77777777" w:rsidR="002641DA" w:rsidRPr="003815D6" w:rsidRDefault="002641DA" w:rsidP="005C3C1C">
            <w:r w:rsidRPr="003815D6">
              <w:t>Project approach document</w:t>
            </w:r>
          </w:p>
        </w:tc>
        <w:tc>
          <w:tcPr>
            <w:tcW w:w="36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FD1DCD1" w14:textId="75D92DA2" w:rsidR="002641DA" w:rsidRPr="003815D6" w:rsidRDefault="002641DA" w:rsidP="005C3C1C">
            <w:r w:rsidRPr="003815D6">
              <w:t xml:space="preserve">Documents </w:t>
            </w:r>
            <w:r w:rsidR="00E357BE" w:rsidRPr="003815D6">
              <w:t xml:space="preserve">the </w:t>
            </w:r>
            <w:r w:rsidRPr="003815D6">
              <w:t xml:space="preserve">agreement reached between the team and the </w:t>
            </w:r>
            <w:r w:rsidR="009633F4" w:rsidRPr="003815D6">
              <w:t>c</w:t>
            </w:r>
            <w:r w:rsidRPr="003815D6">
              <w:t>ustomer on the desired activities and key success factors of the engagement.</w:t>
            </w:r>
          </w:p>
        </w:tc>
        <w:tc>
          <w:tcPr>
            <w:tcW w:w="108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61112E2B" w14:textId="77777777" w:rsidR="002641DA" w:rsidRPr="003815D6" w:rsidRDefault="002641DA" w:rsidP="005C3C1C">
            <w:r w:rsidRPr="003815D6">
              <w:t>Assess</w:t>
            </w:r>
          </w:p>
        </w:tc>
        <w:tc>
          <w:tcPr>
            <w:tcW w:w="144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B25055B" w14:textId="77777777" w:rsidR="002641DA" w:rsidRPr="003815D6" w:rsidRDefault="002641DA" w:rsidP="005C3C1C">
            <w:r w:rsidRPr="003815D6">
              <w:t>Yes</w:t>
            </w:r>
          </w:p>
        </w:tc>
        <w:tc>
          <w:tcPr>
            <w:tcW w:w="16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64B56D1" w14:textId="77777777" w:rsidR="002641DA" w:rsidRPr="003815D6" w:rsidRDefault="002641DA" w:rsidP="005C3C1C">
            <w:r w:rsidRPr="003815D6">
              <w:t>Microsoft</w:t>
            </w:r>
          </w:p>
        </w:tc>
      </w:tr>
      <w:tr w:rsidR="005A7AB3" w:rsidRPr="003815D6" w14:paraId="524D2040" w14:textId="77777777" w:rsidTr="00A26360">
        <w:trPr>
          <w:trHeight w:val="417"/>
        </w:trPr>
        <w:tc>
          <w:tcPr>
            <w:tcW w:w="144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EBD2C9B" w14:textId="756076BA" w:rsidR="005A7AB3" w:rsidRPr="003815D6" w:rsidRDefault="005A7AB3" w:rsidP="005C3C1C">
            <w:r>
              <w:t>Resistance Management Plan</w:t>
            </w:r>
          </w:p>
        </w:tc>
        <w:tc>
          <w:tcPr>
            <w:tcW w:w="36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A64F852" w14:textId="57D2BE9E" w:rsidR="005A7AB3" w:rsidRPr="003815D6" w:rsidRDefault="005A7AB3" w:rsidP="005C3C1C">
            <w:r>
              <w:t xml:space="preserve">Documents the </w:t>
            </w:r>
            <w:r w:rsidR="00251C08">
              <w:t xml:space="preserve">findings </w:t>
            </w:r>
            <w:r w:rsidR="00F500AE">
              <w:t xml:space="preserve">and recommended actions related to resistance </w:t>
            </w:r>
            <w:r w:rsidR="008B6633">
              <w:t>towards the Exchange Online migration</w:t>
            </w:r>
          </w:p>
        </w:tc>
        <w:tc>
          <w:tcPr>
            <w:tcW w:w="108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7E973C99" w14:textId="041D72FB" w:rsidR="005A7AB3" w:rsidRPr="003815D6" w:rsidRDefault="00FF3E6D" w:rsidP="005C3C1C">
            <w:r>
              <w:t>Remediate</w:t>
            </w:r>
          </w:p>
        </w:tc>
        <w:tc>
          <w:tcPr>
            <w:tcW w:w="144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AFCBF7C" w14:textId="56265D0C" w:rsidR="005A7AB3" w:rsidRPr="003815D6" w:rsidRDefault="00FF3E6D" w:rsidP="005C3C1C">
            <w:r>
              <w:t>Yes</w:t>
            </w:r>
          </w:p>
        </w:tc>
        <w:tc>
          <w:tcPr>
            <w:tcW w:w="16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D4A9BF1" w14:textId="65DC23ED" w:rsidR="005A7AB3" w:rsidRPr="003815D6" w:rsidRDefault="00FF3E6D" w:rsidP="005C3C1C">
            <w:r>
              <w:t>Microsoft</w:t>
            </w:r>
          </w:p>
        </w:tc>
      </w:tr>
      <w:tr w:rsidR="000057BF" w:rsidRPr="003815D6" w14:paraId="3E9D4D4D" w14:textId="77777777" w:rsidTr="00A26360">
        <w:trPr>
          <w:trHeight w:val="417"/>
        </w:trPr>
        <w:tc>
          <w:tcPr>
            <w:tcW w:w="144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ED27D31" w14:textId="77777777" w:rsidR="002641DA" w:rsidRPr="003815D6" w:rsidRDefault="002641DA" w:rsidP="005C3C1C">
            <w:r w:rsidRPr="003815D6">
              <w:t>Closeout document</w:t>
            </w:r>
          </w:p>
        </w:tc>
        <w:tc>
          <w:tcPr>
            <w:tcW w:w="36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C198D01" w14:textId="497CDCB4" w:rsidR="002641DA" w:rsidRPr="003815D6" w:rsidRDefault="002641DA" w:rsidP="005C3C1C">
            <w:r w:rsidRPr="003815D6">
              <w:t xml:space="preserve">Documents </w:t>
            </w:r>
            <w:r w:rsidR="00E357BE" w:rsidRPr="003815D6">
              <w:t xml:space="preserve">the </w:t>
            </w:r>
            <w:r w:rsidRPr="003815D6">
              <w:t xml:space="preserve">completed activities and recommended next steps for the </w:t>
            </w:r>
            <w:r w:rsidR="009633F4" w:rsidRPr="003815D6">
              <w:t>c</w:t>
            </w:r>
            <w:r w:rsidRPr="003815D6">
              <w:t>ustomer’s ACM program.</w:t>
            </w:r>
          </w:p>
        </w:tc>
        <w:tc>
          <w:tcPr>
            <w:tcW w:w="108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6B432EC9" w14:textId="77777777" w:rsidR="002641DA" w:rsidRPr="003815D6" w:rsidRDefault="002641DA" w:rsidP="005C3C1C">
            <w:r w:rsidRPr="003815D6">
              <w:t xml:space="preserve">Enable </w:t>
            </w:r>
          </w:p>
        </w:tc>
        <w:tc>
          <w:tcPr>
            <w:tcW w:w="144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B66C38B" w14:textId="77777777" w:rsidR="002641DA" w:rsidRPr="003815D6" w:rsidRDefault="002641DA" w:rsidP="005C3C1C">
            <w:r w:rsidRPr="003815D6">
              <w:t>Yes</w:t>
            </w:r>
          </w:p>
        </w:tc>
        <w:tc>
          <w:tcPr>
            <w:tcW w:w="16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0685BFB" w14:textId="77777777" w:rsidR="002641DA" w:rsidRPr="003815D6" w:rsidRDefault="002641DA" w:rsidP="005C3C1C">
            <w:r w:rsidRPr="003815D6">
              <w:t>Microsoft</w:t>
            </w:r>
          </w:p>
        </w:tc>
      </w:tr>
    </w:tbl>
    <w:p w14:paraId="57CDAE5C" w14:textId="5EB5B16A" w:rsidR="00F11C28" w:rsidRPr="00664262" w:rsidRDefault="00F11C28" w:rsidP="00F11C28">
      <w:pPr>
        <w:pStyle w:val="Heading4"/>
      </w:pPr>
      <w:bookmarkStart w:id="82" w:name="_Toc515009694"/>
      <w:bookmarkStart w:id="83" w:name="_Timeline"/>
      <w:bookmarkStart w:id="84" w:name="_Toc476167708"/>
      <w:bookmarkStart w:id="85" w:name="_Toc476168041"/>
      <w:bookmarkStart w:id="86" w:name="_Ref514404753"/>
      <w:bookmarkStart w:id="87" w:name="_Toc514413044"/>
      <w:bookmarkStart w:id="88" w:name="_Toc517762000"/>
      <w:bookmarkEnd w:id="82"/>
      <w:bookmarkEnd w:id="83"/>
      <w:r w:rsidRPr="00664262">
        <w:lastRenderedPageBreak/>
        <w:t>Communications Management assistance (</w:t>
      </w:r>
      <w:r w:rsidR="00BC6B6C" w:rsidRPr="00664262">
        <w:t>COM-</w:t>
      </w:r>
      <w:r w:rsidRPr="00664262">
        <w:t>01)</w:t>
      </w:r>
    </w:p>
    <w:tbl>
      <w:tblPr>
        <w:tblStyle w:val="TableGrid1"/>
        <w:tblW w:w="9221" w:type="dxa"/>
        <w:tblInd w:w="-5"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ook w:val="04A0" w:firstRow="1" w:lastRow="0" w:firstColumn="1" w:lastColumn="0" w:noHBand="0" w:noVBand="1"/>
      </w:tblPr>
      <w:tblGrid>
        <w:gridCol w:w="3068"/>
        <w:gridCol w:w="6140"/>
        <w:gridCol w:w="13"/>
      </w:tblGrid>
      <w:tr w:rsidR="00F11C28" w:rsidRPr="00664262" w14:paraId="3883EC02" w14:textId="77777777" w:rsidTr="00FE384A">
        <w:trPr>
          <w:trHeight w:val="542"/>
          <w:tblHeader/>
        </w:trPr>
        <w:tc>
          <w:tcPr>
            <w:tcW w:w="3068" w:type="dxa"/>
            <w:tcBorders>
              <w:top w:val="single" w:sz="2" w:space="0" w:color="7F7F7F"/>
              <w:left w:val="single" w:sz="2" w:space="0" w:color="7F7F7F"/>
              <w:bottom w:val="single" w:sz="2" w:space="0" w:color="7F7F7F"/>
              <w:right w:val="single" w:sz="2" w:space="0" w:color="7F7F7F"/>
            </w:tcBorders>
            <w:shd w:val="clear" w:color="auto" w:fill="008272"/>
          </w:tcPr>
          <w:p w14:paraId="08A6F450" w14:textId="77777777" w:rsidR="00F11C28" w:rsidRPr="00664262" w:rsidRDefault="00F11C28" w:rsidP="00667A8F">
            <w:pPr>
              <w:rPr>
                <w:rFonts w:eastAsia="Calibri"/>
                <w:b/>
                <w:color w:val="FFFFFF"/>
              </w:rPr>
            </w:pPr>
            <w:r w:rsidRPr="00664262">
              <w:rPr>
                <w:rFonts w:eastAsia="Calibri"/>
                <w:b/>
                <w:color w:val="FFFFFF"/>
              </w:rPr>
              <w:t>Category</w:t>
            </w:r>
          </w:p>
        </w:tc>
        <w:tc>
          <w:tcPr>
            <w:tcW w:w="6153" w:type="dxa"/>
            <w:gridSpan w:val="2"/>
            <w:tcBorders>
              <w:top w:val="single" w:sz="2" w:space="0" w:color="7F7F7F"/>
              <w:left w:val="single" w:sz="2" w:space="0" w:color="7F7F7F"/>
              <w:bottom w:val="single" w:sz="2" w:space="0" w:color="7F7F7F"/>
              <w:right w:val="single" w:sz="2" w:space="0" w:color="7F7F7F"/>
            </w:tcBorders>
            <w:shd w:val="clear" w:color="auto" w:fill="008272"/>
          </w:tcPr>
          <w:p w14:paraId="07F76254" w14:textId="77777777" w:rsidR="00F11C28" w:rsidRPr="00664262" w:rsidRDefault="00F11C28" w:rsidP="00667A8F">
            <w:pPr>
              <w:rPr>
                <w:rFonts w:eastAsia="Calibri"/>
                <w:b/>
                <w:color w:val="FFFFFF"/>
              </w:rPr>
            </w:pPr>
            <w:r w:rsidRPr="00664262">
              <w:rPr>
                <w:rFonts w:eastAsia="Calibri"/>
                <w:b/>
                <w:color w:val="FFFFFF"/>
              </w:rPr>
              <w:t>Description</w:t>
            </w:r>
          </w:p>
        </w:tc>
      </w:tr>
      <w:tr w:rsidR="00F11C28" w:rsidRPr="00664262" w14:paraId="028DFEE8" w14:textId="77777777" w:rsidTr="00FE384A">
        <w:trPr>
          <w:gridAfter w:val="1"/>
          <w:wAfter w:w="13" w:type="dxa"/>
          <w:trHeight w:val="422"/>
        </w:trPr>
        <w:tc>
          <w:tcPr>
            <w:tcW w:w="3068" w:type="dxa"/>
            <w:tcBorders>
              <w:top w:val="single" w:sz="2" w:space="0" w:color="7F7F7F"/>
              <w:left w:val="single" w:sz="2" w:space="0" w:color="7F7F7F"/>
              <w:bottom w:val="single" w:sz="2" w:space="0" w:color="7F7F7F"/>
              <w:right w:val="single" w:sz="2" w:space="0" w:color="7F7F7F"/>
            </w:tcBorders>
            <w:shd w:val="clear" w:color="auto" w:fill="auto"/>
          </w:tcPr>
          <w:p w14:paraId="3801EB1C" w14:textId="77777777" w:rsidR="00F11C28" w:rsidRPr="00664262" w:rsidRDefault="00F11C28" w:rsidP="00667A8F">
            <w:pPr>
              <w:rPr>
                <w:rFonts w:eastAsia="Calibri"/>
              </w:rPr>
            </w:pPr>
            <w:r w:rsidRPr="00664262">
              <w:rPr>
                <w:rFonts w:eastAsia="Calibri"/>
                <w:b/>
              </w:rPr>
              <w:t>Microsoft activities</w:t>
            </w:r>
            <w:r w:rsidRPr="00664262">
              <w:rPr>
                <w:rFonts w:eastAsia="Calibri"/>
                <w:b/>
              </w:rPr>
              <w:br/>
            </w:r>
            <w:r w:rsidRPr="00664262">
              <w:rPr>
                <w:rFonts w:eastAsia="Calibri"/>
              </w:rPr>
              <w:t>The activities to be performed by Microsoft</w:t>
            </w:r>
          </w:p>
        </w:tc>
        <w:tc>
          <w:tcPr>
            <w:tcW w:w="6140" w:type="dxa"/>
            <w:tcBorders>
              <w:top w:val="single" w:sz="2" w:space="0" w:color="7F7F7F"/>
              <w:left w:val="single" w:sz="2" w:space="0" w:color="7F7F7F"/>
              <w:bottom w:val="single" w:sz="2" w:space="0" w:color="7F7F7F"/>
              <w:right w:val="single" w:sz="2" w:space="0" w:color="7F7F7F"/>
            </w:tcBorders>
            <w:shd w:val="clear" w:color="auto" w:fill="FFFFFF"/>
          </w:tcPr>
          <w:p w14:paraId="102A3C03" w14:textId="77777777" w:rsidR="00F11C28" w:rsidRPr="00664262" w:rsidRDefault="00E87090" w:rsidP="00E87090">
            <w:pPr>
              <w:pStyle w:val="Bulletlist"/>
              <w:numPr>
                <w:ilvl w:val="0"/>
                <w:numId w:val="0"/>
              </w:numPr>
              <w:ind w:left="360" w:hanging="360"/>
              <w:rPr>
                <w:b/>
                <w:bCs/>
                <w:szCs w:val="20"/>
              </w:rPr>
            </w:pPr>
            <w:r w:rsidRPr="00664262">
              <w:rPr>
                <w:b/>
                <w:bCs/>
                <w:szCs w:val="20"/>
              </w:rPr>
              <w:t>Enable and implement</w:t>
            </w:r>
          </w:p>
          <w:p w14:paraId="6F599242" w14:textId="0E8442C0" w:rsidR="00AD0EE1" w:rsidRPr="00664262" w:rsidRDefault="00E97D9B" w:rsidP="005160A9">
            <w:pPr>
              <w:pStyle w:val="TableBullet1"/>
            </w:pPr>
            <w:r w:rsidRPr="00664262">
              <w:t xml:space="preserve">Based on the </w:t>
            </w:r>
            <w:r w:rsidR="007F381D" w:rsidRPr="00664262">
              <w:t>outcome of the Resistance management plan created in ACM-01 and the migration sc</w:t>
            </w:r>
            <w:r w:rsidR="00A356C7" w:rsidRPr="00664262">
              <w:t>hedule</w:t>
            </w:r>
            <w:r w:rsidR="00102250" w:rsidRPr="00664262">
              <w:t xml:space="preserve">, </w:t>
            </w:r>
            <w:r w:rsidR="00AD0EE1" w:rsidRPr="00664262">
              <w:t>the C</w:t>
            </w:r>
            <w:r w:rsidR="007F7F69" w:rsidRPr="00664262">
              <w:t>ommunication plan</w:t>
            </w:r>
            <w:r w:rsidR="001E2545" w:rsidRPr="00664262">
              <w:t xml:space="preserve"> </w:t>
            </w:r>
            <w:r w:rsidR="00AD0EE1" w:rsidRPr="00664262">
              <w:t xml:space="preserve">will be developed in conjunction with </w:t>
            </w:r>
          </w:p>
          <w:p w14:paraId="45CE0C11" w14:textId="03016631" w:rsidR="002D1772" w:rsidRPr="00664262" w:rsidRDefault="002D1772" w:rsidP="005160A9">
            <w:pPr>
              <w:pStyle w:val="TableBullet1"/>
            </w:pPr>
            <w:r w:rsidRPr="00664262">
              <w:t xml:space="preserve">The Communication plan will </w:t>
            </w:r>
            <w:r w:rsidR="00746D22" w:rsidRPr="00664262">
              <w:t>define</w:t>
            </w:r>
            <w:r w:rsidRPr="00664262">
              <w:t xml:space="preserve"> initial </w:t>
            </w:r>
            <w:r w:rsidR="005A7694" w:rsidRPr="00664262">
              <w:t xml:space="preserve">communication to all  users followed by </w:t>
            </w:r>
            <w:r w:rsidR="0014447D" w:rsidRPr="00664262">
              <w:t>targeted communication to the affected users</w:t>
            </w:r>
            <w:r w:rsidR="0000482B" w:rsidRPr="00664262">
              <w:t xml:space="preserve"> in the different migration batches</w:t>
            </w:r>
          </w:p>
          <w:p w14:paraId="2199A43C" w14:textId="67BA203E" w:rsidR="00082097" w:rsidRPr="00664262" w:rsidRDefault="00320908" w:rsidP="005160A9">
            <w:pPr>
              <w:pStyle w:val="TableBullet1"/>
            </w:pPr>
            <w:r w:rsidRPr="00664262">
              <w:t xml:space="preserve">The Communication plan will be </w:t>
            </w:r>
            <w:r w:rsidR="001E2545" w:rsidRPr="00664262">
              <w:t>based on existing  communications platforms</w:t>
            </w:r>
            <w:r w:rsidR="0043632B" w:rsidRPr="00664262">
              <w:t xml:space="preserve"> </w:t>
            </w:r>
          </w:p>
          <w:p w14:paraId="639FBFCD" w14:textId="36344DFA" w:rsidR="00292D1A" w:rsidRPr="00664262" w:rsidRDefault="00292D1A" w:rsidP="00047A03">
            <w:pPr>
              <w:pStyle w:val="TableBullet1"/>
            </w:pPr>
            <w:r w:rsidRPr="00664262">
              <w:t xml:space="preserve">Weekly </w:t>
            </w:r>
            <w:r w:rsidR="000968A0" w:rsidRPr="00664262">
              <w:t xml:space="preserve">progress </w:t>
            </w:r>
            <w:r w:rsidRPr="00664262">
              <w:t xml:space="preserve">reports </w:t>
            </w:r>
            <w:r w:rsidR="00EE3E6D" w:rsidRPr="00664262">
              <w:t xml:space="preserve">of the </w:t>
            </w:r>
            <w:r w:rsidR="00A479CD" w:rsidRPr="00664262">
              <w:t xml:space="preserve">planned milestones for communications </w:t>
            </w:r>
            <w:r w:rsidR="00476E1A" w:rsidRPr="00664262">
              <w:t>vs the actual communications</w:t>
            </w:r>
          </w:p>
        </w:tc>
      </w:tr>
      <w:tr w:rsidR="00F11C28" w:rsidRPr="00664262" w14:paraId="732F5FCC" w14:textId="77777777" w:rsidTr="00FE384A">
        <w:trPr>
          <w:gridAfter w:val="1"/>
          <w:wAfter w:w="13" w:type="dxa"/>
          <w:trHeight w:val="422"/>
        </w:trPr>
        <w:tc>
          <w:tcPr>
            <w:tcW w:w="3068" w:type="dxa"/>
            <w:tcBorders>
              <w:top w:val="single" w:sz="2" w:space="0" w:color="7F7F7F"/>
              <w:left w:val="single" w:sz="2" w:space="0" w:color="7F7F7F"/>
              <w:bottom w:val="single" w:sz="2" w:space="0" w:color="7F7F7F"/>
              <w:right w:val="single" w:sz="2" w:space="0" w:color="7F7F7F"/>
            </w:tcBorders>
            <w:shd w:val="clear" w:color="auto" w:fill="auto"/>
          </w:tcPr>
          <w:p w14:paraId="1C78BF2F" w14:textId="2D89DB97" w:rsidR="00F11C28" w:rsidRPr="00664262" w:rsidRDefault="00F11C28" w:rsidP="00667A8F">
            <w:pPr>
              <w:rPr>
                <w:rFonts w:eastAsia="Calibri"/>
              </w:rPr>
            </w:pPr>
            <w:r w:rsidRPr="00664262">
              <w:rPr>
                <w:rFonts w:eastAsia="Calibri"/>
                <w:b/>
              </w:rPr>
              <w:t>Customer activities</w:t>
            </w:r>
            <w:r w:rsidR="007055A9" w:rsidRPr="00664262">
              <w:rPr>
                <w:rFonts w:eastAsia="Calibri"/>
                <w:b/>
              </w:rPr>
              <w:t xml:space="preserve"> (</w:t>
            </w:r>
            <w:r w:rsidR="00EB6536" w:rsidRPr="00664262">
              <w:rPr>
                <w:rFonts w:eastAsia="Calibri"/>
                <w:b/>
              </w:rPr>
              <w:t xml:space="preserve"> and/or </w:t>
            </w:r>
            <w:r w:rsidR="007055A9" w:rsidRPr="00664262">
              <w:rPr>
                <w:rFonts w:eastAsia="Calibri"/>
                <w:b/>
              </w:rPr>
              <w:t>)</w:t>
            </w:r>
            <w:r w:rsidRPr="00664262">
              <w:rPr>
                <w:rFonts w:eastAsia="Calibri"/>
                <w:b/>
              </w:rPr>
              <w:br/>
            </w:r>
            <w:r w:rsidRPr="00664262">
              <w:rPr>
                <w:rFonts w:eastAsia="Calibri"/>
              </w:rPr>
              <w:t>The activities to be performed by the Customer</w:t>
            </w:r>
          </w:p>
        </w:tc>
        <w:tc>
          <w:tcPr>
            <w:tcW w:w="6140" w:type="dxa"/>
            <w:tcBorders>
              <w:top w:val="single" w:sz="2" w:space="0" w:color="7F7F7F"/>
              <w:left w:val="single" w:sz="2" w:space="0" w:color="7F7F7F"/>
              <w:bottom w:val="single" w:sz="2" w:space="0" w:color="7F7F7F"/>
              <w:right w:val="single" w:sz="2" w:space="0" w:color="7F7F7F"/>
            </w:tcBorders>
            <w:shd w:val="clear" w:color="auto" w:fill="FFFFFF"/>
          </w:tcPr>
          <w:p w14:paraId="6618502E" w14:textId="77777777" w:rsidR="00F11C28" w:rsidRPr="00664262" w:rsidRDefault="0043632B" w:rsidP="00047A03">
            <w:pPr>
              <w:pStyle w:val="Bulletlist"/>
              <w:numPr>
                <w:ilvl w:val="0"/>
                <w:numId w:val="0"/>
              </w:numPr>
              <w:rPr>
                <w:rFonts w:eastAsiaTheme="minorEastAsia" w:cs="Segoe UI"/>
                <w:b/>
                <w:bCs/>
                <w:szCs w:val="18"/>
              </w:rPr>
            </w:pPr>
            <w:r w:rsidRPr="00664262">
              <w:rPr>
                <w:rFonts w:eastAsiaTheme="minorEastAsia" w:cs="Segoe UI"/>
                <w:b/>
                <w:bCs/>
                <w:szCs w:val="18"/>
              </w:rPr>
              <w:t>Enable and implement</w:t>
            </w:r>
          </w:p>
          <w:p w14:paraId="4EFCE941" w14:textId="77777777" w:rsidR="0092237F" w:rsidRPr="00664262" w:rsidRDefault="0092237F" w:rsidP="0092237F">
            <w:pPr>
              <w:pStyle w:val="Bulletlist"/>
            </w:pPr>
            <w:r w:rsidRPr="00664262">
              <w:t>Provide information and access to people, resources, and systems, and a work environment.</w:t>
            </w:r>
          </w:p>
          <w:p w14:paraId="35C9EF36" w14:textId="1F457BC3" w:rsidR="0092237F" w:rsidRPr="00664262" w:rsidRDefault="0092237F" w:rsidP="001C159E">
            <w:pPr>
              <w:pStyle w:val="Bulletlist"/>
            </w:pPr>
            <w:r w:rsidRPr="00664262">
              <w:t>Participate in necessary workshops or meetings to gather required information.</w:t>
            </w:r>
          </w:p>
          <w:p w14:paraId="010316BF" w14:textId="412BFBDC" w:rsidR="00AD0EE1" w:rsidRPr="00664262" w:rsidRDefault="00AD0EE1" w:rsidP="0092237F">
            <w:pPr>
              <w:pStyle w:val="Bulletlist"/>
            </w:pPr>
            <w:r w:rsidRPr="00664262">
              <w:t xml:space="preserve">Provide input into the communication plan </w:t>
            </w:r>
          </w:p>
          <w:p w14:paraId="76E15D4F" w14:textId="7A295F74" w:rsidR="00C5135C" w:rsidRPr="00664262" w:rsidRDefault="00C5135C" w:rsidP="0092237F">
            <w:pPr>
              <w:pStyle w:val="Bulletlist"/>
            </w:pPr>
            <w:r w:rsidRPr="00664262">
              <w:t xml:space="preserve"> is responsible for implementing </w:t>
            </w:r>
            <w:r w:rsidR="00281A61" w:rsidRPr="00664262">
              <w:t xml:space="preserve">and sending </w:t>
            </w:r>
            <w:r w:rsidRPr="00664262">
              <w:t xml:space="preserve">the </w:t>
            </w:r>
            <w:r w:rsidR="00B6003B" w:rsidRPr="00664262">
              <w:t>communication media and distribution</w:t>
            </w:r>
          </w:p>
          <w:p w14:paraId="42E3C22B" w14:textId="0F31B540" w:rsidR="00A40BDC" w:rsidRPr="00664262" w:rsidRDefault="00A40BDC" w:rsidP="00A40BDC">
            <w:pPr>
              <w:pStyle w:val="Bulletlist"/>
              <w:rPr>
                <w:rFonts w:ascii="Segoe UI Semilight" w:eastAsiaTheme="minorEastAsia" w:hAnsi="Segoe UI Semilight" w:cs="Segoe UI Semilight"/>
                <w:szCs w:val="18"/>
              </w:rPr>
            </w:pPr>
            <w:r w:rsidRPr="00664262">
              <w:t xml:space="preserve">Adequate engagement time and space with stakeholders, management teams and relevant subject matter experts </w:t>
            </w:r>
          </w:p>
          <w:p w14:paraId="18F67F69" w14:textId="37E0128D" w:rsidR="00B47400" w:rsidRPr="00664262" w:rsidRDefault="00C03B91" w:rsidP="00A40BDC">
            <w:pPr>
              <w:pStyle w:val="Bulletlist"/>
            </w:pPr>
            <w:r w:rsidRPr="00664262">
              <w:t xml:space="preserve">Supply list of </w:t>
            </w:r>
            <w:r w:rsidR="002D66C9" w:rsidRPr="00664262">
              <w:t>affected users 2 weeks before migration</w:t>
            </w:r>
          </w:p>
          <w:p w14:paraId="6CFBFF94" w14:textId="23171548" w:rsidR="001935B1" w:rsidRPr="00664262" w:rsidRDefault="003A16B6" w:rsidP="0092237F">
            <w:pPr>
              <w:pStyle w:val="Bulletlist"/>
            </w:pPr>
            <w:r w:rsidRPr="00664262">
              <w:t>Create</w:t>
            </w:r>
            <w:r w:rsidR="00450B4F" w:rsidRPr="00664262">
              <w:t xml:space="preserve"> and </w:t>
            </w:r>
            <w:r w:rsidR="003C3C66" w:rsidRPr="00664262">
              <w:t>distribute</w:t>
            </w:r>
            <w:r w:rsidR="00450B4F" w:rsidRPr="00664262">
              <w:t xml:space="preserve"> </w:t>
            </w:r>
            <w:r w:rsidR="00E0650A" w:rsidRPr="00664262">
              <w:t xml:space="preserve">all key communications </w:t>
            </w:r>
            <w:r w:rsidRPr="00664262">
              <w:t xml:space="preserve">based on the </w:t>
            </w:r>
            <w:r w:rsidR="003C74C0" w:rsidRPr="00664262">
              <w:t>guidance provided in the Communications Plan</w:t>
            </w:r>
          </w:p>
          <w:p w14:paraId="523A4CBC" w14:textId="77777777" w:rsidR="00476E1A" w:rsidRPr="00664262" w:rsidRDefault="00476E1A" w:rsidP="0092237F">
            <w:pPr>
              <w:pStyle w:val="Bulletlist"/>
            </w:pPr>
            <w:r w:rsidRPr="00664262">
              <w:t>Feedback on the actual communications that was sent to the users</w:t>
            </w:r>
          </w:p>
          <w:p w14:paraId="7202DEEF" w14:textId="140E5274" w:rsidR="00E0650A" w:rsidRPr="00664262" w:rsidRDefault="00A048CB">
            <w:pPr>
              <w:pStyle w:val="Bulletlist"/>
            </w:pPr>
            <w:r w:rsidRPr="00664262">
              <w:t>Manage resistance.</w:t>
            </w:r>
          </w:p>
        </w:tc>
      </w:tr>
      <w:tr w:rsidR="00F11C28" w:rsidRPr="004B7984" w14:paraId="09BD31B8" w14:textId="77777777" w:rsidTr="00FE384A">
        <w:trPr>
          <w:gridAfter w:val="1"/>
          <w:wAfter w:w="13" w:type="dxa"/>
          <w:trHeight w:val="422"/>
        </w:trPr>
        <w:tc>
          <w:tcPr>
            <w:tcW w:w="3068" w:type="dxa"/>
            <w:tcBorders>
              <w:top w:val="single" w:sz="2" w:space="0" w:color="7F7F7F"/>
              <w:left w:val="single" w:sz="2" w:space="0" w:color="7F7F7F"/>
              <w:bottom w:val="single" w:sz="2" w:space="0" w:color="7F7F7F"/>
              <w:right w:val="single" w:sz="2" w:space="0" w:color="7F7F7F"/>
            </w:tcBorders>
            <w:shd w:val="clear" w:color="auto" w:fill="auto"/>
          </w:tcPr>
          <w:p w14:paraId="7B7B0161" w14:textId="77777777" w:rsidR="00F11C28" w:rsidRPr="00664262" w:rsidRDefault="00F11C28" w:rsidP="00667A8F">
            <w:pPr>
              <w:rPr>
                <w:rFonts w:eastAsia="Calibri"/>
              </w:rPr>
            </w:pPr>
            <w:r w:rsidRPr="00664262">
              <w:rPr>
                <w:rFonts w:eastAsia="Calibri"/>
                <w:b/>
              </w:rPr>
              <w:t>Key assumptions</w:t>
            </w:r>
          </w:p>
        </w:tc>
        <w:tc>
          <w:tcPr>
            <w:tcW w:w="6140" w:type="dxa"/>
            <w:tcBorders>
              <w:top w:val="single" w:sz="2" w:space="0" w:color="7F7F7F"/>
              <w:left w:val="single" w:sz="2" w:space="0" w:color="7F7F7F"/>
              <w:bottom w:val="single" w:sz="2" w:space="0" w:color="7F7F7F"/>
              <w:right w:val="single" w:sz="2" w:space="0" w:color="7F7F7F"/>
            </w:tcBorders>
            <w:shd w:val="clear" w:color="auto" w:fill="FFFFFF"/>
          </w:tcPr>
          <w:p w14:paraId="3A65FF14" w14:textId="77777777" w:rsidR="00F11C28" w:rsidRPr="00664262" w:rsidRDefault="0095631E" w:rsidP="0095631E">
            <w:pPr>
              <w:pStyle w:val="TableBullet1"/>
            </w:pPr>
            <w:r w:rsidRPr="00664262">
              <w:t>No printed materials are included</w:t>
            </w:r>
          </w:p>
          <w:p w14:paraId="36DCBFFC" w14:textId="203FCD25" w:rsidR="0095631E" w:rsidRPr="00664262" w:rsidRDefault="004B7984" w:rsidP="001C159E">
            <w:pPr>
              <w:pStyle w:val="TableBullet1"/>
            </w:pPr>
            <w:r w:rsidRPr="00664262">
              <w:t>Comm</w:t>
            </w:r>
            <w:r w:rsidR="00203256" w:rsidRPr="00664262">
              <w:t>u</w:t>
            </w:r>
            <w:r w:rsidRPr="00664262">
              <w:t>n</w:t>
            </w:r>
            <w:r w:rsidR="00203256" w:rsidRPr="00664262">
              <w:t>i</w:t>
            </w:r>
            <w:r w:rsidR="00CD74BF" w:rsidRPr="00664262">
              <w:t>c</w:t>
            </w:r>
            <w:r w:rsidRPr="00664262">
              <w:t>ation is limited to current  communications platforms, e.g. email and intranet</w:t>
            </w:r>
          </w:p>
          <w:p w14:paraId="38F0D236" w14:textId="4AADBC6A" w:rsidR="0095631E" w:rsidRPr="00664262" w:rsidRDefault="00FF4287" w:rsidP="00047A03">
            <w:pPr>
              <w:pStyle w:val="TableBullet1"/>
            </w:pPr>
            <w:r w:rsidRPr="00664262">
              <w:t xml:space="preserve"> to create all communications in the format required</w:t>
            </w:r>
          </w:p>
        </w:tc>
      </w:tr>
    </w:tbl>
    <w:p w14:paraId="6B6E0613" w14:textId="77777777" w:rsidR="00F11C28" w:rsidRDefault="00F11C28"/>
    <w:p w14:paraId="50096BBC" w14:textId="695037EB" w:rsidR="005C0D6D" w:rsidRPr="003815D6" w:rsidRDefault="005C0D6D" w:rsidP="005C0D6D">
      <w:pPr>
        <w:pStyle w:val="Heading4"/>
      </w:pPr>
      <w:r w:rsidRPr="003815D6">
        <w:t xml:space="preserve">Component deliverables: </w:t>
      </w:r>
      <w:r>
        <w:t>COM</w:t>
      </w:r>
      <w:r w:rsidRPr="003815D6">
        <w:t>-01</w:t>
      </w:r>
    </w:p>
    <w:p w14:paraId="1476ECC8" w14:textId="77777777" w:rsidR="005C0D6D" w:rsidRPr="003815D6" w:rsidRDefault="005C0D6D" w:rsidP="005C0D6D">
      <w:r w:rsidRPr="003815D6">
        <w:t>Microsoft will produce the following additional deliverables for this project component.</w:t>
      </w:r>
    </w:p>
    <w:tbl>
      <w:tblPr>
        <w:tblStyle w:val="TableGrid1"/>
        <w:tblW w:w="927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4A0" w:firstRow="1" w:lastRow="0" w:firstColumn="1" w:lastColumn="0" w:noHBand="0" w:noVBand="1"/>
      </w:tblPr>
      <w:tblGrid>
        <w:gridCol w:w="1442"/>
        <w:gridCol w:w="3522"/>
        <w:gridCol w:w="1275"/>
        <w:gridCol w:w="1413"/>
        <w:gridCol w:w="1620"/>
      </w:tblGrid>
      <w:tr w:rsidR="005A259F" w:rsidRPr="003815D6" w14:paraId="3F12484A" w14:textId="77777777" w:rsidTr="00664262">
        <w:trPr>
          <w:trHeight w:val="361"/>
        </w:trPr>
        <w:tc>
          <w:tcPr>
            <w:tcW w:w="144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31667432" w14:textId="77777777" w:rsidR="005C0D6D" w:rsidRPr="003815D6" w:rsidRDefault="005C0D6D" w:rsidP="000211E8">
            <w:pPr>
              <w:pStyle w:val="Table-Header"/>
            </w:pPr>
            <w:r w:rsidRPr="003815D6">
              <w:t>Name</w:t>
            </w:r>
          </w:p>
        </w:tc>
        <w:tc>
          <w:tcPr>
            <w:tcW w:w="352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2847D34" w14:textId="77777777" w:rsidR="005C0D6D" w:rsidRPr="003815D6" w:rsidRDefault="005C0D6D" w:rsidP="000211E8">
            <w:pPr>
              <w:pStyle w:val="Table-Header"/>
            </w:pPr>
            <w:r w:rsidRPr="003815D6">
              <w:t>Description</w:t>
            </w:r>
          </w:p>
        </w:tc>
        <w:tc>
          <w:tcPr>
            <w:tcW w:w="127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6FC401F7" w14:textId="77777777" w:rsidR="005C0D6D" w:rsidRPr="003815D6" w:rsidRDefault="005C0D6D" w:rsidP="000211E8">
            <w:pPr>
              <w:pStyle w:val="Table-Header"/>
            </w:pPr>
            <w:r w:rsidRPr="003815D6">
              <w:t>Phase</w:t>
            </w:r>
          </w:p>
        </w:tc>
        <w:tc>
          <w:tcPr>
            <w:tcW w:w="141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D8C44E9" w14:textId="77777777" w:rsidR="005C0D6D" w:rsidRPr="003815D6" w:rsidRDefault="005C0D6D" w:rsidP="000211E8">
            <w:pPr>
              <w:pStyle w:val="Table-Header"/>
            </w:pPr>
            <w:r w:rsidRPr="003815D6">
              <w:t>Acceptance required?</w:t>
            </w:r>
          </w:p>
        </w:tc>
        <w:tc>
          <w:tcPr>
            <w:tcW w:w="16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193C72F1" w14:textId="77777777" w:rsidR="005C0D6D" w:rsidRPr="003815D6" w:rsidRDefault="005C0D6D" w:rsidP="000211E8">
            <w:pPr>
              <w:pStyle w:val="Table-Header"/>
            </w:pPr>
            <w:r w:rsidRPr="003815D6">
              <w:t>Responsibility</w:t>
            </w:r>
          </w:p>
        </w:tc>
      </w:tr>
      <w:tr w:rsidR="005C0D6D" w:rsidRPr="003815D6" w14:paraId="7C8C5744" w14:textId="77777777" w:rsidTr="00664262">
        <w:trPr>
          <w:trHeight w:val="417"/>
        </w:trPr>
        <w:tc>
          <w:tcPr>
            <w:tcW w:w="144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B6C1653" w14:textId="3AFABD7E" w:rsidR="005C0D6D" w:rsidRPr="003815D6" w:rsidRDefault="00D854A0" w:rsidP="000211E8">
            <w:r>
              <w:lastRenderedPageBreak/>
              <w:t>Communication</w:t>
            </w:r>
            <w:r w:rsidR="00F84F1B">
              <w:t>s</w:t>
            </w:r>
            <w:r>
              <w:t xml:space="preserve"> Plan</w:t>
            </w:r>
          </w:p>
        </w:tc>
        <w:tc>
          <w:tcPr>
            <w:tcW w:w="352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33702EF" w14:textId="6AF78060" w:rsidR="005C0D6D" w:rsidRDefault="005C0D6D" w:rsidP="000211E8">
            <w:r w:rsidRPr="003815D6">
              <w:t xml:space="preserve">Documents the </w:t>
            </w:r>
            <w:r w:rsidR="001B5C37">
              <w:t xml:space="preserve">key </w:t>
            </w:r>
            <w:r w:rsidR="006C5DDA">
              <w:t>messaging</w:t>
            </w:r>
            <w:r w:rsidR="00DC6D0E">
              <w:t xml:space="preserve"> </w:t>
            </w:r>
            <w:r w:rsidR="006C5DDA">
              <w:t>to be</w:t>
            </w:r>
            <w:r w:rsidR="003F29EF">
              <w:t xml:space="preserve"> distributed </w:t>
            </w:r>
            <w:r w:rsidR="00186865">
              <w:t xml:space="preserve">by specified senders to specified receivers, </w:t>
            </w:r>
            <w:r w:rsidR="008A1F5C">
              <w:t xml:space="preserve">through the </w:t>
            </w:r>
            <w:r w:rsidR="00016BEE">
              <w:t xml:space="preserve">available </w:t>
            </w:r>
            <w:r w:rsidR="008A1F5C">
              <w:t xml:space="preserve">communication mechanisms, </w:t>
            </w:r>
            <w:r w:rsidR="00186865">
              <w:t>and the timing thereof.</w:t>
            </w:r>
          </w:p>
          <w:p w14:paraId="3CA14705" w14:textId="26565FDA" w:rsidR="00186865" w:rsidRPr="003815D6" w:rsidRDefault="00186865" w:rsidP="00450B4F"/>
        </w:tc>
        <w:tc>
          <w:tcPr>
            <w:tcW w:w="127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122E4EA1" w14:textId="0A74B584" w:rsidR="005C0D6D" w:rsidRPr="003815D6" w:rsidRDefault="00186865" w:rsidP="000211E8">
            <w:r>
              <w:t>Remediate</w:t>
            </w:r>
          </w:p>
        </w:tc>
        <w:tc>
          <w:tcPr>
            <w:tcW w:w="141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58B38BA" w14:textId="77777777" w:rsidR="005C0D6D" w:rsidRPr="003815D6" w:rsidRDefault="005C0D6D" w:rsidP="000211E8">
            <w:r w:rsidRPr="003815D6">
              <w:t>Yes</w:t>
            </w:r>
          </w:p>
        </w:tc>
        <w:tc>
          <w:tcPr>
            <w:tcW w:w="16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90C00EE" w14:textId="77777777" w:rsidR="005C0D6D" w:rsidRPr="003815D6" w:rsidRDefault="005C0D6D" w:rsidP="000211E8">
            <w:r w:rsidRPr="003815D6">
              <w:t>Microsoft</w:t>
            </w:r>
          </w:p>
        </w:tc>
      </w:tr>
    </w:tbl>
    <w:p w14:paraId="4081DF19" w14:textId="77777777" w:rsidR="005C0D6D" w:rsidRDefault="005C0D6D" w:rsidP="00047A03"/>
    <w:p w14:paraId="51B824BD" w14:textId="31EB28EB" w:rsidR="009B1142" w:rsidRPr="003815D6" w:rsidRDefault="00C416FE" w:rsidP="00C84DD9">
      <w:pPr>
        <w:pStyle w:val="Heading2"/>
      </w:pPr>
      <w:bookmarkStart w:id="89" w:name="_Toc22884106"/>
      <w:r w:rsidRPr="003815D6">
        <w:t>Timeline</w:t>
      </w:r>
      <w:bookmarkEnd w:id="84"/>
      <w:bookmarkEnd w:id="85"/>
      <w:bookmarkEnd w:id="86"/>
      <w:bookmarkEnd w:id="87"/>
      <w:bookmarkEnd w:id="88"/>
      <w:bookmarkEnd w:id="89"/>
    </w:p>
    <w:p w14:paraId="20664765" w14:textId="2399CC2B" w:rsidR="002641DA" w:rsidRPr="003815D6" w:rsidRDefault="002641DA" w:rsidP="002641DA">
      <w:r w:rsidRPr="003815D6">
        <w:t>During project planning, a detailed timeline will be developed. All dates and durations are relative to the project start date and are estimates only.</w:t>
      </w:r>
    </w:p>
    <w:p w14:paraId="0ECDB447" w14:textId="402370A1" w:rsidR="002641DA" w:rsidRPr="003815D6" w:rsidRDefault="002641DA" w:rsidP="002641DA">
      <w:pPr>
        <w:pStyle w:val="Instructional"/>
      </w:pPr>
    </w:p>
    <w:p w14:paraId="0489BF52" w14:textId="77777777" w:rsidR="00C44D16" w:rsidRPr="003815D6" w:rsidRDefault="002641DA" w:rsidP="00C416FE">
      <w:r w:rsidRPr="003815D6">
        <w:rPr>
          <w:noProof/>
        </w:rPr>
        <w:drawing>
          <wp:inline distT="0" distB="0" distL="0" distR="0" wp14:anchorId="17A389C1" wp14:editId="1F05F6E9">
            <wp:extent cx="5703570" cy="590550"/>
            <wp:effectExtent l="0" t="0" r="30480"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37D50C1" w14:textId="48FE9AF9" w:rsidR="00C44D16" w:rsidRPr="003815D6" w:rsidRDefault="00C44D16" w:rsidP="00C84DD9">
      <w:pPr>
        <w:pStyle w:val="Heading2"/>
      </w:pPr>
      <w:bookmarkStart w:id="90" w:name="_Toc476167709"/>
      <w:bookmarkStart w:id="91" w:name="_Toc476168042"/>
      <w:bookmarkStart w:id="92" w:name="_Ref477932041"/>
      <w:bookmarkStart w:id="93" w:name="_Toc514413045"/>
      <w:bookmarkStart w:id="94" w:name="_Toc517762001"/>
      <w:bookmarkStart w:id="95" w:name="_Toc22884107"/>
      <w:r w:rsidRPr="003815D6">
        <w:t>Deliverable acceptance process</w:t>
      </w:r>
      <w:bookmarkEnd w:id="90"/>
      <w:bookmarkEnd w:id="91"/>
      <w:bookmarkEnd w:id="92"/>
      <w:bookmarkEnd w:id="93"/>
      <w:bookmarkEnd w:id="94"/>
      <w:bookmarkEnd w:id="95"/>
    </w:p>
    <w:p w14:paraId="698FDD25" w14:textId="2250A88F" w:rsidR="00C44D16" w:rsidRPr="003815D6" w:rsidRDefault="00C44D16" w:rsidP="00C44D16">
      <w:r w:rsidRPr="003815D6">
        <w:t>During the project</w:t>
      </w:r>
      <w:r w:rsidR="00E40CE7" w:rsidRPr="003815D6">
        <w:t>,</w:t>
      </w:r>
      <w:r w:rsidRPr="003815D6">
        <w:t xml:space="preserve"> </w:t>
      </w:r>
      <w:r w:rsidR="00840E9D" w:rsidRPr="003815D6">
        <w:t>Microsoft</w:t>
      </w:r>
      <w:r w:rsidRPr="003815D6">
        <w:t xml:space="preserve"> will submit certain deliverables </w:t>
      </w:r>
      <w:r w:rsidR="00D44A6B" w:rsidRPr="003815D6">
        <w:t xml:space="preserve">(listed in the </w:t>
      </w:r>
      <w:r w:rsidR="00550DD8" w:rsidRPr="003815D6">
        <w:fldChar w:fldCharType="begin"/>
      </w:r>
      <w:r w:rsidR="00550DD8" w:rsidRPr="003815D6">
        <w:instrText xml:space="preserve"> REF _Ref477873467 \h </w:instrText>
      </w:r>
      <w:r w:rsidR="00550DD8" w:rsidRPr="003815D6">
        <w:fldChar w:fldCharType="separate"/>
      </w:r>
      <w:r w:rsidR="00664262" w:rsidRPr="003815D6">
        <w:t>Approach</w:t>
      </w:r>
      <w:r w:rsidR="00550DD8" w:rsidRPr="003815D6">
        <w:fldChar w:fldCharType="end"/>
      </w:r>
      <w:r w:rsidR="00ED7049" w:rsidRPr="003815D6">
        <w:t xml:space="preserve"> </w:t>
      </w:r>
      <w:r w:rsidR="00D44A6B" w:rsidRPr="003815D6">
        <w:t xml:space="preserve">section as deliverables with </w:t>
      </w:r>
      <w:r w:rsidR="00ED7049" w:rsidRPr="003815D6">
        <w:t>“</w:t>
      </w:r>
      <w:r w:rsidR="006965B5" w:rsidRPr="003815D6">
        <w:t xml:space="preserve">Acceptance </w:t>
      </w:r>
      <w:r w:rsidR="00ED7049" w:rsidRPr="003815D6">
        <w:t>required</w:t>
      </w:r>
      <w:r w:rsidR="006965B5" w:rsidRPr="003815D6">
        <w:t>?</w:t>
      </w:r>
      <w:r w:rsidR="00ED7049" w:rsidRPr="003815D6">
        <w:t xml:space="preserve">” </w:t>
      </w:r>
      <w:r w:rsidR="00D44A6B" w:rsidRPr="003815D6">
        <w:t xml:space="preserve">equal </w:t>
      </w:r>
      <w:r w:rsidR="006965B5" w:rsidRPr="003815D6">
        <w:t xml:space="preserve">to </w:t>
      </w:r>
      <w:r w:rsidR="00ED7049" w:rsidRPr="003815D6">
        <w:t>“</w:t>
      </w:r>
      <w:r w:rsidR="006965B5" w:rsidRPr="003815D6">
        <w:t>Y</w:t>
      </w:r>
      <w:r w:rsidR="00ED7049" w:rsidRPr="003815D6">
        <w:t>es”</w:t>
      </w:r>
      <w:r w:rsidR="00D44A6B" w:rsidRPr="003815D6">
        <w:t xml:space="preserve">) </w:t>
      </w:r>
      <w:r w:rsidRPr="003815D6">
        <w:t xml:space="preserve">for </w:t>
      </w:r>
      <w:r w:rsidR="00840E9D" w:rsidRPr="003815D6">
        <w:t xml:space="preserve">the </w:t>
      </w:r>
      <w:r w:rsidR="009633F4" w:rsidRPr="003815D6">
        <w:t>c</w:t>
      </w:r>
      <w:r w:rsidR="00BC30AA" w:rsidRPr="003815D6">
        <w:t>ustomer’s review and approval.</w:t>
      </w:r>
    </w:p>
    <w:p w14:paraId="4F23B6E6" w14:textId="05352486" w:rsidR="00840E9D" w:rsidRPr="003815D6" w:rsidRDefault="4BAA7215" w:rsidP="00C44D16">
      <w:r w:rsidRPr="003815D6">
        <w:t xml:space="preserve">Within three business days of the date of submittal, the </w:t>
      </w:r>
      <w:r w:rsidR="009633F4" w:rsidRPr="003815D6">
        <w:t>c</w:t>
      </w:r>
      <w:r w:rsidRPr="003815D6">
        <w:t>ustomer is required to:</w:t>
      </w:r>
    </w:p>
    <w:p w14:paraId="282C62F5" w14:textId="77777777" w:rsidR="006965B5" w:rsidRPr="003815D6" w:rsidRDefault="4BAA7215" w:rsidP="0015000E">
      <w:pPr>
        <w:pStyle w:val="Bulletlist"/>
        <w:ind w:left="270" w:hanging="270"/>
      </w:pPr>
      <w:r w:rsidRPr="003815D6">
        <w:rPr>
          <w:b/>
          <w:bCs/>
        </w:rPr>
        <w:t>Accept the deliverable</w:t>
      </w:r>
      <w:r w:rsidRPr="003815D6">
        <w:t xml:space="preserve"> by signing, dating, and returning a service deliverable acceptance form, which can be sent by email, or by using (or partially using) the deliverable</w:t>
      </w:r>
    </w:p>
    <w:p w14:paraId="49DD1CD5" w14:textId="6FE53CF2" w:rsidR="00840E9D" w:rsidRPr="003815D6" w:rsidRDefault="4BAA7215" w:rsidP="00140C9E">
      <w:pPr>
        <w:ind w:firstLine="360"/>
      </w:pPr>
      <w:r w:rsidRPr="003815D6">
        <w:t>Or</w:t>
      </w:r>
    </w:p>
    <w:p w14:paraId="42A7EA53" w14:textId="6DB6AEF1" w:rsidR="00840E9D" w:rsidRPr="003815D6" w:rsidRDefault="4BAA7215" w:rsidP="0015000E">
      <w:pPr>
        <w:pStyle w:val="Bulletlist"/>
        <w:ind w:left="270" w:hanging="270"/>
      </w:pPr>
      <w:r w:rsidRPr="003815D6">
        <w:rPr>
          <w:b/>
          <w:bCs/>
        </w:rPr>
        <w:t>Reject the deliverable</w:t>
      </w:r>
      <w:r w:rsidRPr="003815D6">
        <w:t xml:space="preserve"> by notifying Microsoft in writing; the </w:t>
      </w:r>
      <w:r w:rsidR="009633F4" w:rsidRPr="003815D6">
        <w:t>c</w:t>
      </w:r>
      <w:r w:rsidRPr="003815D6">
        <w:t>ustomer must include a complete list of reasons for rejection.</w:t>
      </w:r>
    </w:p>
    <w:p w14:paraId="19A3DF0B" w14:textId="469EF520" w:rsidR="00840E9D" w:rsidRPr="003815D6" w:rsidRDefault="4BAA7215" w:rsidP="00840E9D">
      <w:pPr>
        <w:pStyle w:val="Bulletlist"/>
        <w:numPr>
          <w:ilvl w:val="0"/>
          <w:numId w:val="0"/>
        </w:numPr>
        <w:contextualSpacing w:val="0"/>
      </w:pPr>
      <w:r w:rsidRPr="003815D6">
        <w:t>Deliverables shall be deemed accepted unless the written rejection notification is received by Microsoft in the time</w:t>
      </w:r>
      <w:r w:rsidR="00091DAE" w:rsidRPr="003815D6">
        <w:t xml:space="preserve"> </w:t>
      </w:r>
      <w:r w:rsidRPr="003815D6">
        <w:t>frame specified.</w:t>
      </w:r>
    </w:p>
    <w:p w14:paraId="3EB05F78" w14:textId="77777777" w:rsidR="00840E9D" w:rsidRPr="003815D6" w:rsidRDefault="4BAA7215" w:rsidP="00840E9D">
      <w:pPr>
        <w:pStyle w:val="Bulletlist"/>
        <w:numPr>
          <w:ilvl w:val="0"/>
          <w:numId w:val="0"/>
        </w:numPr>
      </w:pPr>
      <w:r w:rsidRPr="003815D6">
        <w:t>If a rejection notification is received, Microsoft will correct problems with a deliverable that are in scope for the project (and documented in this SOW), after which the deliverable is deemed accepted.</w:t>
      </w:r>
    </w:p>
    <w:p w14:paraId="0F4B5A76" w14:textId="249A7134" w:rsidR="00BE7980" w:rsidRPr="003815D6" w:rsidRDefault="0031303E" w:rsidP="00840E9D">
      <w:pPr>
        <w:pStyle w:val="Bulletlist"/>
        <w:numPr>
          <w:ilvl w:val="0"/>
          <w:numId w:val="0"/>
        </w:numPr>
      </w:pPr>
      <w:r w:rsidRPr="003815D6">
        <w:t xml:space="preserve">Problems </w:t>
      </w:r>
      <w:r w:rsidR="00BE7980" w:rsidRPr="003815D6">
        <w:t>that are outside the scope of this S</w:t>
      </w:r>
      <w:r w:rsidR="00E40CE7" w:rsidRPr="003815D6">
        <w:t>OW</w:t>
      </w:r>
      <w:r w:rsidR="00BE7980" w:rsidRPr="003815D6">
        <w:t xml:space="preserve">, and feedback provided after a deliverable has been accepted will be addressed as a change request, managed as described in the </w:t>
      </w:r>
      <w:r w:rsidR="00160775" w:rsidRPr="003815D6">
        <w:fldChar w:fldCharType="begin"/>
      </w:r>
      <w:r w:rsidR="00160775" w:rsidRPr="003815D6">
        <w:instrText xml:space="preserve"> REF _Ref477932885 \h </w:instrText>
      </w:r>
      <w:r w:rsidR="00160775" w:rsidRPr="003815D6">
        <w:fldChar w:fldCharType="separate"/>
      </w:r>
      <w:r w:rsidR="00664262" w:rsidRPr="003815D6">
        <w:t>Change management process</w:t>
      </w:r>
      <w:r w:rsidR="00160775" w:rsidRPr="003815D6">
        <w:fldChar w:fldCharType="end"/>
      </w:r>
      <w:r w:rsidR="00BE7980" w:rsidRPr="003815D6">
        <w:t xml:space="preserve"> section.</w:t>
      </w:r>
    </w:p>
    <w:p w14:paraId="58DA0881" w14:textId="19D54675" w:rsidR="00364836" w:rsidRPr="003815D6" w:rsidRDefault="00364836" w:rsidP="00C84DD9">
      <w:pPr>
        <w:pStyle w:val="Heading2"/>
      </w:pPr>
      <w:bookmarkStart w:id="96" w:name="_Toc476167710"/>
      <w:bookmarkStart w:id="97" w:name="_Toc476168043"/>
      <w:bookmarkStart w:id="98" w:name="_Toc514413046"/>
      <w:bookmarkStart w:id="99" w:name="_Toc517762002"/>
      <w:bookmarkStart w:id="100" w:name="_Toc22884108"/>
      <w:r w:rsidRPr="003815D6">
        <w:t>Project governance</w:t>
      </w:r>
      <w:bookmarkEnd w:id="96"/>
      <w:bookmarkEnd w:id="97"/>
      <w:bookmarkEnd w:id="98"/>
      <w:bookmarkEnd w:id="99"/>
      <w:bookmarkEnd w:id="100"/>
    </w:p>
    <w:p w14:paraId="3F851A13" w14:textId="77777777" w:rsidR="00364836" w:rsidRPr="003815D6" w:rsidRDefault="4BAA7215" w:rsidP="00364836">
      <w:r w:rsidRPr="003815D6">
        <w:t>The governance structure and processes the team will adhere to for the project are described in the following sections:</w:t>
      </w:r>
    </w:p>
    <w:p w14:paraId="7046233D" w14:textId="77777777" w:rsidR="00BB669A" w:rsidRPr="003815D6" w:rsidRDefault="00BB669A" w:rsidP="00C84DD9">
      <w:pPr>
        <w:pStyle w:val="Heading3"/>
      </w:pPr>
      <w:bookmarkStart w:id="101" w:name="_Toc476168044"/>
      <w:r w:rsidRPr="003815D6">
        <w:lastRenderedPageBreak/>
        <w:t>Project communication</w:t>
      </w:r>
      <w:bookmarkEnd w:id="101"/>
    </w:p>
    <w:p w14:paraId="4DC2E148" w14:textId="77777777" w:rsidR="00BB669A" w:rsidRPr="003815D6" w:rsidRDefault="4BAA7215" w:rsidP="00BB669A">
      <w:r w:rsidRPr="003815D6">
        <w:t>The following will be used to communicate during the project:</w:t>
      </w:r>
    </w:p>
    <w:p w14:paraId="48496664" w14:textId="5BB8AEA4" w:rsidR="00104AB3" w:rsidRPr="003815D6" w:rsidRDefault="4BAA7215" w:rsidP="0015000E">
      <w:pPr>
        <w:pStyle w:val="Bulletlist"/>
        <w:ind w:left="270" w:hanging="270"/>
      </w:pPr>
      <w:r w:rsidRPr="003815D6">
        <w:rPr>
          <w:b/>
          <w:bCs/>
        </w:rPr>
        <w:t>Communication plan</w:t>
      </w:r>
      <w:r w:rsidRPr="003815D6">
        <w:t xml:space="preserve">: This document will describe the frequency, audience, and content of communication with the team and stakeholders. It will be developed by Microsoft and the </w:t>
      </w:r>
      <w:r w:rsidR="009633F4" w:rsidRPr="003815D6">
        <w:t>c</w:t>
      </w:r>
      <w:r w:rsidRPr="003815D6">
        <w:t>ustomer as part of project planning.</w:t>
      </w:r>
    </w:p>
    <w:p w14:paraId="42E9DEFF" w14:textId="77777777" w:rsidR="00BB669A" w:rsidRPr="003815D6" w:rsidRDefault="4BAA7215" w:rsidP="0015000E">
      <w:pPr>
        <w:pStyle w:val="Bulletlist"/>
        <w:ind w:left="270" w:hanging="270"/>
      </w:pPr>
      <w:r w:rsidRPr="003815D6">
        <w:rPr>
          <w:b/>
          <w:bCs/>
        </w:rPr>
        <w:t>Status reports</w:t>
      </w:r>
      <w:r w:rsidRPr="003815D6">
        <w:t>: The Microsoft team will prepare and issue regular status reports to project stakeholders per the frequency defined in the communication plan.</w:t>
      </w:r>
    </w:p>
    <w:p w14:paraId="211CC038" w14:textId="77777777" w:rsidR="00104AB3" w:rsidRPr="003815D6" w:rsidRDefault="4BAA7215" w:rsidP="0015000E">
      <w:pPr>
        <w:pStyle w:val="Bulletlist"/>
        <w:ind w:left="270" w:hanging="270"/>
      </w:pPr>
      <w:r w:rsidRPr="003815D6">
        <w:rPr>
          <w:b/>
          <w:bCs/>
        </w:rPr>
        <w:t>Status meetings</w:t>
      </w:r>
      <w:r w:rsidR="00A0371B" w:rsidRPr="003815D6">
        <w:t>: T</w:t>
      </w:r>
      <w:r w:rsidRPr="003815D6">
        <w:t>he Microsoft team will schedule regular status meetings to review the overall project status, the acceptance of deliverables, and review open problems and risks.</w:t>
      </w:r>
    </w:p>
    <w:p w14:paraId="6706E72D" w14:textId="77777777" w:rsidR="00E54AE8" w:rsidRPr="003815D6" w:rsidRDefault="00E54AE8" w:rsidP="00C84DD9">
      <w:pPr>
        <w:pStyle w:val="Heading3"/>
      </w:pPr>
      <w:bookmarkStart w:id="102" w:name="_Toc476168045"/>
      <w:r w:rsidRPr="003815D6">
        <w:t>Risk and issue management</w:t>
      </w:r>
      <w:bookmarkEnd w:id="102"/>
    </w:p>
    <w:p w14:paraId="0EDFAA74" w14:textId="77777777" w:rsidR="00E54AE8" w:rsidRPr="003815D6" w:rsidRDefault="4BAA7215" w:rsidP="00E54AE8">
      <w:r w:rsidRPr="003815D6">
        <w:t>The following general procedure will be used to manage active project issues and risks during the project:</w:t>
      </w:r>
    </w:p>
    <w:p w14:paraId="359AD658" w14:textId="77777777" w:rsidR="00E54AE8" w:rsidRPr="003815D6" w:rsidRDefault="4BAA7215" w:rsidP="0015000E">
      <w:pPr>
        <w:pStyle w:val="Bulletlist"/>
        <w:ind w:left="270" w:hanging="270"/>
      </w:pPr>
      <w:r w:rsidRPr="003815D6">
        <w:rPr>
          <w:b/>
          <w:bCs/>
        </w:rPr>
        <w:t>Identify</w:t>
      </w:r>
      <w:r w:rsidRPr="003815D6">
        <w:t>: Identify and document project issues (current problems) and risks (potential problems that could affect the project).</w:t>
      </w:r>
    </w:p>
    <w:p w14:paraId="101DBC46" w14:textId="77777777" w:rsidR="00E54AE8" w:rsidRPr="003815D6" w:rsidRDefault="4BAA7215" w:rsidP="0015000E">
      <w:pPr>
        <w:pStyle w:val="Bulletlist"/>
        <w:ind w:left="270" w:hanging="270"/>
      </w:pPr>
      <w:r w:rsidRPr="003815D6">
        <w:rPr>
          <w:b/>
          <w:bCs/>
        </w:rPr>
        <w:t>Analyze and prioritize</w:t>
      </w:r>
      <w:r w:rsidRPr="003815D6">
        <w:t>: Assess the potential impact and determine the highest priority risks and problems that will be actively managed.</w:t>
      </w:r>
    </w:p>
    <w:p w14:paraId="5FCC75C9" w14:textId="5AFAD62B" w:rsidR="00E54AE8" w:rsidRPr="003815D6" w:rsidRDefault="4BAA7215" w:rsidP="0015000E">
      <w:pPr>
        <w:pStyle w:val="Bulletlist"/>
        <w:ind w:left="270" w:hanging="270"/>
      </w:pPr>
      <w:r w:rsidRPr="003815D6">
        <w:rPr>
          <w:b/>
          <w:bCs/>
        </w:rPr>
        <w:t>Plan and schedule</w:t>
      </w:r>
      <w:r w:rsidRPr="003815D6">
        <w:t>: Determine the strategy for managing priority risks and issues</w:t>
      </w:r>
      <w:r w:rsidR="00EB1EE9" w:rsidRPr="003815D6">
        <w:t xml:space="preserve"> </w:t>
      </w:r>
      <w:r w:rsidRPr="003815D6">
        <w:t>and identify a resource who can take responsibility for mitigation and remediation.</w:t>
      </w:r>
    </w:p>
    <w:p w14:paraId="41CF8E3D" w14:textId="77777777" w:rsidR="00E54AE8" w:rsidRPr="003815D6" w:rsidRDefault="4BAA7215" w:rsidP="0015000E">
      <w:pPr>
        <w:pStyle w:val="Bulletlist"/>
        <w:ind w:left="270" w:hanging="270"/>
      </w:pPr>
      <w:r w:rsidRPr="003815D6">
        <w:rPr>
          <w:b/>
          <w:bCs/>
        </w:rPr>
        <w:t>Track and report</w:t>
      </w:r>
      <w:r w:rsidRPr="003815D6">
        <w:t>: Monitor and report the status of risks and problems.</w:t>
      </w:r>
    </w:p>
    <w:p w14:paraId="52909B6B" w14:textId="77777777" w:rsidR="00C4139D" w:rsidRPr="003815D6" w:rsidRDefault="4BAA7215" w:rsidP="0015000E">
      <w:pPr>
        <w:pStyle w:val="Bulletlist"/>
        <w:ind w:left="270" w:hanging="270"/>
      </w:pPr>
      <w:r w:rsidRPr="003815D6">
        <w:rPr>
          <w:b/>
          <w:bCs/>
        </w:rPr>
        <w:t>Escalate</w:t>
      </w:r>
      <w:r w:rsidRPr="003815D6">
        <w:t>: Escalate to project sponsors the high impact problems and risks that the team is unable to resolve.</w:t>
      </w:r>
    </w:p>
    <w:p w14:paraId="10A728DF" w14:textId="77777777" w:rsidR="00E54AE8" w:rsidRPr="003815D6" w:rsidRDefault="4BAA7215" w:rsidP="0015000E">
      <w:pPr>
        <w:pStyle w:val="Bulletlist"/>
        <w:ind w:left="270" w:hanging="270"/>
      </w:pPr>
      <w:r w:rsidRPr="003815D6">
        <w:rPr>
          <w:b/>
          <w:bCs/>
        </w:rPr>
        <w:t>Control</w:t>
      </w:r>
      <w:r w:rsidRPr="003815D6">
        <w:t>: Review the effectiveness of risk and issue management actions.</w:t>
      </w:r>
    </w:p>
    <w:p w14:paraId="77D7B40C" w14:textId="77777777" w:rsidR="0007565A" w:rsidRPr="003815D6" w:rsidRDefault="0007565A" w:rsidP="00E54AE8">
      <w:pPr>
        <w:pStyle w:val="Bulletlist"/>
        <w:numPr>
          <w:ilvl w:val="0"/>
          <w:numId w:val="0"/>
        </w:numPr>
        <w:ind w:left="360" w:hanging="360"/>
      </w:pPr>
    </w:p>
    <w:p w14:paraId="292323AD" w14:textId="77777777" w:rsidR="00E54AE8" w:rsidRPr="003815D6" w:rsidRDefault="4BAA7215" w:rsidP="00E54AE8">
      <w:pPr>
        <w:pStyle w:val="Bulletlist"/>
        <w:numPr>
          <w:ilvl w:val="0"/>
          <w:numId w:val="0"/>
        </w:numPr>
        <w:ind w:left="360" w:hanging="360"/>
      </w:pPr>
      <w:r w:rsidRPr="003815D6">
        <w:t>Active issues and risks will be regularly monitored during the project.</w:t>
      </w:r>
    </w:p>
    <w:p w14:paraId="441C6C4E" w14:textId="77777777" w:rsidR="002952F0" w:rsidRPr="003815D6" w:rsidRDefault="002952F0" w:rsidP="00C84DD9">
      <w:pPr>
        <w:pStyle w:val="Heading3"/>
      </w:pPr>
      <w:bookmarkStart w:id="103" w:name="_Change_management_process"/>
      <w:bookmarkStart w:id="104" w:name="_Toc476168046"/>
      <w:bookmarkStart w:id="105" w:name="_Ref477866682"/>
      <w:bookmarkStart w:id="106" w:name="_Ref477932885"/>
      <w:bookmarkStart w:id="107" w:name="_Ref477934302"/>
      <w:bookmarkStart w:id="108" w:name="_Ref514404898"/>
      <w:bookmarkEnd w:id="103"/>
      <w:r w:rsidRPr="003815D6">
        <w:t>Change management process</w:t>
      </w:r>
      <w:bookmarkEnd w:id="104"/>
      <w:bookmarkEnd w:id="105"/>
      <w:bookmarkEnd w:id="106"/>
      <w:bookmarkEnd w:id="107"/>
      <w:bookmarkEnd w:id="108"/>
    </w:p>
    <w:p w14:paraId="1173B89E" w14:textId="58F83705" w:rsidR="003E1B4E" w:rsidRPr="003815D6" w:rsidRDefault="4BAA7215" w:rsidP="003E1B4E">
      <w:r w:rsidRPr="003815D6">
        <w:t xml:space="preserve">During the project, either party is able to request modifications to the </w:t>
      </w:r>
      <w:r w:rsidR="00123C36">
        <w:t>s</w:t>
      </w:r>
      <w:r w:rsidRPr="003815D6">
        <w:t>ervices described in this SOW. These changes only take effect when the proposed change is agreed upon by both parties. The change management process steps are:</w:t>
      </w:r>
    </w:p>
    <w:p w14:paraId="1F7E356E" w14:textId="01FFC7E1" w:rsidR="003E1B4E" w:rsidRPr="003815D6" w:rsidRDefault="4BAA7215" w:rsidP="0015000E">
      <w:pPr>
        <w:pStyle w:val="Bulletlist"/>
        <w:ind w:left="270" w:hanging="270"/>
      </w:pPr>
      <w:r w:rsidRPr="003815D6">
        <w:rPr>
          <w:b/>
          <w:bCs/>
        </w:rPr>
        <w:t>The change is documented</w:t>
      </w:r>
      <w:r w:rsidRPr="003815D6">
        <w:t xml:space="preserve">: All change requests will be documented by Microsoft in a Microsoft change request form and submitted to the </w:t>
      </w:r>
      <w:r w:rsidR="009633F4" w:rsidRPr="003815D6">
        <w:t>c</w:t>
      </w:r>
      <w:r w:rsidRPr="003815D6">
        <w:t>ustomer. The change request form includes:</w:t>
      </w:r>
    </w:p>
    <w:p w14:paraId="47D480FF" w14:textId="77777777" w:rsidR="003E1B4E" w:rsidRPr="003815D6" w:rsidRDefault="4BAA7215" w:rsidP="001C222C">
      <w:pPr>
        <w:pStyle w:val="Bulletlist"/>
        <w:numPr>
          <w:ilvl w:val="1"/>
          <w:numId w:val="5"/>
        </w:numPr>
      </w:pPr>
      <w:r w:rsidRPr="003815D6">
        <w:t>A description of the change.</w:t>
      </w:r>
    </w:p>
    <w:p w14:paraId="3E658DC7" w14:textId="237E4923" w:rsidR="003E1B4E" w:rsidRPr="003815D6" w:rsidRDefault="4BAA7215" w:rsidP="001C222C">
      <w:pPr>
        <w:pStyle w:val="Bulletlist"/>
        <w:numPr>
          <w:ilvl w:val="1"/>
          <w:numId w:val="5"/>
        </w:numPr>
      </w:pPr>
      <w:r w:rsidRPr="003815D6">
        <w:t>The estimated effect of implementing the change.</w:t>
      </w:r>
    </w:p>
    <w:p w14:paraId="58FCEEA6" w14:textId="6309063F" w:rsidR="004723A1" w:rsidRPr="003815D6" w:rsidRDefault="4BAA7215" w:rsidP="0015000E">
      <w:pPr>
        <w:pStyle w:val="Bulletlist"/>
        <w:ind w:left="270" w:hanging="270"/>
      </w:pPr>
      <w:r w:rsidRPr="003815D6">
        <w:rPr>
          <w:b/>
          <w:bCs/>
        </w:rPr>
        <w:t>The change is submitted</w:t>
      </w:r>
      <w:r w:rsidRPr="003815D6">
        <w:t xml:space="preserve">: The change request form will be provided to the </w:t>
      </w:r>
      <w:r w:rsidR="009633F4" w:rsidRPr="003815D6">
        <w:t>c</w:t>
      </w:r>
      <w:r w:rsidRPr="003815D6">
        <w:t>ustomer.</w:t>
      </w:r>
    </w:p>
    <w:p w14:paraId="7A5C2A99" w14:textId="6D171E43" w:rsidR="004723A1" w:rsidRPr="003815D6" w:rsidRDefault="4BAA7215" w:rsidP="0015000E">
      <w:pPr>
        <w:pStyle w:val="Bulletlist"/>
        <w:ind w:left="270" w:hanging="270"/>
      </w:pPr>
      <w:r w:rsidRPr="003815D6">
        <w:rPr>
          <w:b/>
          <w:bCs/>
        </w:rPr>
        <w:t>The change is accepted or rejected</w:t>
      </w:r>
      <w:r w:rsidRPr="003815D6">
        <w:t xml:space="preserve">: The </w:t>
      </w:r>
      <w:r w:rsidR="009633F4" w:rsidRPr="003815D6">
        <w:t>c</w:t>
      </w:r>
      <w:r w:rsidRPr="003815D6">
        <w:t xml:space="preserve">ustomer has </w:t>
      </w:r>
      <w:r w:rsidR="000432CD" w:rsidRPr="003815D6">
        <w:t>3</w:t>
      </w:r>
      <w:r w:rsidRPr="003815D6">
        <w:t xml:space="preserve"> business days to confirm the following to Microsoft:</w:t>
      </w:r>
    </w:p>
    <w:p w14:paraId="3CDB16AF" w14:textId="18B8EFC2" w:rsidR="004723A1" w:rsidRPr="003815D6" w:rsidRDefault="4BAA7215" w:rsidP="001C222C">
      <w:pPr>
        <w:pStyle w:val="Bulletlist"/>
        <w:numPr>
          <w:ilvl w:val="1"/>
          <w:numId w:val="5"/>
        </w:numPr>
      </w:pPr>
      <w:r w:rsidRPr="003815D6">
        <w:t xml:space="preserve">Acceptance—the </w:t>
      </w:r>
      <w:r w:rsidR="009633F4" w:rsidRPr="003815D6">
        <w:t>c</w:t>
      </w:r>
      <w:r w:rsidRPr="003815D6">
        <w:t>ustomer must sign and return change request form.</w:t>
      </w:r>
    </w:p>
    <w:p w14:paraId="3C020F04" w14:textId="7FC86327" w:rsidR="004723A1" w:rsidRPr="003815D6" w:rsidRDefault="4BAA7215" w:rsidP="001C222C">
      <w:pPr>
        <w:pStyle w:val="Bulletlist"/>
        <w:numPr>
          <w:ilvl w:val="1"/>
          <w:numId w:val="5"/>
        </w:numPr>
      </w:pPr>
      <w:r w:rsidRPr="003815D6">
        <w:t xml:space="preserve">Rejection—if the </w:t>
      </w:r>
      <w:r w:rsidR="009633F4" w:rsidRPr="003815D6">
        <w:t>c</w:t>
      </w:r>
      <w:r w:rsidRPr="003815D6">
        <w:t xml:space="preserve">ustomer does not want to proceed with the change or does not provide an approval within </w:t>
      </w:r>
      <w:r w:rsidR="000432CD" w:rsidRPr="003815D6">
        <w:t>3</w:t>
      </w:r>
      <w:r w:rsidRPr="003815D6">
        <w:t xml:space="preserve"> business days, no changes will be performed.</w:t>
      </w:r>
    </w:p>
    <w:p w14:paraId="712B406D" w14:textId="77777777" w:rsidR="0025535A" w:rsidRPr="003815D6" w:rsidRDefault="0025535A" w:rsidP="00C84DD9">
      <w:pPr>
        <w:pStyle w:val="Heading3"/>
      </w:pPr>
      <w:bookmarkStart w:id="109" w:name="_Toc476168047"/>
      <w:r w:rsidRPr="003815D6">
        <w:lastRenderedPageBreak/>
        <w:t>Executive steering committee</w:t>
      </w:r>
      <w:bookmarkEnd w:id="109"/>
    </w:p>
    <w:p w14:paraId="57A6D6CE" w14:textId="77777777" w:rsidR="0099108B" w:rsidRPr="003815D6" w:rsidRDefault="4BAA7215" w:rsidP="0099108B">
      <w:r w:rsidRPr="003815D6">
        <w:t>The executive steering committee provides overall senior management oversight and strategic direction for the project. The executive steering committee for the project will meet per the frequency defined in the communication plan and will include the roles listed in the following table. The responsibilities for the committee include:</w:t>
      </w:r>
    </w:p>
    <w:p w14:paraId="368B734E" w14:textId="77777777" w:rsidR="00AB4D70" w:rsidRPr="003815D6" w:rsidRDefault="4BAA7215" w:rsidP="0015000E">
      <w:pPr>
        <w:pStyle w:val="Bulletlist"/>
        <w:ind w:left="270" w:hanging="270"/>
      </w:pPr>
      <w:r w:rsidRPr="003815D6">
        <w:t>Making decisions about project strategic direction.</w:t>
      </w:r>
    </w:p>
    <w:p w14:paraId="1ED34257" w14:textId="77777777" w:rsidR="00AB4D70" w:rsidRPr="003815D6" w:rsidRDefault="4BAA7215" w:rsidP="0015000E">
      <w:pPr>
        <w:pStyle w:val="Bulletlist"/>
        <w:ind w:left="270" w:hanging="270"/>
      </w:pPr>
      <w:r w:rsidRPr="003815D6">
        <w:t>Serving as a final arbiter of project issues.</w:t>
      </w:r>
    </w:p>
    <w:p w14:paraId="29A4D6A1" w14:textId="77777777" w:rsidR="00AB4D70" w:rsidRPr="003815D6" w:rsidRDefault="4BAA7215" w:rsidP="0015000E">
      <w:pPr>
        <w:pStyle w:val="Bulletlist"/>
        <w:ind w:left="270" w:hanging="270"/>
      </w:pPr>
      <w:r w:rsidRPr="003815D6">
        <w:t>Approving significant change requests.</w:t>
      </w:r>
    </w:p>
    <w:tbl>
      <w:tblPr>
        <w:tblStyle w:val="TableGrid1"/>
        <w:tblW w:w="9482" w:type="dxa"/>
        <w:tblInd w:w="-5" w:type="dxa"/>
        <w:tbl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2" w:space="0" w:color="FFFFFF" w:themeColor="background1" w:themeTint="00" w:themeShade="7F"/>
          <w:insideH w:val="single" w:sz="2" w:space="0" w:color="FFFFFF" w:themeColor="background1" w:themeTint="00" w:themeShade="7F"/>
          <w:insideV w:val="single" w:sz="2" w:space="0" w:color="FFFFFF" w:themeColor="background1" w:themeTint="00" w:themeShade="7F"/>
        </w:tblBorders>
        <w:tblLook w:val="04A0" w:firstRow="1" w:lastRow="0" w:firstColumn="1" w:lastColumn="0" w:noHBand="0" w:noVBand="1"/>
      </w:tblPr>
      <w:tblGrid>
        <w:gridCol w:w="6482"/>
        <w:gridCol w:w="2865"/>
        <w:gridCol w:w="135"/>
      </w:tblGrid>
      <w:tr w:rsidR="00815D40" w:rsidRPr="003815D6" w14:paraId="243C1C61" w14:textId="77777777" w:rsidTr="1010A115">
        <w:trPr>
          <w:trHeight w:val="360"/>
          <w:tblHeader/>
        </w:trPr>
        <w:tc>
          <w:tcPr>
            <w:tcW w:w="6482" w:type="dxa"/>
            <w:shd w:val="clear" w:color="auto" w:fill="008272"/>
          </w:tcPr>
          <w:p w14:paraId="33CA9BDB" w14:textId="77777777" w:rsidR="00AB4D70" w:rsidRPr="003815D6" w:rsidRDefault="4BAA7215" w:rsidP="00D91A3C">
            <w:pPr>
              <w:pStyle w:val="Table-Header"/>
            </w:pPr>
            <w:r w:rsidRPr="003815D6">
              <w:t>Role</w:t>
            </w:r>
          </w:p>
        </w:tc>
        <w:tc>
          <w:tcPr>
            <w:tcW w:w="3000" w:type="dxa"/>
            <w:gridSpan w:val="2"/>
            <w:shd w:val="clear" w:color="auto" w:fill="008272"/>
          </w:tcPr>
          <w:p w14:paraId="7EC9F154" w14:textId="77777777" w:rsidR="00AB4D70" w:rsidRPr="003815D6" w:rsidRDefault="4BAA7215" w:rsidP="00D91A3C">
            <w:pPr>
              <w:pStyle w:val="Table-Header"/>
            </w:pPr>
            <w:r w:rsidRPr="003815D6">
              <w:t>Organization</w:t>
            </w:r>
          </w:p>
        </w:tc>
      </w:tr>
      <w:tr w:rsidR="00815D40" w:rsidRPr="003815D6" w14:paraId="42F96437" w14:textId="77777777" w:rsidTr="1010A115">
        <w:trPr>
          <w:gridAfter w:val="1"/>
          <w:wAfter w:w="135" w:type="dxa"/>
          <w:trHeight w:val="432"/>
        </w:trPr>
        <w:tc>
          <w:tcPr>
            <w:tcW w:w="6482" w:type="dxa"/>
            <w:shd w:val="clear" w:color="auto" w:fill="auto"/>
          </w:tcPr>
          <w:p w14:paraId="31196844" w14:textId="6A79E667" w:rsidR="00AB4D70" w:rsidRPr="003815D6" w:rsidRDefault="4BAA7215" w:rsidP="0013452E">
            <w:pPr>
              <w:pStyle w:val="TableText"/>
            </w:pPr>
            <w:r w:rsidRPr="003815D6">
              <w:t xml:space="preserve">Project </w:t>
            </w:r>
            <w:r w:rsidR="00091DAE" w:rsidRPr="003815D6">
              <w:t>Sponsor</w:t>
            </w:r>
          </w:p>
        </w:tc>
        <w:tc>
          <w:tcPr>
            <w:tcW w:w="2865" w:type="dxa"/>
            <w:shd w:val="clear" w:color="auto" w:fill="FFFFFF" w:themeFill="background1"/>
          </w:tcPr>
          <w:p w14:paraId="36C1C6EE" w14:textId="77777777" w:rsidR="00AB4D70" w:rsidRPr="003815D6" w:rsidRDefault="4BAA7215" w:rsidP="0013452E">
            <w:pPr>
              <w:pStyle w:val="TableText"/>
              <w:rPr>
                <w:szCs w:val="18"/>
              </w:rPr>
            </w:pPr>
            <w:r w:rsidRPr="003815D6">
              <w:t>Customer</w:t>
            </w:r>
          </w:p>
        </w:tc>
      </w:tr>
      <w:tr w:rsidR="008E5568" w:rsidRPr="003815D6" w14:paraId="15C5D60F" w14:textId="77777777" w:rsidTr="1010A115">
        <w:trPr>
          <w:trHeight w:val="432"/>
        </w:trPr>
        <w:tc>
          <w:tcPr>
            <w:tcW w:w="6482" w:type="dxa"/>
            <w:shd w:val="clear" w:color="auto" w:fill="auto"/>
          </w:tcPr>
          <w:p w14:paraId="4E3BC041" w14:textId="3C9F1CAC" w:rsidR="008E5568" w:rsidRPr="003815D6" w:rsidRDefault="008E5568" w:rsidP="0013452E">
            <w:pPr>
              <w:pStyle w:val="TableText"/>
            </w:pPr>
            <w:r>
              <w:t>Project Manager</w:t>
            </w:r>
          </w:p>
        </w:tc>
        <w:tc>
          <w:tcPr>
            <w:tcW w:w="3000" w:type="dxa"/>
            <w:gridSpan w:val="2"/>
            <w:shd w:val="clear" w:color="auto" w:fill="FFFFFF" w:themeFill="background1"/>
          </w:tcPr>
          <w:p w14:paraId="654B5341" w14:textId="529298AF" w:rsidR="008E5568" w:rsidRPr="003815D6" w:rsidRDefault="008E5568" w:rsidP="0013452E">
            <w:pPr>
              <w:pStyle w:val="TableText"/>
            </w:pPr>
            <w:r>
              <w:t>Customer</w:t>
            </w:r>
          </w:p>
        </w:tc>
      </w:tr>
      <w:tr w:rsidR="008E5568" w:rsidRPr="003815D6" w14:paraId="4D9CC856" w14:textId="77777777" w:rsidTr="1010A115">
        <w:trPr>
          <w:trHeight w:val="432"/>
        </w:trPr>
        <w:tc>
          <w:tcPr>
            <w:tcW w:w="6482" w:type="dxa"/>
            <w:shd w:val="clear" w:color="auto" w:fill="auto"/>
          </w:tcPr>
          <w:p w14:paraId="26A871B0" w14:textId="3930355B" w:rsidR="008E5568" w:rsidRPr="003815D6" w:rsidRDefault="008E5568" w:rsidP="0013452E">
            <w:pPr>
              <w:pStyle w:val="TableText"/>
            </w:pPr>
            <w:r>
              <w:t>Technical Lead</w:t>
            </w:r>
          </w:p>
        </w:tc>
        <w:tc>
          <w:tcPr>
            <w:tcW w:w="3000" w:type="dxa"/>
            <w:gridSpan w:val="2"/>
            <w:shd w:val="clear" w:color="auto" w:fill="FFFFFF" w:themeFill="background1"/>
          </w:tcPr>
          <w:p w14:paraId="271E39D1" w14:textId="5F2F3AF1" w:rsidR="008E5568" w:rsidRPr="003815D6" w:rsidRDefault="008E5568" w:rsidP="0013452E">
            <w:pPr>
              <w:pStyle w:val="TableText"/>
            </w:pPr>
            <w:r>
              <w:t>Customer</w:t>
            </w:r>
          </w:p>
        </w:tc>
      </w:tr>
      <w:tr w:rsidR="008E5568" w:rsidRPr="003815D6" w14:paraId="4E061846" w14:textId="77777777" w:rsidTr="1010A115">
        <w:trPr>
          <w:trHeight w:val="432"/>
        </w:trPr>
        <w:tc>
          <w:tcPr>
            <w:tcW w:w="6482" w:type="dxa"/>
            <w:shd w:val="clear" w:color="auto" w:fill="auto"/>
          </w:tcPr>
          <w:p w14:paraId="3F5675FA" w14:textId="36C29D7E" w:rsidR="008E5568" w:rsidRDefault="008E5568" w:rsidP="0013452E">
            <w:pPr>
              <w:pStyle w:val="TableText"/>
            </w:pPr>
            <w:r>
              <w:t>Operational Manager</w:t>
            </w:r>
          </w:p>
        </w:tc>
        <w:tc>
          <w:tcPr>
            <w:tcW w:w="3000" w:type="dxa"/>
            <w:gridSpan w:val="2"/>
            <w:shd w:val="clear" w:color="auto" w:fill="FFFFFF" w:themeFill="background1"/>
          </w:tcPr>
          <w:p w14:paraId="72F8CE0F" w14:textId="696284B8" w:rsidR="008E5568" w:rsidRDefault="008E5568" w:rsidP="0013452E">
            <w:pPr>
              <w:pStyle w:val="TableText"/>
            </w:pPr>
            <w:r>
              <w:t>Customer</w:t>
            </w:r>
          </w:p>
        </w:tc>
      </w:tr>
      <w:tr w:rsidR="008E5568" w:rsidRPr="003815D6" w14:paraId="6B22C264" w14:textId="77777777" w:rsidTr="1010A115">
        <w:trPr>
          <w:trHeight w:val="432"/>
        </w:trPr>
        <w:tc>
          <w:tcPr>
            <w:tcW w:w="6482" w:type="dxa"/>
            <w:shd w:val="clear" w:color="auto" w:fill="auto"/>
          </w:tcPr>
          <w:p w14:paraId="44A61A76" w14:textId="7EC3B86F" w:rsidR="008E5568" w:rsidRDefault="008E5568" w:rsidP="0013452E">
            <w:pPr>
              <w:pStyle w:val="TableText"/>
            </w:pPr>
            <w:r>
              <w:t>Change Management Lead</w:t>
            </w:r>
          </w:p>
        </w:tc>
        <w:tc>
          <w:tcPr>
            <w:tcW w:w="3000" w:type="dxa"/>
            <w:gridSpan w:val="2"/>
            <w:shd w:val="clear" w:color="auto" w:fill="FFFFFF" w:themeFill="background1"/>
          </w:tcPr>
          <w:p w14:paraId="3351FB4F" w14:textId="5F274D26" w:rsidR="008E5568" w:rsidRDefault="008E5568" w:rsidP="0013452E">
            <w:pPr>
              <w:pStyle w:val="TableText"/>
            </w:pPr>
            <w:r>
              <w:t>Customer</w:t>
            </w:r>
          </w:p>
        </w:tc>
      </w:tr>
      <w:tr w:rsidR="00815D40" w:rsidRPr="003815D6" w14:paraId="6BC4B90E" w14:textId="77777777" w:rsidTr="1010A115">
        <w:trPr>
          <w:gridAfter w:val="1"/>
          <w:wAfter w:w="135" w:type="dxa"/>
          <w:trHeight w:val="432"/>
        </w:trPr>
        <w:tc>
          <w:tcPr>
            <w:tcW w:w="6482" w:type="dxa"/>
            <w:shd w:val="clear" w:color="auto" w:fill="auto"/>
          </w:tcPr>
          <w:p w14:paraId="74865DF4" w14:textId="450E5ABF" w:rsidR="00AB4D70" w:rsidRPr="003815D6" w:rsidRDefault="00643A5D" w:rsidP="0013452E">
            <w:pPr>
              <w:pStyle w:val="TableText"/>
              <w:rPr>
                <w:szCs w:val="18"/>
              </w:rPr>
            </w:pPr>
            <w:r>
              <w:t>Account Delivery executive</w:t>
            </w:r>
          </w:p>
        </w:tc>
        <w:tc>
          <w:tcPr>
            <w:tcW w:w="2865" w:type="dxa"/>
            <w:shd w:val="clear" w:color="auto" w:fill="FFFFFF" w:themeFill="background1"/>
          </w:tcPr>
          <w:p w14:paraId="61CF60E2" w14:textId="77777777" w:rsidR="00AB4D70" w:rsidRPr="003815D6" w:rsidRDefault="4BAA7215" w:rsidP="0013452E">
            <w:pPr>
              <w:pStyle w:val="TableText"/>
              <w:rPr>
                <w:szCs w:val="18"/>
              </w:rPr>
            </w:pPr>
            <w:r w:rsidRPr="003815D6">
              <w:t>Microsoft</w:t>
            </w:r>
          </w:p>
        </w:tc>
      </w:tr>
      <w:tr w:rsidR="00643A5D" w:rsidRPr="003815D6" w14:paraId="55A6AE10" w14:textId="77777777" w:rsidTr="1010A115">
        <w:trPr>
          <w:gridAfter w:val="1"/>
          <w:wAfter w:w="135" w:type="dxa"/>
          <w:trHeight w:val="432"/>
        </w:trPr>
        <w:tc>
          <w:tcPr>
            <w:tcW w:w="6482" w:type="dxa"/>
            <w:shd w:val="clear" w:color="auto" w:fill="auto"/>
          </w:tcPr>
          <w:p w14:paraId="089E87B2" w14:textId="0C857884" w:rsidR="00643A5D" w:rsidRPr="003815D6" w:rsidDel="00643A5D" w:rsidRDefault="00FE363E" w:rsidP="0013452E">
            <w:pPr>
              <w:pStyle w:val="TableText"/>
            </w:pPr>
            <w:r>
              <w:t>Project Manager</w:t>
            </w:r>
          </w:p>
        </w:tc>
        <w:tc>
          <w:tcPr>
            <w:tcW w:w="2865" w:type="dxa"/>
            <w:shd w:val="clear" w:color="auto" w:fill="FFFFFF" w:themeFill="background1"/>
          </w:tcPr>
          <w:p w14:paraId="44C85D0E" w14:textId="57E5E67E" w:rsidR="00643A5D" w:rsidRPr="003815D6" w:rsidRDefault="00FE363E" w:rsidP="0013452E">
            <w:pPr>
              <w:pStyle w:val="TableText"/>
            </w:pPr>
            <w:r>
              <w:t>Microsoft</w:t>
            </w:r>
          </w:p>
        </w:tc>
      </w:tr>
      <w:tr w:rsidR="00FE363E" w:rsidRPr="003815D6" w14:paraId="3645306E" w14:textId="77777777" w:rsidTr="1010A115">
        <w:trPr>
          <w:trHeight w:val="432"/>
        </w:trPr>
        <w:tc>
          <w:tcPr>
            <w:tcW w:w="6482" w:type="dxa"/>
            <w:shd w:val="clear" w:color="auto" w:fill="auto"/>
          </w:tcPr>
          <w:p w14:paraId="6461F96C" w14:textId="17C8C7A1" w:rsidR="00FE363E" w:rsidRDefault="00FE363E" w:rsidP="0013452E">
            <w:pPr>
              <w:pStyle w:val="TableText"/>
            </w:pPr>
            <w:r>
              <w:t>Lead Architect</w:t>
            </w:r>
          </w:p>
        </w:tc>
        <w:tc>
          <w:tcPr>
            <w:tcW w:w="3000" w:type="dxa"/>
            <w:gridSpan w:val="2"/>
            <w:shd w:val="clear" w:color="auto" w:fill="FFFFFF" w:themeFill="background1"/>
          </w:tcPr>
          <w:p w14:paraId="1DAAA33E" w14:textId="4693DF9B" w:rsidR="00FE363E" w:rsidRDefault="00FE363E" w:rsidP="0013452E">
            <w:pPr>
              <w:pStyle w:val="TableText"/>
            </w:pPr>
            <w:r>
              <w:t>Microsoft</w:t>
            </w:r>
          </w:p>
        </w:tc>
      </w:tr>
      <w:tr w:rsidR="00FE363E" w:rsidRPr="003815D6" w14:paraId="1A2347B0" w14:textId="77777777" w:rsidTr="1010A115">
        <w:trPr>
          <w:trHeight w:val="432"/>
        </w:trPr>
        <w:tc>
          <w:tcPr>
            <w:tcW w:w="6482" w:type="dxa"/>
            <w:shd w:val="clear" w:color="auto" w:fill="auto"/>
          </w:tcPr>
          <w:p w14:paraId="72397B26" w14:textId="60B67A95" w:rsidR="00FE363E" w:rsidRDefault="00FE363E" w:rsidP="0013452E">
            <w:pPr>
              <w:pStyle w:val="TableText"/>
            </w:pPr>
            <w:r>
              <w:t>Adoption &amp; Change Management Lead</w:t>
            </w:r>
          </w:p>
        </w:tc>
        <w:tc>
          <w:tcPr>
            <w:tcW w:w="3000" w:type="dxa"/>
            <w:gridSpan w:val="2"/>
            <w:shd w:val="clear" w:color="auto" w:fill="FFFFFF" w:themeFill="background1"/>
          </w:tcPr>
          <w:p w14:paraId="223659E4" w14:textId="533D8D23" w:rsidR="00FE363E" w:rsidRDefault="00FE363E" w:rsidP="0013452E">
            <w:pPr>
              <w:pStyle w:val="TableText"/>
            </w:pPr>
            <w:r>
              <w:t>Microsoft</w:t>
            </w:r>
          </w:p>
        </w:tc>
      </w:tr>
      <w:tr w:rsidR="00FE363E" w:rsidRPr="003815D6" w14:paraId="4B25DCF9" w14:textId="77777777" w:rsidTr="1010A115">
        <w:trPr>
          <w:trHeight w:val="432"/>
        </w:trPr>
        <w:tc>
          <w:tcPr>
            <w:tcW w:w="6482" w:type="dxa"/>
            <w:shd w:val="clear" w:color="auto" w:fill="auto"/>
          </w:tcPr>
          <w:p w14:paraId="7817016C" w14:textId="2FDE191E" w:rsidR="00FE363E" w:rsidRDefault="00FE363E" w:rsidP="0013452E">
            <w:pPr>
              <w:pStyle w:val="TableText"/>
            </w:pPr>
            <w:r>
              <w:t>Technical Account Manager (TAM)</w:t>
            </w:r>
          </w:p>
        </w:tc>
        <w:tc>
          <w:tcPr>
            <w:tcW w:w="3000" w:type="dxa"/>
            <w:gridSpan w:val="2"/>
            <w:shd w:val="clear" w:color="auto" w:fill="FFFFFF" w:themeFill="background1"/>
          </w:tcPr>
          <w:p w14:paraId="259E761C" w14:textId="57387A7D" w:rsidR="00FE363E" w:rsidRDefault="00FE363E" w:rsidP="0013452E">
            <w:pPr>
              <w:pStyle w:val="TableText"/>
            </w:pPr>
            <w:r>
              <w:t>Microsoft</w:t>
            </w:r>
          </w:p>
        </w:tc>
      </w:tr>
    </w:tbl>
    <w:p w14:paraId="74FC510F" w14:textId="77777777" w:rsidR="00892C8C" w:rsidRPr="003815D6" w:rsidRDefault="00892C8C" w:rsidP="00892C8C">
      <w:pPr>
        <w:pStyle w:val="Heading3"/>
      </w:pPr>
      <w:bookmarkStart w:id="110" w:name="_Toc476168048"/>
      <w:r w:rsidRPr="003815D6">
        <w:t>Escalation path</w:t>
      </w:r>
      <w:bookmarkEnd w:id="110"/>
    </w:p>
    <w:p w14:paraId="411DF501" w14:textId="51DA75C2" w:rsidR="00892C8C" w:rsidRPr="003815D6" w:rsidRDefault="4BAA7215" w:rsidP="00892C8C">
      <w:r w:rsidRPr="003815D6">
        <w:t xml:space="preserve">The Microsoft project manager will work closely with the </w:t>
      </w:r>
      <w:r w:rsidR="009633F4" w:rsidRPr="003815D6">
        <w:t>customer</w:t>
      </w:r>
      <w:r w:rsidR="00396594" w:rsidRPr="003815D6">
        <w:t xml:space="preserve"> project manager</w:t>
      </w:r>
      <w:r w:rsidRPr="003815D6">
        <w:t xml:space="preserve">, </w:t>
      </w:r>
      <w:r w:rsidR="00396594" w:rsidRPr="003815D6">
        <w:t>sponsor</w:t>
      </w:r>
      <w:r w:rsidRPr="003815D6">
        <w:t xml:space="preserve">, and other designees to manage project issues, risks, and change requests as described previously. The </w:t>
      </w:r>
      <w:r w:rsidR="009633F4" w:rsidRPr="003815D6">
        <w:t>c</w:t>
      </w:r>
      <w:r w:rsidRPr="003815D6">
        <w:t>ustomer will provide reasonable access to the sponsor or sponsors in order to expedite resolution. The standard escalation path for review, approval, or dispute resolution is as follows:</w:t>
      </w:r>
    </w:p>
    <w:p w14:paraId="354D0A6B" w14:textId="6803DC5F" w:rsidR="00892C8C" w:rsidRPr="003815D6" w:rsidRDefault="4BAA7215" w:rsidP="0015000E">
      <w:pPr>
        <w:pStyle w:val="Bulletlist"/>
        <w:ind w:left="270" w:hanging="270"/>
      </w:pPr>
      <w:r w:rsidRPr="003815D6">
        <w:t xml:space="preserve">Project team member (Microsoft or the </w:t>
      </w:r>
      <w:r w:rsidR="009633F4" w:rsidRPr="003815D6">
        <w:t>c</w:t>
      </w:r>
      <w:r w:rsidRPr="003815D6">
        <w:t>ustomer)</w:t>
      </w:r>
    </w:p>
    <w:p w14:paraId="679589A7" w14:textId="061F851E" w:rsidR="00892C8C" w:rsidRPr="003815D6" w:rsidRDefault="4BAA7215" w:rsidP="0015000E">
      <w:pPr>
        <w:pStyle w:val="Bulletlist"/>
        <w:ind w:left="270" w:hanging="270"/>
      </w:pPr>
      <w:r w:rsidRPr="003815D6">
        <w:t xml:space="preserve">Project </w:t>
      </w:r>
      <w:r w:rsidR="009633F4" w:rsidRPr="003815D6">
        <w:t>M</w:t>
      </w:r>
      <w:r w:rsidR="00396594" w:rsidRPr="003815D6">
        <w:t xml:space="preserve">anager </w:t>
      </w:r>
      <w:r w:rsidRPr="003815D6">
        <w:t xml:space="preserve">(Microsoft and the </w:t>
      </w:r>
      <w:r w:rsidR="009633F4" w:rsidRPr="003815D6">
        <w:t>c</w:t>
      </w:r>
      <w:r w:rsidRPr="003815D6">
        <w:t>ustomer)</w:t>
      </w:r>
    </w:p>
    <w:p w14:paraId="701EE362" w14:textId="09024257" w:rsidR="00FE363E" w:rsidRDefault="00FE363E" w:rsidP="0015000E">
      <w:pPr>
        <w:pStyle w:val="Bulletlist"/>
        <w:ind w:left="270" w:hanging="270"/>
      </w:pPr>
      <w:r>
        <w:t>Microsoft Account Delivery Executive</w:t>
      </w:r>
    </w:p>
    <w:p w14:paraId="6ECEC340" w14:textId="5EFD3700" w:rsidR="00892C8C" w:rsidRPr="003815D6" w:rsidRDefault="4BAA7215" w:rsidP="0015000E">
      <w:pPr>
        <w:pStyle w:val="Bulletlist"/>
        <w:ind w:left="270" w:hanging="270"/>
      </w:pPr>
      <w:r w:rsidRPr="003815D6">
        <w:t xml:space="preserve">Microsoft </w:t>
      </w:r>
      <w:r w:rsidR="009633F4" w:rsidRPr="003815D6">
        <w:t>D</w:t>
      </w:r>
      <w:r w:rsidR="00396594" w:rsidRPr="003815D6">
        <w:t xml:space="preserve">elivery </w:t>
      </w:r>
      <w:r w:rsidR="009633F4" w:rsidRPr="003815D6">
        <w:t>M</w:t>
      </w:r>
      <w:r w:rsidR="00396594" w:rsidRPr="003815D6">
        <w:t>anager</w:t>
      </w:r>
    </w:p>
    <w:p w14:paraId="0D256A8F" w14:textId="566A62BE" w:rsidR="00892C8C" w:rsidRPr="003815D6" w:rsidRDefault="4BAA7215" w:rsidP="0015000E">
      <w:pPr>
        <w:pStyle w:val="Bulletlist"/>
        <w:ind w:left="270" w:hanging="270"/>
      </w:pPr>
      <w:r w:rsidRPr="003815D6">
        <w:t xml:space="preserve">Microsoft and the </w:t>
      </w:r>
      <w:r w:rsidR="009633F4" w:rsidRPr="003815D6">
        <w:t>c</w:t>
      </w:r>
      <w:r w:rsidRPr="003815D6">
        <w:t xml:space="preserve">ustomer </w:t>
      </w:r>
      <w:r w:rsidR="00396594" w:rsidRPr="003815D6">
        <w:t>project sponsor</w:t>
      </w:r>
    </w:p>
    <w:p w14:paraId="6F75B09C" w14:textId="77777777" w:rsidR="000C591B" w:rsidRPr="00C73A8B" w:rsidRDefault="4BAA7215" w:rsidP="4BAA7215">
      <w:pPr>
        <w:pStyle w:val="Bulletlist"/>
        <w:ind w:left="270" w:hanging="270"/>
        <w:rPr>
          <w:color w:val="000000" w:themeColor="text1"/>
        </w:rPr>
      </w:pPr>
      <w:r w:rsidRPr="00C73A8B">
        <w:rPr>
          <w:color w:val="000000" w:themeColor="text1"/>
        </w:rPr>
        <w:t>Executive steering committee</w:t>
      </w:r>
    </w:p>
    <w:p w14:paraId="11054783" w14:textId="59D10DE0" w:rsidR="00AB4D70" w:rsidRPr="003815D6" w:rsidRDefault="00AB4D70" w:rsidP="00C84DD9">
      <w:pPr>
        <w:pStyle w:val="Heading2"/>
      </w:pPr>
      <w:bookmarkStart w:id="111" w:name="_Toc476167711"/>
      <w:bookmarkStart w:id="112" w:name="_Toc476168049"/>
      <w:bookmarkStart w:id="113" w:name="_Toc514413047"/>
      <w:bookmarkStart w:id="114" w:name="_Toc517762003"/>
      <w:bookmarkStart w:id="115" w:name="_Toc22884109"/>
      <w:r w:rsidRPr="003815D6">
        <w:lastRenderedPageBreak/>
        <w:t>Project completion</w:t>
      </w:r>
      <w:bookmarkEnd w:id="111"/>
      <w:bookmarkEnd w:id="112"/>
      <w:bookmarkEnd w:id="113"/>
      <w:bookmarkEnd w:id="114"/>
      <w:bookmarkEnd w:id="115"/>
    </w:p>
    <w:p w14:paraId="74F79799" w14:textId="76BC0645" w:rsidR="00152B24" w:rsidRPr="00C73A8B" w:rsidRDefault="4BAA7215" w:rsidP="00760487">
      <w:pPr>
        <w:pStyle w:val="Instructional"/>
        <w:rPr>
          <w:b/>
          <w:bCs/>
          <w:color w:val="000000" w:themeColor="text1"/>
        </w:rPr>
      </w:pPr>
      <w:r w:rsidRPr="00C73A8B">
        <w:rPr>
          <w:b/>
          <w:bCs/>
          <w:color w:val="000000" w:themeColor="text1"/>
        </w:rPr>
        <w:t>Fixed fee</w:t>
      </w:r>
    </w:p>
    <w:p w14:paraId="597FC5B6" w14:textId="77777777" w:rsidR="00152B24" w:rsidRPr="00C73A8B" w:rsidRDefault="4BAA7215" w:rsidP="00AC1B81">
      <w:pPr>
        <w:pStyle w:val="Optional"/>
        <w:rPr>
          <w:color w:val="000000" w:themeColor="text1"/>
        </w:rPr>
      </w:pPr>
      <w:r w:rsidRPr="00C73A8B">
        <w:rPr>
          <w:color w:val="000000" w:themeColor="text1"/>
        </w:rPr>
        <w:t>The project will be considered complete when at least one of the following conditions is met:</w:t>
      </w:r>
    </w:p>
    <w:p w14:paraId="15D0BE26" w14:textId="77777777" w:rsidR="00152B24" w:rsidRPr="00C73A8B" w:rsidRDefault="4BAA7215" w:rsidP="4BAA7215">
      <w:pPr>
        <w:pStyle w:val="Bulletlist"/>
        <w:ind w:left="270" w:hanging="270"/>
        <w:rPr>
          <w:color w:val="000000" w:themeColor="text1"/>
        </w:rPr>
      </w:pPr>
      <w:r w:rsidRPr="00C73A8B">
        <w:rPr>
          <w:color w:val="000000" w:themeColor="text1"/>
        </w:rPr>
        <w:t>All Microsoft deliverables that require acceptance have been delivered and accepted (or deemed accepted).</w:t>
      </w:r>
    </w:p>
    <w:p w14:paraId="041B61EB" w14:textId="77777777" w:rsidR="00152B24" w:rsidRPr="00C73A8B" w:rsidRDefault="4BAA7215" w:rsidP="4BAA7215">
      <w:pPr>
        <w:pStyle w:val="Bulletlist"/>
        <w:ind w:left="270" w:hanging="270"/>
        <w:rPr>
          <w:color w:val="000000" w:themeColor="text1"/>
        </w:rPr>
      </w:pPr>
      <w:r w:rsidRPr="00C73A8B">
        <w:rPr>
          <w:color w:val="000000" w:themeColor="text1"/>
        </w:rPr>
        <w:t>The Work Order has been terminated.</w:t>
      </w:r>
    </w:p>
    <w:p w14:paraId="29882AFF" w14:textId="39E9DDF2" w:rsidR="00152B24" w:rsidRPr="003815D6" w:rsidRDefault="00152B24" w:rsidP="00C84DD9">
      <w:pPr>
        <w:pStyle w:val="Heading1"/>
      </w:pPr>
      <w:bookmarkStart w:id="116" w:name="_Toc476167712"/>
      <w:bookmarkStart w:id="117" w:name="_Toc476168050"/>
      <w:bookmarkStart w:id="118" w:name="_Toc514413048"/>
      <w:bookmarkStart w:id="119" w:name="_Toc517762004"/>
      <w:bookmarkStart w:id="120" w:name="_Toc22884110"/>
      <w:r w:rsidRPr="003815D6">
        <w:t>Project organization</w:t>
      </w:r>
      <w:bookmarkEnd w:id="116"/>
      <w:bookmarkEnd w:id="117"/>
      <w:bookmarkEnd w:id="118"/>
      <w:bookmarkEnd w:id="119"/>
      <w:bookmarkEnd w:id="120"/>
    </w:p>
    <w:p w14:paraId="67E63C12" w14:textId="7F8D4FFA" w:rsidR="00C84DD9" w:rsidRPr="003815D6" w:rsidRDefault="00C84DD9" w:rsidP="005C66A2">
      <w:pPr>
        <w:pStyle w:val="Heading2"/>
      </w:pPr>
      <w:bookmarkStart w:id="121" w:name="_Toc476167713"/>
      <w:bookmarkStart w:id="122" w:name="_Toc476168051"/>
      <w:bookmarkStart w:id="123" w:name="_Toc514413049"/>
      <w:bookmarkStart w:id="124" w:name="_Toc517762005"/>
      <w:bookmarkStart w:id="125" w:name="_Toc22884111"/>
      <w:r w:rsidRPr="003815D6">
        <w:t>Project roles and responsibilities</w:t>
      </w:r>
      <w:bookmarkEnd w:id="121"/>
      <w:bookmarkEnd w:id="122"/>
      <w:bookmarkEnd w:id="123"/>
      <w:bookmarkEnd w:id="124"/>
      <w:bookmarkEnd w:id="125"/>
    </w:p>
    <w:p w14:paraId="26887B5C" w14:textId="79CA8B05" w:rsidR="0049395D" w:rsidRPr="003815D6" w:rsidRDefault="4BAA7215" w:rsidP="00C84DD9">
      <w:r w:rsidRPr="003815D6">
        <w:t>The key project roles and the responsibilities are as follows.</w:t>
      </w:r>
    </w:p>
    <w:p w14:paraId="5CF12EF8" w14:textId="77777777" w:rsidR="0049395D" w:rsidRPr="003815D6" w:rsidRDefault="4BAA7215" w:rsidP="00BD3F15">
      <w:pPr>
        <w:pStyle w:val="Heading4"/>
      </w:pPr>
      <w:r w:rsidRPr="003815D6">
        <w:t>Customer</w:t>
      </w:r>
    </w:p>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887"/>
        <w:gridCol w:w="1710"/>
        <w:gridCol w:w="5760"/>
      </w:tblGrid>
      <w:tr w:rsidR="009D355E" w:rsidRPr="001063F6" w14:paraId="19652D9A" w14:textId="77777777" w:rsidTr="009D355E">
        <w:trPr>
          <w:trHeight w:val="363"/>
          <w:tblHeader/>
        </w:trPr>
        <w:tc>
          <w:tcPr>
            <w:tcW w:w="1887" w:type="dxa"/>
            <w:shd w:val="clear" w:color="auto" w:fill="008272"/>
          </w:tcPr>
          <w:p w14:paraId="2BA3C2ED" w14:textId="77777777" w:rsidR="009D355E" w:rsidRPr="001063F6" w:rsidRDefault="009D355E" w:rsidP="00BD7430">
            <w:pPr>
              <w:pStyle w:val="Table-Header"/>
            </w:pPr>
            <w:r w:rsidRPr="001063F6">
              <w:t>Role</w:t>
            </w:r>
          </w:p>
        </w:tc>
        <w:tc>
          <w:tcPr>
            <w:tcW w:w="1710" w:type="dxa"/>
            <w:shd w:val="clear" w:color="auto" w:fill="008272"/>
          </w:tcPr>
          <w:p w14:paraId="4479C7FA" w14:textId="77777777" w:rsidR="009D355E" w:rsidRPr="001063F6" w:rsidRDefault="009D355E" w:rsidP="00BD7430">
            <w:pPr>
              <w:pStyle w:val="Table-Header"/>
            </w:pPr>
            <w:r w:rsidRPr="001063F6">
              <w:t>Component ID(s)</w:t>
            </w:r>
          </w:p>
        </w:tc>
        <w:tc>
          <w:tcPr>
            <w:tcW w:w="5760" w:type="dxa"/>
            <w:shd w:val="clear" w:color="auto" w:fill="008272"/>
          </w:tcPr>
          <w:p w14:paraId="0EF99F69" w14:textId="77777777" w:rsidR="009D355E" w:rsidRPr="001063F6" w:rsidRDefault="009D355E" w:rsidP="00BD7430">
            <w:pPr>
              <w:pStyle w:val="Table-Header"/>
            </w:pPr>
            <w:r w:rsidRPr="001063F6">
              <w:t>Responsibilities</w:t>
            </w:r>
          </w:p>
        </w:tc>
      </w:tr>
      <w:tr w:rsidR="009D355E" w:rsidRPr="001063F6" w14:paraId="18494951" w14:textId="77777777" w:rsidTr="009D355E">
        <w:trPr>
          <w:trHeight w:val="436"/>
        </w:trPr>
        <w:tc>
          <w:tcPr>
            <w:tcW w:w="1887" w:type="dxa"/>
          </w:tcPr>
          <w:p w14:paraId="59933819" w14:textId="77777777" w:rsidR="009D355E" w:rsidRPr="001063F6" w:rsidRDefault="009D355E" w:rsidP="00B71036">
            <w:pPr>
              <w:pStyle w:val="TableText"/>
            </w:pPr>
            <w:r w:rsidRPr="001063F6">
              <w:t>Project sponsor</w:t>
            </w:r>
          </w:p>
        </w:tc>
        <w:tc>
          <w:tcPr>
            <w:tcW w:w="1710" w:type="dxa"/>
          </w:tcPr>
          <w:p w14:paraId="7FDBF809" w14:textId="77777777" w:rsidR="009D355E" w:rsidRPr="001063F6" w:rsidRDefault="00847649" w:rsidP="009D355E">
            <w:pPr>
              <w:pStyle w:val="TableBullet1"/>
              <w:numPr>
                <w:ilvl w:val="0"/>
                <w:numId w:val="0"/>
              </w:numPr>
              <w:ind w:left="360" w:hanging="360"/>
            </w:pPr>
            <w:r w:rsidRPr="001063F6">
              <w:t>All</w:t>
            </w:r>
          </w:p>
        </w:tc>
        <w:tc>
          <w:tcPr>
            <w:tcW w:w="5760" w:type="dxa"/>
            <w:shd w:val="clear" w:color="auto" w:fill="auto"/>
          </w:tcPr>
          <w:p w14:paraId="34C7731F" w14:textId="3FAE963F" w:rsidR="009D355E" w:rsidRPr="001063F6" w:rsidRDefault="009D355E" w:rsidP="00A26360">
            <w:pPr>
              <w:pStyle w:val="TableBullet1"/>
              <w:spacing w:after="0"/>
              <w:contextualSpacing w:val="0"/>
            </w:pPr>
            <w:r w:rsidRPr="001063F6">
              <w:t>Provide the estimated project commitment:</w:t>
            </w:r>
            <w:r w:rsidR="00E44B11">
              <w:t xml:space="preserve"> part-time</w:t>
            </w:r>
          </w:p>
          <w:p w14:paraId="62983DDB" w14:textId="77AE53A5" w:rsidR="009D355E" w:rsidRPr="001063F6" w:rsidRDefault="009D355E" w:rsidP="00B71036">
            <w:pPr>
              <w:pStyle w:val="TableBullet1"/>
            </w:pPr>
            <w:r w:rsidRPr="001063F6">
              <w:t>Make key project decisions</w:t>
            </w:r>
            <w:r w:rsidR="00A26360" w:rsidRPr="001063F6">
              <w:t>.</w:t>
            </w:r>
          </w:p>
          <w:p w14:paraId="0589F359" w14:textId="5D23A7E9" w:rsidR="009D355E" w:rsidRPr="001063F6" w:rsidRDefault="009D355E" w:rsidP="00B71036">
            <w:pPr>
              <w:pStyle w:val="TableBullet1"/>
            </w:pPr>
            <w:r w:rsidRPr="001063F6">
              <w:t>Serve as a point of escalation to support clearing project roadblocks</w:t>
            </w:r>
            <w:r w:rsidR="00A26360" w:rsidRPr="001063F6">
              <w:t>.</w:t>
            </w:r>
          </w:p>
        </w:tc>
      </w:tr>
      <w:tr w:rsidR="009D355E" w:rsidRPr="001063F6" w14:paraId="3B2ED236" w14:textId="77777777" w:rsidTr="009D355E">
        <w:trPr>
          <w:trHeight w:val="436"/>
        </w:trPr>
        <w:tc>
          <w:tcPr>
            <w:tcW w:w="1887" w:type="dxa"/>
          </w:tcPr>
          <w:p w14:paraId="4E8E73CE" w14:textId="3BCEE20F" w:rsidR="009D355E" w:rsidRPr="001063F6" w:rsidRDefault="009D355E" w:rsidP="00B71036">
            <w:pPr>
              <w:pStyle w:val="TableText"/>
            </w:pPr>
            <w:r w:rsidRPr="001063F6">
              <w:t xml:space="preserve">Project </w:t>
            </w:r>
            <w:r w:rsidR="00D57B54" w:rsidRPr="001063F6">
              <w:t>Manager</w:t>
            </w:r>
          </w:p>
        </w:tc>
        <w:tc>
          <w:tcPr>
            <w:tcW w:w="1710" w:type="dxa"/>
          </w:tcPr>
          <w:p w14:paraId="49FD7556" w14:textId="77777777" w:rsidR="009D355E" w:rsidRPr="001063F6" w:rsidRDefault="00847649" w:rsidP="009D355E">
            <w:pPr>
              <w:pStyle w:val="TableBullet1"/>
              <w:numPr>
                <w:ilvl w:val="0"/>
                <w:numId w:val="0"/>
              </w:numPr>
              <w:ind w:left="360" w:hanging="360"/>
            </w:pPr>
            <w:r w:rsidRPr="001063F6">
              <w:t>All</w:t>
            </w:r>
          </w:p>
        </w:tc>
        <w:tc>
          <w:tcPr>
            <w:tcW w:w="5760" w:type="dxa"/>
            <w:shd w:val="clear" w:color="auto" w:fill="auto"/>
          </w:tcPr>
          <w:p w14:paraId="1B8B335E" w14:textId="2AC02080" w:rsidR="009D355E" w:rsidRPr="001063F6" w:rsidRDefault="009D355E" w:rsidP="00A26360">
            <w:pPr>
              <w:pStyle w:val="TableBullet1"/>
              <w:spacing w:after="0"/>
              <w:contextualSpacing w:val="0"/>
            </w:pPr>
            <w:r w:rsidRPr="001063F6">
              <w:t xml:space="preserve">Provide the estimated project commitment: </w:t>
            </w:r>
            <w:r w:rsidR="00340249" w:rsidRPr="00340249">
              <w:rPr>
                <w:rStyle w:val="InstructionalChar"/>
                <w:color w:val="000000" w:themeColor="text1"/>
              </w:rPr>
              <w:t>part-time</w:t>
            </w:r>
          </w:p>
          <w:p w14:paraId="463E6FCB" w14:textId="58A52FD3" w:rsidR="009D355E" w:rsidRPr="001063F6" w:rsidRDefault="009D355E" w:rsidP="00B71036">
            <w:pPr>
              <w:pStyle w:val="TableBullet1"/>
            </w:pPr>
            <w:r w:rsidRPr="001063F6">
              <w:t>Serve as primary point of contact for the Microsoft team</w:t>
            </w:r>
            <w:r w:rsidR="00A26360" w:rsidRPr="001063F6">
              <w:t>.</w:t>
            </w:r>
          </w:p>
          <w:p w14:paraId="6453A5FF" w14:textId="3AB06BAB" w:rsidR="009D355E" w:rsidRPr="001063F6" w:rsidRDefault="009D355E" w:rsidP="00B71036">
            <w:pPr>
              <w:pStyle w:val="TableBullet1"/>
            </w:pPr>
            <w:r w:rsidRPr="001063F6">
              <w:t>Manage the overall project</w:t>
            </w:r>
            <w:r w:rsidR="00A26360" w:rsidRPr="001063F6">
              <w:t>.</w:t>
            </w:r>
          </w:p>
          <w:p w14:paraId="78140D03" w14:textId="0134E40D" w:rsidR="009D355E" w:rsidRPr="001063F6" w:rsidRDefault="009D355E" w:rsidP="00B71036">
            <w:pPr>
              <w:pStyle w:val="TableBullet1"/>
            </w:pPr>
            <w:r w:rsidRPr="001063F6">
              <w:t>Deliver the project on schedule</w:t>
            </w:r>
            <w:r w:rsidR="00A26360" w:rsidRPr="001063F6">
              <w:t>.</w:t>
            </w:r>
          </w:p>
          <w:p w14:paraId="34442314" w14:textId="12F6A660" w:rsidR="009D355E" w:rsidRPr="001063F6" w:rsidRDefault="009D355E" w:rsidP="00B71036">
            <w:pPr>
              <w:pStyle w:val="TableBullet1"/>
            </w:pPr>
            <w:r w:rsidRPr="001063F6">
              <w:t xml:space="preserve">Take responsibility for </w:t>
            </w:r>
            <w:r w:rsidR="009633F4" w:rsidRPr="001063F6">
              <w:t>customer</w:t>
            </w:r>
            <w:r w:rsidRPr="001063F6">
              <w:t xml:space="preserve"> resource allocation, risk management, and project priorities</w:t>
            </w:r>
            <w:r w:rsidR="00A26360" w:rsidRPr="001063F6">
              <w:t>.</w:t>
            </w:r>
          </w:p>
          <w:p w14:paraId="35027AD3" w14:textId="64A33C53" w:rsidR="009D355E" w:rsidRPr="001063F6" w:rsidRDefault="009D355E" w:rsidP="00B71036">
            <w:pPr>
              <w:pStyle w:val="TableBullet1"/>
            </w:pPr>
            <w:r w:rsidRPr="001063F6">
              <w:t>Communicate with executive stakeholders</w:t>
            </w:r>
            <w:r w:rsidR="00A26360" w:rsidRPr="001063F6">
              <w:t>.</w:t>
            </w:r>
          </w:p>
        </w:tc>
      </w:tr>
      <w:tr w:rsidR="009D355E" w:rsidRPr="001063F6" w14:paraId="452ADF04" w14:textId="77777777" w:rsidTr="009D355E">
        <w:trPr>
          <w:trHeight w:val="436"/>
        </w:trPr>
        <w:tc>
          <w:tcPr>
            <w:tcW w:w="1887" w:type="dxa"/>
          </w:tcPr>
          <w:p w14:paraId="0E432821" w14:textId="3AD2298B" w:rsidR="009D355E" w:rsidRPr="001063F6" w:rsidRDefault="009D355E" w:rsidP="00E7218C">
            <w:pPr>
              <w:pStyle w:val="TableText"/>
            </w:pPr>
            <w:r w:rsidRPr="001063F6">
              <w:t>Client Infrastructure Lead</w:t>
            </w:r>
          </w:p>
        </w:tc>
        <w:tc>
          <w:tcPr>
            <w:tcW w:w="1710" w:type="dxa"/>
          </w:tcPr>
          <w:p w14:paraId="41672A8B" w14:textId="77777777" w:rsidR="009D355E" w:rsidRPr="001063F6" w:rsidRDefault="00847649" w:rsidP="009D355E">
            <w:pPr>
              <w:pStyle w:val="TableBullet1"/>
              <w:numPr>
                <w:ilvl w:val="0"/>
                <w:numId w:val="0"/>
              </w:numPr>
              <w:ind w:left="360" w:hanging="360"/>
            </w:pPr>
            <w:r w:rsidRPr="001063F6">
              <w:t>All</w:t>
            </w:r>
          </w:p>
        </w:tc>
        <w:tc>
          <w:tcPr>
            <w:tcW w:w="5760" w:type="dxa"/>
            <w:shd w:val="clear" w:color="auto" w:fill="auto"/>
          </w:tcPr>
          <w:p w14:paraId="2DD7E4F3" w14:textId="55F6A700" w:rsidR="009D355E" w:rsidRPr="001063F6" w:rsidRDefault="009D355E" w:rsidP="00A26360">
            <w:pPr>
              <w:pStyle w:val="Bulletlist"/>
            </w:pPr>
            <w:r w:rsidRPr="001063F6">
              <w:t>Participate in workshop discussions and drive activities that address client configuration for online service consumption</w:t>
            </w:r>
            <w:r w:rsidR="00A26360" w:rsidRPr="001063F6">
              <w:t>.</w:t>
            </w:r>
          </w:p>
          <w:p w14:paraId="4E76F892" w14:textId="7B665BA7" w:rsidR="009D355E" w:rsidRPr="001063F6" w:rsidRDefault="009D355E" w:rsidP="00A26360">
            <w:pPr>
              <w:pStyle w:val="Bulletlist"/>
            </w:pPr>
            <w:r w:rsidRPr="001063F6">
              <w:t>Help the Microsoft team complete the client infrastructure implementation activities</w:t>
            </w:r>
            <w:r w:rsidR="00A26360" w:rsidRPr="001063F6">
              <w:t>.</w:t>
            </w:r>
          </w:p>
        </w:tc>
      </w:tr>
      <w:tr w:rsidR="009D355E" w:rsidRPr="001063F6" w14:paraId="1F82C227" w14:textId="77777777" w:rsidTr="009D355E">
        <w:trPr>
          <w:trHeight w:val="436"/>
        </w:trPr>
        <w:tc>
          <w:tcPr>
            <w:tcW w:w="1887" w:type="dxa"/>
          </w:tcPr>
          <w:p w14:paraId="18BA7E76" w14:textId="77777777" w:rsidR="009D355E" w:rsidRPr="001063F6" w:rsidRDefault="009D355E" w:rsidP="00B71036">
            <w:pPr>
              <w:pStyle w:val="TableText"/>
            </w:pPr>
            <w:r w:rsidRPr="001063F6">
              <w:t>Communications and Training Lead</w:t>
            </w:r>
          </w:p>
        </w:tc>
        <w:tc>
          <w:tcPr>
            <w:tcW w:w="1710" w:type="dxa"/>
          </w:tcPr>
          <w:p w14:paraId="45923ED2" w14:textId="77777777" w:rsidR="009D355E" w:rsidRPr="001063F6" w:rsidRDefault="00FD07C4" w:rsidP="009D355E">
            <w:pPr>
              <w:pStyle w:val="TableBullet1"/>
              <w:numPr>
                <w:ilvl w:val="0"/>
                <w:numId w:val="0"/>
              </w:numPr>
              <w:ind w:left="360" w:hanging="360"/>
            </w:pPr>
            <w:r w:rsidRPr="001063F6">
              <w:t>All</w:t>
            </w:r>
          </w:p>
        </w:tc>
        <w:tc>
          <w:tcPr>
            <w:tcW w:w="5760" w:type="dxa"/>
            <w:shd w:val="clear" w:color="auto" w:fill="auto"/>
          </w:tcPr>
          <w:p w14:paraId="1680E2D8" w14:textId="78852F24" w:rsidR="009D355E" w:rsidRPr="001063F6" w:rsidRDefault="008623A0" w:rsidP="00A26360">
            <w:pPr>
              <w:pStyle w:val="Bulletlist"/>
            </w:pPr>
            <w:r w:rsidRPr="001063F6">
              <w:t xml:space="preserve">Take responsibility </w:t>
            </w:r>
            <w:r w:rsidR="009D355E" w:rsidRPr="001063F6">
              <w:t xml:space="preserve">for </w:t>
            </w:r>
            <w:r w:rsidR="009633F4" w:rsidRPr="001063F6">
              <w:t>customer</w:t>
            </w:r>
            <w:r w:rsidR="009D355E" w:rsidRPr="001063F6">
              <w:t xml:space="preserve"> communications related to </w:t>
            </w:r>
            <w:r w:rsidR="00FD07C4" w:rsidRPr="001063F6">
              <w:t>the project</w:t>
            </w:r>
            <w:r w:rsidR="00A26360" w:rsidRPr="001063F6">
              <w:t>.</w:t>
            </w:r>
          </w:p>
          <w:p w14:paraId="698B492A" w14:textId="5B53653F" w:rsidR="009D355E" w:rsidRPr="001063F6" w:rsidRDefault="009D355E" w:rsidP="00A26360">
            <w:pPr>
              <w:pStyle w:val="Bulletlist"/>
            </w:pPr>
            <w:r w:rsidRPr="001063F6">
              <w:t xml:space="preserve">Identify and </w:t>
            </w:r>
            <w:r w:rsidR="008623A0" w:rsidRPr="001063F6">
              <w:t xml:space="preserve">plan for </w:t>
            </w:r>
            <w:r w:rsidR="009633F4" w:rsidRPr="001063F6">
              <w:t>customer</w:t>
            </w:r>
            <w:r w:rsidRPr="001063F6">
              <w:t xml:space="preserve"> training requirements related to the </w:t>
            </w:r>
            <w:r w:rsidR="00FD07C4" w:rsidRPr="001063F6">
              <w:t>project</w:t>
            </w:r>
            <w:r w:rsidR="00A26360" w:rsidRPr="001063F6">
              <w:t>.</w:t>
            </w:r>
          </w:p>
        </w:tc>
      </w:tr>
      <w:tr w:rsidR="009D355E" w:rsidRPr="001063F6" w14:paraId="106486AD" w14:textId="77777777" w:rsidTr="009D355E">
        <w:trPr>
          <w:trHeight w:val="436"/>
        </w:trPr>
        <w:tc>
          <w:tcPr>
            <w:tcW w:w="1887" w:type="dxa"/>
            <w:vMerge w:val="restart"/>
          </w:tcPr>
          <w:p w14:paraId="765F093D" w14:textId="77777777" w:rsidR="009D355E" w:rsidRPr="001063F6" w:rsidRDefault="009D355E" w:rsidP="008E6D34">
            <w:pPr>
              <w:pStyle w:val="TableText"/>
            </w:pPr>
            <w:r w:rsidRPr="001063F6">
              <w:t>Active Directory and Identity Lead</w:t>
            </w:r>
          </w:p>
        </w:tc>
        <w:tc>
          <w:tcPr>
            <w:tcW w:w="1710" w:type="dxa"/>
          </w:tcPr>
          <w:p w14:paraId="36F25668" w14:textId="77777777" w:rsidR="009D355E" w:rsidRPr="001063F6" w:rsidRDefault="00C27B61" w:rsidP="009D355E">
            <w:pPr>
              <w:pStyle w:val="TableBullet1"/>
              <w:numPr>
                <w:ilvl w:val="0"/>
                <w:numId w:val="0"/>
              </w:numPr>
              <w:ind w:left="360" w:hanging="360"/>
            </w:pPr>
            <w:r w:rsidRPr="001063F6">
              <w:t>AAD-01</w:t>
            </w:r>
          </w:p>
        </w:tc>
        <w:tc>
          <w:tcPr>
            <w:tcW w:w="5760" w:type="dxa"/>
            <w:shd w:val="clear" w:color="auto" w:fill="auto"/>
          </w:tcPr>
          <w:p w14:paraId="09E9A754" w14:textId="03B05606" w:rsidR="009D355E" w:rsidRPr="001063F6" w:rsidRDefault="008623A0" w:rsidP="00A26360">
            <w:pPr>
              <w:pStyle w:val="Bulletlist"/>
            </w:pPr>
            <w:r w:rsidRPr="001063F6">
              <w:t>Take responsibility</w:t>
            </w:r>
            <w:r w:rsidR="009D355E" w:rsidRPr="001063F6">
              <w:t xml:space="preserve"> for the on-premises </w:t>
            </w:r>
            <w:r w:rsidR="003D0D30" w:rsidRPr="001063F6">
              <w:t>AD </w:t>
            </w:r>
            <w:r w:rsidR="009D355E" w:rsidRPr="001063F6">
              <w:t>DS forest</w:t>
            </w:r>
            <w:r w:rsidRPr="001063F6">
              <w:t xml:space="preserve"> </w:t>
            </w:r>
            <w:r w:rsidR="009D355E" w:rsidRPr="001063F6">
              <w:t>(</w:t>
            </w:r>
            <w:r w:rsidRPr="001063F6">
              <w:t>or forest</w:t>
            </w:r>
            <w:r w:rsidR="009D355E" w:rsidRPr="001063F6">
              <w:t>s)</w:t>
            </w:r>
            <w:r w:rsidR="00A26360" w:rsidRPr="001063F6">
              <w:t>.</w:t>
            </w:r>
          </w:p>
          <w:p w14:paraId="63C5094C" w14:textId="687D5470" w:rsidR="009D355E" w:rsidRPr="001063F6" w:rsidRDefault="00B43F63" w:rsidP="00A26360">
            <w:pPr>
              <w:pStyle w:val="Bulletlist"/>
            </w:pPr>
            <w:r w:rsidRPr="001063F6">
              <w:t>Take responsibility</w:t>
            </w:r>
            <w:r w:rsidRPr="001063F6" w:rsidDel="00B43F63">
              <w:t xml:space="preserve"> </w:t>
            </w:r>
            <w:r w:rsidR="009D355E" w:rsidRPr="001063F6">
              <w:t>for any on-premises identity provider that will be used for Azure A</w:t>
            </w:r>
            <w:r w:rsidRPr="001063F6">
              <w:t xml:space="preserve">ctive </w:t>
            </w:r>
            <w:r w:rsidR="009D355E" w:rsidRPr="001063F6">
              <w:t>D</w:t>
            </w:r>
            <w:r w:rsidRPr="001063F6">
              <w:t>irectory</w:t>
            </w:r>
            <w:r w:rsidR="009D355E" w:rsidRPr="001063F6">
              <w:t xml:space="preserve"> authentication</w:t>
            </w:r>
            <w:r w:rsidR="00A26360" w:rsidRPr="001063F6">
              <w:t>.</w:t>
            </w:r>
          </w:p>
          <w:p w14:paraId="190282E7" w14:textId="01F5E1A1" w:rsidR="009D355E" w:rsidRPr="001063F6" w:rsidRDefault="00B43F63" w:rsidP="00A26360">
            <w:pPr>
              <w:pStyle w:val="Bulletlist"/>
            </w:pPr>
            <w:r w:rsidRPr="001063F6">
              <w:lastRenderedPageBreak/>
              <w:t>Take responsibility</w:t>
            </w:r>
            <w:r w:rsidRPr="001063F6" w:rsidDel="00B43F63">
              <w:t xml:space="preserve"> </w:t>
            </w:r>
            <w:r w:rsidR="009D355E" w:rsidRPr="001063F6">
              <w:t xml:space="preserve">for the Azure </w:t>
            </w:r>
            <w:r w:rsidRPr="001063F6">
              <w:t>Active Directory</w:t>
            </w:r>
            <w:r w:rsidRPr="001063F6" w:rsidDel="00B43F63">
              <w:t xml:space="preserve"> </w:t>
            </w:r>
            <w:r w:rsidR="009D355E" w:rsidRPr="001063F6">
              <w:t>integration solution going forward</w:t>
            </w:r>
            <w:r w:rsidR="00A26360" w:rsidRPr="001063F6">
              <w:t>.</w:t>
            </w:r>
          </w:p>
        </w:tc>
      </w:tr>
      <w:tr w:rsidR="009D355E" w:rsidRPr="001063F6" w14:paraId="1ADD0BDC" w14:textId="77777777" w:rsidTr="009D355E">
        <w:trPr>
          <w:trHeight w:val="436"/>
        </w:trPr>
        <w:tc>
          <w:tcPr>
            <w:tcW w:w="1887" w:type="dxa"/>
            <w:vMerge/>
          </w:tcPr>
          <w:p w14:paraId="7B8F5B82" w14:textId="77777777" w:rsidR="009D355E" w:rsidRPr="001063F6" w:rsidRDefault="009D355E" w:rsidP="008E6D34">
            <w:pPr>
              <w:pStyle w:val="TableText"/>
            </w:pPr>
          </w:p>
        </w:tc>
        <w:tc>
          <w:tcPr>
            <w:tcW w:w="1710" w:type="dxa"/>
          </w:tcPr>
          <w:p w14:paraId="45B68110" w14:textId="77777777" w:rsidR="009D355E" w:rsidRPr="001063F6" w:rsidRDefault="00C27B61" w:rsidP="009D355E">
            <w:pPr>
              <w:pStyle w:val="TableBullet1"/>
              <w:numPr>
                <w:ilvl w:val="0"/>
                <w:numId w:val="0"/>
              </w:numPr>
              <w:ind w:left="360" w:hanging="360"/>
            </w:pPr>
            <w:r w:rsidRPr="001063F6">
              <w:t>AAD-02</w:t>
            </w:r>
          </w:p>
        </w:tc>
        <w:tc>
          <w:tcPr>
            <w:tcW w:w="5760" w:type="dxa"/>
            <w:shd w:val="clear" w:color="auto" w:fill="auto"/>
          </w:tcPr>
          <w:p w14:paraId="05821FF4" w14:textId="4418927C" w:rsidR="00C27B61" w:rsidRPr="001063F6" w:rsidRDefault="00C27B61" w:rsidP="00C27B61">
            <w:pPr>
              <w:pStyle w:val="Bulletlist"/>
            </w:pPr>
            <w:r w:rsidRPr="001063F6">
              <w:t xml:space="preserve">Provide requirements for the </w:t>
            </w:r>
            <w:r w:rsidR="00726BDA" w:rsidRPr="001063F6">
              <w:t xml:space="preserve">Multi-Factor Authentication </w:t>
            </w:r>
            <w:r w:rsidRPr="001063F6">
              <w:t xml:space="preserve">and </w:t>
            </w:r>
            <w:r w:rsidR="003D0D30" w:rsidRPr="001063F6">
              <w:t>c</w:t>
            </w:r>
            <w:r w:rsidR="00726BDA" w:rsidRPr="001063F6">
              <w:t xml:space="preserve">onditional </w:t>
            </w:r>
            <w:r w:rsidR="003D0D30" w:rsidRPr="001063F6">
              <w:t>a</w:t>
            </w:r>
            <w:r w:rsidR="00726BDA" w:rsidRPr="001063F6">
              <w:t xml:space="preserve">ccess </w:t>
            </w:r>
            <w:r w:rsidRPr="001063F6">
              <w:t>solution and make design decisions</w:t>
            </w:r>
            <w:r w:rsidR="00A26360" w:rsidRPr="001063F6">
              <w:t>.</w:t>
            </w:r>
          </w:p>
          <w:p w14:paraId="6C107EA6" w14:textId="07417747" w:rsidR="00C27B61" w:rsidRPr="001063F6" w:rsidRDefault="00C27B61" w:rsidP="00C27B61">
            <w:pPr>
              <w:pStyle w:val="Bulletlist"/>
            </w:pPr>
            <w:r w:rsidRPr="001063F6">
              <w:t>Responsible for Azure Active Directory</w:t>
            </w:r>
            <w:r w:rsidR="00A26360" w:rsidRPr="001063F6">
              <w:t>.</w:t>
            </w:r>
          </w:p>
          <w:p w14:paraId="4FD78A2F" w14:textId="75724D00" w:rsidR="009D355E" w:rsidRPr="001063F6" w:rsidRDefault="003D0D30" w:rsidP="00C27B61">
            <w:pPr>
              <w:pStyle w:val="Bulletlist"/>
            </w:pPr>
            <w:r w:rsidRPr="001063F6">
              <w:t>Take responsibility</w:t>
            </w:r>
            <w:r w:rsidR="00C27B61" w:rsidRPr="001063F6">
              <w:t xml:space="preserve"> for the </w:t>
            </w:r>
            <w:r w:rsidRPr="001063F6">
              <w:t xml:space="preserve">Multi-Factor Authentication </w:t>
            </w:r>
            <w:r w:rsidR="00C27B61" w:rsidRPr="001063F6">
              <w:t>and conditional access solution going forward</w:t>
            </w:r>
            <w:r w:rsidR="00A26360" w:rsidRPr="001063F6">
              <w:t>.</w:t>
            </w:r>
          </w:p>
        </w:tc>
      </w:tr>
      <w:tr w:rsidR="009D355E" w:rsidRPr="001063F6" w14:paraId="54787376" w14:textId="77777777" w:rsidTr="009D355E">
        <w:trPr>
          <w:trHeight w:val="436"/>
        </w:trPr>
        <w:tc>
          <w:tcPr>
            <w:tcW w:w="1887" w:type="dxa"/>
          </w:tcPr>
          <w:p w14:paraId="2D1CC825" w14:textId="77777777" w:rsidR="009D355E" w:rsidRPr="001063F6" w:rsidRDefault="009D355E" w:rsidP="008E6D34">
            <w:pPr>
              <w:pStyle w:val="TableText"/>
            </w:pPr>
            <w:r w:rsidRPr="001063F6">
              <w:t>Messaging Lead</w:t>
            </w:r>
          </w:p>
        </w:tc>
        <w:tc>
          <w:tcPr>
            <w:tcW w:w="1710" w:type="dxa"/>
          </w:tcPr>
          <w:p w14:paraId="44370962" w14:textId="77777777" w:rsidR="009D355E" w:rsidRPr="001063F6" w:rsidRDefault="00AA48C5" w:rsidP="007C423D">
            <w:pPr>
              <w:pStyle w:val="TableText"/>
            </w:pPr>
            <w:r w:rsidRPr="001063F6">
              <w:t xml:space="preserve">TPC-01, </w:t>
            </w:r>
            <w:r w:rsidR="00111485" w:rsidRPr="001063F6">
              <w:t>EXO-01</w:t>
            </w:r>
            <w:r w:rsidR="007C423D" w:rsidRPr="001063F6">
              <w:t>, EXO-02</w:t>
            </w:r>
          </w:p>
        </w:tc>
        <w:tc>
          <w:tcPr>
            <w:tcW w:w="5760" w:type="dxa"/>
            <w:shd w:val="clear" w:color="auto" w:fill="auto"/>
          </w:tcPr>
          <w:p w14:paraId="0E6FDB8E" w14:textId="640D1305" w:rsidR="009D355E" w:rsidRPr="001063F6" w:rsidRDefault="003D0D30" w:rsidP="00A26360">
            <w:pPr>
              <w:pStyle w:val="Bulletlist"/>
            </w:pPr>
            <w:r w:rsidRPr="001063F6">
              <w:t>Take responsibility</w:t>
            </w:r>
            <w:r w:rsidR="009D355E" w:rsidRPr="001063F6">
              <w:t xml:space="preserve"> for the current messaging infrastructure and </w:t>
            </w:r>
            <w:r w:rsidR="00445ABA" w:rsidRPr="001063F6">
              <w:t xml:space="preserve">its integration with </w:t>
            </w:r>
            <w:r w:rsidR="009D355E" w:rsidRPr="001063F6">
              <w:t xml:space="preserve">the Office 365 messaging environment on behalf of the </w:t>
            </w:r>
            <w:r w:rsidR="009633F4" w:rsidRPr="001063F6">
              <w:t>customer</w:t>
            </w:r>
            <w:r w:rsidR="00A26360" w:rsidRPr="001063F6">
              <w:t>.</w:t>
            </w:r>
          </w:p>
          <w:p w14:paraId="7446A016" w14:textId="01FE014C" w:rsidR="009D355E" w:rsidRPr="001063F6" w:rsidRDefault="009D355E" w:rsidP="00A26360">
            <w:pPr>
              <w:pStyle w:val="Bulletlist"/>
            </w:pPr>
            <w:r w:rsidRPr="001063F6">
              <w:t xml:space="preserve">Participate in workshop discussions and </w:t>
            </w:r>
            <w:r w:rsidR="00B94888" w:rsidRPr="001063F6">
              <w:t xml:space="preserve">take responsibility </w:t>
            </w:r>
            <w:r w:rsidRPr="001063F6">
              <w:t>for activities that address email readiness</w:t>
            </w:r>
            <w:r w:rsidR="00B94888" w:rsidRPr="001063F6">
              <w:t>,</w:t>
            </w:r>
            <w:r w:rsidRPr="001063F6">
              <w:t xml:space="preserve"> including installation and implementation of messaging environment discovery tools, if necessary</w:t>
            </w:r>
            <w:r w:rsidR="00A26360" w:rsidRPr="001063F6">
              <w:t>.</w:t>
            </w:r>
          </w:p>
        </w:tc>
      </w:tr>
      <w:tr w:rsidR="009C2269" w:rsidRPr="001063F6" w14:paraId="33A073CC" w14:textId="77777777" w:rsidTr="009D355E">
        <w:trPr>
          <w:trHeight w:val="436"/>
        </w:trPr>
        <w:tc>
          <w:tcPr>
            <w:tcW w:w="1887" w:type="dxa"/>
            <w:vMerge w:val="restart"/>
          </w:tcPr>
          <w:p w14:paraId="2E00E5D1" w14:textId="77777777" w:rsidR="009C2269" w:rsidRPr="001063F6" w:rsidRDefault="009C2269" w:rsidP="006B33AB">
            <w:pPr>
              <w:pStyle w:val="TableText"/>
            </w:pPr>
            <w:r w:rsidRPr="001063F6">
              <w:t>Network Lead</w:t>
            </w:r>
          </w:p>
        </w:tc>
        <w:tc>
          <w:tcPr>
            <w:tcW w:w="1710" w:type="dxa"/>
          </w:tcPr>
          <w:p w14:paraId="737D59FD" w14:textId="77777777" w:rsidR="009C2269" w:rsidRPr="001063F6" w:rsidRDefault="009C2269" w:rsidP="006B33AB">
            <w:pPr>
              <w:pStyle w:val="TableText"/>
            </w:pPr>
            <w:r w:rsidRPr="001063F6">
              <w:t>TPC-01</w:t>
            </w:r>
          </w:p>
        </w:tc>
        <w:tc>
          <w:tcPr>
            <w:tcW w:w="5760" w:type="dxa"/>
            <w:shd w:val="clear" w:color="auto" w:fill="auto"/>
          </w:tcPr>
          <w:p w14:paraId="2AF241A9" w14:textId="55EAED22" w:rsidR="009C2269" w:rsidRPr="001063F6" w:rsidRDefault="009C2269" w:rsidP="006B33AB">
            <w:pPr>
              <w:pStyle w:val="TableBullet1"/>
            </w:pPr>
            <w:r w:rsidRPr="001063F6">
              <w:t>Provide information about current network structures and datacenters</w:t>
            </w:r>
            <w:r w:rsidR="00A26360" w:rsidRPr="001063F6">
              <w:t>.</w:t>
            </w:r>
          </w:p>
          <w:p w14:paraId="2ACDC8E3" w14:textId="4A4A39D5" w:rsidR="009C2269" w:rsidRPr="001063F6" w:rsidRDefault="009C2269" w:rsidP="006B33AB">
            <w:pPr>
              <w:pStyle w:val="TableBullet1"/>
            </w:pPr>
            <w:r w:rsidRPr="001063F6">
              <w:t>Participate in workshop discussions and take responsibility for network-related activities, including network bandwidth requirements, network performance testing, and required updates to DNS or Dynamic Host Configuration Protocols, firewalls, and IP addresses</w:t>
            </w:r>
            <w:r w:rsidR="00A26360" w:rsidRPr="001063F6">
              <w:t>.</w:t>
            </w:r>
          </w:p>
        </w:tc>
      </w:tr>
      <w:tr w:rsidR="009C2269" w:rsidRPr="001063F6" w14:paraId="78CD536A" w14:textId="77777777" w:rsidTr="009D355E">
        <w:trPr>
          <w:trHeight w:val="436"/>
        </w:trPr>
        <w:tc>
          <w:tcPr>
            <w:tcW w:w="1887" w:type="dxa"/>
            <w:vMerge/>
          </w:tcPr>
          <w:p w14:paraId="2D872FF4" w14:textId="77777777" w:rsidR="009C2269" w:rsidRPr="001063F6" w:rsidRDefault="009C2269" w:rsidP="006B33AB">
            <w:pPr>
              <w:pStyle w:val="TableText"/>
            </w:pPr>
          </w:p>
        </w:tc>
        <w:tc>
          <w:tcPr>
            <w:tcW w:w="1710" w:type="dxa"/>
          </w:tcPr>
          <w:p w14:paraId="36476B20" w14:textId="77777777" w:rsidR="009C2269" w:rsidRPr="001063F6" w:rsidRDefault="009C2269" w:rsidP="006B33AB">
            <w:pPr>
              <w:pStyle w:val="TableText"/>
            </w:pPr>
            <w:r w:rsidRPr="001063F6">
              <w:t>NET-01</w:t>
            </w:r>
          </w:p>
        </w:tc>
        <w:tc>
          <w:tcPr>
            <w:tcW w:w="5760" w:type="dxa"/>
            <w:shd w:val="clear" w:color="auto" w:fill="auto"/>
          </w:tcPr>
          <w:p w14:paraId="6CE5690A" w14:textId="76C7A55A" w:rsidR="009C2269" w:rsidRPr="001063F6" w:rsidRDefault="009C2269" w:rsidP="006B33AB">
            <w:pPr>
              <w:pStyle w:val="Bulletlist"/>
            </w:pPr>
            <w:r w:rsidRPr="001063F6">
              <w:t>Build test workstations</w:t>
            </w:r>
            <w:r w:rsidR="00A26360" w:rsidRPr="001063F6">
              <w:t>.</w:t>
            </w:r>
          </w:p>
          <w:p w14:paraId="37FB8A3D" w14:textId="755F3F3B" w:rsidR="009C2269" w:rsidRPr="001063F6" w:rsidRDefault="009C2269" w:rsidP="006B33AB">
            <w:pPr>
              <w:pStyle w:val="Bulletlist"/>
            </w:pPr>
            <w:r w:rsidRPr="001063F6">
              <w:t>Install prerequisites</w:t>
            </w:r>
            <w:r w:rsidR="00A26360" w:rsidRPr="001063F6">
              <w:t>.</w:t>
            </w:r>
          </w:p>
          <w:p w14:paraId="47F30553" w14:textId="4AFD3F91" w:rsidR="009C2269" w:rsidRPr="001063F6" w:rsidRDefault="009C2269" w:rsidP="006B33AB">
            <w:pPr>
              <w:pStyle w:val="Bulletlist"/>
            </w:pPr>
            <w:r w:rsidRPr="001063F6">
              <w:t>Update proxies or firewalls</w:t>
            </w:r>
            <w:r w:rsidR="00A26360" w:rsidRPr="001063F6">
              <w:t>.</w:t>
            </w:r>
          </w:p>
          <w:p w14:paraId="51201FB6" w14:textId="2D35F680" w:rsidR="009C2269" w:rsidRPr="001063F6" w:rsidRDefault="009C2269" w:rsidP="006B33AB">
            <w:pPr>
              <w:pStyle w:val="Bulletlist"/>
            </w:pPr>
            <w:r w:rsidRPr="001063F6">
              <w:t>Support data collection by the Microsoft consultant</w:t>
            </w:r>
            <w:r w:rsidR="00A26360" w:rsidRPr="001063F6">
              <w:t>.</w:t>
            </w:r>
          </w:p>
          <w:p w14:paraId="586D6BCC" w14:textId="19CD1BB1" w:rsidR="009C2269" w:rsidRPr="001063F6" w:rsidRDefault="009C2269" w:rsidP="006B33AB">
            <w:pPr>
              <w:pStyle w:val="Bulletlist"/>
            </w:pPr>
            <w:r w:rsidRPr="001063F6">
              <w:t>Attend meetings and workshops</w:t>
            </w:r>
            <w:r w:rsidR="00A26360" w:rsidRPr="001063F6">
              <w:t>.</w:t>
            </w:r>
          </w:p>
        </w:tc>
      </w:tr>
      <w:tr w:rsidR="009C2269" w:rsidRPr="001063F6" w14:paraId="1A8C3022" w14:textId="77777777" w:rsidTr="009D355E">
        <w:trPr>
          <w:trHeight w:val="436"/>
        </w:trPr>
        <w:tc>
          <w:tcPr>
            <w:tcW w:w="1887" w:type="dxa"/>
            <w:vMerge/>
          </w:tcPr>
          <w:p w14:paraId="1C1EEE05" w14:textId="77777777" w:rsidR="009C2269" w:rsidRPr="001063F6" w:rsidRDefault="009C2269" w:rsidP="006B33AB">
            <w:pPr>
              <w:pStyle w:val="TableText"/>
            </w:pPr>
          </w:p>
        </w:tc>
        <w:tc>
          <w:tcPr>
            <w:tcW w:w="1710" w:type="dxa"/>
          </w:tcPr>
          <w:p w14:paraId="699DFD98" w14:textId="0F8CAC05" w:rsidR="009C2269" w:rsidRPr="001063F6" w:rsidRDefault="009C2269" w:rsidP="006B33AB">
            <w:pPr>
              <w:pStyle w:val="TableText"/>
            </w:pPr>
            <w:r w:rsidRPr="001063F6">
              <w:t>AUD-01</w:t>
            </w:r>
          </w:p>
        </w:tc>
        <w:tc>
          <w:tcPr>
            <w:tcW w:w="5760" w:type="dxa"/>
            <w:shd w:val="clear" w:color="auto" w:fill="auto"/>
          </w:tcPr>
          <w:p w14:paraId="27A97AEA" w14:textId="46F6B550" w:rsidR="009C2269" w:rsidRPr="001063F6" w:rsidRDefault="009C2269" w:rsidP="006B33AB">
            <w:pPr>
              <w:pStyle w:val="Bulletlist"/>
            </w:pPr>
            <w:r w:rsidRPr="001063F6">
              <w:t>Participate in network workshops</w:t>
            </w:r>
            <w:r w:rsidR="00745A66" w:rsidRPr="001063F6">
              <w:t>.</w:t>
            </w:r>
          </w:p>
          <w:p w14:paraId="6D16B0DE" w14:textId="2C5DBFAE" w:rsidR="009C2269" w:rsidRPr="001063F6" w:rsidRDefault="009C2269" w:rsidP="006B33AB">
            <w:pPr>
              <w:pStyle w:val="Bulletlist"/>
            </w:pPr>
            <w:r w:rsidRPr="001063F6">
              <w:t>Implement necessary network changes</w:t>
            </w:r>
            <w:r w:rsidR="004F1F2C" w:rsidRPr="001063F6">
              <w:t>,</w:t>
            </w:r>
            <w:r w:rsidRPr="001063F6">
              <w:t xml:space="preserve"> if required</w:t>
            </w:r>
            <w:r w:rsidR="00745A66" w:rsidRPr="001063F6">
              <w:t>.</w:t>
            </w:r>
          </w:p>
        </w:tc>
      </w:tr>
      <w:tr w:rsidR="006B33AB" w:rsidRPr="001063F6" w14:paraId="3719C301" w14:textId="77777777" w:rsidTr="009D355E">
        <w:trPr>
          <w:trHeight w:val="436"/>
        </w:trPr>
        <w:tc>
          <w:tcPr>
            <w:tcW w:w="1887" w:type="dxa"/>
          </w:tcPr>
          <w:p w14:paraId="7805EF55" w14:textId="77777777" w:rsidR="006B33AB" w:rsidRPr="001063F6" w:rsidRDefault="006B33AB" w:rsidP="006B33AB">
            <w:pPr>
              <w:pStyle w:val="TableText"/>
            </w:pPr>
            <w:r w:rsidRPr="001063F6">
              <w:t>Operations Lead</w:t>
            </w:r>
          </w:p>
        </w:tc>
        <w:tc>
          <w:tcPr>
            <w:tcW w:w="1710" w:type="dxa"/>
          </w:tcPr>
          <w:p w14:paraId="16BB8A64" w14:textId="77777777" w:rsidR="006B33AB" w:rsidRPr="001063F6" w:rsidRDefault="006B33AB" w:rsidP="006B33AB">
            <w:pPr>
              <w:pStyle w:val="TableText"/>
            </w:pPr>
            <w:r w:rsidRPr="001063F6">
              <w:t>All</w:t>
            </w:r>
          </w:p>
        </w:tc>
        <w:tc>
          <w:tcPr>
            <w:tcW w:w="5760" w:type="dxa"/>
            <w:shd w:val="clear" w:color="auto" w:fill="auto"/>
          </w:tcPr>
          <w:p w14:paraId="33B8D135" w14:textId="4492C9E4" w:rsidR="006B33AB" w:rsidRPr="001063F6" w:rsidRDefault="006B33AB" w:rsidP="006B33AB">
            <w:pPr>
              <w:pStyle w:val="TableBullet1"/>
            </w:pPr>
            <w:r w:rsidRPr="001063F6">
              <w:t>Provide daily support that is related to ongoing system management and recovery</w:t>
            </w:r>
            <w:r w:rsidR="00A26360" w:rsidRPr="001063F6">
              <w:t>.</w:t>
            </w:r>
          </w:p>
          <w:p w14:paraId="543E9E8B" w14:textId="5551AAD9" w:rsidR="006B33AB" w:rsidRPr="001063F6" w:rsidRDefault="006B33AB" w:rsidP="006B33AB">
            <w:pPr>
              <w:pStyle w:val="TableBullet1"/>
            </w:pPr>
            <w:r w:rsidRPr="001063F6">
              <w:t>Take responsibility for creating policies and operational models for the new architecture</w:t>
            </w:r>
            <w:r w:rsidR="00A26360" w:rsidRPr="001063F6">
              <w:t>.</w:t>
            </w:r>
          </w:p>
          <w:p w14:paraId="01550E7F" w14:textId="0F270C64" w:rsidR="006B33AB" w:rsidRPr="001063F6" w:rsidRDefault="006B33AB" w:rsidP="006B33AB">
            <w:pPr>
              <w:pStyle w:val="TableBullet1"/>
            </w:pPr>
            <w:r w:rsidRPr="001063F6">
              <w:t>Create operational guides for the new environment</w:t>
            </w:r>
            <w:r w:rsidR="00A26360" w:rsidRPr="001063F6">
              <w:t>.</w:t>
            </w:r>
          </w:p>
        </w:tc>
      </w:tr>
      <w:tr w:rsidR="006B33AB" w:rsidRPr="001063F6" w14:paraId="6CE5B182" w14:textId="77777777" w:rsidTr="009D355E">
        <w:trPr>
          <w:trHeight w:val="436"/>
        </w:trPr>
        <w:tc>
          <w:tcPr>
            <w:tcW w:w="1887" w:type="dxa"/>
          </w:tcPr>
          <w:p w14:paraId="725ABEED" w14:textId="77777777" w:rsidR="006B33AB" w:rsidRPr="001063F6" w:rsidRDefault="006B33AB" w:rsidP="006B33AB">
            <w:pPr>
              <w:pStyle w:val="TableText"/>
            </w:pPr>
            <w:r w:rsidRPr="001063F6">
              <w:t>Security Lead</w:t>
            </w:r>
          </w:p>
        </w:tc>
        <w:tc>
          <w:tcPr>
            <w:tcW w:w="1710" w:type="dxa"/>
          </w:tcPr>
          <w:p w14:paraId="1E5B6CEE" w14:textId="77777777" w:rsidR="006B33AB" w:rsidRPr="001063F6" w:rsidRDefault="006B33AB" w:rsidP="006B33AB">
            <w:pPr>
              <w:pStyle w:val="TableText"/>
            </w:pPr>
            <w:r w:rsidRPr="001063F6">
              <w:t>TPC-01, AAD-02, EXO-01</w:t>
            </w:r>
          </w:p>
        </w:tc>
        <w:tc>
          <w:tcPr>
            <w:tcW w:w="5760" w:type="dxa"/>
            <w:shd w:val="clear" w:color="auto" w:fill="auto"/>
          </w:tcPr>
          <w:p w14:paraId="346EB06B" w14:textId="4FB406A9" w:rsidR="006B33AB" w:rsidRPr="001063F6" w:rsidRDefault="006B33AB" w:rsidP="00A26360">
            <w:pPr>
              <w:pStyle w:val="Bulletlist"/>
            </w:pPr>
            <w:r w:rsidRPr="001063F6">
              <w:t>Participate in workshop discussions and drives activities that address client configuration for online service consumption</w:t>
            </w:r>
            <w:r w:rsidR="00A26360" w:rsidRPr="001063F6">
              <w:t>.</w:t>
            </w:r>
          </w:p>
          <w:p w14:paraId="1572B711" w14:textId="3AB14FB6" w:rsidR="006B33AB" w:rsidRPr="001063F6" w:rsidRDefault="006B33AB" w:rsidP="00A26360">
            <w:pPr>
              <w:pStyle w:val="Bulletlist"/>
            </w:pPr>
            <w:r w:rsidRPr="001063F6">
              <w:lastRenderedPageBreak/>
              <w:t>Assists the Microsoft team implement the security-related enablement activities</w:t>
            </w:r>
            <w:r w:rsidR="00A26360" w:rsidRPr="001063F6">
              <w:t>.</w:t>
            </w:r>
          </w:p>
        </w:tc>
      </w:tr>
      <w:tr w:rsidR="006B33AB" w:rsidRPr="001063F6" w14:paraId="1DB43F06" w14:textId="77777777" w:rsidTr="009D355E">
        <w:trPr>
          <w:trHeight w:val="436"/>
        </w:trPr>
        <w:tc>
          <w:tcPr>
            <w:tcW w:w="1887" w:type="dxa"/>
          </w:tcPr>
          <w:p w14:paraId="42D7BA1E" w14:textId="77777777" w:rsidR="006B33AB" w:rsidRPr="001063F6" w:rsidRDefault="006B33AB" w:rsidP="006B33AB">
            <w:pPr>
              <w:pStyle w:val="TableText"/>
            </w:pPr>
            <w:r w:rsidRPr="001063F6">
              <w:lastRenderedPageBreak/>
              <w:t>Service Desk Lead</w:t>
            </w:r>
          </w:p>
        </w:tc>
        <w:tc>
          <w:tcPr>
            <w:tcW w:w="1710" w:type="dxa"/>
          </w:tcPr>
          <w:p w14:paraId="690BEE55" w14:textId="77777777" w:rsidR="006B33AB" w:rsidRPr="001063F6" w:rsidRDefault="006B33AB" w:rsidP="006B33AB">
            <w:pPr>
              <w:pStyle w:val="TableBullet1"/>
              <w:numPr>
                <w:ilvl w:val="0"/>
                <w:numId w:val="0"/>
              </w:numPr>
              <w:ind w:left="360" w:hanging="360"/>
            </w:pPr>
            <w:r w:rsidRPr="001063F6">
              <w:t>All</w:t>
            </w:r>
          </w:p>
        </w:tc>
        <w:tc>
          <w:tcPr>
            <w:tcW w:w="5760" w:type="dxa"/>
            <w:shd w:val="clear" w:color="auto" w:fill="auto"/>
          </w:tcPr>
          <w:p w14:paraId="09C32021" w14:textId="6DFB0B3C" w:rsidR="006B33AB" w:rsidRPr="001063F6" w:rsidRDefault="006B33AB" w:rsidP="00A26360">
            <w:pPr>
              <w:pStyle w:val="Bulletlist"/>
              <w:numPr>
                <w:ilvl w:val="0"/>
                <w:numId w:val="0"/>
              </w:numPr>
            </w:pPr>
            <w:r w:rsidRPr="001063F6">
              <w:t>Take responsibility for problem resolution and first-level incident management when the system is in production</w:t>
            </w:r>
            <w:r w:rsidR="00A26360" w:rsidRPr="001063F6">
              <w:t>.</w:t>
            </w:r>
          </w:p>
        </w:tc>
      </w:tr>
      <w:tr w:rsidR="006B33AB" w:rsidRPr="001063F6" w14:paraId="434A0533" w14:textId="77777777" w:rsidTr="009D355E">
        <w:trPr>
          <w:trHeight w:val="436"/>
        </w:trPr>
        <w:tc>
          <w:tcPr>
            <w:tcW w:w="1887" w:type="dxa"/>
          </w:tcPr>
          <w:p w14:paraId="6CABEBAB" w14:textId="77777777" w:rsidR="006B33AB" w:rsidRPr="001063F6" w:rsidRDefault="006B33AB" w:rsidP="006B33AB">
            <w:pPr>
              <w:pStyle w:val="TableText"/>
            </w:pPr>
            <w:r w:rsidRPr="001063F6">
              <w:t>Program Management Office</w:t>
            </w:r>
            <w:r w:rsidRPr="001063F6">
              <w:rPr>
                <w:lang w:eastAsia="en-AU"/>
              </w:rPr>
              <w:t xml:space="preserve"> (PMO) Leads</w:t>
            </w:r>
          </w:p>
        </w:tc>
        <w:tc>
          <w:tcPr>
            <w:tcW w:w="1710" w:type="dxa"/>
          </w:tcPr>
          <w:p w14:paraId="1A7CF9DB" w14:textId="77777777" w:rsidR="006B33AB" w:rsidRPr="001063F6" w:rsidRDefault="006B33AB" w:rsidP="006B33AB">
            <w:pPr>
              <w:pStyle w:val="TableBullet1"/>
              <w:numPr>
                <w:ilvl w:val="0"/>
                <w:numId w:val="0"/>
              </w:numPr>
              <w:ind w:left="360" w:hanging="360"/>
            </w:pPr>
            <w:r w:rsidRPr="001063F6">
              <w:t>ACM-01</w:t>
            </w:r>
          </w:p>
        </w:tc>
        <w:tc>
          <w:tcPr>
            <w:tcW w:w="5760" w:type="dxa"/>
            <w:shd w:val="clear" w:color="auto" w:fill="auto"/>
          </w:tcPr>
          <w:p w14:paraId="478A0E6A" w14:textId="63B5EEC6" w:rsidR="006B33AB" w:rsidRPr="001063F6" w:rsidRDefault="006B33AB" w:rsidP="00A26360">
            <w:pPr>
              <w:pStyle w:val="Bulletlist"/>
            </w:pPr>
            <w:r w:rsidRPr="001063F6">
              <w:t>Attend the activities, sessions, workshops, or classes relevant to the PMO scope and help drive program change and adoption initiatives</w:t>
            </w:r>
            <w:r w:rsidR="00A26360" w:rsidRPr="001063F6">
              <w:t>.</w:t>
            </w:r>
          </w:p>
          <w:p w14:paraId="1657D9C5" w14:textId="1F6D3C62" w:rsidR="006B33AB" w:rsidRPr="001063F6" w:rsidRDefault="006B33AB" w:rsidP="00A26360">
            <w:pPr>
              <w:pStyle w:val="Bulletlist"/>
            </w:pPr>
            <w:r w:rsidRPr="001063F6">
              <w:t>Take responsibility for the integration of change management and technical workstreams</w:t>
            </w:r>
            <w:r w:rsidR="00A26360" w:rsidRPr="001063F6">
              <w:t>.</w:t>
            </w:r>
          </w:p>
        </w:tc>
      </w:tr>
      <w:tr w:rsidR="006B33AB" w:rsidRPr="001063F6" w14:paraId="3D9DC518" w14:textId="77777777" w:rsidTr="009D355E">
        <w:trPr>
          <w:trHeight w:val="436"/>
        </w:trPr>
        <w:tc>
          <w:tcPr>
            <w:tcW w:w="1887" w:type="dxa"/>
          </w:tcPr>
          <w:p w14:paraId="09B65CEF" w14:textId="77777777" w:rsidR="006B33AB" w:rsidRPr="001063F6" w:rsidRDefault="006B33AB" w:rsidP="006B33AB">
            <w:pPr>
              <w:pStyle w:val="TableText"/>
            </w:pPr>
            <w:r w:rsidRPr="001063F6">
              <w:t>Change Managers</w:t>
            </w:r>
          </w:p>
        </w:tc>
        <w:tc>
          <w:tcPr>
            <w:tcW w:w="1710" w:type="dxa"/>
          </w:tcPr>
          <w:p w14:paraId="3417E36A" w14:textId="77777777" w:rsidR="006B33AB" w:rsidRPr="001063F6" w:rsidRDefault="006B33AB" w:rsidP="006B33AB">
            <w:pPr>
              <w:pStyle w:val="TableBullet1"/>
              <w:numPr>
                <w:ilvl w:val="0"/>
                <w:numId w:val="0"/>
              </w:numPr>
              <w:ind w:left="360" w:hanging="360"/>
            </w:pPr>
            <w:r w:rsidRPr="001063F6">
              <w:t>ACM-01</w:t>
            </w:r>
          </w:p>
        </w:tc>
        <w:tc>
          <w:tcPr>
            <w:tcW w:w="5760" w:type="dxa"/>
            <w:shd w:val="clear" w:color="auto" w:fill="auto"/>
          </w:tcPr>
          <w:p w14:paraId="137C21E4" w14:textId="0E06235B" w:rsidR="006B33AB" w:rsidRPr="001063F6" w:rsidRDefault="006B33AB" w:rsidP="00A26360">
            <w:pPr>
              <w:pStyle w:val="Bulletlist"/>
            </w:pPr>
            <w:r w:rsidRPr="001063F6">
              <w:t>If the position exists, these managers are the people in the organization normally responsible for implementing change</w:t>
            </w:r>
            <w:r w:rsidR="00A26360" w:rsidRPr="001063F6">
              <w:t>.</w:t>
            </w:r>
          </w:p>
          <w:p w14:paraId="1C2CED24" w14:textId="4158412B" w:rsidR="006B33AB" w:rsidRPr="001063F6" w:rsidRDefault="006B33AB" w:rsidP="00A26360">
            <w:pPr>
              <w:pStyle w:val="Bulletlist"/>
            </w:pPr>
            <w:r w:rsidRPr="001063F6">
              <w:t>Attend activities, sessions, workshops, or classes that are relevant to the change management scope and help drive program change and adoption initiatives</w:t>
            </w:r>
            <w:r w:rsidR="00A26360" w:rsidRPr="001063F6">
              <w:t>.</w:t>
            </w:r>
          </w:p>
          <w:p w14:paraId="0292323B" w14:textId="6D594A33" w:rsidR="006B33AB" w:rsidRPr="001063F6" w:rsidRDefault="006B33AB" w:rsidP="00A26360">
            <w:pPr>
              <w:pStyle w:val="Bulletlist"/>
            </w:pPr>
            <w:r w:rsidRPr="001063F6">
              <w:t>Be able to commit to 2 days of participation in workshops and meetings</w:t>
            </w:r>
            <w:r w:rsidR="00A26360" w:rsidRPr="001063F6">
              <w:t>.</w:t>
            </w:r>
          </w:p>
        </w:tc>
      </w:tr>
      <w:tr w:rsidR="006B33AB" w:rsidRPr="001063F6" w14:paraId="032376B6" w14:textId="77777777" w:rsidTr="009D355E">
        <w:trPr>
          <w:trHeight w:val="436"/>
        </w:trPr>
        <w:tc>
          <w:tcPr>
            <w:tcW w:w="1887" w:type="dxa"/>
          </w:tcPr>
          <w:p w14:paraId="689F0462" w14:textId="77777777" w:rsidR="006B33AB" w:rsidRPr="001063F6" w:rsidRDefault="006B33AB" w:rsidP="006B33AB">
            <w:pPr>
              <w:pStyle w:val="TableText"/>
            </w:pPr>
            <w:r w:rsidRPr="001063F6">
              <w:t>Business Unit Leaders</w:t>
            </w:r>
          </w:p>
        </w:tc>
        <w:tc>
          <w:tcPr>
            <w:tcW w:w="1710" w:type="dxa"/>
          </w:tcPr>
          <w:p w14:paraId="37780C34" w14:textId="77777777" w:rsidR="006B33AB" w:rsidRPr="001063F6" w:rsidRDefault="006B33AB" w:rsidP="006B33AB">
            <w:pPr>
              <w:pStyle w:val="TableBullet1"/>
              <w:numPr>
                <w:ilvl w:val="0"/>
                <w:numId w:val="0"/>
              </w:numPr>
              <w:ind w:left="360" w:hanging="360"/>
            </w:pPr>
            <w:r w:rsidRPr="001063F6">
              <w:t>ACM-01</w:t>
            </w:r>
          </w:p>
        </w:tc>
        <w:tc>
          <w:tcPr>
            <w:tcW w:w="5760" w:type="dxa"/>
            <w:shd w:val="clear" w:color="auto" w:fill="auto"/>
          </w:tcPr>
          <w:p w14:paraId="1378F040" w14:textId="7268F177" w:rsidR="006B33AB" w:rsidRPr="001063F6" w:rsidRDefault="006B33AB" w:rsidP="006B33AB">
            <w:pPr>
              <w:pStyle w:val="Bulletlist"/>
            </w:pPr>
            <w:r w:rsidRPr="001063F6">
              <w:t>Will implement the transformation of the organization</w:t>
            </w:r>
          </w:p>
          <w:p w14:paraId="21A5740F" w14:textId="50FC8F34" w:rsidR="006B33AB" w:rsidRPr="001063F6" w:rsidRDefault="006B33AB" w:rsidP="006B33AB">
            <w:pPr>
              <w:pStyle w:val="Bulletlist"/>
            </w:pPr>
            <w:r w:rsidRPr="001063F6">
              <w:t>Attend activities, sessions, workshops, or classes that are relevant to the business or relevant to the employees in their respective organizations</w:t>
            </w:r>
            <w:r w:rsidR="00A26360" w:rsidRPr="001063F6">
              <w:t>.</w:t>
            </w:r>
          </w:p>
          <w:p w14:paraId="63622EC0" w14:textId="71656D69" w:rsidR="006B33AB" w:rsidRPr="001063F6" w:rsidRDefault="006B33AB" w:rsidP="006B33AB">
            <w:pPr>
              <w:pStyle w:val="Bulletlist"/>
            </w:pPr>
            <w:r w:rsidRPr="001063F6">
              <w:t>Participate actively and visibly throughout the project</w:t>
            </w:r>
            <w:r w:rsidR="00A26360" w:rsidRPr="001063F6">
              <w:t>.</w:t>
            </w:r>
          </w:p>
          <w:p w14:paraId="48A86AA5" w14:textId="54ABB5E5" w:rsidR="006B33AB" w:rsidRPr="001063F6" w:rsidRDefault="006B33AB" w:rsidP="006B33AB">
            <w:pPr>
              <w:pStyle w:val="Bulletlist"/>
            </w:pPr>
            <w:r w:rsidRPr="001063F6">
              <w:t>Build a coalition of sponsorship with peers and managers</w:t>
            </w:r>
            <w:r w:rsidR="00A26360" w:rsidRPr="001063F6">
              <w:t>.</w:t>
            </w:r>
          </w:p>
          <w:p w14:paraId="00100F31" w14:textId="71F3CB26" w:rsidR="006B33AB" w:rsidRPr="001063F6" w:rsidRDefault="006B33AB" w:rsidP="006B33AB">
            <w:pPr>
              <w:pStyle w:val="Bulletlist"/>
            </w:pPr>
            <w:r w:rsidRPr="001063F6">
              <w:t>Communicate effectively with employees and managers</w:t>
            </w:r>
            <w:r w:rsidR="00A26360" w:rsidRPr="001063F6">
              <w:t>.</w:t>
            </w:r>
          </w:p>
        </w:tc>
      </w:tr>
      <w:tr w:rsidR="006B33AB" w:rsidRPr="001063F6" w14:paraId="1D642C6B" w14:textId="77777777" w:rsidTr="009D355E">
        <w:trPr>
          <w:trHeight w:val="436"/>
        </w:trPr>
        <w:tc>
          <w:tcPr>
            <w:tcW w:w="1887" w:type="dxa"/>
          </w:tcPr>
          <w:p w14:paraId="028DE888" w14:textId="77777777" w:rsidR="006B33AB" w:rsidRPr="001063F6" w:rsidRDefault="006B33AB" w:rsidP="006B33AB">
            <w:pPr>
              <w:pStyle w:val="TableText"/>
            </w:pPr>
            <w:r w:rsidRPr="001063F6">
              <w:t>Training Lead</w:t>
            </w:r>
          </w:p>
        </w:tc>
        <w:tc>
          <w:tcPr>
            <w:tcW w:w="1710" w:type="dxa"/>
          </w:tcPr>
          <w:p w14:paraId="191E6452" w14:textId="77777777" w:rsidR="006B33AB" w:rsidRPr="001063F6" w:rsidRDefault="006B33AB" w:rsidP="006B33AB">
            <w:pPr>
              <w:pStyle w:val="TableBullet1"/>
              <w:numPr>
                <w:ilvl w:val="0"/>
                <w:numId w:val="0"/>
              </w:numPr>
              <w:ind w:left="360" w:hanging="360"/>
            </w:pPr>
            <w:r w:rsidRPr="001063F6">
              <w:t>ACM-01</w:t>
            </w:r>
          </w:p>
        </w:tc>
        <w:tc>
          <w:tcPr>
            <w:tcW w:w="5760" w:type="dxa"/>
            <w:shd w:val="clear" w:color="auto" w:fill="auto"/>
          </w:tcPr>
          <w:p w14:paraId="3DFB66F1" w14:textId="3A9BF6E3" w:rsidR="006B33AB" w:rsidRPr="001063F6" w:rsidRDefault="006B33AB" w:rsidP="006B33AB">
            <w:pPr>
              <w:pStyle w:val="Bulletlist"/>
              <w:rPr>
                <w:lang w:eastAsia="en-AU"/>
              </w:rPr>
            </w:pPr>
            <w:r w:rsidRPr="001063F6">
              <w:t xml:space="preserve">Take responsibility </w:t>
            </w:r>
            <w:r w:rsidRPr="001063F6">
              <w:rPr>
                <w:lang w:eastAsia="en-AU"/>
              </w:rPr>
              <w:t>for technology training</w:t>
            </w:r>
            <w:r w:rsidR="00A26360" w:rsidRPr="001063F6">
              <w:rPr>
                <w:lang w:eastAsia="en-AU"/>
              </w:rPr>
              <w:t>.</w:t>
            </w:r>
          </w:p>
          <w:p w14:paraId="70A8F8F8" w14:textId="2AA49A2D" w:rsidR="006B33AB" w:rsidRPr="001063F6" w:rsidRDefault="006B33AB" w:rsidP="006B33AB">
            <w:pPr>
              <w:pStyle w:val="Bulletlist"/>
            </w:pPr>
            <w:r w:rsidRPr="001063F6">
              <w:rPr>
                <w:lang w:eastAsia="en-AU"/>
              </w:rPr>
              <w:t>Attend activities, sessions, workshops, or classes relevant to his or her scope of influence and help drive program communication and training initiatives</w:t>
            </w:r>
          </w:p>
        </w:tc>
      </w:tr>
      <w:tr w:rsidR="006B33AB" w:rsidRPr="003815D6" w14:paraId="7931AB33" w14:textId="77777777" w:rsidTr="009D355E">
        <w:trPr>
          <w:trHeight w:val="436"/>
        </w:trPr>
        <w:tc>
          <w:tcPr>
            <w:tcW w:w="1887" w:type="dxa"/>
          </w:tcPr>
          <w:p w14:paraId="2708D51F" w14:textId="77777777" w:rsidR="006B33AB" w:rsidRPr="001063F6" w:rsidRDefault="006B33AB" w:rsidP="006B33AB">
            <w:pPr>
              <w:pStyle w:val="TableText"/>
            </w:pPr>
            <w:r w:rsidRPr="001063F6">
              <w:t>Human Resources Lead</w:t>
            </w:r>
          </w:p>
        </w:tc>
        <w:tc>
          <w:tcPr>
            <w:tcW w:w="1710" w:type="dxa"/>
          </w:tcPr>
          <w:p w14:paraId="18E4CE58" w14:textId="77777777" w:rsidR="006B33AB" w:rsidRPr="001063F6" w:rsidRDefault="006B33AB" w:rsidP="006B33AB">
            <w:pPr>
              <w:pStyle w:val="TableBullet1"/>
              <w:numPr>
                <w:ilvl w:val="0"/>
                <w:numId w:val="0"/>
              </w:numPr>
              <w:ind w:left="360" w:hanging="360"/>
            </w:pPr>
            <w:r w:rsidRPr="001063F6">
              <w:t>ACM-01</w:t>
            </w:r>
          </w:p>
        </w:tc>
        <w:tc>
          <w:tcPr>
            <w:tcW w:w="5760" w:type="dxa"/>
            <w:shd w:val="clear" w:color="auto" w:fill="auto"/>
          </w:tcPr>
          <w:p w14:paraId="1CCCD5C5" w14:textId="10365269" w:rsidR="006B33AB" w:rsidRPr="003815D6" w:rsidRDefault="006B33AB" w:rsidP="006B33AB">
            <w:pPr>
              <w:pStyle w:val="TableText"/>
            </w:pPr>
            <w:r w:rsidRPr="001063F6">
              <w:rPr>
                <w:lang w:eastAsia="en-AU"/>
              </w:rPr>
              <w:t>The resource in this role will be empowered to assist with the program from a personnel perspective and can provide input on the potential effects of the technology change such as organizational effects, fears of job loss, or swings in morale.</w:t>
            </w:r>
          </w:p>
        </w:tc>
      </w:tr>
    </w:tbl>
    <w:p w14:paraId="1C118F0C" w14:textId="77777777" w:rsidR="00661C75" w:rsidRDefault="00661C75" w:rsidP="00661C75">
      <w:pPr>
        <w:pStyle w:val="Heading4"/>
      </w:pPr>
      <w:r>
        <w:lastRenderedPageBreak/>
        <w:t>Microsoft</w:t>
      </w:r>
    </w:p>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887"/>
        <w:gridCol w:w="1710"/>
        <w:gridCol w:w="5760"/>
      </w:tblGrid>
      <w:tr w:rsidR="00111485" w:rsidRPr="003815D6" w14:paraId="1F57F4A8" w14:textId="77777777" w:rsidTr="00BD7430">
        <w:trPr>
          <w:trHeight w:val="363"/>
          <w:tblHeader/>
        </w:trPr>
        <w:tc>
          <w:tcPr>
            <w:tcW w:w="1887" w:type="dxa"/>
            <w:shd w:val="clear" w:color="auto" w:fill="008272"/>
          </w:tcPr>
          <w:p w14:paraId="445F9B2E" w14:textId="77777777" w:rsidR="00111485" w:rsidRPr="003815D6" w:rsidRDefault="00111485" w:rsidP="00BD7430">
            <w:pPr>
              <w:pStyle w:val="Table-Header"/>
            </w:pPr>
            <w:r w:rsidRPr="003815D6">
              <w:t>Role</w:t>
            </w:r>
          </w:p>
        </w:tc>
        <w:tc>
          <w:tcPr>
            <w:tcW w:w="1710" w:type="dxa"/>
            <w:shd w:val="clear" w:color="auto" w:fill="008272"/>
          </w:tcPr>
          <w:p w14:paraId="22D10755" w14:textId="77777777" w:rsidR="00111485" w:rsidRPr="003815D6" w:rsidRDefault="00111485" w:rsidP="00BD7430">
            <w:pPr>
              <w:pStyle w:val="Table-Header"/>
            </w:pPr>
            <w:r w:rsidRPr="003815D6">
              <w:t>Component ID(s)</w:t>
            </w:r>
          </w:p>
        </w:tc>
        <w:tc>
          <w:tcPr>
            <w:tcW w:w="5760" w:type="dxa"/>
            <w:shd w:val="clear" w:color="auto" w:fill="008272"/>
          </w:tcPr>
          <w:p w14:paraId="481316A1" w14:textId="77777777" w:rsidR="00111485" w:rsidRPr="003815D6" w:rsidRDefault="00111485" w:rsidP="00BD7430">
            <w:pPr>
              <w:pStyle w:val="Table-Header"/>
            </w:pPr>
            <w:r w:rsidRPr="003815D6">
              <w:t>Responsibilities</w:t>
            </w:r>
          </w:p>
        </w:tc>
      </w:tr>
      <w:tr w:rsidR="00111485" w:rsidRPr="003815D6" w14:paraId="51CC3EEF" w14:textId="77777777" w:rsidTr="00BD7430">
        <w:trPr>
          <w:trHeight w:val="436"/>
        </w:trPr>
        <w:tc>
          <w:tcPr>
            <w:tcW w:w="1887" w:type="dxa"/>
          </w:tcPr>
          <w:p w14:paraId="0C51A687" w14:textId="77777777" w:rsidR="00111485" w:rsidRPr="003815D6" w:rsidRDefault="00111485" w:rsidP="00111485">
            <w:pPr>
              <w:pStyle w:val="TableText"/>
            </w:pPr>
            <w:r w:rsidRPr="003815D6">
              <w:t xml:space="preserve">Microsoft Delivery </w:t>
            </w:r>
            <w:r w:rsidR="00CD1D3D" w:rsidRPr="003815D6">
              <w:t>M</w:t>
            </w:r>
            <w:r w:rsidRPr="003815D6">
              <w:t>anager</w:t>
            </w:r>
          </w:p>
        </w:tc>
        <w:tc>
          <w:tcPr>
            <w:tcW w:w="1710" w:type="dxa"/>
          </w:tcPr>
          <w:p w14:paraId="336E4630" w14:textId="77777777" w:rsidR="00111485" w:rsidRPr="003815D6" w:rsidRDefault="00111485" w:rsidP="00BD7430">
            <w:pPr>
              <w:pStyle w:val="TableText"/>
            </w:pPr>
            <w:r w:rsidRPr="003815D6">
              <w:t>All</w:t>
            </w:r>
          </w:p>
        </w:tc>
        <w:tc>
          <w:tcPr>
            <w:tcW w:w="5760" w:type="dxa"/>
            <w:shd w:val="clear" w:color="auto" w:fill="auto"/>
            <w:vAlign w:val="center"/>
          </w:tcPr>
          <w:p w14:paraId="28875B4F" w14:textId="170EE3B8" w:rsidR="00111485" w:rsidRPr="003815D6" w:rsidRDefault="00111485" w:rsidP="00111485">
            <w:pPr>
              <w:pStyle w:val="TableBullet1"/>
            </w:pPr>
            <w:r w:rsidRPr="003815D6">
              <w:t>Manage and coordinate the overall Microsoft project</w:t>
            </w:r>
            <w:r w:rsidR="00A26360">
              <w:t>.</w:t>
            </w:r>
          </w:p>
          <w:p w14:paraId="6BC69E31" w14:textId="1A7E37CA" w:rsidR="00111485" w:rsidRPr="003815D6" w:rsidRDefault="00111485" w:rsidP="00111485">
            <w:pPr>
              <w:pStyle w:val="TableBullet1"/>
            </w:pPr>
            <w:r w:rsidRPr="003815D6">
              <w:t>Serve as a single point of contact for escalations, billing issues, personnel matters, and contract extensions</w:t>
            </w:r>
            <w:r w:rsidR="00A26360">
              <w:t>.</w:t>
            </w:r>
          </w:p>
          <w:p w14:paraId="19D9C0F5" w14:textId="19FA2A9B" w:rsidR="00111485" w:rsidRPr="003815D6" w:rsidRDefault="00111485" w:rsidP="00111485">
            <w:pPr>
              <w:pStyle w:val="TableBullet1"/>
            </w:pPr>
            <w:r w:rsidRPr="002229AD">
              <w:rPr>
                <w:color w:val="000000" w:themeColor="text1"/>
              </w:rPr>
              <w:t>Facilitate project governance activities and lead the executive steering committee</w:t>
            </w:r>
            <w:r w:rsidR="00A26360" w:rsidRPr="002229AD">
              <w:rPr>
                <w:color w:val="000000" w:themeColor="text1"/>
              </w:rPr>
              <w:t>.</w:t>
            </w:r>
          </w:p>
        </w:tc>
      </w:tr>
      <w:tr w:rsidR="00111485" w:rsidRPr="003815D6" w14:paraId="50957250" w14:textId="77777777" w:rsidTr="00BD7430">
        <w:trPr>
          <w:trHeight w:val="436"/>
        </w:trPr>
        <w:tc>
          <w:tcPr>
            <w:tcW w:w="1887" w:type="dxa"/>
          </w:tcPr>
          <w:p w14:paraId="23973F0D" w14:textId="77777777" w:rsidR="00111485" w:rsidRPr="003815D6" w:rsidRDefault="00111485" w:rsidP="00111485">
            <w:pPr>
              <w:pStyle w:val="TableText"/>
            </w:pPr>
            <w:r w:rsidRPr="003815D6">
              <w:t xml:space="preserve">Microsoft </w:t>
            </w:r>
            <w:r w:rsidR="00CD1D3D" w:rsidRPr="003815D6">
              <w:t>P</w:t>
            </w:r>
            <w:r w:rsidRPr="003815D6">
              <w:t xml:space="preserve">roject </w:t>
            </w:r>
            <w:r w:rsidR="00CD1D3D" w:rsidRPr="003815D6">
              <w:t>M</w:t>
            </w:r>
            <w:r w:rsidRPr="003815D6">
              <w:t>anager</w:t>
            </w:r>
          </w:p>
        </w:tc>
        <w:tc>
          <w:tcPr>
            <w:tcW w:w="1710" w:type="dxa"/>
          </w:tcPr>
          <w:p w14:paraId="7C5AA299" w14:textId="77777777" w:rsidR="00111485" w:rsidRPr="003815D6" w:rsidRDefault="00111485" w:rsidP="00BD7430">
            <w:pPr>
              <w:pStyle w:val="TableText"/>
            </w:pPr>
            <w:r w:rsidRPr="003815D6">
              <w:t>All</w:t>
            </w:r>
          </w:p>
        </w:tc>
        <w:tc>
          <w:tcPr>
            <w:tcW w:w="5760" w:type="dxa"/>
            <w:shd w:val="clear" w:color="auto" w:fill="auto"/>
            <w:vAlign w:val="center"/>
          </w:tcPr>
          <w:p w14:paraId="3C1CAF5C" w14:textId="63C5F293" w:rsidR="00111485" w:rsidRPr="003815D6" w:rsidRDefault="00111485" w:rsidP="00111485">
            <w:pPr>
              <w:pStyle w:val="TableBullet1"/>
            </w:pPr>
            <w:r w:rsidRPr="003815D6">
              <w:t>Manage and coordinate Microsoft project delivery</w:t>
            </w:r>
          </w:p>
          <w:p w14:paraId="338025ED" w14:textId="66D7A038" w:rsidR="00111485" w:rsidRPr="003815D6" w:rsidRDefault="00111485" w:rsidP="00111485">
            <w:pPr>
              <w:pStyle w:val="TableBullet1"/>
            </w:pPr>
            <w:r w:rsidRPr="003815D6">
              <w:t>Take responsibility for issue and risk management, change management, project priorities, status communications, and status meetings</w:t>
            </w:r>
            <w:r w:rsidR="00A26360">
              <w:t>.</w:t>
            </w:r>
          </w:p>
          <w:p w14:paraId="563BD634" w14:textId="69FC0639" w:rsidR="00111485" w:rsidRPr="003815D6" w:rsidRDefault="00111485" w:rsidP="00111485">
            <w:pPr>
              <w:pStyle w:val="TableBullet1"/>
            </w:pPr>
            <w:r w:rsidRPr="003815D6">
              <w:t>Coordinate Microsoft and Microsoft</w:t>
            </w:r>
            <w:r w:rsidRPr="003815D6" w:rsidDel="00C35540">
              <w:t xml:space="preserve"> </w:t>
            </w:r>
            <w:r w:rsidRPr="003815D6">
              <w:t xml:space="preserve">subcontractor resources but not </w:t>
            </w:r>
            <w:r w:rsidR="009633F4" w:rsidRPr="003815D6">
              <w:t>customer</w:t>
            </w:r>
            <w:r w:rsidRPr="003815D6">
              <w:t xml:space="preserve"> resources</w:t>
            </w:r>
            <w:r w:rsidR="00A26360">
              <w:t>.</w:t>
            </w:r>
          </w:p>
        </w:tc>
      </w:tr>
      <w:tr w:rsidR="00111485" w:rsidRPr="003815D6" w14:paraId="155A0CBE" w14:textId="77777777" w:rsidTr="00BD7430">
        <w:trPr>
          <w:trHeight w:val="436"/>
        </w:trPr>
        <w:tc>
          <w:tcPr>
            <w:tcW w:w="1887" w:type="dxa"/>
          </w:tcPr>
          <w:p w14:paraId="104F56B5" w14:textId="77777777" w:rsidR="00111485" w:rsidRPr="003815D6" w:rsidRDefault="00111485" w:rsidP="00111485">
            <w:pPr>
              <w:pStyle w:val="TableText"/>
            </w:pPr>
            <w:r w:rsidRPr="003815D6">
              <w:t>Microsoft Lead Architect</w:t>
            </w:r>
          </w:p>
        </w:tc>
        <w:tc>
          <w:tcPr>
            <w:tcW w:w="1710" w:type="dxa"/>
          </w:tcPr>
          <w:p w14:paraId="4EBE29F5" w14:textId="77777777" w:rsidR="00111485" w:rsidRPr="003815D6" w:rsidRDefault="00111485" w:rsidP="00BD7430">
            <w:pPr>
              <w:pStyle w:val="TableText"/>
            </w:pPr>
            <w:r w:rsidRPr="003815D6">
              <w:t>All</w:t>
            </w:r>
          </w:p>
        </w:tc>
        <w:tc>
          <w:tcPr>
            <w:tcW w:w="5760" w:type="dxa"/>
            <w:shd w:val="clear" w:color="auto" w:fill="auto"/>
            <w:vAlign w:val="center"/>
          </w:tcPr>
          <w:p w14:paraId="705C6B6D" w14:textId="07059721" w:rsidR="00111485" w:rsidRPr="003815D6" w:rsidRDefault="00111485" w:rsidP="00111485">
            <w:pPr>
              <w:pStyle w:val="TableBullet1"/>
            </w:pPr>
            <w:r w:rsidRPr="003815D6">
              <w:t>Design the overall solution</w:t>
            </w:r>
            <w:r w:rsidR="00A26360">
              <w:t>.</w:t>
            </w:r>
          </w:p>
          <w:p w14:paraId="2492231E" w14:textId="5409D2BD" w:rsidR="00111485" w:rsidRPr="003815D6" w:rsidRDefault="00111485" w:rsidP="00111485">
            <w:pPr>
              <w:pStyle w:val="TableBullet1"/>
            </w:pPr>
            <w:r w:rsidRPr="003815D6">
              <w:rPr>
                <w:bCs/>
              </w:rPr>
              <w:t>Provide guidance based on Microsoft-recommended practices</w:t>
            </w:r>
            <w:r w:rsidR="00A26360">
              <w:rPr>
                <w:bCs/>
              </w:rPr>
              <w:t>.</w:t>
            </w:r>
          </w:p>
        </w:tc>
      </w:tr>
      <w:tr w:rsidR="00BD7430" w:rsidRPr="003815D6" w14:paraId="69738AA6" w14:textId="77777777" w:rsidTr="00BD7430">
        <w:trPr>
          <w:trHeight w:val="436"/>
        </w:trPr>
        <w:tc>
          <w:tcPr>
            <w:tcW w:w="1887" w:type="dxa"/>
          </w:tcPr>
          <w:p w14:paraId="3AA79C81" w14:textId="021A55CF" w:rsidR="00BD7430" w:rsidRPr="003815D6" w:rsidRDefault="00BD7430" w:rsidP="00111485">
            <w:pPr>
              <w:pStyle w:val="TableText"/>
            </w:pPr>
            <w:r w:rsidRPr="003815D6">
              <w:t xml:space="preserve">Microsoft </w:t>
            </w:r>
            <w:r w:rsidR="00AF5794">
              <w:t xml:space="preserve">and Partner </w:t>
            </w:r>
            <w:r w:rsidRPr="003815D6">
              <w:t>Consultant</w:t>
            </w:r>
            <w:r w:rsidR="006C6B4A" w:rsidRPr="003815D6">
              <w:t xml:space="preserve"> </w:t>
            </w:r>
            <w:r w:rsidRPr="003815D6">
              <w:t>(</w:t>
            </w:r>
            <w:r w:rsidR="006C6B4A" w:rsidRPr="003815D6">
              <w:t>or Consultant</w:t>
            </w:r>
            <w:r w:rsidRPr="003815D6">
              <w:t>s)</w:t>
            </w:r>
          </w:p>
        </w:tc>
        <w:tc>
          <w:tcPr>
            <w:tcW w:w="1710" w:type="dxa"/>
          </w:tcPr>
          <w:p w14:paraId="4B2BE5A4" w14:textId="77777777" w:rsidR="00BD7430" w:rsidRPr="003815D6" w:rsidRDefault="00BD7430" w:rsidP="00BD7430">
            <w:pPr>
              <w:pStyle w:val="TableText"/>
            </w:pPr>
            <w:r w:rsidRPr="003815D6">
              <w:t>All</w:t>
            </w:r>
          </w:p>
        </w:tc>
        <w:tc>
          <w:tcPr>
            <w:tcW w:w="5760" w:type="dxa"/>
            <w:shd w:val="clear" w:color="auto" w:fill="auto"/>
            <w:vAlign w:val="center"/>
          </w:tcPr>
          <w:p w14:paraId="6E15AA2E" w14:textId="4B7D0DE9" w:rsidR="00B47B99" w:rsidRPr="003815D6" w:rsidRDefault="00B47B99" w:rsidP="00BD7430">
            <w:pPr>
              <w:pStyle w:val="TableBullet1"/>
            </w:pPr>
            <w:r w:rsidRPr="003815D6">
              <w:t>Deliver assessment and planning workshops</w:t>
            </w:r>
          </w:p>
          <w:p w14:paraId="502E8C3D" w14:textId="178B70F9" w:rsidR="00B47B99" w:rsidRPr="003815D6" w:rsidRDefault="00B47B99" w:rsidP="00BD7430">
            <w:pPr>
              <w:pStyle w:val="TableBullet1"/>
            </w:pPr>
            <w:r w:rsidRPr="003815D6">
              <w:t>Produce project deliverables</w:t>
            </w:r>
          </w:p>
          <w:p w14:paraId="24C6DECC" w14:textId="5B79C551" w:rsidR="005B3764" w:rsidRPr="003815D6" w:rsidRDefault="005B3764" w:rsidP="00BD7430">
            <w:pPr>
              <w:pStyle w:val="TableBullet1"/>
            </w:pPr>
            <w:r w:rsidRPr="003815D6">
              <w:t xml:space="preserve">Provide technical assistance during </w:t>
            </w:r>
            <w:r w:rsidR="00981BBA" w:rsidRPr="003815D6">
              <w:t xml:space="preserve">the </w:t>
            </w:r>
            <w:r w:rsidRPr="003815D6">
              <w:t xml:space="preserve">completion of </w:t>
            </w:r>
            <w:r w:rsidR="009633F4" w:rsidRPr="003815D6">
              <w:t>customer</w:t>
            </w:r>
            <w:r w:rsidRPr="003815D6">
              <w:t xml:space="preserve"> preparation tasks</w:t>
            </w:r>
          </w:p>
          <w:p w14:paraId="7C5DFB64" w14:textId="69938B7E" w:rsidR="00BD7430" w:rsidRPr="003815D6" w:rsidRDefault="005B3764" w:rsidP="00BD7430">
            <w:pPr>
              <w:pStyle w:val="TableBullet1"/>
            </w:pPr>
            <w:r w:rsidRPr="003815D6">
              <w:t>Act as primary technical subject matter expert from Microsoft during the project</w:t>
            </w:r>
          </w:p>
          <w:p w14:paraId="3C822FE0" w14:textId="5C5B3D29" w:rsidR="00B47B99" w:rsidRPr="003815D6" w:rsidRDefault="00B47B99" w:rsidP="00B47B99">
            <w:pPr>
              <w:pStyle w:val="TableBullet1"/>
            </w:pPr>
            <w:r w:rsidRPr="003815D6">
              <w:t>Complete in-scope implementation and migration activities</w:t>
            </w:r>
          </w:p>
        </w:tc>
      </w:tr>
      <w:tr w:rsidR="00BD7430" w:rsidRPr="003815D6" w14:paraId="555042A1" w14:textId="77777777" w:rsidTr="00BD7430">
        <w:trPr>
          <w:trHeight w:val="436"/>
        </w:trPr>
        <w:tc>
          <w:tcPr>
            <w:tcW w:w="1887" w:type="dxa"/>
          </w:tcPr>
          <w:p w14:paraId="109B0030" w14:textId="77777777" w:rsidR="00BD7430" w:rsidRPr="003815D6" w:rsidRDefault="00BD7430" w:rsidP="00BD7430">
            <w:pPr>
              <w:pStyle w:val="TableText"/>
            </w:pPr>
            <w:r w:rsidRPr="003815D6">
              <w:t>Microsoft FastTrack Manager</w:t>
            </w:r>
          </w:p>
        </w:tc>
        <w:tc>
          <w:tcPr>
            <w:tcW w:w="1710" w:type="dxa"/>
          </w:tcPr>
          <w:p w14:paraId="5EDAAC55" w14:textId="223EB21D" w:rsidR="00BD7430" w:rsidRPr="003815D6" w:rsidRDefault="00E6187F" w:rsidP="000D626E">
            <w:pPr>
              <w:pStyle w:val="TableText"/>
            </w:pPr>
            <w:r w:rsidRPr="003815D6">
              <w:t>N</w:t>
            </w:r>
            <w:r w:rsidR="001A2543" w:rsidRPr="003815D6">
              <w:t>ot applicable</w:t>
            </w:r>
          </w:p>
        </w:tc>
        <w:tc>
          <w:tcPr>
            <w:tcW w:w="5760" w:type="dxa"/>
            <w:shd w:val="clear" w:color="auto" w:fill="auto"/>
          </w:tcPr>
          <w:p w14:paraId="061221DB" w14:textId="33462650" w:rsidR="00BD7430" w:rsidRPr="003815D6" w:rsidRDefault="00BD7430" w:rsidP="00BD7430">
            <w:pPr>
              <w:pStyle w:val="TableBullet1"/>
            </w:pPr>
            <w:r w:rsidRPr="003815D6">
              <w:t>Serve as primary point of contact for FastTrack activities</w:t>
            </w:r>
          </w:p>
          <w:p w14:paraId="00A99465" w14:textId="25388B6E" w:rsidR="00BD7430" w:rsidRPr="003815D6" w:rsidRDefault="00BD7430" w:rsidP="00BD7430">
            <w:pPr>
              <w:pStyle w:val="TableBullet1"/>
            </w:pPr>
            <w:r w:rsidRPr="003815D6">
              <w:t>Remotely participate in the project kickoff</w:t>
            </w:r>
          </w:p>
          <w:p w14:paraId="04AEA543" w14:textId="0549AF91" w:rsidR="00BD7430" w:rsidRPr="003815D6" w:rsidRDefault="00BD7430" w:rsidP="00BD7430">
            <w:pPr>
              <w:pStyle w:val="TableBullet1"/>
            </w:pPr>
            <w:r w:rsidRPr="003815D6">
              <w:t>Contribute to project management plans, project status reports, and project performance reports</w:t>
            </w:r>
          </w:p>
          <w:p w14:paraId="08879AF4" w14:textId="41F91C04" w:rsidR="00BD7430" w:rsidRPr="003815D6" w:rsidRDefault="007A7BA7" w:rsidP="00005090">
            <w:pPr>
              <w:pStyle w:val="TableBullet1"/>
            </w:pPr>
            <w:r w:rsidRPr="003815D6">
              <w:t xml:space="preserve">Take responsibility </w:t>
            </w:r>
            <w:r w:rsidR="00BD7430" w:rsidRPr="003815D6">
              <w:t>for FastTrack resource allocation, risk management, and project priorities</w:t>
            </w:r>
          </w:p>
        </w:tc>
      </w:tr>
      <w:tr w:rsidR="00BD7430" w:rsidRPr="003815D6" w14:paraId="62F5F347" w14:textId="77777777" w:rsidTr="00BD7430">
        <w:trPr>
          <w:trHeight w:val="436"/>
        </w:trPr>
        <w:tc>
          <w:tcPr>
            <w:tcW w:w="1887" w:type="dxa"/>
          </w:tcPr>
          <w:p w14:paraId="0318F8FA" w14:textId="77777777" w:rsidR="00BD7430" w:rsidRPr="003815D6" w:rsidRDefault="00BD7430" w:rsidP="00BD7430">
            <w:pPr>
              <w:pStyle w:val="TableText"/>
            </w:pPr>
            <w:r w:rsidRPr="003815D6">
              <w:t>Microsoft FastTrack Engineer</w:t>
            </w:r>
          </w:p>
        </w:tc>
        <w:tc>
          <w:tcPr>
            <w:tcW w:w="1710" w:type="dxa"/>
          </w:tcPr>
          <w:p w14:paraId="7146C7D9" w14:textId="77777777" w:rsidR="001A2543" w:rsidRPr="003815D6" w:rsidRDefault="001A2543" w:rsidP="001A2543">
            <w:pPr>
              <w:pStyle w:val="TableText"/>
            </w:pPr>
            <w:r w:rsidRPr="003815D6">
              <w:t>Not applicable</w:t>
            </w:r>
          </w:p>
          <w:p w14:paraId="7014442B" w14:textId="6141195E" w:rsidR="00BD7430" w:rsidRPr="003815D6" w:rsidRDefault="00BD7430" w:rsidP="00BD7430">
            <w:pPr>
              <w:pStyle w:val="TableText"/>
            </w:pPr>
          </w:p>
        </w:tc>
        <w:tc>
          <w:tcPr>
            <w:tcW w:w="5760" w:type="dxa"/>
            <w:shd w:val="clear" w:color="auto" w:fill="auto"/>
          </w:tcPr>
          <w:p w14:paraId="64E83473" w14:textId="1CCA9E4B" w:rsidR="00BD7430" w:rsidRPr="003815D6" w:rsidRDefault="00BD7430" w:rsidP="00BD7430">
            <w:pPr>
              <w:pStyle w:val="TableBullet1"/>
            </w:pPr>
            <w:r w:rsidRPr="003815D6">
              <w:t>Provide remote technical guidance regarding Office 365 remediation and service implementation activities that are provided by FastTrack</w:t>
            </w:r>
          </w:p>
          <w:p w14:paraId="3B310768" w14:textId="24275381" w:rsidR="00BD7430" w:rsidRPr="003815D6" w:rsidRDefault="00BD7430" w:rsidP="00BD7430">
            <w:pPr>
              <w:pStyle w:val="TableBullet1"/>
            </w:pPr>
            <w:r w:rsidRPr="003815D6">
              <w:t>Assess migration readiness and participate in planning workshops</w:t>
            </w:r>
          </w:p>
        </w:tc>
      </w:tr>
      <w:tr w:rsidR="00BD7430" w:rsidRPr="003815D6" w14:paraId="64CDAB94" w14:textId="77777777" w:rsidTr="00BD7430">
        <w:trPr>
          <w:trHeight w:val="436"/>
        </w:trPr>
        <w:tc>
          <w:tcPr>
            <w:tcW w:w="1887" w:type="dxa"/>
          </w:tcPr>
          <w:p w14:paraId="08BC2203" w14:textId="3469CD9E" w:rsidR="00BD7430" w:rsidRPr="003815D6" w:rsidRDefault="00BD7430" w:rsidP="00BD7430">
            <w:pPr>
              <w:pStyle w:val="TableText"/>
            </w:pPr>
            <w:r w:rsidRPr="003815D6">
              <w:t xml:space="preserve">IT </w:t>
            </w:r>
            <w:r w:rsidR="006F1D04" w:rsidRPr="003815D6">
              <w:t xml:space="preserve">Service Management </w:t>
            </w:r>
            <w:r w:rsidR="00F34CC7" w:rsidRPr="003815D6">
              <w:t xml:space="preserve">(ITSM) </w:t>
            </w:r>
            <w:r w:rsidRPr="003815D6">
              <w:t>Architect</w:t>
            </w:r>
          </w:p>
        </w:tc>
        <w:tc>
          <w:tcPr>
            <w:tcW w:w="1710" w:type="dxa"/>
          </w:tcPr>
          <w:p w14:paraId="34718EF4" w14:textId="77777777" w:rsidR="00BD7430" w:rsidRPr="003815D6" w:rsidRDefault="00BD7430" w:rsidP="00BD7430">
            <w:pPr>
              <w:pStyle w:val="TableText"/>
            </w:pPr>
            <w:r w:rsidRPr="003815D6">
              <w:t>ITSM-01</w:t>
            </w:r>
          </w:p>
        </w:tc>
        <w:tc>
          <w:tcPr>
            <w:tcW w:w="5760" w:type="dxa"/>
            <w:shd w:val="clear" w:color="auto" w:fill="auto"/>
          </w:tcPr>
          <w:p w14:paraId="0385FF06" w14:textId="515AE719" w:rsidR="00BD7430" w:rsidRPr="003815D6" w:rsidRDefault="00BD7430" w:rsidP="00BD7430">
            <w:pPr>
              <w:pStyle w:val="TableBullet1"/>
            </w:pPr>
            <w:r w:rsidRPr="003815D6">
              <w:t>Provide operations oversight for the overall Office 365 monitoring and support planning</w:t>
            </w:r>
          </w:p>
          <w:p w14:paraId="469532E1" w14:textId="27609CCD" w:rsidR="00BD7430" w:rsidRPr="003815D6" w:rsidRDefault="00BD7430" w:rsidP="00BD7430">
            <w:pPr>
              <w:pStyle w:val="TableBullet1"/>
            </w:pPr>
            <w:r w:rsidRPr="003815D6">
              <w:t>Provide subject matter expertise for operations and support that are related to the Office 365 deployment</w:t>
            </w:r>
          </w:p>
        </w:tc>
      </w:tr>
      <w:tr w:rsidR="00BD7430" w:rsidRPr="003815D6" w14:paraId="46353745" w14:textId="77777777" w:rsidTr="00BD7430">
        <w:trPr>
          <w:trHeight w:val="436"/>
        </w:trPr>
        <w:tc>
          <w:tcPr>
            <w:tcW w:w="1887" w:type="dxa"/>
          </w:tcPr>
          <w:p w14:paraId="413C3A03" w14:textId="77777777" w:rsidR="00BD7430" w:rsidRPr="003815D6" w:rsidRDefault="00BD7430" w:rsidP="00BD7430">
            <w:pPr>
              <w:pStyle w:val="TableText"/>
            </w:pPr>
            <w:r w:rsidRPr="003815D6">
              <w:lastRenderedPageBreak/>
              <w:t>ITSM Consultant</w:t>
            </w:r>
          </w:p>
        </w:tc>
        <w:tc>
          <w:tcPr>
            <w:tcW w:w="1710" w:type="dxa"/>
          </w:tcPr>
          <w:p w14:paraId="3E8A587C" w14:textId="77777777" w:rsidR="00BD7430" w:rsidRPr="003815D6" w:rsidRDefault="00BD7430" w:rsidP="00BD7430">
            <w:pPr>
              <w:pStyle w:val="TableText"/>
            </w:pPr>
            <w:r w:rsidRPr="003815D6">
              <w:t>ITSM-01</w:t>
            </w:r>
          </w:p>
        </w:tc>
        <w:tc>
          <w:tcPr>
            <w:tcW w:w="5760" w:type="dxa"/>
            <w:shd w:val="clear" w:color="auto" w:fill="auto"/>
          </w:tcPr>
          <w:p w14:paraId="5C716D41" w14:textId="406C1B78" w:rsidR="00BD7430" w:rsidRPr="003815D6" w:rsidRDefault="00BD7430" w:rsidP="00BD7430">
            <w:pPr>
              <w:pStyle w:val="TableBullet1"/>
            </w:pPr>
            <w:r w:rsidRPr="003815D6">
              <w:t>Conduct workshops and discussions on in-scope operations readiness topics</w:t>
            </w:r>
          </w:p>
          <w:p w14:paraId="739214CF" w14:textId="0E66B0E0" w:rsidR="00BD7430" w:rsidRPr="003815D6" w:rsidRDefault="001A2543" w:rsidP="00BD7430">
            <w:pPr>
              <w:pStyle w:val="TableBullet1"/>
            </w:pPr>
            <w:r w:rsidRPr="003815D6">
              <w:t xml:space="preserve">Take responsibility </w:t>
            </w:r>
            <w:r w:rsidR="00BD7430" w:rsidRPr="003815D6">
              <w:t xml:space="preserve">for preparing the </w:t>
            </w:r>
            <w:r w:rsidR="00C8790F" w:rsidRPr="003815D6">
              <w:t>service map</w:t>
            </w:r>
            <w:r w:rsidR="00BD7430" w:rsidRPr="003815D6">
              <w:t xml:space="preserve">, </w:t>
            </w:r>
            <w:r w:rsidR="00C8790F" w:rsidRPr="003815D6">
              <w:t xml:space="preserve">and the monitoring </w:t>
            </w:r>
            <w:r w:rsidR="00BD7430" w:rsidRPr="003815D6">
              <w:t xml:space="preserve">and </w:t>
            </w:r>
            <w:r w:rsidR="00C8790F" w:rsidRPr="003815D6">
              <w:t xml:space="preserve">support plan </w:t>
            </w:r>
            <w:r w:rsidR="00BD7430" w:rsidRPr="003815D6">
              <w:t>documents</w:t>
            </w:r>
          </w:p>
        </w:tc>
      </w:tr>
      <w:tr w:rsidR="00BD7430" w:rsidRPr="003815D6" w14:paraId="42B8DE89" w14:textId="77777777" w:rsidTr="00BD7430">
        <w:trPr>
          <w:trHeight w:val="436"/>
        </w:trPr>
        <w:tc>
          <w:tcPr>
            <w:tcW w:w="1887" w:type="dxa"/>
          </w:tcPr>
          <w:p w14:paraId="02962577" w14:textId="764492F4" w:rsidR="00BD7430" w:rsidRPr="003815D6" w:rsidRDefault="00BD7430" w:rsidP="00BD7430">
            <w:pPr>
              <w:pStyle w:val="TableText"/>
            </w:pPr>
            <w:r w:rsidRPr="003815D6">
              <w:t xml:space="preserve">Microsoft ACM </w:t>
            </w:r>
            <w:r w:rsidR="00F60F93" w:rsidRPr="003815D6">
              <w:t>Consultant</w:t>
            </w:r>
          </w:p>
        </w:tc>
        <w:tc>
          <w:tcPr>
            <w:tcW w:w="1710" w:type="dxa"/>
          </w:tcPr>
          <w:p w14:paraId="55280013" w14:textId="77777777" w:rsidR="00BD7430" w:rsidRPr="003815D6" w:rsidRDefault="00BD7430" w:rsidP="00BD7430">
            <w:pPr>
              <w:pStyle w:val="TableText"/>
            </w:pPr>
            <w:r w:rsidRPr="003815D6">
              <w:t>ACM-01</w:t>
            </w:r>
          </w:p>
        </w:tc>
        <w:tc>
          <w:tcPr>
            <w:tcW w:w="5760" w:type="dxa"/>
            <w:shd w:val="clear" w:color="auto" w:fill="auto"/>
          </w:tcPr>
          <w:p w14:paraId="7A97BB6F" w14:textId="2D9E2B6E" w:rsidR="00BD7430" w:rsidRPr="003815D6" w:rsidRDefault="00BD7430" w:rsidP="00BD7430">
            <w:pPr>
              <w:pStyle w:val="TableBullet1"/>
            </w:pPr>
            <w:r w:rsidRPr="003815D6">
              <w:t>Manage Microsoft ACM project delivery</w:t>
            </w:r>
          </w:p>
          <w:p w14:paraId="29FE7CB3" w14:textId="27F4DD93" w:rsidR="00BD7430" w:rsidRPr="003815D6" w:rsidRDefault="00BD7430" w:rsidP="00BD7430">
            <w:pPr>
              <w:pStyle w:val="TableBullet1"/>
            </w:pPr>
            <w:r w:rsidRPr="003815D6">
              <w:t>Take responsibility for Microsoft ACM resource allocation, risk management, project priorities, and communication with executive management</w:t>
            </w:r>
          </w:p>
          <w:p w14:paraId="23029DBF" w14:textId="77E5163C" w:rsidR="00BD7430" w:rsidRPr="003815D6" w:rsidRDefault="00BD7430" w:rsidP="00BD7430">
            <w:pPr>
              <w:pStyle w:val="TableBullet1"/>
            </w:pPr>
            <w:r w:rsidRPr="003815D6">
              <w:t>Verify that deliverable development and activities are completed according to the plan</w:t>
            </w:r>
          </w:p>
          <w:p w14:paraId="366A5D23" w14:textId="2A92E0BA" w:rsidR="00BD7430" w:rsidRPr="003815D6" w:rsidRDefault="00BD7430" w:rsidP="00BD7430">
            <w:pPr>
              <w:pStyle w:val="TableBullet1"/>
            </w:pPr>
            <w:r w:rsidRPr="003815D6">
              <w:t xml:space="preserve">Provide </w:t>
            </w:r>
            <w:r w:rsidR="000C278E" w:rsidRPr="003815D6">
              <w:t xml:space="preserve">ACM </w:t>
            </w:r>
            <w:r w:rsidRPr="003815D6">
              <w:t>thought leadership</w:t>
            </w:r>
          </w:p>
          <w:p w14:paraId="2983DCC3" w14:textId="5FC40CD2" w:rsidR="00BD7430" w:rsidRPr="003815D6" w:rsidRDefault="00BD7430" w:rsidP="00BD7430">
            <w:pPr>
              <w:pStyle w:val="TableBullet1"/>
            </w:pPr>
            <w:r w:rsidRPr="003815D6">
              <w:t>Deliver ACM sessions, workshops, classes, work products, and deliverables</w:t>
            </w:r>
          </w:p>
        </w:tc>
      </w:tr>
    </w:tbl>
    <w:p w14:paraId="6AED8665" w14:textId="0B5A8F1B" w:rsidR="0089268B" w:rsidRPr="003815D6" w:rsidRDefault="0089268B" w:rsidP="0089268B">
      <w:pPr>
        <w:pStyle w:val="Heading1"/>
      </w:pPr>
      <w:bookmarkStart w:id="126" w:name="_Toc515009701"/>
      <w:bookmarkStart w:id="127" w:name="_Toc476167714"/>
      <w:bookmarkStart w:id="128" w:name="_Toc476168052"/>
      <w:bookmarkStart w:id="129" w:name="_Ref514405014"/>
      <w:bookmarkStart w:id="130" w:name="_Toc514413050"/>
      <w:bookmarkStart w:id="131" w:name="_Toc517762006"/>
      <w:bookmarkStart w:id="132" w:name="_Toc22884112"/>
      <w:bookmarkEnd w:id="126"/>
      <w:r w:rsidRPr="003815D6">
        <w:t>Customer responsibilities and project assumptions</w:t>
      </w:r>
      <w:bookmarkEnd w:id="127"/>
      <w:bookmarkEnd w:id="128"/>
      <w:bookmarkEnd w:id="129"/>
      <w:bookmarkEnd w:id="130"/>
      <w:bookmarkEnd w:id="131"/>
      <w:bookmarkEnd w:id="132"/>
    </w:p>
    <w:p w14:paraId="3549BE03" w14:textId="4CFC7D95" w:rsidR="002F1155" w:rsidRPr="003815D6" w:rsidRDefault="00737D61" w:rsidP="00737D61">
      <w:pPr>
        <w:pStyle w:val="Heading2"/>
      </w:pPr>
      <w:bookmarkStart w:id="133" w:name="_Toc476167715"/>
      <w:bookmarkStart w:id="134" w:name="_Toc476168053"/>
      <w:bookmarkStart w:id="135" w:name="_Toc514413051"/>
      <w:bookmarkStart w:id="136" w:name="_Toc517762007"/>
      <w:bookmarkStart w:id="137" w:name="_Toc22884113"/>
      <w:r w:rsidRPr="003815D6">
        <w:t>Customer responsibilities</w:t>
      </w:r>
      <w:bookmarkEnd w:id="133"/>
      <w:bookmarkEnd w:id="134"/>
      <w:bookmarkEnd w:id="135"/>
      <w:bookmarkEnd w:id="136"/>
      <w:bookmarkEnd w:id="137"/>
    </w:p>
    <w:p w14:paraId="72904518" w14:textId="4AB99F97" w:rsidR="00737D61" w:rsidRPr="003815D6" w:rsidRDefault="00737D61" w:rsidP="00AC1B81">
      <w:r w:rsidRPr="003815D6">
        <w:t>In addition to</w:t>
      </w:r>
      <w:r w:rsidR="0015000E" w:rsidRPr="003815D6">
        <w:t xml:space="preserve"> the</w:t>
      </w:r>
      <w:r w:rsidRPr="003815D6">
        <w:t xml:space="preserve"> </w:t>
      </w:r>
      <w:r w:rsidR="009633F4" w:rsidRPr="003815D6">
        <w:t>c</w:t>
      </w:r>
      <w:r w:rsidRPr="003815D6">
        <w:t xml:space="preserve">ustomer activities defined </w:t>
      </w:r>
      <w:r w:rsidR="00A67A54" w:rsidRPr="003815D6">
        <w:t xml:space="preserve">in the </w:t>
      </w:r>
      <w:r w:rsidR="00C35540" w:rsidRPr="003815D6">
        <w:fldChar w:fldCharType="begin"/>
      </w:r>
      <w:r w:rsidR="00C35540" w:rsidRPr="003815D6">
        <w:instrText xml:space="preserve"> REF _Ref477936654 \h </w:instrText>
      </w:r>
      <w:r w:rsidR="00C35540" w:rsidRPr="003815D6">
        <w:fldChar w:fldCharType="separate"/>
      </w:r>
      <w:r w:rsidR="00664262" w:rsidRPr="003815D6">
        <w:t>Approach</w:t>
      </w:r>
      <w:r w:rsidR="00C35540" w:rsidRPr="003815D6">
        <w:fldChar w:fldCharType="end"/>
      </w:r>
      <w:r w:rsidR="00C35540" w:rsidRPr="003815D6">
        <w:t xml:space="preserve"> </w:t>
      </w:r>
      <w:r w:rsidR="00A67A54" w:rsidRPr="003815D6">
        <w:t xml:space="preserve">section, </w:t>
      </w:r>
      <w:r w:rsidRPr="003815D6">
        <w:t xml:space="preserve">the </w:t>
      </w:r>
      <w:r w:rsidR="009633F4" w:rsidRPr="003815D6">
        <w:t>c</w:t>
      </w:r>
      <w:r w:rsidRPr="003815D6">
        <w:t>ustomer is also required to</w:t>
      </w:r>
      <w:r w:rsidR="00CE5B67" w:rsidRPr="003815D6">
        <w:t>:</w:t>
      </w:r>
    </w:p>
    <w:p w14:paraId="23B7AEDE" w14:textId="4FAB35E2" w:rsidR="00CE5B67" w:rsidRPr="003815D6" w:rsidRDefault="4BAA7215" w:rsidP="0015000E">
      <w:pPr>
        <w:pStyle w:val="Bulletlist"/>
        <w:ind w:left="270" w:hanging="270"/>
      </w:pPr>
      <w:r w:rsidRPr="003815D6">
        <w:t>Provide information</w:t>
      </w:r>
      <w:r w:rsidR="00500158">
        <w:t>.</w:t>
      </w:r>
    </w:p>
    <w:p w14:paraId="58BC4BF2" w14:textId="5998B07D" w:rsidR="004D04B9" w:rsidRPr="003815D6" w:rsidRDefault="4BAA7215" w:rsidP="001C222C">
      <w:pPr>
        <w:pStyle w:val="Bulletlist"/>
        <w:numPr>
          <w:ilvl w:val="1"/>
          <w:numId w:val="5"/>
        </w:numPr>
      </w:pPr>
      <w:r w:rsidRPr="003815D6">
        <w:t xml:space="preserve">This includes accurate, timely (within </w:t>
      </w:r>
      <w:r w:rsidR="000432CD" w:rsidRPr="003815D6">
        <w:t>3</w:t>
      </w:r>
      <w:r w:rsidRPr="003815D6">
        <w:t xml:space="preserve"> business days or as mutually agreed</w:t>
      </w:r>
      <w:r w:rsidR="000432CD" w:rsidRPr="003815D6">
        <w:t>-upon</w:t>
      </w:r>
      <w:r w:rsidRPr="003815D6">
        <w:t>), and complete information.</w:t>
      </w:r>
    </w:p>
    <w:p w14:paraId="4ABA5FD3" w14:textId="51B77FEE" w:rsidR="005D19D2" w:rsidRPr="003815D6" w:rsidRDefault="4BAA7215" w:rsidP="0015000E">
      <w:pPr>
        <w:pStyle w:val="Bulletlist"/>
        <w:ind w:left="270" w:hanging="270"/>
      </w:pPr>
      <w:r w:rsidRPr="003815D6">
        <w:t>Provide access to people and resources.</w:t>
      </w:r>
    </w:p>
    <w:p w14:paraId="6AFB047B" w14:textId="3EC3E61E" w:rsidR="004D04B9" w:rsidRPr="003815D6" w:rsidRDefault="4BAA7215" w:rsidP="001C222C">
      <w:pPr>
        <w:pStyle w:val="Bulletlist"/>
        <w:numPr>
          <w:ilvl w:val="1"/>
          <w:numId w:val="5"/>
        </w:numPr>
      </w:pPr>
      <w:r w:rsidRPr="003815D6">
        <w:t xml:space="preserve">This includes access to knowledgeable </w:t>
      </w:r>
      <w:r w:rsidR="009633F4" w:rsidRPr="003815D6">
        <w:t>c</w:t>
      </w:r>
      <w:r w:rsidRPr="003815D6">
        <w:t>ustomer personnel, including business user representatives, and access to funding if additional budget is needed to deliver project scope.</w:t>
      </w:r>
    </w:p>
    <w:p w14:paraId="3AE7D2ED" w14:textId="086895A2" w:rsidR="005D19D2" w:rsidRPr="003815D6" w:rsidRDefault="4BAA7215" w:rsidP="0015000E">
      <w:pPr>
        <w:pStyle w:val="Bulletlist"/>
        <w:ind w:left="270" w:hanging="270"/>
      </w:pPr>
      <w:r w:rsidRPr="003815D6">
        <w:t>Provide access to systems.</w:t>
      </w:r>
    </w:p>
    <w:p w14:paraId="6A93ABD5" w14:textId="6BF063B9" w:rsidR="004D04B9" w:rsidRPr="003815D6" w:rsidRDefault="4BAA7215" w:rsidP="001C222C">
      <w:pPr>
        <w:pStyle w:val="Bulletlist"/>
        <w:numPr>
          <w:ilvl w:val="1"/>
          <w:numId w:val="5"/>
        </w:numPr>
      </w:pPr>
      <w:r w:rsidRPr="003815D6">
        <w:t xml:space="preserve">This includes access to all necessary </w:t>
      </w:r>
      <w:r w:rsidR="009633F4" w:rsidRPr="003815D6">
        <w:t>c</w:t>
      </w:r>
      <w:r w:rsidRPr="003815D6">
        <w:t>ustomer work locations, networks, systems, and applications (remote and onsite).</w:t>
      </w:r>
    </w:p>
    <w:p w14:paraId="3E33ED23" w14:textId="77777777" w:rsidR="00C35540" w:rsidRPr="003815D6" w:rsidRDefault="4BAA7215" w:rsidP="0015000E">
      <w:pPr>
        <w:pStyle w:val="Bulletlist"/>
        <w:ind w:left="270" w:hanging="270"/>
      </w:pPr>
      <w:r w:rsidRPr="003815D6">
        <w:t>Provide a work environment.</w:t>
      </w:r>
    </w:p>
    <w:p w14:paraId="691D1AA0" w14:textId="77777777" w:rsidR="004D04B9" w:rsidRPr="003815D6" w:rsidRDefault="4BAA7215" w:rsidP="001C222C">
      <w:pPr>
        <w:pStyle w:val="Bulletlist"/>
        <w:numPr>
          <w:ilvl w:val="1"/>
          <w:numId w:val="5"/>
        </w:numPr>
      </w:pPr>
      <w:r w:rsidRPr="003815D6">
        <w:t>This consists of suitable work spaces, including desks, chairs, and Internet access.</w:t>
      </w:r>
    </w:p>
    <w:p w14:paraId="1C934DD5" w14:textId="77777777" w:rsidR="00C35540" w:rsidRPr="003815D6" w:rsidRDefault="4BAA7215" w:rsidP="0015000E">
      <w:pPr>
        <w:pStyle w:val="Bulletlist"/>
        <w:ind w:left="270" w:hanging="270"/>
      </w:pPr>
      <w:r w:rsidRPr="003815D6">
        <w:t>Manage non-Microsoft resources.</w:t>
      </w:r>
    </w:p>
    <w:p w14:paraId="5A1DB8D2" w14:textId="67FA50EB" w:rsidR="004D04B9" w:rsidRPr="003815D6" w:rsidRDefault="4BAA7215" w:rsidP="001C222C">
      <w:pPr>
        <w:pStyle w:val="Bulletlist"/>
        <w:numPr>
          <w:ilvl w:val="1"/>
          <w:numId w:val="5"/>
        </w:numPr>
      </w:pPr>
      <w:r w:rsidRPr="003815D6">
        <w:t xml:space="preserve">The </w:t>
      </w:r>
      <w:r w:rsidR="009633F4" w:rsidRPr="003815D6">
        <w:t>c</w:t>
      </w:r>
      <w:r w:rsidRPr="003815D6">
        <w:t xml:space="preserve">ustomer will assume responsibility for the management of all </w:t>
      </w:r>
      <w:r w:rsidR="009633F4" w:rsidRPr="003815D6">
        <w:t>c</w:t>
      </w:r>
      <w:r w:rsidRPr="003815D6">
        <w:t>ustomer personnel and vendors who are not managed by Microsoft.</w:t>
      </w:r>
    </w:p>
    <w:p w14:paraId="41484554" w14:textId="77777777" w:rsidR="004B1433" w:rsidRPr="003815D6" w:rsidRDefault="4BAA7215" w:rsidP="0015000E">
      <w:pPr>
        <w:pStyle w:val="Bulletlist"/>
        <w:ind w:left="270" w:hanging="270"/>
      </w:pPr>
      <w:r w:rsidRPr="003815D6">
        <w:t>Manage external dependencies.</w:t>
      </w:r>
    </w:p>
    <w:p w14:paraId="0C9876B8" w14:textId="53603920" w:rsidR="004D04B9" w:rsidRPr="003815D6" w:rsidRDefault="4BAA7215" w:rsidP="001C222C">
      <w:pPr>
        <w:pStyle w:val="Bulletlist"/>
        <w:numPr>
          <w:ilvl w:val="1"/>
          <w:numId w:val="5"/>
        </w:numPr>
      </w:pPr>
      <w:r w:rsidRPr="003815D6">
        <w:t xml:space="preserve">The </w:t>
      </w:r>
      <w:r w:rsidR="009633F4" w:rsidRPr="003815D6">
        <w:t>c</w:t>
      </w:r>
      <w:r w:rsidRPr="003815D6">
        <w:t>ustomer will facilitate any interactions with related projects or programs in order to manage external project dependencies.</w:t>
      </w:r>
    </w:p>
    <w:p w14:paraId="500F2418" w14:textId="16327A1B" w:rsidR="007D3787" w:rsidRPr="003815D6" w:rsidRDefault="007D3787" w:rsidP="007D3787">
      <w:pPr>
        <w:pStyle w:val="Heading2"/>
      </w:pPr>
      <w:bookmarkStart w:id="138" w:name="_Toc476167716"/>
      <w:bookmarkStart w:id="139" w:name="_Toc476168054"/>
      <w:bookmarkStart w:id="140" w:name="_Toc514413052"/>
      <w:bookmarkStart w:id="141" w:name="_Toc517762008"/>
      <w:bookmarkStart w:id="142" w:name="_Toc22884114"/>
      <w:r w:rsidRPr="003815D6">
        <w:t xml:space="preserve">Project </w:t>
      </w:r>
      <w:bookmarkEnd w:id="138"/>
      <w:bookmarkEnd w:id="139"/>
      <w:r w:rsidR="006209A1" w:rsidRPr="003815D6">
        <w:t>assumptions</w:t>
      </w:r>
      <w:bookmarkEnd w:id="140"/>
      <w:bookmarkEnd w:id="141"/>
      <w:bookmarkEnd w:id="142"/>
    </w:p>
    <w:p w14:paraId="47E35D96" w14:textId="5C805C62" w:rsidR="00EC7993" w:rsidRPr="003815D6" w:rsidRDefault="4BAA7215" w:rsidP="00EC7993">
      <w:r w:rsidRPr="003815D6">
        <w:t xml:space="preserve">The project scope, </w:t>
      </w:r>
      <w:r w:rsidR="00590C71" w:rsidRPr="003815D6">
        <w:t>S</w:t>
      </w:r>
      <w:r w:rsidRPr="003815D6">
        <w:t xml:space="preserve">ervices, fees, timeline, and our detailed solution are based on the information provided by the </w:t>
      </w:r>
      <w:r w:rsidR="009633F4" w:rsidRPr="003815D6">
        <w:t>c</w:t>
      </w:r>
      <w:r w:rsidRPr="003815D6">
        <w:t>ustomer to date</w:t>
      </w:r>
      <w:r w:rsidR="00AD3717">
        <w:t xml:space="preserve"> </w:t>
      </w:r>
      <w:r w:rsidR="00AD3717" w:rsidRPr="00AD3717">
        <w:rPr>
          <w:i/>
          <w:iCs/>
        </w:rPr>
        <w:t>(as per  tasking letter sent 16 October 2019).</w:t>
      </w:r>
      <w:r w:rsidRPr="00AD3717">
        <w:rPr>
          <w:i/>
          <w:iCs/>
        </w:rPr>
        <w:t xml:space="preserve"> </w:t>
      </w:r>
      <w:r w:rsidRPr="003815D6">
        <w:t xml:space="preserve">During the project, the </w:t>
      </w:r>
      <w:r w:rsidRPr="003815D6">
        <w:lastRenderedPageBreak/>
        <w:t>information and assumptions in this SOW will be validated, and if a material difference is present, this could result in Microsoft initiating a change request to cover additional work or extend the project duration. In addition, the following assumptions have been made:</w:t>
      </w:r>
    </w:p>
    <w:p w14:paraId="788A10BD" w14:textId="4F53DF43" w:rsidR="003D158B" w:rsidRPr="003815D6" w:rsidRDefault="4BAA7215" w:rsidP="0015000E">
      <w:pPr>
        <w:pStyle w:val="Bulletlist"/>
        <w:ind w:left="270" w:hanging="270"/>
      </w:pPr>
      <w:r w:rsidRPr="003815D6">
        <w:t>Work day:</w:t>
      </w:r>
    </w:p>
    <w:p w14:paraId="63B12D47" w14:textId="0684FDFD" w:rsidR="004D04B9" w:rsidRPr="003815D6" w:rsidRDefault="4BAA7215" w:rsidP="001C222C">
      <w:pPr>
        <w:pStyle w:val="Bulletlist"/>
        <w:numPr>
          <w:ilvl w:val="1"/>
          <w:numId w:val="5"/>
        </w:numPr>
      </w:pPr>
      <w:r w:rsidRPr="003815D6">
        <w:t>The standard work day for the Microsoft project team is between 8 AM and 5 PM</w:t>
      </w:r>
      <w:r w:rsidR="004B7984">
        <w:t xml:space="preserve"> local time</w:t>
      </w:r>
      <w:r w:rsidRPr="003815D6">
        <w:t>, Monday through Friday.</w:t>
      </w:r>
    </w:p>
    <w:p w14:paraId="1F22D822" w14:textId="77777777" w:rsidR="009E719B" w:rsidRPr="003815D6" w:rsidRDefault="4BAA7215" w:rsidP="0015000E">
      <w:pPr>
        <w:pStyle w:val="Bulletlist"/>
        <w:ind w:left="270" w:hanging="270"/>
      </w:pPr>
      <w:r w:rsidRPr="003815D6">
        <w:t>Standard holidays:</w:t>
      </w:r>
    </w:p>
    <w:p w14:paraId="16CA53F1" w14:textId="77777777" w:rsidR="009E719B" w:rsidRPr="003815D6" w:rsidRDefault="4BAA7215" w:rsidP="001C222C">
      <w:pPr>
        <w:pStyle w:val="Bulletlist"/>
        <w:numPr>
          <w:ilvl w:val="1"/>
          <w:numId w:val="5"/>
        </w:numPr>
      </w:pPr>
      <w:r w:rsidRPr="003815D6">
        <w:t>Observance of consultants’ country-of-residence holidays is assumed and has been factored into the project timeline.</w:t>
      </w:r>
    </w:p>
    <w:p w14:paraId="6B02F1E1" w14:textId="77777777" w:rsidR="003D158B" w:rsidRPr="003815D6" w:rsidRDefault="4BAA7215" w:rsidP="0015000E">
      <w:pPr>
        <w:pStyle w:val="Bulletlist"/>
        <w:ind w:left="270" w:hanging="270"/>
      </w:pPr>
      <w:r w:rsidRPr="003815D6">
        <w:t>Remote working:</w:t>
      </w:r>
    </w:p>
    <w:p w14:paraId="6B0640D1" w14:textId="77597E94" w:rsidR="004D04B9" w:rsidRPr="003815D6" w:rsidRDefault="4BAA7215" w:rsidP="001C222C">
      <w:pPr>
        <w:pStyle w:val="Bulletlist"/>
        <w:numPr>
          <w:ilvl w:val="1"/>
          <w:numId w:val="5"/>
        </w:numPr>
      </w:pPr>
      <w:r w:rsidRPr="003815D6">
        <w:t xml:space="preserve">The Microsoft project team may perform </w:t>
      </w:r>
      <w:r w:rsidR="00590C71" w:rsidRPr="003815D6">
        <w:t>S</w:t>
      </w:r>
      <w:r w:rsidRPr="003815D6">
        <w:t>ervices remotely.</w:t>
      </w:r>
    </w:p>
    <w:p w14:paraId="7254DB2F" w14:textId="77777777" w:rsidR="003D158B" w:rsidRPr="003815D6" w:rsidRDefault="4BAA7215" w:rsidP="0015000E">
      <w:pPr>
        <w:pStyle w:val="Bulletlist"/>
        <w:ind w:left="270" w:hanging="270"/>
      </w:pPr>
      <w:r w:rsidRPr="003815D6">
        <w:t>Language:</w:t>
      </w:r>
    </w:p>
    <w:p w14:paraId="3C698107" w14:textId="51F8F1ED" w:rsidR="004D04B9" w:rsidRPr="003815D6" w:rsidRDefault="4BAA7215" w:rsidP="001C222C">
      <w:pPr>
        <w:pStyle w:val="Bulletlist"/>
        <w:numPr>
          <w:ilvl w:val="1"/>
          <w:numId w:val="5"/>
        </w:numPr>
      </w:pPr>
      <w:r w:rsidRPr="003815D6">
        <w:t xml:space="preserve">All project communications and documentation will be in </w:t>
      </w:r>
      <w:r w:rsidR="004B7984">
        <w:t>English.</w:t>
      </w:r>
      <w:r w:rsidRPr="003815D6">
        <w:t xml:space="preserve"> Local language support and translations will be provided by the </w:t>
      </w:r>
      <w:r w:rsidR="009633F4" w:rsidRPr="003815D6">
        <w:t>c</w:t>
      </w:r>
      <w:r w:rsidRPr="003815D6">
        <w:t>ustomer.</w:t>
      </w:r>
    </w:p>
    <w:p w14:paraId="3687B333" w14:textId="77777777" w:rsidR="003D158B" w:rsidRPr="003815D6" w:rsidRDefault="4BAA7215" w:rsidP="0015000E">
      <w:pPr>
        <w:pStyle w:val="Bulletlist"/>
        <w:ind w:left="270" w:hanging="270"/>
      </w:pPr>
      <w:r w:rsidRPr="003815D6">
        <w:t>Staffing:</w:t>
      </w:r>
    </w:p>
    <w:p w14:paraId="0EF27436" w14:textId="77777777" w:rsidR="004D04B9" w:rsidRPr="003815D6" w:rsidRDefault="4BAA7215" w:rsidP="001C222C">
      <w:pPr>
        <w:pStyle w:val="Bulletlist"/>
        <w:numPr>
          <w:ilvl w:val="1"/>
          <w:numId w:val="5"/>
        </w:numPr>
      </w:pPr>
      <w:r w:rsidRPr="003815D6">
        <w:t>If necessary, Microsoft will make staffing changes. These can include, but are not limited to, the number of resources, individuals, and project roles.</w:t>
      </w:r>
    </w:p>
    <w:p w14:paraId="0660F671" w14:textId="77777777" w:rsidR="00BB19E5" w:rsidRPr="003815D6" w:rsidRDefault="4BAA7215" w:rsidP="0015000E">
      <w:pPr>
        <w:pStyle w:val="Bulletlist"/>
        <w:ind w:left="270" w:hanging="270"/>
      </w:pPr>
      <w:r w:rsidRPr="003815D6">
        <w:t>Informal knowledge transfer:</w:t>
      </w:r>
    </w:p>
    <w:p w14:paraId="50DAF0B7" w14:textId="77777777" w:rsidR="004D04B9" w:rsidRDefault="4BAA7215" w:rsidP="001C222C">
      <w:pPr>
        <w:pStyle w:val="Bulletlist"/>
        <w:numPr>
          <w:ilvl w:val="1"/>
          <w:numId w:val="5"/>
        </w:numPr>
      </w:pPr>
      <w:r w:rsidRPr="003815D6">
        <w:t>Customer staff members who work alongside Microsoft staff will be provided with information knowledge transfer throughout the project. No formal training materials will be developed or delivered as part of this informal knowledge transfer.</w:t>
      </w:r>
    </w:p>
    <w:p w14:paraId="544E9387" w14:textId="77777777" w:rsidR="00BA6157" w:rsidRDefault="00BA6157" w:rsidP="00BA6157">
      <w:pPr>
        <w:pStyle w:val="Bulletlist"/>
        <w:numPr>
          <w:ilvl w:val="0"/>
          <w:numId w:val="0"/>
        </w:numPr>
        <w:ind w:left="360" w:hanging="360"/>
      </w:pPr>
    </w:p>
    <w:p w14:paraId="3A05EB60" w14:textId="5EF45AFE" w:rsidR="00105EBA" w:rsidRDefault="7DB3CDE3" w:rsidP="00105EBA">
      <w:pPr>
        <w:pStyle w:val="Heading1"/>
        <w:ind w:left="576" w:hanging="576"/>
      </w:pPr>
      <w:bookmarkStart w:id="143" w:name="_Toc22884115"/>
      <w:r>
        <w:t>Mimecast Transition</w:t>
      </w:r>
      <w:bookmarkEnd w:id="143"/>
    </w:p>
    <w:p w14:paraId="3BAE38B6" w14:textId="37F17BF3" w:rsidR="7DB3CDE3" w:rsidRDefault="7DB3CDE3" w:rsidP="7DB3CDE3">
      <w:pPr>
        <w:spacing w:after="160" w:line="240" w:lineRule="auto"/>
        <w:ind w:left="360" w:hanging="360"/>
      </w:pPr>
      <w:r w:rsidRPr="7DB3CDE3">
        <w:rPr>
          <w:rFonts w:eastAsiaTheme="minorEastAsia"/>
          <w:szCs w:val="20"/>
          <w:lang w:val="en-ZA"/>
        </w:rPr>
        <w:t xml:space="preserve"> department of e-Government is responsible as the overall owner of the archived data to coordinate </w:t>
      </w:r>
    </w:p>
    <w:p w14:paraId="08748293" w14:textId="0003321E" w:rsidR="7DB3CDE3" w:rsidRDefault="7DB3CDE3" w:rsidP="7DB3CDE3">
      <w:pPr>
        <w:spacing w:after="160" w:line="240" w:lineRule="auto"/>
        <w:ind w:left="360" w:hanging="360"/>
      </w:pPr>
      <w:r w:rsidRPr="7DB3CDE3">
        <w:rPr>
          <w:rFonts w:eastAsiaTheme="minorEastAsia"/>
          <w:szCs w:val="20"/>
          <w:lang w:val="en-ZA"/>
        </w:rPr>
        <w:t xml:space="preserve">the retrieval of its archived data from the current service provider. </w:t>
      </w:r>
    </w:p>
    <w:p w14:paraId="310D3231" w14:textId="7719E2E3" w:rsidR="7DB3CDE3" w:rsidRDefault="7DB3CDE3" w:rsidP="7DB3CDE3">
      <w:pPr>
        <w:spacing w:after="0" w:line="240" w:lineRule="auto"/>
        <w:ind w:left="360" w:hanging="360"/>
        <w:rPr>
          <w:rFonts w:eastAsiaTheme="minorEastAsia"/>
          <w:szCs w:val="20"/>
        </w:rPr>
      </w:pPr>
      <w:r w:rsidRPr="7DB3CDE3">
        <w:rPr>
          <w:rFonts w:eastAsiaTheme="minorEastAsia"/>
          <w:szCs w:val="20"/>
          <w:lang w:val="en-ZA"/>
        </w:rPr>
        <w:t xml:space="preserve">Due to the size of the archive and the cost that will be associated with ingestion at this size. Microsoft </w:t>
      </w:r>
    </w:p>
    <w:p w14:paraId="5F697199" w14:textId="20F3BDC1" w:rsidR="7DB3CDE3" w:rsidRDefault="7DB3CDE3" w:rsidP="7DB3CDE3">
      <w:pPr>
        <w:spacing w:after="0" w:line="240" w:lineRule="auto"/>
        <w:ind w:left="360" w:hanging="360"/>
        <w:rPr>
          <w:rFonts w:eastAsiaTheme="minorEastAsia"/>
          <w:szCs w:val="20"/>
        </w:rPr>
      </w:pPr>
      <w:r w:rsidRPr="7DB3CDE3">
        <w:rPr>
          <w:rFonts w:eastAsiaTheme="minorEastAsia"/>
          <w:szCs w:val="20"/>
          <w:lang w:val="en-ZA"/>
        </w:rPr>
        <w:t xml:space="preserve">recommends the following considerations and the price to be provided will be based on the selected </w:t>
      </w:r>
    </w:p>
    <w:p w14:paraId="25DCC876" w14:textId="1C0AA4B9" w:rsidR="7DB3CDE3" w:rsidRDefault="7DB3CDE3" w:rsidP="7DB3CDE3">
      <w:pPr>
        <w:spacing w:after="0" w:line="240" w:lineRule="auto"/>
        <w:ind w:left="360" w:hanging="360"/>
        <w:rPr>
          <w:rFonts w:eastAsiaTheme="minorEastAsia"/>
          <w:szCs w:val="20"/>
        </w:rPr>
      </w:pPr>
      <w:r w:rsidRPr="7DB3CDE3">
        <w:rPr>
          <w:rFonts w:eastAsiaTheme="minorEastAsia"/>
          <w:szCs w:val="20"/>
          <w:lang w:val="en-ZA"/>
        </w:rPr>
        <w:t>approach:</w:t>
      </w:r>
    </w:p>
    <w:p w14:paraId="6517DB3E" w14:textId="548E885C" w:rsidR="7DB3CDE3" w:rsidRDefault="7DB3CDE3" w:rsidP="7DB3CDE3">
      <w:pPr>
        <w:spacing w:after="160" w:line="240" w:lineRule="auto"/>
        <w:rPr>
          <w:rFonts w:ascii="Calibri" w:eastAsia="Calibri" w:hAnsi="Calibri" w:cs="Calibri"/>
          <w:sz w:val="22"/>
        </w:rPr>
      </w:pPr>
      <w:r w:rsidRPr="7DB3CDE3">
        <w:rPr>
          <w:rFonts w:ascii="Calibri" w:eastAsia="Calibri" w:hAnsi="Calibri" w:cs="Calibri"/>
          <w:sz w:val="22"/>
          <w:lang w:val="en-ZA"/>
        </w:rPr>
        <w:t>Archive size as confirmed by Mimecast on</w:t>
      </w:r>
      <w:r w:rsidRPr="7DB3CDE3">
        <w:rPr>
          <w:rFonts w:ascii="Calibri" w:eastAsia="Calibri" w:hAnsi="Calibri" w:cs="Calibri"/>
          <w:color w:val="747070" w:themeColor="background2" w:themeShade="7F"/>
          <w:sz w:val="22"/>
          <w:lang w:val="en-ZA"/>
        </w:rPr>
        <w:t xml:space="preserve"> </w:t>
      </w:r>
      <w:r w:rsidRPr="7DB3CDE3">
        <w:rPr>
          <w:rFonts w:ascii="Calibri" w:eastAsia="Calibri" w:hAnsi="Calibri" w:cs="Calibri"/>
          <w:b/>
          <w:bCs/>
          <w:color w:val="747070" w:themeColor="background2" w:themeShade="7F"/>
          <w:sz w:val="22"/>
          <w:lang w:val="en-ZA"/>
        </w:rPr>
        <w:t>31 October 2019</w:t>
      </w:r>
      <w:r w:rsidRPr="7DB3CDE3">
        <w:rPr>
          <w:rFonts w:ascii="Calibri" w:eastAsia="Calibri" w:hAnsi="Calibri" w:cs="Calibri"/>
          <w:color w:val="747070" w:themeColor="background2" w:themeShade="7F"/>
          <w:sz w:val="22"/>
          <w:lang w:val="en-ZA"/>
        </w:rPr>
        <w:t xml:space="preserve">: 191 TB </w:t>
      </w:r>
      <w:r w:rsidRPr="7DB3CDE3">
        <w:rPr>
          <w:rFonts w:ascii="Calibri" w:eastAsia="Calibri" w:hAnsi="Calibri" w:cs="Calibri"/>
          <w:b/>
          <w:bCs/>
          <w:color w:val="747070" w:themeColor="background2" w:themeShade="7F"/>
          <w:sz w:val="22"/>
          <w:lang w:val="en-ZA"/>
        </w:rPr>
        <w:t>(See Addendum B)</w:t>
      </w:r>
    </w:p>
    <w:p w14:paraId="3DBDA21A" w14:textId="3285EF3A" w:rsidR="7DB3CDE3" w:rsidRDefault="7DB3CDE3" w:rsidP="7DB3CDE3">
      <w:pPr>
        <w:spacing w:after="160" w:line="240" w:lineRule="auto"/>
        <w:rPr>
          <w:rFonts w:ascii="Calibri" w:eastAsia="Calibri" w:hAnsi="Calibri" w:cs="Calibri"/>
          <w:sz w:val="22"/>
        </w:rPr>
      </w:pPr>
      <w:r w:rsidRPr="7DB3CDE3">
        <w:rPr>
          <w:rFonts w:ascii="Calibri" w:eastAsia="Calibri" w:hAnsi="Calibri" w:cs="Calibri"/>
          <w:b/>
          <w:bCs/>
          <w:sz w:val="22"/>
          <w:lang w:val="en-ZA"/>
        </w:rPr>
        <w:t>Option 1:</w:t>
      </w:r>
    </w:p>
    <w:p w14:paraId="4AD70DB3" w14:textId="461E5012" w:rsidR="7DB3CDE3" w:rsidRDefault="7DB3CDE3" w:rsidP="7DB3CDE3">
      <w:pPr>
        <w:spacing w:after="160" w:line="240" w:lineRule="auto"/>
        <w:rPr>
          <w:rFonts w:ascii="Calibri" w:eastAsia="Calibri" w:hAnsi="Calibri" w:cs="Calibri"/>
          <w:sz w:val="22"/>
        </w:rPr>
      </w:pPr>
      <w:r w:rsidRPr="7DB3CDE3">
        <w:rPr>
          <w:rFonts w:ascii="Calibri" w:eastAsia="Calibri" w:hAnsi="Calibri" w:cs="Calibri"/>
          <w:sz w:val="22"/>
          <w:lang w:val="en-ZA"/>
        </w:rPr>
        <w:t xml:space="preserve"> can keep the archive at Mimecast until the retention period expires depending on data retention regulations/policies at . Microsoft can deploy the Mimecast Outlook Add-On to all the mailbox users to enable them to access the archive.</w:t>
      </w:r>
    </w:p>
    <w:p w14:paraId="296121C0" w14:textId="5819E645" w:rsidR="7DB3CDE3" w:rsidRDefault="7DB3CDE3" w:rsidP="7DB3CDE3">
      <w:pPr>
        <w:spacing w:after="160" w:line="240" w:lineRule="auto"/>
        <w:rPr>
          <w:rFonts w:ascii="Calibri" w:eastAsia="Calibri" w:hAnsi="Calibri" w:cs="Calibri"/>
          <w:sz w:val="22"/>
        </w:rPr>
      </w:pPr>
      <w:r w:rsidRPr="7DB3CDE3">
        <w:rPr>
          <w:rFonts w:ascii="Calibri" w:eastAsia="Calibri" w:hAnsi="Calibri" w:cs="Calibri"/>
          <w:b/>
          <w:bCs/>
          <w:sz w:val="22"/>
          <w:lang w:val="en-ZA"/>
        </w:rPr>
        <w:t>Option 2:</w:t>
      </w:r>
      <w:r w:rsidRPr="7DB3CDE3">
        <w:rPr>
          <w:rFonts w:ascii="Calibri" w:eastAsia="Calibri" w:hAnsi="Calibri" w:cs="Calibri"/>
          <w:sz w:val="22"/>
          <w:lang w:val="en-ZA"/>
        </w:rPr>
        <w:t xml:space="preserve"> </w:t>
      </w:r>
    </w:p>
    <w:p w14:paraId="1E064D67" w14:textId="13F29317" w:rsidR="7DB3CDE3" w:rsidRDefault="7DB3CDE3" w:rsidP="7DB3CDE3">
      <w:pPr>
        <w:spacing w:after="160" w:line="240" w:lineRule="auto"/>
        <w:ind w:left="360" w:hanging="360"/>
        <w:rPr>
          <w:rFonts w:ascii="Calibri" w:eastAsia="Calibri" w:hAnsi="Calibri" w:cs="Calibri"/>
          <w:sz w:val="22"/>
          <w:lang w:val="en-ZA"/>
        </w:rPr>
      </w:pPr>
      <w:r w:rsidRPr="7DB3CDE3">
        <w:rPr>
          <w:rFonts w:ascii="Calibri" w:eastAsia="Calibri" w:hAnsi="Calibri" w:cs="Calibri"/>
          <w:sz w:val="22"/>
          <w:lang w:val="en-ZA"/>
        </w:rPr>
        <w:t xml:space="preserve"> to facilitate the availability of the archived data to Microsoft using a databox and/or secure </w:t>
      </w:r>
    </w:p>
    <w:p w14:paraId="45462F6B" w14:textId="5BEDE85C" w:rsidR="7DB3CDE3" w:rsidRDefault="7DB3CDE3" w:rsidP="7DB3CDE3">
      <w:pPr>
        <w:spacing w:after="160" w:line="240" w:lineRule="auto"/>
        <w:ind w:left="360" w:hanging="360"/>
        <w:rPr>
          <w:rFonts w:ascii="Calibri" w:eastAsia="Calibri" w:hAnsi="Calibri" w:cs="Calibri"/>
          <w:sz w:val="22"/>
          <w:lang w:val="en-ZA"/>
        </w:rPr>
      </w:pPr>
      <w:r w:rsidRPr="7DB3CDE3">
        <w:rPr>
          <w:rFonts w:ascii="Calibri" w:eastAsia="Calibri" w:hAnsi="Calibri" w:cs="Calibri"/>
          <w:sz w:val="22"/>
          <w:lang w:val="en-ZA"/>
        </w:rPr>
        <w:t xml:space="preserve">specialised device. Once the data is made available to Microsoft, the ingestion project will be initiated, </w:t>
      </w:r>
    </w:p>
    <w:p w14:paraId="3C1C615A" w14:textId="2F8EB107" w:rsidR="7DB3CDE3" w:rsidRDefault="7DB3CDE3" w:rsidP="7DB3CDE3">
      <w:pPr>
        <w:spacing w:after="160" w:line="240" w:lineRule="auto"/>
        <w:ind w:left="360" w:hanging="360"/>
        <w:rPr>
          <w:rFonts w:ascii="Calibri" w:eastAsia="Calibri" w:hAnsi="Calibri" w:cs="Calibri"/>
          <w:sz w:val="22"/>
          <w:lang w:val="en-ZA"/>
        </w:rPr>
      </w:pPr>
      <w:r w:rsidRPr="7DB3CDE3">
        <w:rPr>
          <w:rFonts w:ascii="Calibri" w:eastAsia="Calibri" w:hAnsi="Calibri" w:cs="Calibri"/>
          <w:sz w:val="22"/>
          <w:lang w:val="en-ZA"/>
        </w:rPr>
        <w:t xml:space="preserve">and Microsoft will upload the data to the cloud. The cost associated with this option are significant due </w:t>
      </w:r>
    </w:p>
    <w:p w14:paraId="349C80C9" w14:textId="0FF987D8" w:rsidR="7DB3CDE3" w:rsidRDefault="7DB3CDE3" w:rsidP="7DB3CDE3">
      <w:pPr>
        <w:spacing w:after="160" w:line="240" w:lineRule="auto"/>
        <w:ind w:left="360" w:hanging="360"/>
        <w:rPr>
          <w:rFonts w:ascii="Calibri" w:eastAsia="Calibri" w:hAnsi="Calibri" w:cs="Calibri"/>
          <w:sz w:val="22"/>
        </w:rPr>
      </w:pPr>
      <w:r w:rsidRPr="7DB3CDE3">
        <w:rPr>
          <w:rFonts w:ascii="Calibri" w:eastAsia="Calibri" w:hAnsi="Calibri" w:cs="Calibri"/>
          <w:sz w:val="22"/>
          <w:lang w:val="en-ZA"/>
        </w:rPr>
        <w:lastRenderedPageBreak/>
        <w:t>to the size of the archive.</w:t>
      </w:r>
    </w:p>
    <w:p w14:paraId="2FE32EA9" w14:textId="01B49DC8" w:rsidR="7DB3CDE3" w:rsidRDefault="7DB3CDE3" w:rsidP="7DB3CDE3"/>
    <w:p w14:paraId="5E528FBB" w14:textId="77777777" w:rsidR="00275483" w:rsidRDefault="00275483" w:rsidP="001074F2"/>
    <w:p w14:paraId="4A617F51" w14:textId="32BA0B02" w:rsidR="001074F2" w:rsidRDefault="001074F2" w:rsidP="001074F2"/>
    <w:p w14:paraId="5AD83335" w14:textId="365D779E" w:rsidR="004D04B9" w:rsidRPr="003815D6" w:rsidRDefault="004D04B9" w:rsidP="00047A03"/>
    <w:sectPr w:rsidR="004D04B9" w:rsidRPr="003815D6" w:rsidSect="00A66E12">
      <w:headerReference w:type="default" r:id="rId19"/>
      <w:footerReference w:type="default" r:id="rId20"/>
      <w:pgSz w:w="12240" w:h="15840" w:code="1"/>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1CDD18" w14:textId="77777777" w:rsidR="00985043" w:rsidRDefault="00985043" w:rsidP="000D404A">
      <w:pPr>
        <w:spacing w:after="0" w:line="240" w:lineRule="auto"/>
      </w:pPr>
      <w:r>
        <w:separator/>
      </w:r>
    </w:p>
    <w:p w14:paraId="6E5A8CCD" w14:textId="77777777" w:rsidR="00985043" w:rsidRDefault="00985043"/>
  </w:endnote>
  <w:endnote w:type="continuationSeparator" w:id="0">
    <w:p w14:paraId="669955C3" w14:textId="77777777" w:rsidR="00985043" w:rsidRDefault="00985043" w:rsidP="000D404A">
      <w:pPr>
        <w:spacing w:after="0" w:line="240" w:lineRule="auto"/>
      </w:pPr>
      <w:r>
        <w:continuationSeparator/>
      </w:r>
    </w:p>
    <w:p w14:paraId="237C060A" w14:textId="77777777" w:rsidR="00985043" w:rsidRDefault="00985043"/>
  </w:endnote>
  <w:endnote w:type="continuationNotice" w:id="1">
    <w:p w14:paraId="7343ADB3" w14:textId="77777777" w:rsidR="00985043" w:rsidRDefault="00985043">
      <w:pPr>
        <w:spacing w:after="0" w:line="240" w:lineRule="auto"/>
      </w:pPr>
    </w:p>
    <w:p w14:paraId="066BAFAE" w14:textId="77777777" w:rsidR="00985043" w:rsidRDefault="009850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w:altName w:val="Calibri"/>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Light">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Pro">
    <w:altName w:val="Lucida Sans Unicode"/>
    <w:charset w:val="00"/>
    <w:family w:val="swiss"/>
    <w:pitch w:val="variable"/>
    <w:sig w:usb0="00000001" w:usb1="4000205B" w:usb2="00000000" w:usb3="00000000" w:csb0="0000009F" w:csb1="00000000"/>
  </w:font>
  <w:font w:name="Yu Mincho">
    <w:charset w:val="80"/>
    <w:family w:val="roman"/>
    <w:pitch w:val="variable"/>
    <w:sig w:usb0="800002E7" w:usb1="2AC7FCFF" w:usb2="00000012" w:usb3="00000000" w:csb0="0002009F" w:csb1="00000000"/>
  </w:font>
  <w:font w:name="Segoe Semibold">
    <w:altName w:val="Segoe UI Semibold"/>
    <w:charset w:val="00"/>
    <w:family w:val="swiss"/>
    <w:pitch w:val="variable"/>
    <w:sig w:usb0="00000001" w:usb1="4000205B"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D285F" w14:textId="7182A927" w:rsidR="005B7D30" w:rsidRPr="00F73F01" w:rsidRDefault="005B7D30" w:rsidP="00F73F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CF20B" w14:textId="3ED1119C" w:rsidR="005B7D30" w:rsidRPr="00F73F01" w:rsidRDefault="005B7D30" w:rsidP="00F73F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D9677" w14:textId="77777777" w:rsidR="005B7D30" w:rsidRPr="00F73F01" w:rsidRDefault="005B7D30" w:rsidP="00F73F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E115E1" w14:textId="77777777" w:rsidR="00985043" w:rsidRDefault="00985043" w:rsidP="000D404A">
      <w:pPr>
        <w:spacing w:after="0" w:line="240" w:lineRule="auto"/>
      </w:pPr>
      <w:r>
        <w:separator/>
      </w:r>
    </w:p>
    <w:p w14:paraId="361155A5" w14:textId="77777777" w:rsidR="00985043" w:rsidRDefault="00985043"/>
  </w:footnote>
  <w:footnote w:type="continuationSeparator" w:id="0">
    <w:p w14:paraId="34D21BE9" w14:textId="77777777" w:rsidR="00985043" w:rsidRDefault="00985043" w:rsidP="000D404A">
      <w:pPr>
        <w:spacing w:after="0" w:line="240" w:lineRule="auto"/>
      </w:pPr>
      <w:r>
        <w:continuationSeparator/>
      </w:r>
    </w:p>
    <w:p w14:paraId="7B857762" w14:textId="77777777" w:rsidR="00985043" w:rsidRDefault="00985043"/>
  </w:footnote>
  <w:footnote w:type="continuationNotice" w:id="1">
    <w:p w14:paraId="5BF6C84F" w14:textId="77777777" w:rsidR="00985043" w:rsidRDefault="00985043">
      <w:pPr>
        <w:spacing w:after="0" w:line="240" w:lineRule="auto"/>
      </w:pPr>
    </w:p>
    <w:p w14:paraId="256F60DB" w14:textId="77777777" w:rsidR="00985043" w:rsidRDefault="009850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A36A6" w14:textId="2677F598" w:rsidR="005B7D30" w:rsidRPr="00F73F01" w:rsidRDefault="005B7D30" w:rsidP="00F73F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09DDB" w14:textId="7BDE3518" w:rsidR="005B7D30" w:rsidRPr="00F73F01" w:rsidRDefault="005B7D30" w:rsidP="00F73F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1"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2"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3"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 w15:restartNumberingAfterBreak="0">
    <w:nsid w:val="052E72D1"/>
    <w:multiLevelType w:val="hybridMultilevel"/>
    <w:tmpl w:val="925A2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E60520"/>
    <w:multiLevelType w:val="hybridMultilevel"/>
    <w:tmpl w:val="56BE3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C7700"/>
    <w:multiLevelType w:val="hybridMultilevel"/>
    <w:tmpl w:val="8BCEE88A"/>
    <w:lvl w:ilvl="0" w:tplc="2C09000F">
      <w:start w:val="1"/>
      <w:numFmt w:val="decimal"/>
      <w:lvlText w:val="%1."/>
      <w:lvlJc w:val="left"/>
      <w:pPr>
        <w:ind w:left="720" w:hanging="360"/>
      </w:pPr>
    </w:lvl>
    <w:lvl w:ilvl="1" w:tplc="2C090019">
      <w:start w:val="1"/>
      <w:numFmt w:val="lowerLetter"/>
      <w:lvlText w:val="%2."/>
      <w:lvlJc w:val="left"/>
      <w:pPr>
        <w:ind w:left="1440" w:hanging="360"/>
      </w:pPr>
    </w:lvl>
    <w:lvl w:ilvl="2" w:tplc="2C09001B">
      <w:start w:val="1"/>
      <w:numFmt w:val="lowerRoman"/>
      <w:lvlText w:val="%3."/>
      <w:lvlJc w:val="right"/>
      <w:pPr>
        <w:ind w:left="2160" w:hanging="180"/>
      </w:pPr>
    </w:lvl>
    <w:lvl w:ilvl="3" w:tplc="2C09000F">
      <w:start w:val="1"/>
      <w:numFmt w:val="decimal"/>
      <w:lvlText w:val="%4."/>
      <w:lvlJc w:val="left"/>
      <w:pPr>
        <w:ind w:left="2880" w:hanging="360"/>
      </w:pPr>
    </w:lvl>
    <w:lvl w:ilvl="4" w:tplc="2C090019">
      <w:start w:val="1"/>
      <w:numFmt w:val="lowerLetter"/>
      <w:lvlText w:val="%5."/>
      <w:lvlJc w:val="left"/>
      <w:pPr>
        <w:ind w:left="3600" w:hanging="360"/>
      </w:pPr>
    </w:lvl>
    <w:lvl w:ilvl="5" w:tplc="2C09001B">
      <w:start w:val="1"/>
      <w:numFmt w:val="lowerRoman"/>
      <w:lvlText w:val="%6."/>
      <w:lvlJc w:val="right"/>
      <w:pPr>
        <w:ind w:left="4320" w:hanging="180"/>
      </w:pPr>
    </w:lvl>
    <w:lvl w:ilvl="6" w:tplc="2C09000F">
      <w:start w:val="1"/>
      <w:numFmt w:val="decimal"/>
      <w:lvlText w:val="%7."/>
      <w:lvlJc w:val="left"/>
      <w:pPr>
        <w:ind w:left="5040" w:hanging="360"/>
      </w:pPr>
    </w:lvl>
    <w:lvl w:ilvl="7" w:tplc="2C090019">
      <w:start w:val="1"/>
      <w:numFmt w:val="lowerLetter"/>
      <w:lvlText w:val="%8."/>
      <w:lvlJc w:val="left"/>
      <w:pPr>
        <w:ind w:left="5760" w:hanging="360"/>
      </w:pPr>
    </w:lvl>
    <w:lvl w:ilvl="8" w:tplc="2C09001B">
      <w:start w:val="1"/>
      <w:numFmt w:val="lowerRoman"/>
      <w:lvlText w:val="%9."/>
      <w:lvlJc w:val="right"/>
      <w:pPr>
        <w:ind w:left="6480" w:hanging="180"/>
      </w:pPr>
    </w:lvl>
  </w:abstractNum>
  <w:abstractNum w:abstractNumId="7" w15:restartNumberingAfterBreak="0">
    <w:nsid w:val="0D3C5C8F"/>
    <w:multiLevelType w:val="multilevel"/>
    <w:tmpl w:val="9A8A2970"/>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lvlText w:val="%1.%2.%6"/>
      <w:lvlJc w:val="left"/>
      <w:pPr>
        <w:tabs>
          <w:tab w:val="num" w:pos="4680"/>
        </w:tabs>
        <w:ind w:left="2736" w:hanging="936"/>
      </w:pPr>
      <w:rPr>
        <w:rFonts w:hint="default"/>
      </w:rPr>
    </w:lvl>
    <w:lvl w:ilvl="6">
      <w:start w:val="1"/>
      <w:numFmt w:val="decimal"/>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8" w15:restartNumberingAfterBreak="0">
    <w:nsid w:val="11C726D5"/>
    <w:multiLevelType w:val="multilevel"/>
    <w:tmpl w:val="EE90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451C6B"/>
    <w:multiLevelType w:val="multilevel"/>
    <w:tmpl w:val="73202136"/>
    <w:lvl w:ilvl="0">
      <w:start w:val="1"/>
      <w:numFmt w:val="decimal"/>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936" w:hanging="936"/>
      </w:pPr>
      <w:rPr>
        <w:rFonts w:hint="default"/>
      </w:rPr>
    </w:lvl>
    <w:lvl w:ilvl="3">
      <w:start w:val="1"/>
      <w:numFmt w:val="decimal"/>
      <w:pStyle w:val="NumHeading1"/>
      <w:lvlText w:val="%1.%2.%3.%4"/>
      <w:lvlJc w:val="left"/>
      <w:pPr>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ableGridLight"/>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CB62B9E"/>
    <w:multiLevelType w:val="hybridMultilevel"/>
    <w:tmpl w:val="BD305C74"/>
    <w:lvl w:ilvl="0" w:tplc="E3A2396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057DCF"/>
    <w:multiLevelType w:val="hybridMultilevel"/>
    <w:tmpl w:val="7726815A"/>
    <w:lvl w:ilvl="0" w:tplc="EAAC5AAE">
      <w:start w:val="1"/>
      <w:numFmt w:val="bullet"/>
      <w:pStyle w:val="Bulletlist"/>
      <w:lvlText w:val=""/>
      <w:lvlJc w:val="left"/>
      <w:pPr>
        <w:ind w:left="360" w:hanging="360"/>
      </w:pPr>
      <w:rPr>
        <w:rFonts w:ascii="Symbol" w:hAnsi="Symbol" w:hint="default"/>
        <w:sz w:val="19"/>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3" w15:restartNumberingAfterBreak="0">
    <w:nsid w:val="272B631D"/>
    <w:multiLevelType w:val="hybridMultilevel"/>
    <w:tmpl w:val="36747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18506A"/>
    <w:multiLevelType w:val="hybridMultilevel"/>
    <w:tmpl w:val="65D06C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724736"/>
    <w:multiLevelType w:val="multilevel"/>
    <w:tmpl w:val="273C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520799"/>
    <w:multiLevelType w:val="multilevel"/>
    <w:tmpl w:val="695E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901CB9"/>
    <w:multiLevelType w:val="multilevel"/>
    <w:tmpl w:val="0409001F"/>
    <w:numStyleLink w:val="Style1"/>
  </w:abstractNum>
  <w:abstractNum w:abstractNumId="18" w15:restartNumberingAfterBreak="0">
    <w:nsid w:val="39110E1C"/>
    <w:multiLevelType w:val="hybridMultilevel"/>
    <w:tmpl w:val="D7989F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AEB01C3"/>
    <w:multiLevelType w:val="hybridMultilevel"/>
    <w:tmpl w:val="84F4F3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44A5424B"/>
    <w:multiLevelType w:val="hybridMultilevel"/>
    <w:tmpl w:val="9A74ED7A"/>
    <w:lvl w:ilvl="0" w:tplc="6798C24C">
      <w:start w:val="1"/>
      <w:numFmt w:val="bullet"/>
      <w:pStyle w:val="TableBullet3"/>
      <w:lvlText w:val=""/>
      <w:lvlJc w:val="left"/>
      <w:pPr>
        <w:ind w:left="1080" w:hanging="360"/>
      </w:pPr>
      <w:rPr>
        <w:rFonts w:ascii="Symbol" w:hAnsi="Symbol" w:hint="default"/>
        <w:b w:val="0"/>
        <w:i/>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22" w15:restartNumberingAfterBreak="0">
    <w:nsid w:val="4B776B48"/>
    <w:multiLevelType w:val="hybridMultilevel"/>
    <w:tmpl w:val="3B42CD6A"/>
    <w:lvl w:ilvl="0" w:tplc="A3B877F2">
      <w:start w:val="1"/>
      <w:numFmt w:val="bullet"/>
      <w:pStyle w:val="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523125"/>
    <w:multiLevelType w:val="hybridMultilevel"/>
    <w:tmpl w:val="5B6C9BFC"/>
    <w:lvl w:ilvl="0" w:tplc="F6F4771E">
      <w:start w:val="1"/>
      <w:numFmt w:val="bullet"/>
      <w:pStyle w:val="Bullet3"/>
      <w:lvlText w:val="o"/>
      <w:lvlJc w:val="left"/>
      <w:pPr>
        <w:ind w:left="1080" w:hanging="360"/>
      </w:pPr>
      <w:rPr>
        <w:rFonts w:ascii="Courier New" w:hAnsi="Courier New" w:hint="default"/>
        <w:b w:val="0"/>
        <w:i/>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11021B4"/>
    <w:multiLevelType w:val="hybridMultilevel"/>
    <w:tmpl w:val="4F60646C"/>
    <w:lvl w:ilvl="0" w:tplc="EAAC5AAE">
      <w:start w:val="1"/>
      <w:numFmt w:val="bullet"/>
      <w:lvlText w:val=""/>
      <w:lvlJc w:val="left"/>
      <w:pPr>
        <w:ind w:left="360" w:hanging="360"/>
      </w:pPr>
      <w:rPr>
        <w:rFonts w:ascii="Symbol" w:hAnsi="Symbol" w:hint="default"/>
        <w:sz w:val="19"/>
      </w:rPr>
    </w:lvl>
    <w:lvl w:ilvl="1" w:tplc="FFFFFFFF">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FC5683"/>
    <w:multiLevelType w:val="multilevel"/>
    <w:tmpl w:val="B20C0A30"/>
    <w:lvl w:ilvl="0">
      <w:start w:val="1"/>
      <w:numFmt w:val="bullet"/>
      <w:lvlText w:val=""/>
      <w:lvlJc w:val="left"/>
      <w:pPr>
        <w:ind w:left="216" w:hanging="216"/>
      </w:pPr>
      <w:rPr>
        <w:rFonts w:ascii="Symbol" w:hAnsi="Symbol" w:hint="default"/>
        <w:b w:val="0"/>
        <w:i w:val="0"/>
        <w:color w:val="auto"/>
        <w:sz w:val="18"/>
      </w:rPr>
    </w:lvl>
    <w:lvl w:ilvl="1">
      <w:start w:val="1"/>
      <w:numFmt w:val="bullet"/>
      <w:lvlText w:val="−"/>
      <w:lvlJc w:val="left"/>
      <w:pPr>
        <w:ind w:left="396"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6"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7"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A22971"/>
    <w:multiLevelType w:val="multilevel"/>
    <w:tmpl w:val="162E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3A6351"/>
    <w:multiLevelType w:val="hybridMultilevel"/>
    <w:tmpl w:val="D646E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6E492C"/>
    <w:multiLevelType w:val="multilevel"/>
    <w:tmpl w:val="C26C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27"/>
  </w:num>
  <w:num w:numId="3">
    <w:abstractNumId w:val="17"/>
  </w:num>
  <w:num w:numId="4">
    <w:abstractNumId w:val="12"/>
  </w:num>
  <w:num w:numId="5">
    <w:abstractNumId w:val="10"/>
  </w:num>
  <w:num w:numId="6">
    <w:abstractNumId w:val="3"/>
  </w:num>
  <w:num w:numId="7">
    <w:abstractNumId w:val="26"/>
  </w:num>
  <w:num w:numId="8">
    <w:abstractNumId w:val="28"/>
  </w:num>
  <w:num w:numId="9">
    <w:abstractNumId w:val="11"/>
  </w:num>
  <w:num w:numId="10">
    <w:abstractNumId w:val="22"/>
  </w:num>
  <w:num w:numId="11">
    <w:abstractNumId w:val="4"/>
  </w:num>
  <w:num w:numId="12">
    <w:abstractNumId w:val="13"/>
  </w:num>
  <w:num w:numId="13">
    <w:abstractNumId w:val="7"/>
  </w:num>
  <w:num w:numId="14">
    <w:abstractNumId w:val="25"/>
  </w:num>
  <w:num w:numId="15">
    <w:abstractNumId w:val="20"/>
  </w:num>
  <w:num w:numId="16">
    <w:abstractNumId w:val="23"/>
  </w:num>
  <w:num w:numId="17">
    <w:abstractNumId w:val="2"/>
  </w:num>
  <w:num w:numId="18">
    <w:abstractNumId w:val="1"/>
  </w:num>
  <w:num w:numId="19">
    <w:abstractNumId w:val="0"/>
  </w:num>
  <w:num w:numId="20">
    <w:abstractNumId w:val="24"/>
  </w:num>
  <w:num w:numId="21">
    <w:abstractNumId w:val="31"/>
  </w:num>
  <w:num w:numId="22">
    <w:abstractNumId w:val="29"/>
  </w:num>
  <w:num w:numId="23">
    <w:abstractNumId w:val="8"/>
  </w:num>
  <w:num w:numId="24">
    <w:abstractNumId w:val="16"/>
  </w:num>
  <w:num w:numId="25">
    <w:abstractNumId w:val="15"/>
  </w:num>
  <w:num w:numId="26">
    <w:abstractNumId w:val="5"/>
  </w:num>
  <w:num w:numId="27">
    <w:abstractNumId w:val="30"/>
  </w:num>
  <w:num w:numId="28">
    <w:abstractNumId w:val="14"/>
  </w:num>
  <w:num w:numId="29">
    <w:abstractNumId w:val="18"/>
  </w:num>
  <w:num w:numId="30">
    <w:abstractNumId w:val="9"/>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92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14"/>
    <w:rsid w:val="0000094A"/>
    <w:rsid w:val="00001922"/>
    <w:rsid w:val="00002AFB"/>
    <w:rsid w:val="00003E8E"/>
    <w:rsid w:val="0000482B"/>
    <w:rsid w:val="00005090"/>
    <w:rsid w:val="0000571D"/>
    <w:rsid w:val="000057BF"/>
    <w:rsid w:val="00005972"/>
    <w:rsid w:val="00005F61"/>
    <w:rsid w:val="00006345"/>
    <w:rsid w:val="00006784"/>
    <w:rsid w:val="00006950"/>
    <w:rsid w:val="00007020"/>
    <w:rsid w:val="000101EE"/>
    <w:rsid w:val="0001099A"/>
    <w:rsid w:val="000110F0"/>
    <w:rsid w:val="00011802"/>
    <w:rsid w:val="000122F9"/>
    <w:rsid w:val="00013ABD"/>
    <w:rsid w:val="000149FA"/>
    <w:rsid w:val="000163EF"/>
    <w:rsid w:val="00016BEE"/>
    <w:rsid w:val="00016E38"/>
    <w:rsid w:val="00016EE6"/>
    <w:rsid w:val="00017196"/>
    <w:rsid w:val="0001741F"/>
    <w:rsid w:val="0001756A"/>
    <w:rsid w:val="00017A2C"/>
    <w:rsid w:val="00017ECC"/>
    <w:rsid w:val="00017EE6"/>
    <w:rsid w:val="0002090A"/>
    <w:rsid w:val="00020B48"/>
    <w:rsid w:val="000211E8"/>
    <w:rsid w:val="00023346"/>
    <w:rsid w:val="0002392F"/>
    <w:rsid w:val="00024771"/>
    <w:rsid w:val="00024C79"/>
    <w:rsid w:val="000251D3"/>
    <w:rsid w:val="000256BC"/>
    <w:rsid w:val="00025E4F"/>
    <w:rsid w:val="0002666A"/>
    <w:rsid w:val="00027351"/>
    <w:rsid w:val="0002755A"/>
    <w:rsid w:val="00027EC9"/>
    <w:rsid w:val="00031658"/>
    <w:rsid w:val="00033369"/>
    <w:rsid w:val="0003395C"/>
    <w:rsid w:val="00033C71"/>
    <w:rsid w:val="000348C6"/>
    <w:rsid w:val="00034943"/>
    <w:rsid w:val="00034DE1"/>
    <w:rsid w:val="00034E1C"/>
    <w:rsid w:val="00035125"/>
    <w:rsid w:val="000352F9"/>
    <w:rsid w:val="000354A7"/>
    <w:rsid w:val="00035A98"/>
    <w:rsid w:val="00035E48"/>
    <w:rsid w:val="00036CDA"/>
    <w:rsid w:val="000374A4"/>
    <w:rsid w:val="000379BC"/>
    <w:rsid w:val="0004048B"/>
    <w:rsid w:val="00040C1C"/>
    <w:rsid w:val="00040DD3"/>
    <w:rsid w:val="00041367"/>
    <w:rsid w:val="000417FD"/>
    <w:rsid w:val="000418CD"/>
    <w:rsid w:val="00041DE1"/>
    <w:rsid w:val="00042DEF"/>
    <w:rsid w:val="00043018"/>
    <w:rsid w:val="000432CD"/>
    <w:rsid w:val="000432D7"/>
    <w:rsid w:val="000435DF"/>
    <w:rsid w:val="0004420C"/>
    <w:rsid w:val="000454A2"/>
    <w:rsid w:val="00045721"/>
    <w:rsid w:val="00045810"/>
    <w:rsid w:val="00045BB3"/>
    <w:rsid w:val="00045DF7"/>
    <w:rsid w:val="00046029"/>
    <w:rsid w:val="000468D5"/>
    <w:rsid w:val="00046AFD"/>
    <w:rsid w:val="00047A03"/>
    <w:rsid w:val="00047F18"/>
    <w:rsid w:val="0005053E"/>
    <w:rsid w:val="00051A88"/>
    <w:rsid w:val="0005205F"/>
    <w:rsid w:val="00052EA6"/>
    <w:rsid w:val="00053D58"/>
    <w:rsid w:val="00054C5A"/>
    <w:rsid w:val="00054FA4"/>
    <w:rsid w:val="00055010"/>
    <w:rsid w:val="00055369"/>
    <w:rsid w:val="00055CA7"/>
    <w:rsid w:val="00056ABB"/>
    <w:rsid w:val="00057271"/>
    <w:rsid w:val="0005786B"/>
    <w:rsid w:val="00057DE5"/>
    <w:rsid w:val="00057F3D"/>
    <w:rsid w:val="000604D7"/>
    <w:rsid w:val="000608C2"/>
    <w:rsid w:val="000618C7"/>
    <w:rsid w:val="00062796"/>
    <w:rsid w:val="0006295A"/>
    <w:rsid w:val="00062D61"/>
    <w:rsid w:val="00063483"/>
    <w:rsid w:val="00063566"/>
    <w:rsid w:val="00063FF8"/>
    <w:rsid w:val="00064153"/>
    <w:rsid w:val="00064194"/>
    <w:rsid w:val="0006440D"/>
    <w:rsid w:val="00064658"/>
    <w:rsid w:val="000652D4"/>
    <w:rsid w:val="00065858"/>
    <w:rsid w:val="00065D6B"/>
    <w:rsid w:val="0006674B"/>
    <w:rsid w:val="00066CFC"/>
    <w:rsid w:val="00067AEA"/>
    <w:rsid w:val="00067C64"/>
    <w:rsid w:val="00070944"/>
    <w:rsid w:val="0007099D"/>
    <w:rsid w:val="0007178D"/>
    <w:rsid w:val="00071AC7"/>
    <w:rsid w:val="00071FBE"/>
    <w:rsid w:val="000721AD"/>
    <w:rsid w:val="0007237C"/>
    <w:rsid w:val="000723D6"/>
    <w:rsid w:val="00072506"/>
    <w:rsid w:val="000730ED"/>
    <w:rsid w:val="00073CDE"/>
    <w:rsid w:val="000743CB"/>
    <w:rsid w:val="00074924"/>
    <w:rsid w:val="0007565A"/>
    <w:rsid w:val="00076AAB"/>
    <w:rsid w:val="00076B63"/>
    <w:rsid w:val="00077DE5"/>
    <w:rsid w:val="00080AFD"/>
    <w:rsid w:val="00080C1C"/>
    <w:rsid w:val="000819CF"/>
    <w:rsid w:val="00082097"/>
    <w:rsid w:val="00082535"/>
    <w:rsid w:val="00083098"/>
    <w:rsid w:val="00083103"/>
    <w:rsid w:val="00083531"/>
    <w:rsid w:val="000836C9"/>
    <w:rsid w:val="00083BFA"/>
    <w:rsid w:val="00084596"/>
    <w:rsid w:val="00084F9E"/>
    <w:rsid w:val="000851AB"/>
    <w:rsid w:val="00085AB8"/>
    <w:rsid w:val="00086403"/>
    <w:rsid w:val="0008641F"/>
    <w:rsid w:val="0008736E"/>
    <w:rsid w:val="000876C0"/>
    <w:rsid w:val="00087713"/>
    <w:rsid w:val="0009001B"/>
    <w:rsid w:val="0009058B"/>
    <w:rsid w:val="000916AA"/>
    <w:rsid w:val="00091B26"/>
    <w:rsid w:val="00091B74"/>
    <w:rsid w:val="00091DAE"/>
    <w:rsid w:val="00092649"/>
    <w:rsid w:val="000926FA"/>
    <w:rsid w:val="00093309"/>
    <w:rsid w:val="00093315"/>
    <w:rsid w:val="00093B8F"/>
    <w:rsid w:val="00093E4A"/>
    <w:rsid w:val="00094884"/>
    <w:rsid w:val="00094E15"/>
    <w:rsid w:val="00094F84"/>
    <w:rsid w:val="00094FD2"/>
    <w:rsid w:val="00095619"/>
    <w:rsid w:val="00095CCE"/>
    <w:rsid w:val="00095D7E"/>
    <w:rsid w:val="000962FC"/>
    <w:rsid w:val="000968A0"/>
    <w:rsid w:val="000970E1"/>
    <w:rsid w:val="00097118"/>
    <w:rsid w:val="00097B9C"/>
    <w:rsid w:val="000A015C"/>
    <w:rsid w:val="000A0FC8"/>
    <w:rsid w:val="000A1804"/>
    <w:rsid w:val="000A3544"/>
    <w:rsid w:val="000A3BAA"/>
    <w:rsid w:val="000A3D1D"/>
    <w:rsid w:val="000A50EF"/>
    <w:rsid w:val="000A5694"/>
    <w:rsid w:val="000A6144"/>
    <w:rsid w:val="000A6163"/>
    <w:rsid w:val="000A6474"/>
    <w:rsid w:val="000A6BD9"/>
    <w:rsid w:val="000A79F4"/>
    <w:rsid w:val="000A7A6F"/>
    <w:rsid w:val="000A7AB5"/>
    <w:rsid w:val="000A7E36"/>
    <w:rsid w:val="000A7EC2"/>
    <w:rsid w:val="000B0D6F"/>
    <w:rsid w:val="000B179B"/>
    <w:rsid w:val="000B23E2"/>
    <w:rsid w:val="000B2518"/>
    <w:rsid w:val="000B25F2"/>
    <w:rsid w:val="000B3436"/>
    <w:rsid w:val="000B476E"/>
    <w:rsid w:val="000B4F20"/>
    <w:rsid w:val="000B5C7F"/>
    <w:rsid w:val="000B5C82"/>
    <w:rsid w:val="000B62A5"/>
    <w:rsid w:val="000B644C"/>
    <w:rsid w:val="000B65B3"/>
    <w:rsid w:val="000B6927"/>
    <w:rsid w:val="000B7232"/>
    <w:rsid w:val="000B7411"/>
    <w:rsid w:val="000B7519"/>
    <w:rsid w:val="000C00A2"/>
    <w:rsid w:val="000C0574"/>
    <w:rsid w:val="000C0B02"/>
    <w:rsid w:val="000C1216"/>
    <w:rsid w:val="000C161F"/>
    <w:rsid w:val="000C1BB1"/>
    <w:rsid w:val="000C1E76"/>
    <w:rsid w:val="000C21C3"/>
    <w:rsid w:val="000C2611"/>
    <w:rsid w:val="000C26BF"/>
    <w:rsid w:val="000C278E"/>
    <w:rsid w:val="000C27BE"/>
    <w:rsid w:val="000C3CA2"/>
    <w:rsid w:val="000C3FCD"/>
    <w:rsid w:val="000C4337"/>
    <w:rsid w:val="000C4A75"/>
    <w:rsid w:val="000C591B"/>
    <w:rsid w:val="000C659A"/>
    <w:rsid w:val="000C700A"/>
    <w:rsid w:val="000C707B"/>
    <w:rsid w:val="000C7613"/>
    <w:rsid w:val="000C7842"/>
    <w:rsid w:val="000C7EF2"/>
    <w:rsid w:val="000D03E9"/>
    <w:rsid w:val="000D25C6"/>
    <w:rsid w:val="000D2ABF"/>
    <w:rsid w:val="000D3265"/>
    <w:rsid w:val="000D3AD5"/>
    <w:rsid w:val="000D4034"/>
    <w:rsid w:val="000D404A"/>
    <w:rsid w:val="000D4E93"/>
    <w:rsid w:val="000D5ECD"/>
    <w:rsid w:val="000D626E"/>
    <w:rsid w:val="000D6708"/>
    <w:rsid w:val="000D75D8"/>
    <w:rsid w:val="000D761C"/>
    <w:rsid w:val="000D7A3C"/>
    <w:rsid w:val="000D7C00"/>
    <w:rsid w:val="000E0357"/>
    <w:rsid w:val="000E0521"/>
    <w:rsid w:val="000E06B0"/>
    <w:rsid w:val="000E0D4A"/>
    <w:rsid w:val="000E0E33"/>
    <w:rsid w:val="000E0F39"/>
    <w:rsid w:val="000E0FE7"/>
    <w:rsid w:val="000E2108"/>
    <w:rsid w:val="000E21C9"/>
    <w:rsid w:val="000E2301"/>
    <w:rsid w:val="000E26DC"/>
    <w:rsid w:val="000E529B"/>
    <w:rsid w:val="000E578D"/>
    <w:rsid w:val="000E5D16"/>
    <w:rsid w:val="000E68EB"/>
    <w:rsid w:val="000E6B6E"/>
    <w:rsid w:val="000E6DB3"/>
    <w:rsid w:val="000E7924"/>
    <w:rsid w:val="000E7FAE"/>
    <w:rsid w:val="000F051E"/>
    <w:rsid w:val="000F164C"/>
    <w:rsid w:val="000F1748"/>
    <w:rsid w:val="000F17AA"/>
    <w:rsid w:val="000F1D31"/>
    <w:rsid w:val="000F230A"/>
    <w:rsid w:val="000F276B"/>
    <w:rsid w:val="000F38CE"/>
    <w:rsid w:val="000F3BDC"/>
    <w:rsid w:val="000F4784"/>
    <w:rsid w:val="000F53B2"/>
    <w:rsid w:val="000F5A4B"/>
    <w:rsid w:val="000F5BC3"/>
    <w:rsid w:val="000F5C2A"/>
    <w:rsid w:val="000F5F63"/>
    <w:rsid w:val="000F64B0"/>
    <w:rsid w:val="000F665E"/>
    <w:rsid w:val="000F6B41"/>
    <w:rsid w:val="000F7177"/>
    <w:rsid w:val="001000B2"/>
    <w:rsid w:val="00100A82"/>
    <w:rsid w:val="00100AEB"/>
    <w:rsid w:val="0010145D"/>
    <w:rsid w:val="00101AB8"/>
    <w:rsid w:val="00102250"/>
    <w:rsid w:val="001022B5"/>
    <w:rsid w:val="00104009"/>
    <w:rsid w:val="001048C7"/>
    <w:rsid w:val="001049E4"/>
    <w:rsid w:val="00104AB3"/>
    <w:rsid w:val="00104E74"/>
    <w:rsid w:val="00104F35"/>
    <w:rsid w:val="00105D19"/>
    <w:rsid w:val="00105EBA"/>
    <w:rsid w:val="001063F6"/>
    <w:rsid w:val="001074F2"/>
    <w:rsid w:val="00107A71"/>
    <w:rsid w:val="00107E85"/>
    <w:rsid w:val="001109CA"/>
    <w:rsid w:val="00110CAA"/>
    <w:rsid w:val="00111485"/>
    <w:rsid w:val="001114CF"/>
    <w:rsid w:val="001116FC"/>
    <w:rsid w:val="00111EBA"/>
    <w:rsid w:val="00112450"/>
    <w:rsid w:val="00112B88"/>
    <w:rsid w:val="00112EB1"/>
    <w:rsid w:val="001146EB"/>
    <w:rsid w:val="00115347"/>
    <w:rsid w:val="00116614"/>
    <w:rsid w:val="00117AE2"/>
    <w:rsid w:val="00117CC6"/>
    <w:rsid w:val="00117CCD"/>
    <w:rsid w:val="00117D7E"/>
    <w:rsid w:val="0012026B"/>
    <w:rsid w:val="0012088D"/>
    <w:rsid w:val="00121300"/>
    <w:rsid w:val="001221C0"/>
    <w:rsid w:val="001223BA"/>
    <w:rsid w:val="001227DD"/>
    <w:rsid w:val="00122DAB"/>
    <w:rsid w:val="00123297"/>
    <w:rsid w:val="00123C36"/>
    <w:rsid w:val="00124716"/>
    <w:rsid w:val="0012587B"/>
    <w:rsid w:val="00126C65"/>
    <w:rsid w:val="00127B5B"/>
    <w:rsid w:val="00127BA7"/>
    <w:rsid w:val="0013051D"/>
    <w:rsid w:val="001308D6"/>
    <w:rsid w:val="00131718"/>
    <w:rsid w:val="00131D1D"/>
    <w:rsid w:val="00132206"/>
    <w:rsid w:val="001330DB"/>
    <w:rsid w:val="0013376C"/>
    <w:rsid w:val="00133F01"/>
    <w:rsid w:val="00134115"/>
    <w:rsid w:val="0013452E"/>
    <w:rsid w:val="001346EF"/>
    <w:rsid w:val="001355C2"/>
    <w:rsid w:val="00135609"/>
    <w:rsid w:val="00135FB2"/>
    <w:rsid w:val="0013603A"/>
    <w:rsid w:val="0013634E"/>
    <w:rsid w:val="001378CC"/>
    <w:rsid w:val="00137A1A"/>
    <w:rsid w:val="00137F0F"/>
    <w:rsid w:val="00140B01"/>
    <w:rsid w:val="00140C9E"/>
    <w:rsid w:val="00140F8B"/>
    <w:rsid w:val="00141413"/>
    <w:rsid w:val="0014231D"/>
    <w:rsid w:val="00144202"/>
    <w:rsid w:val="0014447D"/>
    <w:rsid w:val="00144A66"/>
    <w:rsid w:val="0014510A"/>
    <w:rsid w:val="00145594"/>
    <w:rsid w:val="0014563C"/>
    <w:rsid w:val="001462B3"/>
    <w:rsid w:val="00146A9C"/>
    <w:rsid w:val="00146F01"/>
    <w:rsid w:val="001474C6"/>
    <w:rsid w:val="00147509"/>
    <w:rsid w:val="00147D48"/>
    <w:rsid w:val="0015000E"/>
    <w:rsid w:val="00150981"/>
    <w:rsid w:val="00150B96"/>
    <w:rsid w:val="0015119E"/>
    <w:rsid w:val="00151518"/>
    <w:rsid w:val="00151705"/>
    <w:rsid w:val="00151DD2"/>
    <w:rsid w:val="00152370"/>
    <w:rsid w:val="0015257F"/>
    <w:rsid w:val="00152B24"/>
    <w:rsid w:val="00154222"/>
    <w:rsid w:val="0015437F"/>
    <w:rsid w:val="001562CF"/>
    <w:rsid w:val="00156835"/>
    <w:rsid w:val="00160775"/>
    <w:rsid w:val="00161564"/>
    <w:rsid w:val="00161FE9"/>
    <w:rsid w:val="0016289A"/>
    <w:rsid w:val="0016410C"/>
    <w:rsid w:val="001646DA"/>
    <w:rsid w:val="0016552B"/>
    <w:rsid w:val="00166F9F"/>
    <w:rsid w:val="001673EE"/>
    <w:rsid w:val="001677B8"/>
    <w:rsid w:val="001678C8"/>
    <w:rsid w:val="00167F49"/>
    <w:rsid w:val="0017041C"/>
    <w:rsid w:val="00170C03"/>
    <w:rsid w:val="0017103F"/>
    <w:rsid w:val="001727AD"/>
    <w:rsid w:val="00172AE4"/>
    <w:rsid w:val="00172F0C"/>
    <w:rsid w:val="00173661"/>
    <w:rsid w:val="00173E73"/>
    <w:rsid w:val="0017494F"/>
    <w:rsid w:val="001754CB"/>
    <w:rsid w:val="00175AF6"/>
    <w:rsid w:val="00175B0C"/>
    <w:rsid w:val="00175C44"/>
    <w:rsid w:val="00175F53"/>
    <w:rsid w:val="0017674D"/>
    <w:rsid w:val="00176D0B"/>
    <w:rsid w:val="00177572"/>
    <w:rsid w:val="001806AB"/>
    <w:rsid w:val="00180E12"/>
    <w:rsid w:val="00181485"/>
    <w:rsid w:val="001817B5"/>
    <w:rsid w:val="00181920"/>
    <w:rsid w:val="001820B5"/>
    <w:rsid w:val="001826BE"/>
    <w:rsid w:val="001827FB"/>
    <w:rsid w:val="00182C8C"/>
    <w:rsid w:val="001834E0"/>
    <w:rsid w:val="0018362C"/>
    <w:rsid w:val="00183788"/>
    <w:rsid w:val="00184A56"/>
    <w:rsid w:val="00184CE2"/>
    <w:rsid w:val="00184FCD"/>
    <w:rsid w:val="0018595C"/>
    <w:rsid w:val="00185B82"/>
    <w:rsid w:val="00185DBD"/>
    <w:rsid w:val="00186865"/>
    <w:rsid w:val="00186870"/>
    <w:rsid w:val="00186C68"/>
    <w:rsid w:val="00186F68"/>
    <w:rsid w:val="00187294"/>
    <w:rsid w:val="001874FF"/>
    <w:rsid w:val="00187B2D"/>
    <w:rsid w:val="001902C8"/>
    <w:rsid w:val="00190553"/>
    <w:rsid w:val="00190796"/>
    <w:rsid w:val="00191055"/>
    <w:rsid w:val="001912C7"/>
    <w:rsid w:val="001935B1"/>
    <w:rsid w:val="0019440A"/>
    <w:rsid w:val="001947E9"/>
    <w:rsid w:val="0019508D"/>
    <w:rsid w:val="00195849"/>
    <w:rsid w:val="00195EDA"/>
    <w:rsid w:val="00196244"/>
    <w:rsid w:val="001967E6"/>
    <w:rsid w:val="001970D1"/>
    <w:rsid w:val="001976F5"/>
    <w:rsid w:val="0019781A"/>
    <w:rsid w:val="00197B4A"/>
    <w:rsid w:val="001A0034"/>
    <w:rsid w:val="001A12A0"/>
    <w:rsid w:val="001A1896"/>
    <w:rsid w:val="001A1C88"/>
    <w:rsid w:val="001A2543"/>
    <w:rsid w:val="001A2908"/>
    <w:rsid w:val="001A32B0"/>
    <w:rsid w:val="001A33F8"/>
    <w:rsid w:val="001A36A3"/>
    <w:rsid w:val="001A3C45"/>
    <w:rsid w:val="001A48D0"/>
    <w:rsid w:val="001A4C84"/>
    <w:rsid w:val="001A55E7"/>
    <w:rsid w:val="001A5A64"/>
    <w:rsid w:val="001A5BBC"/>
    <w:rsid w:val="001A5D23"/>
    <w:rsid w:val="001A6689"/>
    <w:rsid w:val="001A66E0"/>
    <w:rsid w:val="001A69F9"/>
    <w:rsid w:val="001B0C0E"/>
    <w:rsid w:val="001B12E7"/>
    <w:rsid w:val="001B2695"/>
    <w:rsid w:val="001B3CC0"/>
    <w:rsid w:val="001B5C37"/>
    <w:rsid w:val="001B6153"/>
    <w:rsid w:val="001B6490"/>
    <w:rsid w:val="001B6965"/>
    <w:rsid w:val="001B6D60"/>
    <w:rsid w:val="001B75EB"/>
    <w:rsid w:val="001B76FA"/>
    <w:rsid w:val="001B7BB5"/>
    <w:rsid w:val="001B7C82"/>
    <w:rsid w:val="001B7EA5"/>
    <w:rsid w:val="001C00BA"/>
    <w:rsid w:val="001C06E1"/>
    <w:rsid w:val="001C0C18"/>
    <w:rsid w:val="001C148F"/>
    <w:rsid w:val="001C1593"/>
    <w:rsid w:val="001C159E"/>
    <w:rsid w:val="001C222C"/>
    <w:rsid w:val="001C293B"/>
    <w:rsid w:val="001C2971"/>
    <w:rsid w:val="001C2E99"/>
    <w:rsid w:val="001C2FB3"/>
    <w:rsid w:val="001C3067"/>
    <w:rsid w:val="001C308F"/>
    <w:rsid w:val="001C3410"/>
    <w:rsid w:val="001C410A"/>
    <w:rsid w:val="001C47D7"/>
    <w:rsid w:val="001C4CD2"/>
    <w:rsid w:val="001C5050"/>
    <w:rsid w:val="001C530B"/>
    <w:rsid w:val="001C5B23"/>
    <w:rsid w:val="001C5DBD"/>
    <w:rsid w:val="001C704F"/>
    <w:rsid w:val="001D02A3"/>
    <w:rsid w:val="001D0DD0"/>
    <w:rsid w:val="001D1042"/>
    <w:rsid w:val="001D1576"/>
    <w:rsid w:val="001D175A"/>
    <w:rsid w:val="001D186B"/>
    <w:rsid w:val="001D222E"/>
    <w:rsid w:val="001D31C8"/>
    <w:rsid w:val="001D33CB"/>
    <w:rsid w:val="001D3768"/>
    <w:rsid w:val="001D37A0"/>
    <w:rsid w:val="001D4744"/>
    <w:rsid w:val="001D47B2"/>
    <w:rsid w:val="001D52AC"/>
    <w:rsid w:val="001D5848"/>
    <w:rsid w:val="001D6BDB"/>
    <w:rsid w:val="001D6D08"/>
    <w:rsid w:val="001D6D80"/>
    <w:rsid w:val="001D6DB9"/>
    <w:rsid w:val="001D714E"/>
    <w:rsid w:val="001D7223"/>
    <w:rsid w:val="001D79D7"/>
    <w:rsid w:val="001E028E"/>
    <w:rsid w:val="001E076E"/>
    <w:rsid w:val="001E17BB"/>
    <w:rsid w:val="001E20E3"/>
    <w:rsid w:val="001E2545"/>
    <w:rsid w:val="001E2B48"/>
    <w:rsid w:val="001E2E3D"/>
    <w:rsid w:val="001E3804"/>
    <w:rsid w:val="001E3EC1"/>
    <w:rsid w:val="001E47D0"/>
    <w:rsid w:val="001E5FA8"/>
    <w:rsid w:val="001E6A51"/>
    <w:rsid w:val="001E6E25"/>
    <w:rsid w:val="001E75B5"/>
    <w:rsid w:val="001E7758"/>
    <w:rsid w:val="001F0263"/>
    <w:rsid w:val="001F0298"/>
    <w:rsid w:val="001F0F4F"/>
    <w:rsid w:val="001F19FA"/>
    <w:rsid w:val="001F2609"/>
    <w:rsid w:val="001F345A"/>
    <w:rsid w:val="001F391E"/>
    <w:rsid w:val="001F3A44"/>
    <w:rsid w:val="001F4756"/>
    <w:rsid w:val="001F4C08"/>
    <w:rsid w:val="001F561F"/>
    <w:rsid w:val="001F5AFD"/>
    <w:rsid w:val="001F5C43"/>
    <w:rsid w:val="001F5CFD"/>
    <w:rsid w:val="001F5E9C"/>
    <w:rsid w:val="001F64D5"/>
    <w:rsid w:val="001F6AAE"/>
    <w:rsid w:val="001F6EC2"/>
    <w:rsid w:val="001F72C8"/>
    <w:rsid w:val="001F7791"/>
    <w:rsid w:val="001F7D05"/>
    <w:rsid w:val="0020098C"/>
    <w:rsid w:val="002019DC"/>
    <w:rsid w:val="00202431"/>
    <w:rsid w:val="00202432"/>
    <w:rsid w:val="00202F1A"/>
    <w:rsid w:val="00202F45"/>
    <w:rsid w:val="00203256"/>
    <w:rsid w:val="00203328"/>
    <w:rsid w:val="00203434"/>
    <w:rsid w:val="002043E9"/>
    <w:rsid w:val="00204DB2"/>
    <w:rsid w:val="00205321"/>
    <w:rsid w:val="0020647D"/>
    <w:rsid w:val="00206B63"/>
    <w:rsid w:val="00206DB9"/>
    <w:rsid w:val="002072FF"/>
    <w:rsid w:val="00207450"/>
    <w:rsid w:val="0021091A"/>
    <w:rsid w:val="002109C3"/>
    <w:rsid w:val="00210AEC"/>
    <w:rsid w:val="00210E32"/>
    <w:rsid w:val="00210EF0"/>
    <w:rsid w:val="00211A0C"/>
    <w:rsid w:val="00212B2E"/>
    <w:rsid w:val="00212B4B"/>
    <w:rsid w:val="00212B57"/>
    <w:rsid w:val="00212DC5"/>
    <w:rsid w:val="00213542"/>
    <w:rsid w:val="00213565"/>
    <w:rsid w:val="00214347"/>
    <w:rsid w:val="002146FC"/>
    <w:rsid w:val="002149B2"/>
    <w:rsid w:val="00214FF6"/>
    <w:rsid w:val="00215216"/>
    <w:rsid w:val="002152AA"/>
    <w:rsid w:val="00216064"/>
    <w:rsid w:val="00216130"/>
    <w:rsid w:val="00216273"/>
    <w:rsid w:val="0021649A"/>
    <w:rsid w:val="00216773"/>
    <w:rsid w:val="00216FE6"/>
    <w:rsid w:val="002178CC"/>
    <w:rsid w:val="00217C9C"/>
    <w:rsid w:val="00217E33"/>
    <w:rsid w:val="00217FBA"/>
    <w:rsid w:val="002209FF"/>
    <w:rsid w:val="00220F94"/>
    <w:rsid w:val="00221240"/>
    <w:rsid w:val="002214E6"/>
    <w:rsid w:val="002229AD"/>
    <w:rsid w:val="00222C65"/>
    <w:rsid w:val="0022334E"/>
    <w:rsid w:val="00223BD9"/>
    <w:rsid w:val="00223EBE"/>
    <w:rsid w:val="00224036"/>
    <w:rsid w:val="00224329"/>
    <w:rsid w:val="00224701"/>
    <w:rsid w:val="00225A58"/>
    <w:rsid w:val="00226693"/>
    <w:rsid w:val="00227900"/>
    <w:rsid w:val="002301D6"/>
    <w:rsid w:val="00230503"/>
    <w:rsid w:val="00230A3C"/>
    <w:rsid w:val="00230AC0"/>
    <w:rsid w:val="00230B93"/>
    <w:rsid w:val="00230EA2"/>
    <w:rsid w:val="00232419"/>
    <w:rsid w:val="0023246C"/>
    <w:rsid w:val="0023359F"/>
    <w:rsid w:val="002338D4"/>
    <w:rsid w:val="002340A1"/>
    <w:rsid w:val="00234B59"/>
    <w:rsid w:val="0023521F"/>
    <w:rsid w:val="00235D3C"/>
    <w:rsid w:val="002367F0"/>
    <w:rsid w:val="00236B5C"/>
    <w:rsid w:val="00237265"/>
    <w:rsid w:val="002372B5"/>
    <w:rsid w:val="002376B5"/>
    <w:rsid w:val="0023777C"/>
    <w:rsid w:val="00237B24"/>
    <w:rsid w:val="00240478"/>
    <w:rsid w:val="0024123A"/>
    <w:rsid w:val="002413A4"/>
    <w:rsid w:val="00241661"/>
    <w:rsid w:val="002420ED"/>
    <w:rsid w:val="00242DF4"/>
    <w:rsid w:val="00242DFC"/>
    <w:rsid w:val="00243F9A"/>
    <w:rsid w:val="00244B75"/>
    <w:rsid w:val="00245311"/>
    <w:rsid w:val="002455C5"/>
    <w:rsid w:val="002457B2"/>
    <w:rsid w:val="002458D5"/>
    <w:rsid w:val="00246366"/>
    <w:rsid w:val="00246380"/>
    <w:rsid w:val="00246A33"/>
    <w:rsid w:val="00246AC9"/>
    <w:rsid w:val="0024736D"/>
    <w:rsid w:val="00247ED7"/>
    <w:rsid w:val="002504D8"/>
    <w:rsid w:val="00250971"/>
    <w:rsid w:val="00250CA8"/>
    <w:rsid w:val="00251319"/>
    <w:rsid w:val="002514EE"/>
    <w:rsid w:val="00251613"/>
    <w:rsid w:val="00251C08"/>
    <w:rsid w:val="002524A7"/>
    <w:rsid w:val="002527D1"/>
    <w:rsid w:val="002539D6"/>
    <w:rsid w:val="00253E38"/>
    <w:rsid w:val="0025535A"/>
    <w:rsid w:val="0025590D"/>
    <w:rsid w:val="00260406"/>
    <w:rsid w:val="002605AB"/>
    <w:rsid w:val="00260B3B"/>
    <w:rsid w:val="00260B90"/>
    <w:rsid w:val="00261EAB"/>
    <w:rsid w:val="00261F22"/>
    <w:rsid w:val="00262776"/>
    <w:rsid w:val="00262BD0"/>
    <w:rsid w:val="00262FE0"/>
    <w:rsid w:val="0026357C"/>
    <w:rsid w:val="002641DA"/>
    <w:rsid w:val="00264327"/>
    <w:rsid w:val="00265317"/>
    <w:rsid w:val="002658DA"/>
    <w:rsid w:val="002664EE"/>
    <w:rsid w:val="002667E7"/>
    <w:rsid w:val="00266B34"/>
    <w:rsid w:val="00266CF0"/>
    <w:rsid w:val="00267D79"/>
    <w:rsid w:val="00267DBB"/>
    <w:rsid w:val="00267E4D"/>
    <w:rsid w:val="00267ED0"/>
    <w:rsid w:val="00270D26"/>
    <w:rsid w:val="0027191D"/>
    <w:rsid w:val="00271A0B"/>
    <w:rsid w:val="00272278"/>
    <w:rsid w:val="00273C8F"/>
    <w:rsid w:val="0027421F"/>
    <w:rsid w:val="00274C7A"/>
    <w:rsid w:val="00275483"/>
    <w:rsid w:val="00275A06"/>
    <w:rsid w:val="0027741D"/>
    <w:rsid w:val="0027760D"/>
    <w:rsid w:val="00277730"/>
    <w:rsid w:val="00277FE9"/>
    <w:rsid w:val="002802D8"/>
    <w:rsid w:val="0028103B"/>
    <w:rsid w:val="00281383"/>
    <w:rsid w:val="0028152F"/>
    <w:rsid w:val="00281550"/>
    <w:rsid w:val="00281A61"/>
    <w:rsid w:val="00281F36"/>
    <w:rsid w:val="00283BF4"/>
    <w:rsid w:val="00283EA2"/>
    <w:rsid w:val="002853DE"/>
    <w:rsid w:val="002854E3"/>
    <w:rsid w:val="00285CBE"/>
    <w:rsid w:val="00286281"/>
    <w:rsid w:val="002872B5"/>
    <w:rsid w:val="002912BE"/>
    <w:rsid w:val="0029185F"/>
    <w:rsid w:val="002918BB"/>
    <w:rsid w:val="00292D1A"/>
    <w:rsid w:val="00292D39"/>
    <w:rsid w:val="00292F2E"/>
    <w:rsid w:val="00292FE1"/>
    <w:rsid w:val="002936D8"/>
    <w:rsid w:val="00293709"/>
    <w:rsid w:val="002952F0"/>
    <w:rsid w:val="002953B7"/>
    <w:rsid w:val="00295A8D"/>
    <w:rsid w:val="0029652A"/>
    <w:rsid w:val="002967F9"/>
    <w:rsid w:val="00297475"/>
    <w:rsid w:val="0029776F"/>
    <w:rsid w:val="002A0090"/>
    <w:rsid w:val="002A1782"/>
    <w:rsid w:val="002A24DD"/>
    <w:rsid w:val="002A2C76"/>
    <w:rsid w:val="002A4AE8"/>
    <w:rsid w:val="002A4D5D"/>
    <w:rsid w:val="002A5296"/>
    <w:rsid w:val="002A54E4"/>
    <w:rsid w:val="002A5634"/>
    <w:rsid w:val="002A5AD1"/>
    <w:rsid w:val="002A5DE9"/>
    <w:rsid w:val="002A6216"/>
    <w:rsid w:val="002A6271"/>
    <w:rsid w:val="002A6332"/>
    <w:rsid w:val="002A6767"/>
    <w:rsid w:val="002A72CD"/>
    <w:rsid w:val="002A7BB3"/>
    <w:rsid w:val="002B04B6"/>
    <w:rsid w:val="002B1552"/>
    <w:rsid w:val="002B1792"/>
    <w:rsid w:val="002B2762"/>
    <w:rsid w:val="002B3289"/>
    <w:rsid w:val="002B3736"/>
    <w:rsid w:val="002B4659"/>
    <w:rsid w:val="002B535B"/>
    <w:rsid w:val="002B6492"/>
    <w:rsid w:val="002B6667"/>
    <w:rsid w:val="002B6A4B"/>
    <w:rsid w:val="002B6B66"/>
    <w:rsid w:val="002B7399"/>
    <w:rsid w:val="002B75CD"/>
    <w:rsid w:val="002B7F87"/>
    <w:rsid w:val="002C05B0"/>
    <w:rsid w:val="002C05FB"/>
    <w:rsid w:val="002C07BD"/>
    <w:rsid w:val="002C0C04"/>
    <w:rsid w:val="002C19FC"/>
    <w:rsid w:val="002C1E78"/>
    <w:rsid w:val="002C2356"/>
    <w:rsid w:val="002C2F74"/>
    <w:rsid w:val="002C35B5"/>
    <w:rsid w:val="002C3A94"/>
    <w:rsid w:val="002C4941"/>
    <w:rsid w:val="002C4FA5"/>
    <w:rsid w:val="002C5619"/>
    <w:rsid w:val="002C6704"/>
    <w:rsid w:val="002C6BFF"/>
    <w:rsid w:val="002C6EC0"/>
    <w:rsid w:val="002C7A2E"/>
    <w:rsid w:val="002D0677"/>
    <w:rsid w:val="002D1772"/>
    <w:rsid w:val="002D22AE"/>
    <w:rsid w:val="002D25D3"/>
    <w:rsid w:val="002D2F3F"/>
    <w:rsid w:val="002D307C"/>
    <w:rsid w:val="002D3697"/>
    <w:rsid w:val="002D378E"/>
    <w:rsid w:val="002D3CA9"/>
    <w:rsid w:val="002D4A24"/>
    <w:rsid w:val="002D4C6D"/>
    <w:rsid w:val="002D6091"/>
    <w:rsid w:val="002D61A3"/>
    <w:rsid w:val="002D66C9"/>
    <w:rsid w:val="002D7061"/>
    <w:rsid w:val="002D7E1D"/>
    <w:rsid w:val="002E06BA"/>
    <w:rsid w:val="002E0703"/>
    <w:rsid w:val="002E0950"/>
    <w:rsid w:val="002E09B2"/>
    <w:rsid w:val="002E15A2"/>
    <w:rsid w:val="002E16FC"/>
    <w:rsid w:val="002E1E13"/>
    <w:rsid w:val="002E3B0F"/>
    <w:rsid w:val="002E3D1B"/>
    <w:rsid w:val="002E4699"/>
    <w:rsid w:val="002E555E"/>
    <w:rsid w:val="002E57A0"/>
    <w:rsid w:val="002E59DC"/>
    <w:rsid w:val="002E5CBB"/>
    <w:rsid w:val="002E6271"/>
    <w:rsid w:val="002E69CA"/>
    <w:rsid w:val="002E6D32"/>
    <w:rsid w:val="002E6D86"/>
    <w:rsid w:val="002E7018"/>
    <w:rsid w:val="002E7833"/>
    <w:rsid w:val="002E7ACB"/>
    <w:rsid w:val="002F1155"/>
    <w:rsid w:val="002F11C0"/>
    <w:rsid w:val="002F1296"/>
    <w:rsid w:val="002F167C"/>
    <w:rsid w:val="002F1E2D"/>
    <w:rsid w:val="002F21F9"/>
    <w:rsid w:val="002F23B9"/>
    <w:rsid w:val="002F2522"/>
    <w:rsid w:val="002F27BD"/>
    <w:rsid w:val="002F27C2"/>
    <w:rsid w:val="002F305E"/>
    <w:rsid w:val="002F38B1"/>
    <w:rsid w:val="002F3CBD"/>
    <w:rsid w:val="002F4AC0"/>
    <w:rsid w:val="002F4BBA"/>
    <w:rsid w:val="002F4D07"/>
    <w:rsid w:val="002F57C1"/>
    <w:rsid w:val="002F61DC"/>
    <w:rsid w:val="002F7247"/>
    <w:rsid w:val="0030054A"/>
    <w:rsid w:val="003008E2"/>
    <w:rsid w:val="00300CF1"/>
    <w:rsid w:val="00300F4C"/>
    <w:rsid w:val="00301937"/>
    <w:rsid w:val="00301E76"/>
    <w:rsid w:val="00301FAC"/>
    <w:rsid w:val="0030297C"/>
    <w:rsid w:val="00302EE5"/>
    <w:rsid w:val="0030302C"/>
    <w:rsid w:val="00303062"/>
    <w:rsid w:val="0030327F"/>
    <w:rsid w:val="00303E50"/>
    <w:rsid w:val="00304361"/>
    <w:rsid w:val="003048A0"/>
    <w:rsid w:val="00304E1C"/>
    <w:rsid w:val="003053F5"/>
    <w:rsid w:val="003061A7"/>
    <w:rsid w:val="003062D4"/>
    <w:rsid w:val="00306450"/>
    <w:rsid w:val="00306465"/>
    <w:rsid w:val="003066FB"/>
    <w:rsid w:val="0030673A"/>
    <w:rsid w:val="00306BF2"/>
    <w:rsid w:val="0030702A"/>
    <w:rsid w:val="00307889"/>
    <w:rsid w:val="00307A4C"/>
    <w:rsid w:val="00307DE9"/>
    <w:rsid w:val="00310BCF"/>
    <w:rsid w:val="0031182B"/>
    <w:rsid w:val="00311B84"/>
    <w:rsid w:val="0031234C"/>
    <w:rsid w:val="00312A34"/>
    <w:rsid w:val="0031303E"/>
    <w:rsid w:val="00313760"/>
    <w:rsid w:val="003140CD"/>
    <w:rsid w:val="00314265"/>
    <w:rsid w:val="00314BFF"/>
    <w:rsid w:val="00314E30"/>
    <w:rsid w:val="0031519C"/>
    <w:rsid w:val="00315C2F"/>
    <w:rsid w:val="00315E98"/>
    <w:rsid w:val="00315F52"/>
    <w:rsid w:val="003160FC"/>
    <w:rsid w:val="003163F1"/>
    <w:rsid w:val="00317174"/>
    <w:rsid w:val="00317285"/>
    <w:rsid w:val="003173F2"/>
    <w:rsid w:val="0031773E"/>
    <w:rsid w:val="00320109"/>
    <w:rsid w:val="00320908"/>
    <w:rsid w:val="00320C0C"/>
    <w:rsid w:val="00320CA2"/>
    <w:rsid w:val="00320CE9"/>
    <w:rsid w:val="00320D22"/>
    <w:rsid w:val="00322082"/>
    <w:rsid w:val="0032261C"/>
    <w:rsid w:val="00322EBE"/>
    <w:rsid w:val="0032460D"/>
    <w:rsid w:val="003246E4"/>
    <w:rsid w:val="00324AF0"/>
    <w:rsid w:val="00325A4C"/>
    <w:rsid w:val="0032612B"/>
    <w:rsid w:val="00326141"/>
    <w:rsid w:val="003261D1"/>
    <w:rsid w:val="0032644E"/>
    <w:rsid w:val="0032686E"/>
    <w:rsid w:val="00326B8E"/>
    <w:rsid w:val="00326C25"/>
    <w:rsid w:val="003270F8"/>
    <w:rsid w:val="00327A89"/>
    <w:rsid w:val="00330195"/>
    <w:rsid w:val="00330823"/>
    <w:rsid w:val="003313E4"/>
    <w:rsid w:val="00332192"/>
    <w:rsid w:val="00332608"/>
    <w:rsid w:val="00333B64"/>
    <w:rsid w:val="00333C67"/>
    <w:rsid w:val="003342A0"/>
    <w:rsid w:val="00334739"/>
    <w:rsid w:val="003348BB"/>
    <w:rsid w:val="00335083"/>
    <w:rsid w:val="0033511C"/>
    <w:rsid w:val="00335669"/>
    <w:rsid w:val="00335727"/>
    <w:rsid w:val="00335DC9"/>
    <w:rsid w:val="0033631A"/>
    <w:rsid w:val="0033735E"/>
    <w:rsid w:val="003400ED"/>
    <w:rsid w:val="00340249"/>
    <w:rsid w:val="003403CB"/>
    <w:rsid w:val="00340A70"/>
    <w:rsid w:val="00340CCE"/>
    <w:rsid w:val="003410E3"/>
    <w:rsid w:val="00341644"/>
    <w:rsid w:val="00341ABC"/>
    <w:rsid w:val="003424CE"/>
    <w:rsid w:val="00342B8B"/>
    <w:rsid w:val="00343200"/>
    <w:rsid w:val="003435A4"/>
    <w:rsid w:val="003436BF"/>
    <w:rsid w:val="00343B4E"/>
    <w:rsid w:val="00344281"/>
    <w:rsid w:val="003445BD"/>
    <w:rsid w:val="00345830"/>
    <w:rsid w:val="00345F21"/>
    <w:rsid w:val="003461A6"/>
    <w:rsid w:val="00347014"/>
    <w:rsid w:val="00347923"/>
    <w:rsid w:val="00347C16"/>
    <w:rsid w:val="00347CC0"/>
    <w:rsid w:val="00347F53"/>
    <w:rsid w:val="003502E3"/>
    <w:rsid w:val="0035156E"/>
    <w:rsid w:val="00351A34"/>
    <w:rsid w:val="00351B2F"/>
    <w:rsid w:val="00352DD5"/>
    <w:rsid w:val="00352EFF"/>
    <w:rsid w:val="0035409E"/>
    <w:rsid w:val="00355265"/>
    <w:rsid w:val="00355F40"/>
    <w:rsid w:val="00356157"/>
    <w:rsid w:val="00356243"/>
    <w:rsid w:val="003567DF"/>
    <w:rsid w:val="00360392"/>
    <w:rsid w:val="003604E6"/>
    <w:rsid w:val="00361B79"/>
    <w:rsid w:val="00363859"/>
    <w:rsid w:val="00363C40"/>
    <w:rsid w:val="00364175"/>
    <w:rsid w:val="00364836"/>
    <w:rsid w:val="00364ECC"/>
    <w:rsid w:val="0036519E"/>
    <w:rsid w:val="0036531E"/>
    <w:rsid w:val="00365DAD"/>
    <w:rsid w:val="003660F3"/>
    <w:rsid w:val="00366940"/>
    <w:rsid w:val="00366F4A"/>
    <w:rsid w:val="003671AA"/>
    <w:rsid w:val="0036776F"/>
    <w:rsid w:val="003679DA"/>
    <w:rsid w:val="00367BA6"/>
    <w:rsid w:val="00370C0D"/>
    <w:rsid w:val="00371AF2"/>
    <w:rsid w:val="00372083"/>
    <w:rsid w:val="00372569"/>
    <w:rsid w:val="00373941"/>
    <w:rsid w:val="00373CC4"/>
    <w:rsid w:val="00373EF3"/>
    <w:rsid w:val="00374694"/>
    <w:rsid w:val="0037575D"/>
    <w:rsid w:val="00375A70"/>
    <w:rsid w:val="00376083"/>
    <w:rsid w:val="003764A2"/>
    <w:rsid w:val="00376CE4"/>
    <w:rsid w:val="0037702A"/>
    <w:rsid w:val="003774CD"/>
    <w:rsid w:val="003777A0"/>
    <w:rsid w:val="00380605"/>
    <w:rsid w:val="00380A0B"/>
    <w:rsid w:val="00380DF2"/>
    <w:rsid w:val="00381048"/>
    <w:rsid w:val="003810BB"/>
    <w:rsid w:val="00381109"/>
    <w:rsid w:val="003815D6"/>
    <w:rsid w:val="00383508"/>
    <w:rsid w:val="00383802"/>
    <w:rsid w:val="00383D84"/>
    <w:rsid w:val="003840B4"/>
    <w:rsid w:val="003845C1"/>
    <w:rsid w:val="00384A87"/>
    <w:rsid w:val="00384C57"/>
    <w:rsid w:val="00384D9E"/>
    <w:rsid w:val="003851A0"/>
    <w:rsid w:val="0038609F"/>
    <w:rsid w:val="003862AA"/>
    <w:rsid w:val="00386352"/>
    <w:rsid w:val="00386663"/>
    <w:rsid w:val="00387F88"/>
    <w:rsid w:val="00390A88"/>
    <w:rsid w:val="00390D51"/>
    <w:rsid w:val="0039123F"/>
    <w:rsid w:val="003917AF"/>
    <w:rsid w:val="003925C9"/>
    <w:rsid w:val="00392AF5"/>
    <w:rsid w:val="00393256"/>
    <w:rsid w:val="00393E86"/>
    <w:rsid w:val="00394BAF"/>
    <w:rsid w:val="0039527B"/>
    <w:rsid w:val="00395764"/>
    <w:rsid w:val="00395880"/>
    <w:rsid w:val="00396594"/>
    <w:rsid w:val="00396D95"/>
    <w:rsid w:val="00396E53"/>
    <w:rsid w:val="00397CA5"/>
    <w:rsid w:val="00397E85"/>
    <w:rsid w:val="003A1152"/>
    <w:rsid w:val="003A16B6"/>
    <w:rsid w:val="003A18DC"/>
    <w:rsid w:val="003A1CA3"/>
    <w:rsid w:val="003A1D17"/>
    <w:rsid w:val="003A227F"/>
    <w:rsid w:val="003A22B0"/>
    <w:rsid w:val="003A252F"/>
    <w:rsid w:val="003A27F1"/>
    <w:rsid w:val="003A2B39"/>
    <w:rsid w:val="003A3734"/>
    <w:rsid w:val="003A3D7C"/>
    <w:rsid w:val="003A499A"/>
    <w:rsid w:val="003A58A8"/>
    <w:rsid w:val="003A639F"/>
    <w:rsid w:val="003A655A"/>
    <w:rsid w:val="003A665A"/>
    <w:rsid w:val="003A714D"/>
    <w:rsid w:val="003B05E1"/>
    <w:rsid w:val="003B07D6"/>
    <w:rsid w:val="003B1251"/>
    <w:rsid w:val="003B177E"/>
    <w:rsid w:val="003B1D40"/>
    <w:rsid w:val="003B2732"/>
    <w:rsid w:val="003B2A41"/>
    <w:rsid w:val="003B2A69"/>
    <w:rsid w:val="003B2B4C"/>
    <w:rsid w:val="003B2BE0"/>
    <w:rsid w:val="003B3321"/>
    <w:rsid w:val="003B3CE3"/>
    <w:rsid w:val="003B537A"/>
    <w:rsid w:val="003B5647"/>
    <w:rsid w:val="003B647B"/>
    <w:rsid w:val="003B6C24"/>
    <w:rsid w:val="003B70C5"/>
    <w:rsid w:val="003B7BC9"/>
    <w:rsid w:val="003B7CA2"/>
    <w:rsid w:val="003B7D9E"/>
    <w:rsid w:val="003B7E91"/>
    <w:rsid w:val="003C08C8"/>
    <w:rsid w:val="003C0C4C"/>
    <w:rsid w:val="003C1EDE"/>
    <w:rsid w:val="003C20F4"/>
    <w:rsid w:val="003C271C"/>
    <w:rsid w:val="003C2AE5"/>
    <w:rsid w:val="003C2E1F"/>
    <w:rsid w:val="003C3C66"/>
    <w:rsid w:val="003C5286"/>
    <w:rsid w:val="003C536D"/>
    <w:rsid w:val="003C6139"/>
    <w:rsid w:val="003C6FD1"/>
    <w:rsid w:val="003C72CF"/>
    <w:rsid w:val="003C745A"/>
    <w:rsid w:val="003C74C0"/>
    <w:rsid w:val="003C7D00"/>
    <w:rsid w:val="003C7FAC"/>
    <w:rsid w:val="003D02C5"/>
    <w:rsid w:val="003D075F"/>
    <w:rsid w:val="003D0CB5"/>
    <w:rsid w:val="003D0D30"/>
    <w:rsid w:val="003D158B"/>
    <w:rsid w:val="003D1AFE"/>
    <w:rsid w:val="003D1C77"/>
    <w:rsid w:val="003D1EFD"/>
    <w:rsid w:val="003D2CBA"/>
    <w:rsid w:val="003D326B"/>
    <w:rsid w:val="003D4FBE"/>
    <w:rsid w:val="003D5976"/>
    <w:rsid w:val="003D5BD1"/>
    <w:rsid w:val="003D5C36"/>
    <w:rsid w:val="003D5EFD"/>
    <w:rsid w:val="003D6072"/>
    <w:rsid w:val="003D6A85"/>
    <w:rsid w:val="003D6E88"/>
    <w:rsid w:val="003D78AA"/>
    <w:rsid w:val="003E08DE"/>
    <w:rsid w:val="003E0AF9"/>
    <w:rsid w:val="003E129C"/>
    <w:rsid w:val="003E14DD"/>
    <w:rsid w:val="003E1810"/>
    <w:rsid w:val="003E1A17"/>
    <w:rsid w:val="003E1B4E"/>
    <w:rsid w:val="003E1C68"/>
    <w:rsid w:val="003E260B"/>
    <w:rsid w:val="003E2B6C"/>
    <w:rsid w:val="003E2D06"/>
    <w:rsid w:val="003E521D"/>
    <w:rsid w:val="003E55C6"/>
    <w:rsid w:val="003E5E07"/>
    <w:rsid w:val="003E6087"/>
    <w:rsid w:val="003E6197"/>
    <w:rsid w:val="003E6988"/>
    <w:rsid w:val="003E6C3F"/>
    <w:rsid w:val="003E6C5F"/>
    <w:rsid w:val="003E7A64"/>
    <w:rsid w:val="003E7B6A"/>
    <w:rsid w:val="003F062B"/>
    <w:rsid w:val="003F0C00"/>
    <w:rsid w:val="003F148E"/>
    <w:rsid w:val="003F2048"/>
    <w:rsid w:val="003F204A"/>
    <w:rsid w:val="003F29EF"/>
    <w:rsid w:val="003F3010"/>
    <w:rsid w:val="003F3C29"/>
    <w:rsid w:val="003F3E03"/>
    <w:rsid w:val="003F3E34"/>
    <w:rsid w:val="003F4409"/>
    <w:rsid w:val="003F4C51"/>
    <w:rsid w:val="003F5328"/>
    <w:rsid w:val="003F55AD"/>
    <w:rsid w:val="003F55E0"/>
    <w:rsid w:val="003F5D67"/>
    <w:rsid w:val="003F6207"/>
    <w:rsid w:val="003F708B"/>
    <w:rsid w:val="003F779C"/>
    <w:rsid w:val="003F7AA8"/>
    <w:rsid w:val="004005BF"/>
    <w:rsid w:val="004012A9"/>
    <w:rsid w:val="00401FC5"/>
    <w:rsid w:val="0040341A"/>
    <w:rsid w:val="00403729"/>
    <w:rsid w:val="00403E17"/>
    <w:rsid w:val="00403FE9"/>
    <w:rsid w:val="004040E5"/>
    <w:rsid w:val="00404418"/>
    <w:rsid w:val="00404B64"/>
    <w:rsid w:val="0040599B"/>
    <w:rsid w:val="004059D6"/>
    <w:rsid w:val="00405F6A"/>
    <w:rsid w:val="00406F41"/>
    <w:rsid w:val="004071DF"/>
    <w:rsid w:val="00407820"/>
    <w:rsid w:val="00407A8B"/>
    <w:rsid w:val="00407D70"/>
    <w:rsid w:val="00410DC2"/>
    <w:rsid w:val="00410F06"/>
    <w:rsid w:val="00411200"/>
    <w:rsid w:val="00411626"/>
    <w:rsid w:val="00412536"/>
    <w:rsid w:val="00412E70"/>
    <w:rsid w:val="0041340D"/>
    <w:rsid w:val="00413B06"/>
    <w:rsid w:val="00413DA5"/>
    <w:rsid w:val="00413EDB"/>
    <w:rsid w:val="004141E5"/>
    <w:rsid w:val="0041428D"/>
    <w:rsid w:val="00414356"/>
    <w:rsid w:val="00414ADE"/>
    <w:rsid w:val="00414BF7"/>
    <w:rsid w:val="00414BF9"/>
    <w:rsid w:val="004151C6"/>
    <w:rsid w:val="00415A06"/>
    <w:rsid w:val="00416247"/>
    <w:rsid w:val="0041667A"/>
    <w:rsid w:val="004171D2"/>
    <w:rsid w:val="00417802"/>
    <w:rsid w:val="00417E72"/>
    <w:rsid w:val="00420211"/>
    <w:rsid w:val="00420739"/>
    <w:rsid w:val="00421BC4"/>
    <w:rsid w:val="0042235A"/>
    <w:rsid w:val="00422952"/>
    <w:rsid w:val="004229C6"/>
    <w:rsid w:val="004230B2"/>
    <w:rsid w:val="00423482"/>
    <w:rsid w:val="0042395C"/>
    <w:rsid w:val="004246C7"/>
    <w:rsid w:val="00424E4C"/>
    <w:rsid w:val="00425123"/>
    <w:rsid w:val="0042523E"/>
    <w:rsid w:val="00425415"/>
    <w:rsid w:val="00425808"/>
    <w:rsid w:val="00425828"/>
    <w:rsid w:val="00426681"/>
    <w:rsid w:val="00426DCF"/>
    <w:rsid w:val="00427348"/>
    <w:rsid w:val="00427EF1"/>
    <w:rsid w:val="00430361"/>
    <w:rsid w:val="004308D6"/>
    <w:rsid w:val="00431811"/>
    <w:rsid w:val="00432528"/>
    <w:rsid w:val="00432DB2"/>
    <w:rsid w:val="004334AE"/>
    <w:rsid w:val="004347CC"/>
    <w:rsid w:val="00434B10"/>
    <w:rsid w:val="00434B36"/>
    <w:rsid w:val="00435556"/>
    <w:rsid w:val="00435E3A"/>
    <w:rsid w:val="00435F18"/>
    <w:rsid w:val="0043613E"/>
    <w:rsid w:val="0043632B"/>
    <w:rsid w:val="004370A7"/>
    <w:rsid w:val="0044080D"/>
    <w:rsid w:val="0044087B"/>
    <w:rsid w:val="00440ED6"/>
    <w:rsid w:val="00441614"/>
    <w:rsid w:val="004416AF"/>
    <w:rsid w:val="00441857"/>
    <w:rsid w:val="00442C7A"/>
    <w:rsid w:val="00442C99"/>
    <w:rsid w:val="004441EE"/>
    <w:rsid w:val="0044457A"/>
    <w:rsid w:val="004446A6"/>
    <w:rsid w:val="00444CCA"/>
    <w:rsid w:val="00444EC7"/>
    <w:rsid w:val="004457AB"/>
    <w:rsid w:val="00445ABA"/>
    <w:rsid w:val="00445BE8"/>
    <w:rsid w:val="004462CF"/>
    <w:rsid w:val="00446948"/>
    <w:rsid w:val="00446BAE"/>
    <w:rsid w:val="00447682"/>
    <w:rsid w:val="00450706"/>
    <w:rsid w:val="00450829"/>
    <w:rsid w:val="00450B4F"/>
    <w:rsid w:val="00450C6C"/>
    <w:rsid w:val="00450CE7"/>
    <w:rsid w:val="0045125A"/>
    <w:rsid w:val="00451A17"/>
    <w:rsid w:val="00452159"/>
    <w:rsid w:val="004526B5"/>
    <w:rsid w:val="00452BEF"/>
    <w:rsid w:val="00453357"/>
    <w:rsid w:val="0045347E"/>
    <w:rsid w:val="004539AA"/>
    <w:rsid w:val="00453A29"/>
    <w:rsid w:val="00454AB1"/>
    <w:rsid w:val="00454BB6"/>
    <w:rsid w:val="004551AD"/>
    <w:rsid w:val="00455EB4"/>
    <w:rsid w:val="00455F61"/>
    <w:rsid w:val="00456619"/>
    <w:rsid w:val="00461145"/>
    <w:rsid w:val="0046155F"/>
    <w:rsid w:val="004618F6"/>
    <w:rsid w:val="00461C88"/>
    <w:rsid w:val="00462282"/>
    <w:rsid w:val="0046269C"/>
    <w:rsid w:val="00463375"/>
    <w:rsid w:val="00464195"/>
    <w:rsid w:val="00464284"/>
    <w:rsid w:val="00465799"/>
    <w:rsid w:val="00466CBE"/>
    <w:rsid w:val="00466FCD"/>
    <w:rsid w:val="0046763C"/>
    <w:rsid w:val="004677B5"/>
    <w:rsid w:val="00470601"/>
    <w:rsid w:val="0047085E"/>
    <w:rsid w:val="00470B29"/>
    <w:rsid w:val="00470D02"/>
    <w:rsid w:val="00470DCE"/>
    <w:rsid w:val="00471420"/>
    <w:rsid w:val="00471A49"/>
    <w:rsid w:val="00471B0D"/>
    <w:rsid w:val="004723A1"/>
    <w:rsid w:val="00472F64"/>
    <w:rsid w:val="00473061"/>
    <w:rsid w:val="004736D5"/>
    <w:rsid w:val="004737C4"/>
    <w:rsid w:val="004742D1"/>
    <w:rsid w:val="00474631"/>
    <w:rsid w:val="004747D9"/>
    <w:rsid w:val="00475B0D"/>
    <w:rsid w:val="00475F2E"/>
    <w:rsid w:val="00476433"/>
    <w:rsid w:val="00476740"/>
    <w:rsid w:val="00476E1A"/>
    <w:rsid w:val="00477463"/>
    <w:rsid w:val="004806DB"/>
    <w:rsid w:val="00481669"/>
    <w:rsid w:val="004817B4"/>
    <w:rsid w:val="0048180A"/>
    <w:rsid w:val="00481D1F"/>
    <w:rsid w:val="00481EA0"/>
    <w:rsid w:val="004826B8"/>
    <w:rsid w:val="004829DC"/>
    <w:rsid w:val="004836F1"/>
    <w:rsid w:val="00484502"/>
    <w:rsid w:val="00484959"/>
    <w:rsid w:val="00484EDB"/>
    <w:rsid w:val="00485751"/>
    <w:rsid w:val="00485876"/>
    <w:rsid w:val="00485F01"/>
    <w:rsid w:val="004869AC"/>
    <w:rsid w:val="00486BAE"/>
    <w:rsid w:val="00487694"/>
    <w:rsid w:val="004879BC"/>
    <w:rsid w:val="00487D3D"/>
    <w:rsid w:val="00490745"/>
    <w:rsid w:val="004924C6"/>
    <w:rsid w:val="0049279F"/>
    <w:rsid w:val="004927AD"/>
    <w:rsid w:val="0049395D"/>
    <w:rsid w:val="004944C2"/>
    <w:rsid w:val="00494A65"/>
    <w:rsid w:val="004953E7"/>
    <w:rsid w:val="00495C07"/>
    <w:rsid w:val="00496696"/>
    <w:rsid w:val="004969CF"/>
    <w:rsid w:val="00497389"/>
    <w:rsid w:val="00497445"/>
    <w:rsid w:val="004A0375"/>
    <w:rsid w:val="004A1173"/>
    <w:rsid w:val="004A1773"/>
    <w:rsid w:val="004A17BC"/>
    <w:rsid w:val="004A1C7E"/>
    <w:rsid w:val="004A1D65"/>
    <w:rsid w:val="004A1DEF"/>
    <w:rsid w:val="004A2217"/>
    <w:rsid w:val="004A2422"/>
    <w:rsid w:val="004A32A4"/>
    <w:rsid w:val="004A3755"/>
    <w:rsid w:val="004A3CEC"/>
    <w:rsid w:val="004A3D42"/>
    <w:rsid w:val="004A4297"/>
    <w:rsid w:val="004A4F8D"/>
    <w:rsid w:val="004A577D"/>
    <w:rsid w:val="004A629A"/>
    <w:rsid w:val="004A6D96"/>
    <w:rsid w:val="004A6F94"/>
    <w:rsid w:val="004A7438"/>
    <w:rsid w:val="004A767A"/>
    <w:rsid w:val="004B005C"/>
    <w:rsid w:val="004B0557"/>
    <w:rsid w:val="004B10D0"/>
    <w:rsid w:val="004B1433"/>
    <w:rsid w:val="004B171E"/>
    <w:rsid w:val="004B1CD9"/>
    <w:rsid w:val="004B1FAF"/>
    <w:rsid w:val="004B3D27"/>
    <w:rsid w:val="004B3E01"/>
    <w:rsid w:val="004B401C"/>
    <w:rsid w:val="004B4920"/>
    <w:rsid w:val="004B5E06"/>
    <w:rsid w:val="004B5E1D"/>
    <w:rsid w:val="004B7408"/>
    <w:rsid w:val="004B7984"/>
    <w:rsid w:val="004B7D15"/>
    <w:rsid w:val="004C020D"/>
    <w:rsid w:val="004C02F5"/>
    <w:rsid w:val="004C1973"/>
    <w:rsid w:val="004C1EDC"/>
    <w:rsid w:val="004C297B"/>
    <w:rsid w:val="004C2A6F"/>
    <w:rsid w:val="004C2BB6"/>
    <w:rsid w:val="004C2EC9"/>
    <w:rsid w:val="004C33EB"/>
    <w:rsid w:val="004C39DA"/>
    <w:rsid w:val="004C4542"/>
    <w:rsid w:val="004C47F8"/>
    <w:rsid w:val="004C4C11"/>
    <w:rsid w:val="004C4DC3"/>
    <w:rsid w:val="004C508E"/>
    <w:rsid w:val="004C536F"/>
    <w:rsid w:val="004C53CC"/>
    <w:rsid w:val="004C5656"/>
    <w:rsid w:val="004C5CEA"/>
    <w:rsid w:val="004C70C4"/>
    <w:rsid w:val="004C7222"/>
    <w:rsid w:val="004C75F0"/>
    <w:rsid w:val="004C7DAF"/>
    <w:rsid w:val="004D03A1"/>
    <w:rsid w:val="004D04B9"/>
    <w:rsid w:val="004D092D"/>
    <w:rsid w:val="004D102C"/>
    <w:rsid w:val="004D153A"/>
    <w:rsid w:val="004D17C8"/>
    <w:rsid w:val="004D183A"/>
    <w:rsid w:val="004D1862"/>
    <w:rsid w:val="004D1A06"/>
    <w:rsid w:val="004D1F0C"/>
    <w:rsid w:val="004D27CB"/>
    <w:rsid w:val="004D3444"/>
    <w:rsid w:val="004D35D0"/>
    <w:rsid w:val="004D3CC6"/>
    <w:rsid w:val="004D3FC7"/>
    <w:rsid w:val="004D4665"/>
    <w:rsid w:val="004D4E74"/>
    <w:rsid w:val="004D5577"/>
    <w:rsid w:val="004D5682"/>
    <w:rsid w:val="004D5911"/>
    <w:rsid w:val="004D5D6A"/>
    <w:rsid w:val="004D632C"/>
    <w:rsid w:val="004D658B"/>
    <w:rsid w:val="004D7132"/>
    <w:rsid w:val="004D7288"/>
    <w:rsid w:val="004D7462"/>
    <w:rsid w:val="004E1360"/>
    <w:rsid w:val="004E1564"/>
    <w:rsid w:val="004E29DA"/>
    <w:rsid w:val="004E3529"/>
    <w:rsid w:val="004E3819"/>
    <w:rsid w:val="004E4E31"/>
    <w:rsid w:val="004E4FC4"/>
    <w:rsid w:val="004E5105"/>
    <w:rsid w:val="004E716C"/>
    <w:rsid w:val="004E71ED"/>
    <w:rsid w:val="004F0385"/>
    <w:rsid w:val="004F09B9"/>
    <w:rsid w:val="004F1138"/>
    <w:rsid w:val="004F1930"/>
    <w:rsid w:val="004F1B99"/>
    <w:rsid w:val="004F1F2C"/>
    <w:rsid w:val="004F1FF0"/>
    <w:rsid w:val="004F2101"/>
    <w:rsid w:val="004F2D5C"/>
    <w:rsid w:val="004F3850"/>
    <w:rsid w:val="004F3B32"/>
    <w:rsid w:val="004F3C0F"/>
    <w:rsid w:val="004F4BCE"/>
    <w:rsid w:val="004F5178"/>
    <w:rsid w:val="004F5FB7"/>
    <w:rsid w:val="004F602A"/>
    <w:rsid w:val="004F6307"/>
    <w:rsid w:val="004F6898"/>
    <w:rsid w:val="004F69D6"/>
    <w:rsid w:val="004F6F2E"/>
    <w:rsid w:val="00500158"/>
    <w:rsid w:val="005005FA"/>
    <w:rsid w:val="00500F6E"/>
    <w:rsid w:val="00501068"/>
    <w:rsid w:val="00501A89"/>
    <w:rsid w:val="00502794"/>
    <w:rsid w:val="00502B50"/>
    <w:rsid w:val="00503750"/>
    <w:rsid w:val="00503ABE"/>
    <w:rsid w:val="00503EAC"/>
    <w:rsid w:val="005055CC"/>
    <w:rsid w:val="00506092"/>
    <w:rsid w:val="0050636C"/>
    <w:rsid w:val="00507494"/>
    <w:rsid w:val="0050765D"/>
    <w:rsid w:val="00507953"/>
    <w:rsid w:val="00507CF2"/>
    <w:rsid w:val="00507D24"/>
    <w:rsid w:val="00507F97"/>
    <w:rsid w:val="0051029B"/>
    <w:rsid w:val="00510BBF"/>
    <w:rsid w:val="00511D9F"/>
    <w:rsid w:val="0051236A"/>
    <w:rsid w:val="00512601"/>
    <w:rsid w:val="00513220"/>
    <w:rsid w:val="005135DA"/>
    <w:rsid w:val="00513AAC"/>
    <w:rsid w:val="0051492C"/>
    <w:rsid w:val="00514BD1"/>
    <w:rsid w:val="005152A6"/>
    <w:rsid w:val="005154C6"/>
    <w:rsid w:val="0051565E"/>
    <w:rsid w:val="00515681"/>
    <w:rsid w:val="00515713"/>
    <w:rsid w:val="00515B5A"/>
    <w:rsid w:val="005160A9"/>
    <w:rsid w:val="00516171"/>
    <w:rsid w:val="0051632C"/>
    <w:rsid w:val="00516344"/>
    <w:rsid w:val="005164D3"/>
    <w:rsid w:val="00517EA5"/>
    <w:rsid w:val="00517FBD"/>
    <w:rsid w:val="00520B31"/>
    <w:rsid w:val="00522256"/>
    <w:rsid w:val="00522696"/>
    <w:rsid w:val="00522DE7"/>
    <w:rsid w:val="00524723"/>
    <w:rsid w:val="00524B66"/>
    <w:rsid w:val="00524F52"/>
    <w:rsid w:val="0052513E"/>
    <w:rsid w:val="0052546A"/>
    <w:rsid w:val="00525B54"/>
    <w:rsid w:val="00525EBE"/>
    <w:rsid w:val="00527264"/>
    <w:rsid w:val="00527DEC"/>
    <w:rsid w:val="00530501"/>
    <w:rsid w:val="005308A3"/>
    <w:rsid w:val="0053113B"/>
    <w:rsid w:val="0053124B"/>
    <w:rsid w:val="005319CD"/>
    <w:rsid w:val="00532F3B"/>
    <w:rsid w:val="00532F6F"/>
    <w:rsid w:val="005337A5"/>
    <w:rsid w:val="00533AD1"/>
    <w:rsid w:val="00533D2B"/>
    <w:rsid w:val="00534AA5"/>
    <w:rsid w:val="0053548C"/>
    <w:rsid w:val="00535490"/>
    <w:rsid w:val="005354EE"/>
    <w:rsid w:val="00535F10"/>
    <w:rsid w:val="0053666D"/>
    <w:rsid w:val="00536DE1"/>
    <w:rsid w:val="00536FE9"/>
    <w:rsid w:val="00540717"/>
    <w:rsid w:val="00540904"/>
    <w:rsid w:val="00541744"/>
    <w:rsid w:val="005418DE"/>
    <w:rsid w:val="005425CB"/>
    <w:rsid w:val="00542CA5"/>
    <w:rsid w:val="00542CE3"/>
    <w:rsid w:val="00542D2E"/>
    <w:rsid w:val="005434F0"/>
    <w:rsid w:val="005439A6"/>
    <w:rsid w:val="00543B8B"/>
    <w:rsid w:val="00543E05"/>
    <w:rsid w:val="00544E15"/>
    <w:rsid w:val="00544EC4"/>
    <w:rsid w:val="00544F0D"/>
    <w:rsid w:val="005450B4"/>
    <w:rsid w:val="005451F0"/>
    <w:rsid w:val="00545221"/>
    <w:rsid w:val="00547EF6"/>
    <w:rsid w:val="00550C05"/>
    <w:rsid w:val="00550DD8"/>
    <w:rsid w:val="005514B7"/>
    <w:rsid w:val="0055191C"/>
    <w:rsid w:val="00551CAB"/>
    <w:rsid w:val="00551D71"/>
    <w:rsid w:val="00552A85"/>
    <w:rsid w:val="0055339D"/>
    <w:rsid w:val="00553FDB"/>
    <w:rsid w:val="00555C8F"/>
    <w:rsid w:val="005566A9"/>
    <w:rsid w:val="00557981"/>
    <w:rsid w:val="00560C0E"/>
    <w:rsid w:val="0056111C"/>
    <w:rsid w:val="00561801"/>
    <w:rsid w:val="00561C3E"/>
    <w:rsid w:val="00561FE3"/>
    <w:rsid w:val="005621E0"/>
    <w:rsid w:val="00562452"/>
    <w:rsid w:val="005627F6"/>
    <w:rsid w:val="00563AAE"/>
    <w:rsid w:val="00565011"/>
    <w:rsid w:val="00565CAF"/>
    <w:rsid w:val="00565DD5"/>
    <w:rsid w:val="00565EB9"/>
    <w:rsid w:val="005662A3"/>
    <w:rsid w:val="005663DE"/>
    <w:rsid w:val="005666F0"/>
    <w:rsid w:val="0056685E"/>
    <w:rsid w:val="00567F8C"/>
    <w:rsid w:val="00570509"/>
    <w:rsid w:val="00570F3F"/>
    <w:rsid w:val="0057105D"/>
    <w:rsid w:val="0057145B"/>
    <w:rsid w:val="005716A8"/>
    <w:rsid w:val="00571B2A"/>
    <w:rsid w:val="00571C71"/>
    <w:rsid w:val="00572BF6"/>
    <w:rsid w:val="00572D85"/>
    <w:rsid w:val="00572EAB"/>
    <w:rsid w:val="005730DB"/>
    <w:rsid w:val="00573D6E"/>
    <w:rsid w:val="005743D4"/>
    <w:rsid w:val="00574B4C"/>
    <w:rsid w:val="00574DAE"/>
    <w:rsid w:val="005750D3"/>
    <w:rsid w:val="005752FA"/>
    <w:rsid w:val="00576120"/>
    <w:rsid w:val="0057673A"/>
    <w:rsid w:val="00577360"/>
    <w:rsid w:val="00580284"/>
    <w:rsid w:val="0058051C"/>
    <w:rsid w:val="0058093D"/>
    <w:rsid w:val="00580CC8"/>
    <w:rsid w:val="00581198"/>
    <w:rsid w:val="00581472"/>
    <w:rsid w:val="005825DD"/>
    <w:rsid w:val="005836A8"/>
    <w:rsid w:val="00583C5C"/>
    <w:rsid w:val="00583D26"/>
    <w:rsid w:val="005844FA"/>
    <w:rsid w:val="00584E1C"/>
    <w:rsid w:val="00585853"/>
    <w:rsid w:val="00585932"/>
    <w:rsid w:val="00585C68"/>
    <w:rsid w:val="00585E3E"/>
    <w:rsid w:val="005874F7"/>
    <w:rsid w:val="0058780E"/>
    <w:rsid w:val="00590704"/>
    <w:rsid w:val="00590C71"/>
    <w:rsid w:val="00590F67"/>
    <w:rsid w:val="00591078"/>
    <w:rsid w:val="00591224"/>
    <w:rsid w:val="00592DA0"/>
    <w:rsid w:val="00593134"/>
    <w:rsid w:val="0059324B"/>
    <w:rsid w:val="0059335F"/>
    <w:rsid w:val="00593463"/>
    <w:rsid w:val="00593811"/>
    <w:rsid w:val="00594027"/>
    <w:rsid w:val="005945BA"/>
    <w:rsid w:val="0059525B"/>
    <w:rsid w:val="00595455"/>
    <w:rsid w:val="005967BF"/>
    <w:rsid w:val="005968A5"/>
    <w:rsid w:val="005971B1"/>
    <w:rsid w:val="005973B0"/>
    <w:rsid w:val="005975FA"/>
    <w:rsid w:val="00597D30"/>
    <w:rsid w:val="005A04A2"/>
    <w:rsid w:val="005A0FA4"/>
    <w:rsid w:val="005A17F4"/>
    <w:rsid w:val="005A1B6A"/>
    <w:rsid w:val="005A1C5E"/>
    <w:rsid w:val="005A1D95"/>
    <w:rsid w:val="005A259F"/>
    <w:rsid w:val="005A28D3"/>
    <w:rsid w:val="005A2D99"/>
    <w:rsid w:val="005A3173"/>
    <w:rsid w:val="005A3F25"/>
    <w:rsid w:val="005A3F3E"/>
    <w:rsid w:val="005A50A5"/>
    <w:rsid w:val="005A5674"/>
    <w:rsid w:val="005A57F2"/>
    <w:rsid w:val="005A5811"/>
    <w:rsid w:val="005A58D1"/>
    <w:rsid w:val="005A60B4"/>
    <w:rsid w:val="005A60F0"/>
    <w:rsid w:val="005A6856"/>
    <w:rsid w:val="005A6FAB"/>
    <w:rsid w:val="005A7011"/>
    <w:rsid w:val="005A7694"/>
    <w:rsid w:val="005A7AB3"/>
    <w:rsid w:val="005A7F9F"/>
    <w:rsid w:val="005B0214"/>
    <w:rsid w:val="005B08A2"/>
    <w:rsid w:val="005B0D03"/>
    <w:rsid w:val="005B0F3A"/>
    <w:rsid w:val="005B14D9"/>
    <w:rsid w:val="005B29C6"/>
    <w:rsid w:val="005B2E7C"/>
    <w:rsid w:val="005B3238"/>
    <w:rsid w:val="005B3695"/>
    <w:rsid w:val="005B3764"/>
    <w:rsid w:val="005B3D96"/>
    <w:rsid w:val="005B3FF7"/>
    <w:rsid w:val="005B4E02"/>
    <w:rsid w:val="005B58AE"/>
    <w:rsid w:val="005B5B5B"/>
    <w:rsid w:val="005B6B5B"/>
    <w:rsid w:val="005B7A04"/>
    <w:rsid w:val="005B7D30"/>
    <w:rsid w:val="005C03C3"/>
    <w:rsid w:val="005C05C5"/>
    <w:rsid w:val="005C087A"/>
    <w:rsid w:val="005C0D6D"/>
    <w:rsid w:val="005C124A"/>
    <w:rsid w:val="005C14DF"/>
    <w:rsid w:val="005C1943"/>
    <w:rsid w:val="005C23BB"/>
    <w:rsid w:val="005C34DC"/>
    <w:rsid w:val="005C38AA"/>
    <w:rsid w:val="005C38D2"/>
    <w:rsid w:val="005C3C1C"/>
    <w:rsid w:val="005C5427"/>
    <w:rsid w:val="005C5B7F"/>
    <w:rsid w:val="005C6020"/>
    <w:rsid w:val="005C66A2"/>
    <w:rsid w:val="005C6870"/>
    <w:rsid w:val="005C6A8F"/>
    <w:rsid w:val="005C7393"/>
    <w:rsid w:val="005D03CB"/>
    <w:rsid w:val="005D115D"/>
    <w:rsid w:val="005D19D2"/>
    <w:rsid w:val="005D1C8A"/>
    <w:rsid w:val="005D1CB2"/>
    <w:rsid w:val="005D1DF1"/>
    <w:rsid w:val="005D2681"/>
    <w:rsid w:val="005D2C77"/>
    <w:rsid w:val="005D450D"/>
    <w:rsid w:val="005D58C0"/>
    <w:rsid w:val="005D67DA"/>
    <w:rsid w:val="005D795C"/>
    <w:rsid w:val="005D7CEF"/>
    <w:rsid w:val="005E00B9"/>
    <w:rsid w:val="005E0201"/>
    <w:rsid w:val="005E072E"/>
    <w:rsid w:val="005E1A9C"/>
    <w:rsid w:val="005E2227"/>
    <w:rsid w:val="005E2689"/>
    <w:rsid w:val="005E3472"/>
    <w:rsid w:val="005E41CC"/>
    <w:rsid w:val="005E4CEF"/>
    <w:rsid w:val="005E5250"/>
    <w:rsid w:val="005E53DB"/>
    <w:rsid w:val="005E5FB8"/>
    <w:rsid w:val="005E7CAE"/>
    <w:rsid w:val="005E7D52"/>
    <w:rsid w:val="005F0926"/>
    <w:rsid w:val="005F11B8"/>
    <w:rsid w:val="005F1318"/>
    <w:rsid w:val="005F1C62"/>
    <w:rsid w:val="005F1D74"/>
    <w:rsid w:val="005F1E9C"/>
    <w:rsid w:val="005F25BB"/>
    <w:rsid w:val="005F2BC2"/>
    <w:rsid w:val="005F35A6"/>
    <w:rsid w:val="005F4115"/>
    <w:rsid w:val="005F4A62"/>
    <w:rsid w:val="005F5433"/>
    <w:rsid w:val="005F5837"/>
    <w:rsid w:val="005F5D40"/>
    <w:rsid w:val="005F5F64"/>
    <w:rsid w:val="005F635B"/>
    <w:rsid w:val="005F6674"/>
    <w:rsid w:val="005F6B1D"/>
    <w:rsid w:val="005F709E"/>
    <w:rsid w:val="005F76A2"/>
    <w:rsid w:val="005F76AD"/>
    <w:rsid w:val="005F771B"/>
    <w:rsid w:val="0060052B"/>
    <w:rsid w:val="006007D6"/>
    <w:rsid w:val="00600F0D"/>
    <w:rsid w:val="0060151D"/>
    <w:rsid w:val="00601A9F"/>
    <w:rsid w:val="00601C8C"/>
    <w:rsid w:val="00601F86"/>
    <w:rsid w:val="00602B93"/>
    <w:rsid w:val="00603269"/>
    <w:rsid w:val="00603A73"/>
    <w:rsid w:val="00603FA5"/>
    <w:rsid w:val="006053F9"/>
    <w:rsid w:val="00605690"/>
    <w:rsid w:val="00605E33"/>
    <w:rsid w:val="00606366"/>
    <w:rsid w:val="00606789"/>
    <w:rsid w:val="00606B74"/>
    <w:rsid w:val="006072F8"/>
    <w:rsid w:val="006075F7"/>
    <w:rsid w:val="00607841"/>
    <w:rsid w:val="0061030B"/>
    <w:rsid w:val="00611237"/>
    <w:rsid w:val="0061183D"/>
    <w:rsid w:val="00611E79"/>
    <w:rsid w:val="00613815"/>
    <w:rsid w:val="006142E7"/>
    <w:rsid w:val="006148FE"/>
    <w:rsid w:val="00614A44"/>
    <w:rsid w:val="00614B3B"/>
    <w:rsid w:val="00615E96"/>
    <w:rsid w:val="006170AC"/>
    <w:rsid w:val="00617AAB"/>
    <w:rsid w:val="00620252"/>
    <w:rsid w:val="0062046D"/>
    <w:rsid w:val="0062057F"/>
    <w:rsid w:val="006209A1"/>
    <w:rsid w:val="00620C80"/>
    <w:rsid w:val="006219D0"/>
    <w:rsid w:val="00622E17"/>
    <w:rsid w:val="00623BDA"/>
    <w:rsid w:val="00624200"/>
    <w:rsid w:val="006256A5"/>
    <w:rsid w:val="00625C42"/>
    <w:rsid w:val="0062651B"/>
    <w:rsid w:val="00627539"/>
    <w:rsid w:val="006300A4"/>
    <w:rsid w:val="006306CA"/>
    <w:rsid w:val="00630E84"/>
    <w:rsid w:val="00631A68"/>
    <w:rsid w:val="00631ECD"/>
    <w:rsid w:val="00632072"/>
    <w:rsid w:val="006324A0"/>
    <w:rsid w:val="006324FD"/>
    <w:rsid w:val="006325EA"/>
    <w:rsid w:val="00632ADD"/>
    <w:rsid w:val="00632B25"/>
    <w:rsid w:val="00632D2B"/>
    <w:rsid w:val="00632F42"/>
    <w:rsid w:val="0063314E"/>
    <w:rsid w:val="006333E2"/>
    <w:rsid w:val="006338A3"/>
    <w:rsid w:val="0063394D"/>
    <w:rsid w:val="00633D3E"/>
    <w:rsid w:val="00633E36"/>
    <w:rsid w:val="00634A93"/>
    <w:rsid w:val="00634D94"/>
    <w:rsid w:val="00635006"/>
    <w:rsid w:val="0063517D"/>
    <w:rsid w:val="00635AE1"/>
    <w:rsid w:val="00635FD9"/>
    <w:rsid w:val="00636189"/>
    <w:rsid w:val="00636244"/>
    <w:rsid w:val="00636257"/>
    <w:rsid w:val="00636570"/>
    <w:rsid w:val="00636823"/>
    <w:rsid w:val="00636B13"/>
    <w:rsid w:val="00636DC6"/>
    <w:rsid w:val="00641043"/>
    <w:rsid w:val="006410BC"/>
    <w:rsid w:val="0064173F"/>
    <w:rsid w:val="006431F7"/>
    <w:rsid w:val="0064327E"/>
    <w:rsid w:val="00643932"/>
    <w:rsid w:val="00643A5D"/>
    <w:rsid w:val="006444E8"/>
    <w:rsid w:val="00644548"/>
    <w:rsid w:val="00644BF0"/>
    <w:rsid w:val="006453AC"/>
    <w:rsid w:val="00645669"/>
    <w:rsid w:val="00645816"/>
    <w:rsid w:val="006466A5"/>
    <w:rsid w:val="006473C4"/>
    <w:rsid w:val="00647DDE"/>
    <w:rsid w:val="006509F7"/>
    <w:rsid w:val="00650A5A"/>
    <w:rsid w:val="00650ADB"/>
    <w:rsid w:val="006514E3"/>
    <w:rsid w:val="006515EB"/>
    <w:rsid w:val="00651A7D"/>
    <w:rsid w:val="00651C48"/>
    <w:rsid w:val="00652C31"/>
    <w:rsid w:val="00653993"/>
    <w:rsid w:val="00653B51"/>
    <w:rsid w:val="00653C65"/>
    <w:rsid w:val="0065416B"/>
    <w:rsid w:val="00654EB0"/>
    <w:rsid w:val="00655206"/>
    <w:rsid w:val="0065541E"/>
    <w:rsid w:val="006556CC"/>
    <w:rsid w:val="00655F07"/>
    <w:rsid w:val="006562F9"/>
    <w:rsid w:val="00656444"/>
    <w:rsid w:val="0065717E"/>
    <w:rsid w:val="00660DAD"/>
    <w:rsid w:val="006617B5"/>
    <w:rsid w:val="00661C75"/>
    <w:rsid w:val="00661F1C"/>
    <w:rsid w:val="0066258D"/>
    <w:rsid w:val="0066384D"/>
    <w:rsid w:val="00664262"/>
    <w:rsid w:val="0066513F"/>
    <w:rsid w:val="00665531"/>
    <w:rsid w:val="006660DE"/>
    <w:rsid w:val="00666831"/>
    <w:rsid w:val="00666BF3"/>
    <w:rsid w:val="00666DA4"/>
    <w:rsid w:val="006679AB"/>
    <w:rsid w:val="00667A8F"/>
    <w:rsid w:val="00667E45"/>
    <w:rsid w:val="00670595"/>
    <w:rsid w:val="006714EE"/>
    <w:rsid w:val="00672D65"/>
    <w:rsid w:val="0067534B"/>
    <w:rsid w:val="006759C8"/>
    <w:rsid w:val="00675ACE"/>
    <w:rsid w:val="00676408"/>
    <w:rsid w:val="00676FAD"/>
    <w:rsid w:val="006771F5"/>
    <w:rsid w:val="006778D7"/>
    <w:rsid w:val="006778E7"/>
    <w:rsid w:val="00677E00"/>
    <w:rsid w:val="00677F03"/>
    <w:rsid w:val="00681704"/>
    <w:rsid w:val="006819F0"/>
    <w:rsid w:val="00682678"/>
    <w:rsid w:val="006827B6"/>
    <w:rsid w:val="006832F2"/>
    <w:rsid w:val="0068384F"/>
    <w:rsid w:val="00683DFC"/>
    <w:rsid w:val="006842AA"/>
    <w:rsid w:val="0068444A"/>
    <w:rsid w:val="0068468C"/>
    <w:rsid w:val="00685025"/>
    <w:rsid w:val="0068532A"/>
    <w:rsid w:val="006856E9"/>
    <w:rsid w:val="0068587F"/>
    <w:rsid w:val="00686ED3"/>
    <w:rsid w:val="00687E98"/>
    <w:rsid w:val="00690BE3"/>
    <w:rsid w:val="00690BEA"/>
    <w:rsid w:val="00690D06"/>
    <w:rsid w:val="00691500"/>
    <w:rsid w:val="00692086"/>
    <w:rsid w:val="00692666"/>
    <w:rsid w:val="0069284E"/>
    <w:rsid w:val="006943E2"/>
    <w:rsid w:val="00695447"/>
    <w:rsid w:val="00695C60"/>
    <w:rsid w:val="00695D46"/>
    <w:rsid w:val="006962CB"/>
    <w:rsid w:val="006963C2"/>
    <w:rsid w:val="006964B5"/>
    <w:rsid w:val="006965B5"/>
    <w:rsid w:val="00696977"/>
    <w:rsid w:val="006975CF"/>
    <w:rsid w:val="006977C7"/>
    <w:rsid w:val="00697ACE"/>
    <w:rsid w:val="00697B81"/>
    <w:rsid w:val="006A0328"/>
    <w:rsid w:val="006A1207"/>
    <w:rsid w:val="006A19F3"/>
    <w:rsid w:val="006A1AC6"/>
    <w:rsid w:val="006A1CDB"/>
    <w:rsid w:val="006A2897"/>
    <w:rsid w:val="006A29DB"/>
    <w:rsid w:val="006A2C51"/>
    <w:rsid w:val="006A38C7"/>
    <w:rsid w:val="006A39FD"/>
    <w:rsid w:val="006A3AFE"/>
    <w:rsid w:val="006A4372"/>
    <w:rsid w:val="006A4BBF"/>
    <w:rsid w:val="006A4E31"/>
    <w:rsid w:val="006A4EB3"/>
    <w:rsid w:val="006A57A3"/>
    <w:rsid w:val="006A57FA"/>
    <w:rsid w:val="006A6345"/>
    <w:rsid w:val="006A64A7"/>
    <w:rsid w:val="006A71A9"/>
    <w:rsid w:val="006A731B"/>
    <w:rsid w:val="006A77AF"/>
    <w:rsid w:val="006B0187"/>
    <w:rsid w:val="006B0EEE"/>
    <w:rsid w:val="006B1712"/>
    <w:rsid w:val="006B18CC"/>
    <w:rsid w:val="006B1C98"/>
    <w:rsid w:val="006B1EF3"/>
    <w:rsid w:val="006B2053"/>
    <w:rsid w:val="006B33AB"/>
    <w:rsid w:val="006B3795"/>
    <w:rsid w:val="006B37D5"/>
    <w:rsid w:val="006B41D9"/>
    <w:rsid w:val="006B4DEF"/>
    <w:rsid w:val="006B5F79"/>
    <w:rsid w:val="006B63F2"/>
    <w:rsid w:val="006B658F"/>
    <w:rsid w:val="006B66F3"/>
    <w:rsid w:val="006B6E94"/>
    <w:rsid w:val="006B7A1A"/>
    <w:rsid w:val="006B7F1B"/>
    <w:rsid w:val="006B7FFC"/>
    <w:rsid w:val="006C0011"/>
    <w:rsid w:val="006C089C"/>
    <w:rsid w:val="006C0D5F"/>
    <w:rsid w:val="006C0E47"/>
    <w:rsid w:val="006C0F6A"/>
    <w:rsid w:val="006C22B6"/>
    <w:rsid w:val="006C25EC"/>
    <w:rsid w:val="006C2E2F"/>
    <w:rsid w:val="006C3707"/>
    <w:rsid w:val="006C4698"/>
    <w:rsid w:val="006C5C4D"/>
    <w:rsid w:val="006C5DDA"/>
    <w:rsid w:val="006C6051"/>
    <w:rsid w:val="006C60B7"/>
    <w:rsid w:val="006C6B4A"/>
    <w:rsid w:val="006C6C2D"/>
    <w:rsid w:val="006C6EDD"/>
    <w:rsid w:val="006C7897"/>
    <w:rsid w:val="006C7CBD"/>
    <w:rsid w:val="006D16B6"/>
    <w:rsid w:val="006D1C72"/>
    <w:rsid w:val="006D205C"/>
    <w:rsid w:val="006D23D7"/>
    <w:rsid w:val="006D31BC"/>
    <w:rsid w:val="006D32DB"/>
    <w:rsid w:val="006D4615"/>
    <w:rsid w:val="006D4DC1"/>
    <w:rsid w:val="006D4F93"/>
    <w:rsid w:val="006D50CF"/>
    <w:rsid w:val="006D5EB8"/>
    <w:rsid w:val="006D6710"/>
    <w:rsid w:val="006D6C9F"/>
    <w:rsid w:val="006D6E88"/>
    <w:rsid w:val="006E05DB"/>
    <w:rsid w:val="006E07A0"/>
    <w:rsid w:val="006E0E98"/>
    <w:rsid w:val="006E107C"/>
    <w:rsid w:val="006E1295"/>
    <w:rsid w:val="006E140C"/>
    <w:rsid w:val="006E1E37"/>
    <w:rsid w:val="006E203A"/>
    <w:rsid w:val="006E21C6"/>
    <w:rsid w:val="006E254E"/>
    <w:rsid w:val="006E2862"/>
    <w:rsid w:val="006E2942"/>
    <w:rsid w:val="006E344A"/>
    <w:rsid w:val="006E3A4D"/>
    <w:rsid w:val="006E3D8A"/>
    <w:rsid w:val="006E45F9"/>
    <w:rsid w:val="006E48C2"/>
    <w:rsid w:val="006E649A"/>
    <w:rsid w:val="006E64AC"/>
    <w:rsid w:val="006E67A9"/>
    <w:rsid w:val="006E6B5B"/>
    <w:rsid w:val="006E7700"/>
    <w:rsid w:val="006E7BB2"/>
    <w:rsid w:val="006E7C52"/>
    <w:rsid w:val="006E7E71"/>
    <w:rsid w:val="006E7F93"/>
    <w:rsid w:val="006F003C"/>
    <w:rsid w:val="006F012D"/>
    <w:rsid w:val="006F089E"/>
    <w:rsid w:val="006F0AD5"/>
    <w:rsid w:val="006F0E0E"/>
    <w:rsid w:val="006F17FD"/>
    <w:rsid w:val="006F1D04"/>
    <w:rsid w:val="006F2846"/>
    <w:rsid w:val="006F2FDA"/>
    <w:rsid w:val="006F3188"/>
    <w:rsid w:val="006F3E75"/>
    <w:rsid w:val="006F44B6"/>
    <w:rsid w:val="006F529D"/>
    <w:rsid w:val="006F5D88"/>
    <w:rsid w:val="006F62E0"/>
    <w:rsid w:val="006F6399"/>
    <w:rsid w:val="006F653E"/>
    <w:rsid w:val="006F65E6"/>
    <w:rsid w:val="006F6D3A"/>
    <w:rsid w:val="006F7251"/>
    <w:rsid w:val="006F7365"/>
    <w:rsid w:val="00700625"/>
    <w:rsid w:val="007019F5"/>
    <w:rsid w:val="0070209D"/>
    <w:rsid w:val="0070220B"/>
    <w:rsid w:val="00703049"/>
    <w:rsid w:val="007040FD"/>
    <w:rsid w:val="00704608"/>
    <w:rsid w:val="007055A9"/>
    <w:rsid w:val="00705B6A"/>
    <w:rsid w:val="00705C85"/>
    <w:rsid w:val="00705EEA"/>
    <w:rsid w:val="00706325"/>
    <w:rsid w:val="007071FF"/>
    <w:rsid w:val="007077C2"/>
    <w:rsid w:val="007104D0"/>
    <w:rsid w:val="007111C6"/>
    <w:rsid w:val="007114A2"/>
    <w:rsid w:val="007118DC"/>
    <w:rsid w:val="00711CDF"/>
    <w:rsid w:val="00711D4C"/>
    <w:rsid w:val="00711F42"/>
    <w:rsid w:val="0071295D"/>
    <w:rsid w:val="00712ABC"/>
    <w:rsid w:val="00712F4A"/>
    <w:rsid w:val="00712FE5"/>
    <w:rsid w:val="00713406"/>
    <w:rsid w:val="00713BAC"/>
    <w:rsid w:val="0071446F"/>
    <w:rsid w:val="00714C3B"/>
    <w:rsid w:val="00714D06"/>
    <w:rsid w:val="00714D48"/>
    <w:rsid w:val="007157D1"/>
    <w:rsid w:val="00715C1F"/>
    <w:rsid w:val="00717828"/>
    <w:rsid w:val="00717F2C"/>
    <w:rsid w:val="0072147B"/>
    <w:rsid w:val="0072174A"/>
    <w:rsid w:val="00721887"/>
    <w:rsid w:val="00722B19"/>
    <w:rsid w:val="00723A95"/>
    <w:rsid w:val="007243E5"/>
    <w:rsid w:val="00724499"/>
    <w:rsid w:val="00724F3C"/>
    <w:rsid w:val="007256FC"/>
    <w:rsid w:val="00726784"/>
    <w:rsid w:val="00726BDA"/>
    <w:rsid w:val="00727058"/>
    <w:rsid w:val="007272A7"/>
    <w:rsid w:val="0073025E"/>
    <w:rsid w:val="007306AC"/>
    <w:rsid w:val="00730756"/>
    <w:rsid w:val="0073114D"/>
    <w:rsid w:val="00731889"/>
    <w:rsid w:val="0073258E"/>
    <w:rsid w:val="00732681"/>
    <w:rsid w:val="0073359D"/>
    <w:rsid w:val="007339A0"/>
    <w:rsid w:val="007344D5"/>
    <w:rsid w:val="00734897"/>
    <w:rsid w:val="00734AAF"/>
    <w:rsid w:val="007375F9"/>
    <w:rsid w:val="00737608"/>
    <w:rsid w:val="0073785B"/>
    <w:rsid w:val="00737D61"/>
    <w:rsid w:val="0074022B"/>
    <w:rsid w:val="00740866"/>
    <w:rsid w:val="007408BA"/>
    <w:rsid w:val="00740C02"/>
    <w:rsid w:val="00740C99"/>
    <w:rsid w:val="00740DE1"/>
    <w:rsid w:val="007416B6"/>
    <w:rsid w:val="007449B0"/>
    <w:rsid w:val="00744DE0"/>
    <w:rsid w:val="007454A4"/>
    <w:rsid w:val="00745A66"/>
    <w:rsid w:val="00745BE7"/>
    <w:rsid w:val="00745D42"/>
    <w:rsid w:val="00745DEC"/>
    <w:rsid w:val="00746D22"/>
    <w:rsid w:val="00746E1E"/>
    <w:rsid w:val="007478D1"/>
    <w:rsid w:val="00747E3A"/>
    <w:rsid w:val="00750003"/>
    <w:rsid w:val="00750F8A"/>
    <w:rsid w:val="00751038"/>
    <w:rsid w:val="007512E6"/>
    <w:rsid w:val="00752D42"/>
    <w:rsid w:val="007542A4"/>
    <w:rsid w:val="00755826"/>
    <w:rsid w:val="0075685F"/>
    <w:rsid w:val="00756ABE"/>
    <w:rsid w:val="00756E21"/>
    <w:rsid w:val="00757023"/>
    <w:rsid w:val="007571FE"/>
    <w:rsid w:val="007572EB"/>
    <w:rsid w:val="007577CB"/>
    <w:rsid w:val="00757911"/>
    <w:rsid w:val="00760487"/>
    <w:rsid w:val="00760C63"/>
    <w:rsid w:val="00760E83"/>
    <w:rsid w:val="00760FC1"/>
    <w:rsid w:val="00761230"/>
    <w:rsid w:val="007617D4"/>
    <w:rsid w:val="0076289A"/>
    <w:rsid w:val="007628DA"/>
    <w:rsid w:val="007628E7"/>
    <w:rsid w:val="00763583"/>
    <w:rsid w:val="007636C7"/>
    <w:rsid w:val="00763BB8"/>
    <w:rsid w:val="00763BFA"/>
    <w:rsid w:val="00763E56"/>
    <w:rsid w:val="0076645E"/>
    <w:rsid w:val="00767A14"/>
    <w:rsid w:val="0077049A"/>
    <w:rsid w:val="007715CA"/>
    <w:rsid w:val="007716EE"/>
    <w:rsid w:val="00772863"/>
    <w:rsid w:val="00772DD8"/>
    <w:rsid w:val="00773611"/>
    <w:rsid w:val="00773666"/>
    <w:rsid w:val="007739C2"/>
    <w:rsid w:val="00774F9D"/>
    <w:rsid w:val="00776E8F"/>
    <w:rsid w:val="00777494"/>
    <w:rsid w:val="007778DE"/>
    <w:rsid w:val="007805D7"/>
    <w:rsid w:val="00780D6C"/>
    <w:rsid w:val="00781059"/>
    <w:rsid w:val="0078155C"/>
    <w:rsid w:val="007828C9"/>
    <w:rsid w:val="00782E30"/>
    <w:rsid w:val="0078303D"/>
    <w:rsid w:val="0078316F"/>
    <w:rsid w:val="00784570"/>
    <w:rsid w:val="00785597"/>
    <w:rsid w:val="00785AF5"/>
    <w:rsid w:val="00785CCB"/>
    <w:rsid w:val="00786B67"/>
    <w:rsid w:val="00787114"/>
    <w:rsid w:val="007878AC"/>
    <w:rsid w:val="0079005A"/>
    <w:rsid w:val="007906A3"/>
    <w:rsid w:val="00790831"/>
    <w:rsid w:val="00791191"/>
    <w:rsid w:val="007911A2"/>
    <w:rsid w:val="0079229C"/>
    <w:rsid w:val="00792830"/>
    <w:rsid w:val="00792A06"/>
    <w:rsid w:val="00792C3A"/>
    <w:rsid w:val="00792CC9"/>
    <w:rsid w:val="00792EA1"/>
    <w:rsid w:val="00793305"/>
    <w:rsid w:val="00793381"/>
    <w:rsid w:val="0079351D"/>
    <w:rsid w:val="007937BC"/>
    <w:rsid w:val="007940D3"/>
    <w:rsid w:val="007941E3"/>
    <w:rsid w:val="00794F98"/>
    <w:rsid w:val="007952F7"/>
    <w:rsid w:val="007963B7"/>
    <w:rsid w:val="00796AF0"/>
    <w:rsid w:val="007971FB"/>
    <w:rsid w:val="007975AB"/>
    <w:rsid w:val="007A00E2"/>
    <w:rsid w:val="007A0587"/>
    <w:rsid w:val="007A096B"/>
    <w:rsid w:val="007A19EE"/>
    <w:rsid w:val="007A20C5"/>
    <w:rsid w:val="007A35D2"/>
    <w:rsid w:val="007A3880"/>
    <w:rsid w:val="007A4CA8"/>
    <w:rsid w:val="007A4F07"/>
    <w:rsid w:val="007A6924"/>
    <w:rsid w:val="007A6CA9"/>
    <w:rsid w:val="007A728D"/>
    <w:rsid w:val="007A7479"/>
    <w:rsid w:val="007A7BA7"/>
    <w:rsid w:val="007B0088"/>
    <w:rsid w:val="007B0712"/>
    <w:rsid w:val="007B077E"/>
    <w:rsid w:val="007B16EC"/>
    <w:rsid w:val="007B25BC"/>
    <w:rsid w:val="007B2E81"/>
    <w:rsid w:val="007B3B2B"/>
    <w:rsid w:val="007B520B"/>
    <w:rsid w:val="007B5A4D"/>
    <w:rsid w:val="007B5A82"/>
    <w:rsid w:val="007B612A"/>
    <w:rsid w:val="007B6244"/>
    <w:rsid w:val="007B6E27"/>
    <w:rsid w:val="007B7D2E"/>
    <w:rsid w:val="007C00B3"/>
    <w:rsid w:val="007C016B"/>
    <w:rsid w:val="007C1B34"/>
    <w:rsid w:val="007C27D7"/>
    <w:rsid w:val="007C296E"/>
    <w:rsid w:val="007C2E09"/>
    <w:rsid w:val="007C32D0"/>
    <w:rsid w:val="007C366E"/>
    <w:rsid w:val="007C3931"/>
    <w:rsid w:val="007C3D5E"/>
    <w:rsid w:val="007C3E30"/>
    <w:rsid w:val="007C423D"/>
    <w:rsid w:val="007C42CA"/>
    <w:rsid w:val="007C6D91"/>
    <w:rsid w:val="007C6F6D"/>
    <w:rsid w:val="007C7836"/>
    <w:rsid w:val="007C7A4F"/>
    <w:rsid w:val="007D048B"/>
    <w:rsid w:val="007D05FA"/>
    <w:rsid w:val="007D149B"/>
    <w:rsid w:val="007D1500"/>
    <w:rsid w:val="007D193A"/>
    <w:rsid w:val="007D1CE0"/>
    <w:rsid w:val="007D2425"/>
    <w:rsid w:val="007D2A16"/>
    <w:rsid w:val="007D33D4"/>
    <w:rsid w:val="007D3787"/>
    <w:rsid w:val="007D3C29"/>
    <w:rsid w:val="007D41B0"/>
    <w:rsid w:val="007D4496"/>
    <w:rsid w:val="007D48DA"/>
    <w:rsid w:val="007D4B03"/>
    <w:rsid w:val="007D55E3"/>
    <w:rsid w:val="007D5F7F"/>
    <w:rsid w:val="007D60A7"/>
    <w:rsid w:val="007D6E3C"/>
    <w:rsid w:val="007D713D"/>
    <w:rsid w:val="007D7140"/>
    <w:rsid w:val="007D7818"/>
    <w:rsid w:val="007E0052"/>
    <w:rsid w:val="007E0207"/>
    <w:rsid w:val="007E1461"/>
    <w:rsid w:val="007E1C98"/>
    <w:rsid w:val="007E2F41"/>
    <w:rsid w:val="007E4B24"/>
    <w:rsid w:val="007E4E9C"/>
    <w:rsid w:val="007E5CC5"/>
    <w:rsid w:val="007E609D"/>
    <w:rsid w:val="007E62DA"/>
    <w:rsid w:val="007E74C8"/>
    <w:rsid w:val="007E765B"/>
    <w:rsid w:val="007E7B2B"/>
    <w:rsid w:val="007E7F79"/>
    <w:rsid w:val="007F03DB"/>
    <w:rsid w:val="007F098C"/>
    <w:rsid w:val="007F1099"/>
    <w:rsid w:val="007F148A"/>
    <w:rsid w:val="007F1EA7"/>
    <w:rsid w:val="007F2DE1"/>
    <w:rsid w:val="007F3384"/>
    <w:rsid w:val="007F381D"/>
    <w:rsid w:val="007F41DE"/>
    <w:rsid w:val="007F499F"/>
    <w:rsid w:val="007F4A0B"/>
    <w:rsid w:val="007F4B19"/>
    <w:rsid w:val="007F6185"/>
    <w:rsid w:val="007F62E2"/>
    <w:rsid w:val="007F63BD"/>
    <w:rsid w:val="007F6507"/>
    <w:rsid w:val="007F6946"/>
    <w:rsid w:val="007F6A2B"/>
    <w:rsid w:val="007F71AB"/>
    <w:rsid w:val="007F7420"/>
    <w:rsid w:val="007F7757"/>
    <w:rsid w:val="007F7F69"/>
    <w:rsid w:val="00800D88"/>
    <w:rsid w:val="008010C1"/>
    <w:rsid w:val="0080133B"/>
    <w:rsid w:val="008017E0"/>
    <w:rsid w:val="00801CC4"/>
    <w:rsid w:val="0080283F"/>
    <w:rsid w:val="008034E1"/>
    <w:rsid w:val="00804467"/>
    <w:rsid w:val="00804483"/>
    <w:rsid w:val="008046A4"/>
    <w:rsid w:val="00805131"/>
    <w:rsid w:val="008056B6"/>
    <w:rsid w:val="00805C97"/>
    <w:rsid w:val="008065C7"/>
    <w:rsid w:val="00806CEB"/>
    <w:rsid w:val="00807354"/>
    <w:rsid w:val="00807449"/>
    <w:rsid w:val="00807E46"/>
    <w:rsid w:val="008105DB"/>
    <w:rsid w:val="008108E3"/>
    <w:rsid w:val="00810B41"/>
    <w:rsid w:val="0081160C"/>
    <w:rsid w:val="0081171B"/>
    <w:rsid w:val="00811F1B"/>
    <w:rsid w:val="00812542"/>
    <w:rsid w:val="00812548"/>
    <w:rsid w:val="008125D0"/>
    <w:rsid w:val="008128FA"/>
    <w:rsid w:val="0081504C"/>
    <w:rsid w:val="00815B7C"/>
    <w:rsid w:val="00815D40"/>
    <w:rsid w:val="0081701A"/>
    <w:rsid w:val="0081747B"/>
    <w:rsid w:val="0082052C"/>
    <w:rsid w:val="00821168"/>
    <w:rsid w:val="00821252"/>
    <w:rsid w:val="00821501"/>
    <w:rsid w:val="00821F70"/>
    <w:rsid w:val="00822333"/>
    <w:rsid w:val="00823412"/>
    <w:rsid w:val="00824980"/>
    <w:rsid w:val="008255C3"/>
    <w:rsid w:val="00825603"/>
    <w:rsid w:val="008258CC"/>
    <w:rsid w:val="00825A24"/>
    <w:rsid w:val="00825E9C"/>
    <w:rsid w:val="008273BE"/>
    <w:rsid w:val="0082771A"/>
    <w:rsid w:val="00830213"/>
    <w:rsid w:val="008302BE"/>
    <w:rsid w:val="0083106C"/>
    <w:rsid w:val="008318A9"/>
    <w:rsid w:val="0083242D"/>
    <w:rsid w:val="00832DA3"/>
    <w:rsid w:val="00832F0D"/>
    <w:rsid w:val="00833258"/>
    <w:rsid w:val="008336C4"/>
    <w:rsid w:val="0083415F"/>
    <w:rsid w:val="0083478B"/>
    <w:rsid w:val="00834865"/>
    <w:rsid w:val="00834CC4"/>
    <w:rsid w:val="00834EDA"/>
    <w:rsid w:val="008354BF"/>
    <w:rsid w:val="008358AB"/>
    <w:rsid w:val="00835927"/>
    <w:rsid w:val="00835EDE"/>
    <w:rsid w:val="008360E0"/>
    <w:rsid w:val="0083628A"/>
    <w:rsid w:val="008364C2"/>
    <w:rsid w:val="00836B6D"/>
    <w:rsid w:val="008405B8"/>
    <w:rsid w:val="00840E9D"/>
    <w:rsid w:val="00840F43"/>
    <w:rsid w:val="00841066"/>
    <w:rsid w:val="00841CFA"/>
    <w:rsid w:val="00841ECA"/>
    <w:rsid w:val="00843775"/>
    <w:rsid w:val="00843A3B"/>
    <w:rsid w:val="00843A58"/>
    <w:rsid w:val="008444E6"/>
    <w:rsid w:val="0084558F"/>
    <w:rsid w:val="00845831"/>
    <w:rsid w:val="008458A2"/>
    <w:rsid w:val="00846090"/>
    <w:rsid w:val="0084654E"/>
    <w:rsid w:val="00846715"/>
    <w:rsid w:val="00846C22"/>
    <w:rsid w:val="0084732A"/>
    <w:rsid w:val="00847649"/>
    <w:rsid w:val="0085025C"/>
    <w:rsid w:val="00850F46"/>
    <w:rsid w:val="008516CD"/>
    <w:rsid w:val="00852EFE"/>
    <w:rsid w:val="00853315"/>
    <w:rsid w:val="00853CCC"/>
    <w:rsid w:val="00853D47"/>
    <w:rsid w:val="00854350"/>
    <w:rsid w:val="00854880"/>
    <w:rsid w:val="00854F42"/>
    <w:rsid w:val="008557F0"/>
    <w:rsid w:val="00855B36"/>
    <w:rsid w:val="00855E33"/>
    <w:rsid w:val="00856788"/>
    <w:rsid w:val="00856CA1"/>
    <w:rsid w:val="00860739"/>
    <w:rsid w:val="00860C96"/>
    <w:rsid w:val="00861A9F"/>
    <w:rsid w:val="00862210"/>
    <w:rsid w:val="00862358"/>
    <w:rsid w:val="008623A0"/>
    <w:rsid w:val="00862735"/>
    <w:rsid w:val="00862775"/>
    <w:rsid w:val="00862FD0"/>
    <w:rsid w:val="008630A0"/>
    <w:rsid w:val="00863400"/>
    <w:rsid w:val="00863609"/>
    <w:rsid w:val="00863D53"/>
    <w:rsid w:val="00864CC6"/>
    <w:rsid w:val="00865168"/>
    <w:rsid w:val="00865317"/>
    <w:rsid w:val="008708A6"/>
    <w:rsid w:val="008708C7"/>
    <w:rsid w:val="00870F3C"/>
    <w:rsid w:val="008711AB"/>
    <w:rsid w:val="00871A5B"/>
    <w:rsid w:val="00871B80"/>
    <w:rsid w:val="00872845"/>
    <w:rsid w:val="00872F10"/>
    <w:rsid w:val="00873538"/>
    <w:rsid w:val="00874170"/>
    <w:rsid w:val="0087456C"/>
    <w:rsid w:val="00875557"/>
    <w:rsid w:val="008757D6"/>
    <w:rsid w:val="0087638A"/>
    <w:rsid w:val="00876DAE"/>
    <w:rsid w:val="008803B7"/>
    <w:rsid w:val="008805CD"/>
    <w:rsid w:val="008807F6"/>
    <w:rsid w:val="008809B5"/>
    <w:rsid w:val="00880C6C"/>
    <w:rsid w:val="008810D7"/>
    <w:rsid w:val="008813B1"/>
    <w:rsid w:val="008815BD"/>
    <w:rsid w:val="00881E85"/>
    <w:rsid w:val="0088227D"/>
    <w:rsid w:val="0088229F"/>
    <w:rsid w:val="008829FC"/>
    <w:rsid w:val="00882A6E"/>
    <w:rsid w:val="00883524"/>
    <w:rsid w:val="00884298"/>
    <w:rsid w:val="008849B7"/>
    <w:rsid w:val="00884CE7"/>
    <w:rsid w:val="00884E0D"/>
    <w:rsid w:val="00884FB5"/>
    <w:rsid w:val="008850D6"/>
    <w:rsid w:val="00885227"/>
    <w:rsid w:val="00887CA6"/>
    <w:rsid w:val="008900B0"/>
    <w:rsid w:val="0089050C"/>
    <w:rsid w:val="00890F29"/>
    <w:rsid w:val="00891599"/>
    <w:rsid w:val="0089160C"/>
    <w:rsid w:val="0089268B"/>
    <w:rsid w:val="00892C8C"/>
    <w:rsid w:val="00892DBF"/>
    <w:rsid w:val="00892EE4"/>
    <w:rsid w:val="008937C7"/>
    <w:rsid w:val="0089401C"/>
    <w:rsid w:val="0089421C"/>
    <w:rsid w:val="0089526B"/>
    <w:rsid w:val="00895646"/>
    <w:rsid w:val="00895782"/>
    <w:rsid w:val="00895AD2"/>
    <w:rsid w:val="00895B0E"/>
    <w:rsid w:val="00895F44"/>
    <w:rsid w:val="0089654A"/>
    <w:rsid w:val="00896AE8"/>
    <w:rsid w:val="0089701F"/>
    <w:rsid w:val="00897311"/>
    <w:rsid w:val="008A0A8E"/>
    <w:rsid w:val="008A0D34"/>
    <w:rsid w:val="008A1D80"/>
    <w:rsid w:val="008A1F5C"/>
    <w:rsid w:val="008A1F73"/>
    <w:rsid w:val="008A368A"/>
    <w:rsid w:val="008A3C54"/>
    <w:rsid w:val="008A46DE"/>
    <w:rsid w:val="008A4AB1"/>
    <w:rsid w:val="008A5F49"/>
    <w:rsid w:val="008A654C"/>
    <w:rsid w:val="008A704F"/>
    <w:rsid w:val="008B0CF0"/>
    <w:rsid w:val="008B1925"/>
    <w:rsid w:val="008B1E0D"/>
    <w:rsid w:val="008B1F1A"/>
    <w:rsid w:val="008B279A"/>
    <w:rsid w:val="008B2C96"/>
    <w:rsid w:val="008B449B"/>
    <w:rsid w:val="008B4832"/>
    <w:rsid w:val="008B6516"/>
    <w:rsid w:val="008B6633"/>
    <w:rsid w:val="008B7DF3"/>
    <w:rsid w:val="008C080B"/>
    <w:rsid w:val="008C1B10"/>
    <w:rsid w:val="008C38F0"/>
    <w:rsid w:val="008C411B"/>
    <w:rsid w:val="008C495B"/>
    <w:rsid w:val="008C5F30"/>
    <w:rsid w:val="008C6613"/>
    <w:rsid w:val="008C6736"/>
    <w:rsid w:val="008C6B1A"/>
    <w:rsid w:val="008C6C06"/>
    <w:rsid w:val="008C71E9"/>
    <w:rsid w:val="008C72BC"/>
    <w:rsid w:val="008C75DA"/>
    <w:rsid w:val="008D0487"/>
    <w:rsid w:val="008D053C"/>
    <w:rsid w:val="008D0D7A"/>
    <w:rsid w:val="008D151D"/>
    <w:rsid w:val="008D1D06"/>
    <w:rsid w:val="008D216F"/>
    <w:rsid w:val="008D2374"/>
    <w:rsid w:val="008D24EF"/>
    <w:rsid w:val="008D25CE"/>
    <w:rsid w:val="008D2D4D"/>
    <w:rsid w:val="008D2EF9"/>
    <w:rsid w:val="008D2F9E"/>
    <w:rsid w:val="008D3B5D"/>
    <w:rsid w:val="008D41E3"/>
    <w:rsid w:val="008D4298"/>
    <w:rsid w:val="008D4453"/>
    <w:rsid w:val="008D4675"/>
    <w:rsid w:val="008D47C6"/>
    <w:rsid w:val="008D55D3"/>
    <w:rsid w:val="008D58E0"/>
    <w:rsid w:val="008D5B91"/>
    <w:rsid w:val="008D5EA5"/>
    <w:rsid w:val="008D5F73"/>
    <w:rsid w:val="008D633E"/>
    <w:rsid w:val="008D686C"/>
    <w:rsid w:val="008D6B69"/>
    <w:rsid w:val="008D7121"/>
    <w:rsid w:val="008D7C57"/>
    <w:rsid w:val="008E0170"/>
    <w:rsid w:val="008E01EA"/>
    <w:rsid w:val="008E08CB"/>
    <w:rsid w:val="008E0973"/>
    <w:rsid w:val="008E1186"/>
    <w:rsid w:val="008E15F4"/>
    <w:rsid w:val="008E17EF"/>
    <w:rsid w:val="008E2356"/>
    <w:rsid w:val="008E255B"/>
    <w:rsid w:val="008E304D"/>
    <w:rsid w:val="008E32B0"/>
    <w:rsid w:val="008E36D4"/>
    <w:rsid w:val="008E3C0E"/>
    <w:rsid w:val="008E4058"/>
    <w:rsid w:val="008E4CE7"/>
    <w:rsid w:val="008E53DA"/>
    <w:rsid w:val="008E5568"/>
    <w:rsid w:val="008E6137"/>
    <w:rsid w:val="008E64D8"/>
    <w:rsid w:val="008E670E"/>
    <w:rsid w:val="008E6B79"/>
    <w:rsid w:val="008E6B81"/>
    <w:rsid w:val="008E6D34"/>
    <w:rsid w:val="008E75E5"/>
    <w:rsid w:val="008E7B62"/>
    <w:rsid w:val="008E7F8D"/>
    <w:rsid w:val="008F05A6"/>
    <w:rsid w:val="008F05AA"/>
    <w:rsid w:val="008F0695"/>
    <w:rsid w:val="008F0841"/>
    <w:rsid w:val="008F0C7D"/>
    <w:rsid w:val="008F1C8D"/>
    <w:rsid w:val="008F2FBA"/>
    <w:rsid w:val="008F3271"/>
    <w:rsid w:val="008F32C9"/>
    <w:rsid w:val="008F33D6"/>
    <w:rsid w:val="008F346A"/>
    <w:rsid w:val="008F39D4"/>
    <w:rsid w:val="008F3ADC"/>
    <w:rsid w:val="008F3D52"/>
    <w:rsid w:val="008F4A9C"/>
    <w:rsid w:val="008F5047"/>
    <w:rsid w:val="008F5078"/>
    <w:rsid w:val="008F547E"/>
    <w:rsid w:val="008F59D7"/>
    <w:rsid w:val="008F6487"/>
    <w:rsid w:val="008F6717"/>
    <w:rsid w:val="008F7373"/>
    <w:rsid w:val="008F78EA"/>
    <w:rsid w:val="008F7B5F"/>
    <w:rsid w:val="008F7DA4"/>
    <w:rsid w:val="008F7FBF"/>
    <w:rsid w:val="00900634"/>
    <w:rsid w:val="00900A1C"/>
    <w:rsid w:val="009010C3"/>
    <w:rsid w:val="0090148D"/>
    <w:rsid w:val="00901704"/>
    <w:rsid w:val="00903C7C"/>
    <w:rsid w:val="009041D3"/>
    <w:rsid w:val="009048A1"/>
    <w:rsid w:val="0090556E"/>
    <w:rsid w:val="00906158"/>
    <w:rsid w:val="0090665A"/>
    <w:rsid w:val="00906975"/>
    <w:rsid w:val="00906CA4"/>
    <w:rsid w:val="00906E97"/>
    <w:rsid w:val="00906FE5"/>
    <w:rsid w:val="009073E6"/>
    <w:rsid w:val="00907B79"/>
    <w:rsid w:val="00907D61"/>
    <w:rsid w:val="00910171"/>
    <w:rsid w:val="009123A0"/>
    <w:rsid w:val="009124F1"/>
    <w:rsid w:val="009126E2"/>
    <w:rsid w:val="00912DBC"/>
    <w:rsid w:val="00913AD0"/>
    <w:rsid w:val="009140ED"/>
    <w:rsid w:val="00914173"/>
    <w:rsid w:val="00914645"/>
    <w:rsid w:val="00915146"/>
    <w:rsid w:val="00915512"/>
    <w:rsid w:val="00915BA0"/>
    <w:rsid w:val="0091633F"/>
    <w:rsid w:val="00916733"/>
    <w:rsid w:val="00916C7E"/>
    <w:rsid w:val="009177EC"/>
    <w:rsid w:val="009178EF"/>
    <w:rsid w:val="0091791A"/>
    <w:rsid w:val="00917E02"/>
    <w:rsid w:val="00917F54"/>
    <w:rsid w:val="00920370"/>
    <w:rsid w:val="00921127"/>
    <w:rsid w:val="009217C2"/>
    <w:rsid w:val="0092237F"/>
    <w:rsid w:val="00922416"/>
    <w:rsid w:val="009225FD"/>
    <w:rsid w:val="00922A0C"/>
    <w:rsid w:val="00924229"/>
    <w:rsid w:val="009243B2"/>
    <w:rsid w:val="00924CAF"/>
    <w:rsid w:val="00925615"/>
    <w:rsid w:val="0092593F"/>
    <w:rsid w:val="00925A6B"/>
    <w:rsid w:val="00926157"/>
    <w:rsid w:val="00926639"/>
    <w:rsid w:val="00926C9B"/>
    <w:rsid w:val="0093037C"/>
    <w:rsid w:val="009304B8"/>
    <w:rsid w:val="00930597"/>
    <w:rsid w:val="00931F7B"/>
    <w:rsid w:val="00933DE4"/>
    <w:rsid w:val="0093400B"/>
    <w:rsid w:val="00935FE4"/>
    <w:rsid w:val="009369D9"/>
    <w:rsid w:val="009378D9"/>
    <w:rsid w:val="00941079"/>
    <w:rsid w:val="009414A5"/>
    <w:rsid w:val="009419D2"/>
    <w:rsid w:val="00942038"/>
    <w:rsid w:val="00942632"/>
    <w:rsid w:val="00942AC5"/>
    <w:rsid w:val="00942F5F"/>
    <w:rsid w:val="009432C9"/>
    <w:rsid w:val="009450CB"/>
    <w:rsid w:val="00945685"/>
    <w:rsid w:val="0094588A"/>
    <w:rsid w:val="0094689C"/>
    <w:rsid w:val="00946E33"/>
    <w:rsid w:val="0094755F"/>
    <w:rsid w:val="00947D02"/>
    <w:rsid w:val="00950B08"/>
    <w:rsid w:val="0095140F"/>
    <w:rsid w:val="00952BA8"/>
    <w:rsid w:val="00952C48"/>
    <w:rsid w:val="00952C61"/>
    <w:rsid w:val="00955247"/>
    <w:rsid w:val="00955F61"/>
    <w:rsid w:val="009561AA"/>
    <w:rsid w:val="0095631E"/>
    <w:rsid w:val="0095741A"/>
    <w:rsid w:val="009576BE"/>
    <w:rsid w:val="00957EA8"/>
    <w:rsid w:val="0096002F"/>
    <w:rsid w:val="0096077C"/>
    <w:rsid w:val="00960FC4"/>
    <w:rsid w:val="00961735"/>
    <w:rsid w:val="00961E4E"/>
    <w:rsid w:val="009620C6"/>
    <w:rsid w:val="0096245D"/>
    <w:rsid w:val="009624FA"/>
    <w:rsid w:val="00963014"/>
    <w:rsid w:val="009633F4"/>
    <w:rsid w:val="00964AA2"/>
    <w:rsid w:val="00964AD8"/>
    <w:rsid w:val="00965488"/>
    <w:rsid w:val="00965CAD"/>
    <w:rsid w:val="00966495"/>
    <w:rsid w:val="00966679"/>
    <w:rsid w:val="00967550"/>
    <w:rsid w:val="00967EE1"/>
    <w:rsid w:val="0097114C"/>
    <w:rsid w:val="0097199E"/>
    <w:rsid w:val="00971FC8"/>
    <w:rsid w:val="00971FF6"/>
    <w:rsid w:val="009733FA"/>
    <w:rsid w:val="009735BF"/>
    <w:rsid w:val="00974C3D"/>
    <w:rsid w:val="009751BA"/>
    <w:rsid w:val="009757BF"/>
    <w:rsid w:val="00975B19"/>
    <w:rsid w:val="00975B72"/>
    <w:rsid w:val="00980101"/>
    <w:rsid w:val="00980D1E"/>
    <w:rsid w:val="009816DE"/>
    <w:rsid w:val="009817F2"/>
    <w:rsid w:val="00981BBA"/>
    <w:rsid w:val="00982354"/>
    <w:rsid w:val="00983129"/>
    <w:rsid w:val="009837F6"/>
    <w:rsid w:val="0098394A"/>
    <w:rsid w:val="0098396F"/>
    <w:rsid w:val="009839C6"/>
    <w:rsid w:val="00984564"/>
    <w:rsid w:val="00985043"/>
    <w:rsid w:val="00985654"/>
    <w:rsid w:val="00985763"/>
    <w:rsid w:val="00985BB7"/>
    <w:rsid w:val="00985F3B"/>
    <w:rsid w:val="009861E8"/>
    <w:rsid w:val="00987D6A"/>
    <w:rsid w:val="009908F1"/>
    <w:rsid w:val="0099108B"/>
    <w:rsid w:val="00991745"/>
    <w:rsid w:val="00992CE0"/>
    <w:rsid w:val="009935AC"/>
    <w:rsid w:val="00994589"/>
    <w:rsid w:val="00994778"/>
    <w:rsid w:val="00995426"/>
    <w:rsid w:val="00995ADE"/>
    <w:rsid w:val="00995B39"/>
    <w:rsid w:val="009967B5"/>
    <w:rsid w:val="00996FE6"/>
    <w:rsid w:val="00997F23"/>
    <w:rsid w:val="009A0196"/>
    <w:rsid w:val="009A04C9"/>
    <w:rsid w:val="009A17E3"/>
    <w:rsid w:val="009A1974"/>
    <w:rsid w:val="009A250D"/>
    <w:rsid w:val="009A2C75"/>
    <w:rsid w:val="009A39CB"/>
    <w:rsid w:val="009A47D7"/>
    <w:rsid w:val="009A494F"/>
    <w:rsid w:val="009A4D63"/>
    <w:rsid w:val="009A5579"/>
    <w:rsid w:val="009A5E8D"/>
    <w:rsid w:val="009A624A"/>
    <w:rsid w:val="009A6509"/>
    <w:rsid w:val="009A665C"/>
    <w:rsid w:val="009A71F9"/>
    <w:rsid w:val="009A77A3"/>
    <w:rsid w:val="009B0BA5"/>
    <w:rsid w:val="009B1142"/>
    <w:rsid w:val="009B1448"/>
    <w:rsid w:val="009B1ABA"/>
    <w:rsid w:val="009B21F2"/>
    <w:rsid w:val="009B254C"/>
    <w:rsid w:val="009B2802"/>
    <w:rsid w:val="009B45B2"/>
    <w:rsid w:val="009B511D"/>
    <w:rsid w:val="009B545D"/>
    <w:rsid w:val="009B7739"/>
    <w:rsid w:val="009B78F8"/>
    <w:rsid w:val="009B7D06"/>
    <w:rsid w:val="009B7E68"/>
    <w:rsid w:val="009C0497"/>
    <w:rsid w:val="009C1D1F"/>
    <w:rsid w:val="009C2269"/>
    <w:rsid w:val="009C22C1"/>
    <w:rsid w:val="009C32C7"/>
    <w:rsid w:val="009C33C7"/>
    <w:rsid w:val="009C36BF"/>
    <w:rsid w:val="009C4558"/>
    <w:rsid w:val="009C4AE3"/>
    <w:rsid w:val="009C503E"/>
    <w:rsid w:val="009C5216"/>
    <w:rsid w:val="009C56AC"/>
    <w:rsid w:val="009C572C"/>
    <w:rsid w:val="009C63A8"/>
    <w:rsid w:val="009D05EA"/>
    <w:rsid w:val="009D09F5"/>
    <w:rsid w:val="009D0F7F"/>
    <w:rsid w:val="009D20B0"/>
    <w:rsid w:val="009D2921"/>
    <w:rsid w:val="009D355E"/>
    <w:rsid w:val="009D376C"/>
    <w:rsid w:val="009D3902"/>
    <w:rsid w:val="009D42A8"/>
    <w:rsid w:val="009D46B1"/>
    <w:rsid w:val="009D47FE"/>
    <w:rsid w:val="009D4DB8"/>
    <w:rsid w:val="009D4EBC"/>
    <w:rsid w:val="009D4FAD"/>
    <w:rsid w:val="009D5128"/>
    <w:rsid w:val="009D5795"/>
    <w:rsid w:val="009D620D"/>
    <w:rsid w:val="009D6780"/>
    <w:rsid w:val="009D6AB4"/>
    <w:rsid w:val="009D79B5"/>
    <w:rsid w:val="009D7AF7"/>
    <w:rsid w:val="009E0ADD"/>
    <w:rsid w:val="009E15FD"/>
    <w:rsid w:val="009E1638"/>
    <w:rsid w:val="009E16E6"/>
    <w:rsid w:val="009E2A86"/>
    <w:rsid w:val="009E316D"/>
    <w:rsid w:val="009E3EDD"/>
    <w:rsid w:val="009E4B9F"/>
    <w:rsid w:val="009E5679"/>
    <w:rsid w:val="009E61CB"/>
    <w:rsid w:val="009E6A22"/>
    <w:rsid w:val="009E6DBA"/>
    <w:rsid w:val="009E719B"/>
    <w:rsid w:val="009E72E4"/>
    <w:rsid w:val="009E7CA5"/>
    <w:rsid w:val="009F0335"/>
    <w:rsid w:val="009F0B5C"/>
    <w:rsid w:val="009F0CE8"/>
    <w:rsid w:val="009F194F"/>
    <w:rsid w:val="009F1C52"/>
    <w:rsid w:val="009F1C99"/>
    <w:rsid w:val="009F2E4C"/>
    <w:rsid w:val="009F41EE"/>
    <w:rsid w:val="009F50CB"/>
    <w:rsid w:val="009F5CF8"/>
    <w:rsid w:val="009F6396"/>
    <w:rsid w:val="009F64EB"/>
    <w:rsid w:val="009F6F10"/>
    <w:rsid w:val="009F7929"/>
    <w:rsid w:val="00A00898"/>
    <w:rsid w:val="00A01513"/>
    <w:rsid w:val="00A02130"/>
    <w:rsid w:val="00A02A04"/>
    <w:rsid w:val="00A02EF6"/>
    <w:rsid w:val="00A0310A"/>
    <w:rsid w:val="00A0371B"/>
    <w:rsid w:val="00A03C05"/>
    <w:rsid w:val="00A03D01"/>
    <w:rsid w:val="00A03EDF"/>
    <w:rsid w:val="00A04292"/>
    <w:rsid w:val="00A045A1"/>
    <w:rsid w:val="00A04732"/>
    <w:rsid w:val="00A048CB"/>
    <w:rsid w:val="00A04BBC"/>
    <w:rsid w:val="00A04E23"/>
    <w:rsid w:val="00A04E44"/>
    <w:rsid w:val="00A05190"/>
    <w:rsid w:val="00A0580A"/>
    <w:rsid w:val="00A059E4"/>
    <w:rsid w:val="00A05F52"/>
    <w:rsid w:val="00A06350"/>
    <w:rsid w:val="00A064CF"/>
    <w:rsid w:val="00A06506"/>
    <w:rsid w:val="00A06A03"/>
    <w:rsid w:val="00A06A2F"/>
    <w:rsid w:val="00A07FE5"/>
    <w:rsid w:val="00A1052B"/>
    <w:rsid w:val="00A10603"/>
    <w:rsid w:val="00A11459"/>
    <w:rsid w:val="00A11E61"/>
    <w:rsid w:val="00A12026"/>
    <w:rsid w:val="00A12437"/>
    <w:rsid w:val="00A12651"/>
    <w:rsid w:val="00A13E76"/>
    <w:rsid w:val="00A13ECF"/>
    <w:rsid w:val="00A148D7"/>
    <w:rsid w:val="00A1584F"/>
    <w:rsid w:val="00A15EAC"/>
    <w:rsid w:val="00A16EDA"/>
    <w:rsid w:val="00A1743A"/>
    <w:rsid w:val="00A17A16"/>
    <w:rsid w:val="00A20487"/>
    <w:rsid w:val="00A213E3"/>
    <w:rsid w:val="00A21A18"/>
    <w:rsid w:val="00A2230F"/>
    <w:rsid w:val="00A2251A"/>
    <w:rsid w:val="00A22B37"/>
    <w:rsid w:val="00A22F39"/>
    <w:rsid w:val="00A233FF"/>
    <w:rsid w:val="00A23AB0"/>
    <w:rsid w:val="00A23EB0"/>
    <w:rsid w:val="00A24BBF"/>
    <w:rsid w:val="00A24CCB"/>
    <w:rsid w:val="00A24DAF"/>
    <w:rsid w:val="00A260B4"/>
    <w:rsid w:val="00A26360"/>
    <w:rsid w:val="00A26C0D"/>
    <w:rsid w:val="00A27BB7"/>
    <w:rsid w:val="00A308DA"/>
    <w:rsid w:val="00A32338"/>
    <w:rsid w:val="00A328AB"/>
    <w:rsid w:val="00A3381E"/>
    <w:rsid w:val="00A33AA0"/>
    <w:rsid w:val="00A33BF8"/>
    <w:rsid w:val="00A33DD0"/>
    <w:rsid w:val="00A34543"/>
    <w:rsid w:val="00A356C7"/>
    <w:rsid w:val="00A35A6A"/>
    <w:rsid w:val="00A35D24"/>
    <w:rsid w:val="00A36641"/>
    <w:rsid w:val="00A4025F"/>
    <w:rsid w:val="00A40BDC"/>
    <w:rsid w:val="00A40E94"/>
    <w:rsid w:val="00A41910"/>
    <w:rsid w:val="00A41CA2"/>
    <w:rsid w:val="00A43347"/>
    <w:rsid w:val="00A43555"/>
    <w:rsid w:val="00A43FA8"/>
    <w:rsid w:val="00A44231"/>
    <w:rsid w:val="00A447A3"/>
    <w:rsid w:val="00A44B69"/>
    <w:rsid w:val="00A45C0F"/>
    <w:rsid w:val="00A46939"/>
    <w:rsid w:val="00A47279"/>
    <w:rsid w:val="00A479CD"/>
    <w:rsid w:val="00A47D34"/>
    <w:rsid w:val="00A47DC0"/>
    <w:rsid w:val="00A52317"/>
    <w:rsid w:val="00A5299C"/>
    <w:rsid w:val="00A54063"/>
    <w:rsid w:val="00A551BA"/>
    <w:rsid w:val="00A552F9"/>
    <w:rsid w:val="00A55521"/>
    <w:rsid w:val="00A559C0"/>
    <w:rsid w:val="00A56BAA"/>
    <w:rsid w:val="00A601BA"/>
    <w:rsid w:val="00A605CC"/>
    <w:rsid w:val="00A605EF"/>
    <w:rsid w:val="00A61693"/>
    <w:rsid w:val="00A61F08"/>
    <w:rsid w:val="00A62301"/>
    <w:rsid w:val="00A62CC2"/>
    <w:rsid w:val="00A633DB"/>
    <w:rsid w:val="00A64EC1"/>
    <w:rsid w:val="00A65238"/>
    <w:rsid w:val="00A65C3A"/>
    <w:rsid w:val="00A66A95"/>
    <w:rsid w:val="00A66E12"/>
    <w:rsid w:val="00A6780F"/>
    <w:rsid w:val="00A678FB"/>
    <w:rsid w:val="00A67A54"/>
    <w:rsid w:val="00A67A73"/>
    <w:rsid w:val="00A720DE"/>
    <w:rsid w:val="00A72EB0"/>
    <w:rsid w:val="00A72EDF"/>
    <w:rsid w:val="00A7362F"/>
    <w:rsid w:val="00A74144"/>
    <w:rsid w:val="00A7486A"/>
    <w:rsid w:val="00A74A02"/>
    <w:rsid w:val="00A75452"/>
    <w:rsid w:val="00A768C7"/>
    <w:rsid w:val="00A77526"/>
    <w:rsid w:val="00A77E42"/>
    <w:rsid w:val="00A801E8"/>
    <w:rsid w:val="00A8061C"/>
    <w:rsid w:val="00A80773"/>
    <w:rsid w:val="00A808C2"/>
    <w:rsid w:val="00A80EF6"/>
    <w:rsid w:val="00A81032"/>
    <w:rsid w:val="00A8149E"/>
    <w:rsid w:val="00A81FD3"/>
    <w:rsid w:val="00A8211E"/>
    <w:rsid w:val="00A8244D"/>
    <w:rsid w:val="00A826F3"/>
    <w:rsid w:val="00A82EF5"/>
    <w:rsid w:val="00A836D1"/>
    <w:rsid w:val="00A8399E"/>
    <w:rsid w:val="00A84D89"/>
    <w:rsid w:val="00A86A5C"/>
    <w:rsid w:val="00A90871"/>
    <w:rsid w:val="00A9165E"/>
    <w:rsid w:val="00A91A34"/>
    <w:rsid w:val="00A91B84"/>
    <w:rsid w:val="00A926AC"/>
    <w:rsid w:val="00A9277F"/>
    <w:rsid w:val="00A927D4"/>
    <w:rsid w:val="00A92D6F"/>
    <w:rsid w:val="00A932B1"/>
    <w:rsid w:val="00A93897"/>
    <w:rsid w:val="00A959F9"/>
    <w:rsid w:val="00A95CA8"/>
    <w:rsid w:val="00A95CF5"/>
    <w:rsid w:val="00A96647"/>
    <w:rsid w:val="00A968EB"/>
    <w:rsid w:val="00A97289"/>
    <w:rsid w:val="00AA0BD7"/>
    <w:rsid w:val="00AA1B45"/>
    <w:rsid w:val="00AA25A3"/>
    <w:rsid w:val="00AA3E83"/>
    <w:rsid w:val="00AA41A2"/>
    <w:rsid w:val="00AA48C5"/>
    <w:rsid w:val="00AA5294"/>
    <w:rsid w:val="00AA5784"/>
    <w:rsid w:val="00AA59D6"/>
    <w:rsid w:val="00AA5FE2"/>
    <w:rsid w:val="00AA61E0"/>
    <w:rsid w:val="00AA70A7"/>
    <w:rsid w:val="00AA71B7"/>
    <w:rsid w:val="00AB1731"/>
    <w:rsid w:val="00AB189B"/>
    <w:rsid w:val="00AB1B2A"/>
    <w:rsid w:val="00AB1CA1"/>
    <w:rsid w:val="00AB1EF2"/>
    <w:rsid w:val="00AB1EF9"/>
    <w:rsid w:val="00AB2780"/>
    <w:rsid w:val="00AB3A47"/>
    <w:rsid w:val="00AB3B4E"/>
    <w:rsid w:val="00AB3ED6"/>
    <w:rsid w:val="00AB4D70"/>
    <w:rsid w:val="00AB539C"/>
    <w:rsid w:val="00AB5730"/>
    <w:rsid w:val="00AB5A00"/>
    <w:rsid w:val="00AB6A86"/>
    <w:rsid w:val="00AB6D1F"/>
    <w:rsid w:val="00AC059C"/>
    <w:rsid w:val="00AC08AB"/>
    <w:rsid w:val="00AC0E33"/>
    <w:rsid w:val="00AC19AF"/>
    <w:rsid w:val="00AC1B81"/>
    <w:rsid w:val="00AC2C70"/>
    <w:rsid w:val="00AC36A4"/>
    <w:rsid w:val="00AC3903"/>
    <w:rsid w:val="00AC4079"/>
    <w:rsid w:val="00AC40C3"/>
    <w:rsid w:val="00AC5265"/>
    <w:rsid w:val="00AC542D"/>
    <w:rsid w:val="00AC551E"/>
    <w:rsid w:val="00AC5849"/>
    <w:rsid w:val="00AC5FA5"/>
    <w:rsid w:val="00AC5FF5"/>
    <w:rsid w:val="00AC6BF1"/>
    <w:rsid w:val="00AC6DB4"/>
    <w:rsid w:val="00AC7441"/>
    <w:rsid w:val="00AC7506"/>
    <w:rsid w:val="00AC7E16"/>
    <w:rsid w:val="00AD0285"/>
    <w:rsid w:val="00AD0A0A"/>
    <w:rsid w:val="00AD0EE1"/>
    <w:rsid w:val="00AD28EB"/>
    <w:rsid w:val="00AD2FA2"/>
    <w:rsid w:val="00AD36FA"/>
    <w:rsid w:val="00AD370E"/>
    <w:rsid w:val="00AD3717"/>
    <w:rsid w:val="00AD3CAD"/>
    <w:rsid w:val="00AD4569"/>
    <w:rsid w:val="00AD5099"/>
    <w:rsid w:val="00AD5B13"/>
    <w:rsid w:val="00AD5E9C"/>
    <w:rsid w:val="00AD6192"/>
    <w:rsid w:val="00AD6227"/>
    <w:rsid w:val="00AD6873"/>
    <w:rsid w:val="00AD6919"/>
    <w:rsid w:val="00AD6C74"/>
    <w:rsid w:val="00AD733D"/>
    <w:rsid w:val="00AD76C8"/>
    <w:rsid w:val="00AD7771"/>
    <w:rsid w:val="00AD77F5"/>
    <w:rsid w:val="00AD7B0F"/>
    <w:rsid w:val="00AD7B88"/>
    <w:rsid w:val="00AE020A"/>
    <w:rsid w:val="00AE0586"/>
    <w:rsid w:val="00AE05FF"/>
    <w:rsid w:val="00AE12ED"/>
    <w:rsid w:val="00AE1764"/>
    <w:rsid w:val="00AE182B"/>
    <w:rsid w:val="00AE1A5A"/>
    <w:rsid w:val="00AE308B"/>
    <w:rsid w:val="00AE32FC"/>
    <w:rsid w:val="00AE3F54"/>
    <w:rsid w:val="00AE4024"/>
    <w:rsid w:val="00AE40C0"/>
    <w:rsid w:val="00AE4500"/>
    <w:rsid w:val="00AE5406"/>
    <w:rsid w:val="00AE61D2"/>
    <w:rsid w:val="00AE69FE"/>
    <w:rsid w:val="00AE6E31"/>
    <w:rsid w:val="00AE735E"/>
    <w:rsid w:val="00AF09B2"/>
    <w:rsid w:val="00AF09FA"/>
    <w:rsid w:val="00AF0DEB"/>
    <w:rsid w:val="00AF0F24"/>
    <w:rsid w:val="00AF0FC1"/>
    <w:rsid w:val="00AF1631"/>
    <w:rsid w:val="00AF2501"/>
    <w:rsid w:val="00AF2563"/>
    <w:rsid w:val="00AF26CA"/>
    <w:rsid w:val="00AF28DD"/>
    <w:rsid w:val="00AF295D"/>
    <w:rsid w:val="00AF3207"/>
    <w:rsid w:val="00AF3487"/>
    <w:rsid w:val="00AF34D3"/>
    <w:rsid w:val="00AF3A23"/>
    <w:rsid w:val="00AF3E90"/>
    <w:rsid w:val="00AF4903"/>
    <w:rsid w:val="00AF5794"/>
    <w:rsid w:val="00AF64F1"/>
    <w:rsid w:val="00AF6ED5"/>
    <w:rsid w:val="00AF7697"/>
    <w:rsid w:val="00AF792D"/>
    <w:rsid w:val="00B0010F"/>
    <w:rsid w:val="00B004DD"/>
    <w:rsid w:val="00B02923"/>
    <w:rsid w:val="00B02BBD"/>
    <w:rsid w:val="00B02EB8"/>
    <w:rsid w:val="00B035DD"/>
    <w:rsid w:val="00B036B7"/>
    <w:rsid w:val="00B049D0"/>
    <w:rsid w:val="00B04E46"/>
    <w:rsid w:val="00B04F9D"/>
    <w:rsid w:val="00B05C3E"/>
    <w:rsid w:val="00B05CEE"/>
    <w:rsid w:val="00B0644E"/>
    <w:rsid w:val="00B074C0"/>
    <w:rsid w:val="00B07F14"/>
    <w:rsid w:val="00B11421"/>
    <w:rsid w:val="00B11C63"/>
    <w:rsid w:val="00B13418"/>
    <w:rsid w:val="00B139F1"/>
    <w:rsid w:val="00B1473B"/>
    <w:rsid w:val="00B14A83"/>
    <w:rsid w:val="00B15290"/>
    <w:rsid w:val="00B15E7E"/>
    <w:rsid w:val="00B15FA2"/>
    <w:rsid w:val="00B16735"/>
    <w:rsid w:val="00B16DB4"/>
    <w:rsid w:val="00B1745D"/>
    <w:rsid w:val="00B21A76"/>
    <w:rsid w:val="00B230B1"/>
    <w:rsid w:val="00B231A6"/>
    <w:rsid w:val="00B23223"/>
    <w:rsid w:val="00B23878"/>
    <w:rsid w:val="00B23D66"/>
    <w:rsid w:val="00B23E05"/>
    <w:rsid w:val="00B241EC"/>
    <w:rsid w:val="00B2471A"/>
    <w:rsid w:val="00B2525A"/>
    <w:rsid w:val="00B2770C"/>
    <w:rsid w:val="00B27748"/>
    <w:rsid w:val="00B30CD3"/>
    <w:rsid w:val="00B30F85"/>
    <w:rsid w:val="00B31619"/>
    <w:rsid w:val="00B318C9"/>
    <w:rsid w:val="00B32843"/>
    <w:rsid w:val="00B32B6A"/>
    <w:rsid w:val="00B32BCB"/>
    <w:rsid w:val="00B32C4D"/>
    <w:rsid w:val="00B33554"/>
    <w:rsid w:val="00B3360D"/>
    <w:rsid w:val="00B3377F"/>
    <w:rsid w:val="00B33F00"/>
    <w:rsid w:val="00B346C9"/>
    <w:rsid w:val="00B34898"/>
    <w:rsid w:val="00B34CD6"/>
    <w:rsid w:val="00B3512B"/>
    <w:rsid w:val="00B35638"/>
    <w:rsid w:val="00B35790"/>
    <w:rsid w:val="00B36E29"/>
    <w:rsid w:val="00B36F14"/>
    <w:rsid w:val="00B3761D"/>
    <w:rsid w:val="00B3784D"/>
    <w:rsid w:val="00B4049F"/>
    <w:rsid w:val="00B40D74"/>
    <w:rsid w:val="00B40F77"/>
    <w:rsid w:val="00B41BF7"/>
    <w:rsid w:val="00B41D5B"/>
    <w:rsid w:val="00B41F0F"/>
    <w:rsid w:val="00B41FE8"/>
    <w:rsid w:val="00B42C64"/>
    <w:rsid w:val="00B42F32"/>
    <w:rsid w:val="00B43F63"/>
    <w:rsid w:val="00B4488A"/>
    <w:rsid w:val="00B44C6D"/>
    <w:rsid w:val="00B44F57"/>
    <w:rsid w:val="00B451B6"/>
    <w:rsid w:val="00B46800"/>
    <w:rsid w:val="00B469A8"/>
    <w:rsid w:val="00B46A8E"/>
    <w:rsid w:val="00B46E7E"/>
    <w:rsid w:val="00B47400"/>
    <w:rsid w:val="00B47B6D"/>
    <w:rsid w:val="00B47B99"/>
    <w:rsid w:val="00B47E57"/>
    <w:rsid w:val="00B500AB"/>
    <w:rsid w:val="00B51378"/>
    <w:rsid w:val="00B51A24"/>
    <w:rsid w:val="00B523C3"/>
    <w:rsid w:val="00B52CC5"/>
    <w:rsid w:val="00B52F72"/>
    <w:rsid w:val="00B5324B"/>
    <w:rsid w:val="00B5327D"/>
    <w:rsid w:val="00B53BDF"/>
    <w:rsid w:val="00B5408C"/>
    <w:rsid w:val="00B5409B"/>
    <w:rsid w:val="00B5507E"/>
    <w:rsid w:val="00B5525F"/>
    <w:rsid w:val="00B557B2"/>
    <w:rsid w:val="00B55BD4"/>
    <w:rsid w:val="00B56AD4"/>
    <w:rsid w:val="00B57550"/>
    <w:rsid w:val="00B577BD"/>
    <w:rsid w:val="00B57A48"/>
    <w:rsid w:val="00B57B5D"/>
    <w:rsid w:val="00B57BAC"/>
    <w:rsid w:val="00B57DF3"/>
    <w:rsid w:val="00B6003B"/>
    <w:rsid w:val="00B601C4"/>
    <w:rsid w:val="00B603BF"/>
    <w:rsid w:val="00B60AAA"/>
    <w:rsid w:val="00B61278"/>
    <w:rsid w:val="00B6184F"/>
    <w:rsid w:val="00B6190E"/>
    <w:rsid w:val="00B62022"/>
    <w:rsid w:val="00B62F00"/>
    <w:rsid w:val="00B6372C"/>
    <w:rsid w:val="00B6379D"/>
    <w:rsid w:val="00B63FAE"/>
    <w:rsid w:val="00B649E2"/>
    <w:rsid w:val="00B65125"/>
    <w:rsid w:val="00B6682B"/>
    <w:rsid w:val="00B66E79"/>
    <w:rsid w:val="00B66E7A"/>
    <w:rsid w:val="00B67647"/>
    <w:rsid w:val="00B6791B"/>
    <w:rsid w:val="00B70E39"/>
    <w:rsid w:val="00B71036"/>
    <w:rsid w:val="00B7115A"/>
    <w:rsid w:val="00B719ED"/>
    <w:rsid w:val="00B71A01"/>
    <w:rsid w:val="00B71F3C"/>
    <w:rsid w:val="00B72309"/>
    <w:rsid w:val="00B72317"/>
    <w:rsid w:val="00B72322"/>
    <w:rsid w:val="00B732D7"/>
    <w:rsid w:val="00B73AD3"/>
    <w:rsid w:val="00B73E49"/>
    <w:rsid w:val="00B74D4D"/>
    <w:rsid w:val="00B75365"/>
    <w:rsid w:val="00B75769"/>
    <w:rsid w:val="00B7583B"/>
    <w:rsid w:val="00B763D6"/>
    <w:rsid w:val="00B7733B"/>
    <w:rsid w:val="00B7743E"/>
    <w:rsid w:val="00B77F37"/>
    <w:rsid w:val="00B802AE"/>
    <w:rsid w:val="00B81A70"/>
    <w:rsid w:val="00B81BB9"/>
    <w:rsid w:val="00B82439"/>
    <w:rsid w:val="00B8252D"/>
    <w:rsid w:val="00B837B9"/>
    <w:rsid w:val="00B83BD5"/>
    <w:rsid w:val="00B84941"/>
    <w:rsid w:val="00B84E4F"/>
    <w:rsid w:val="00B85036"/>
    <w:rsid w:val="00B852B3"/>
    <w:rsid w:val="00B86361"/>
    <w:rsid w:val="00B86962"/>
    <w:rsid w:val="00B86B6B"/>
    <w:rsid w:val="00B91158"/>
    <w:rsid w:val="00B916B3"/>
    <w:rsid w:val="00B92A66"/>
    <w:rsid w:val="00B930F9"/>
    <w:rsid w:val="00B932DD"/>
    <w:rsid w:val="00B93343"/>
    <w:rsid w:val="00B9386A"/>
    <w:rsid w:val="00B93F42"/>
    <w:rsid w:val="00B94888"/>
    <w:rsid w:val="00B94983"/>
    <w:rsid w:val="00B94A7D"/>
    <w:rsid w:val="00B96EDE"/>
    <w:rsid w:val="00B9733A"/>
    <w:rsid w:val="00B974D2"/>
    <w:rsid w:val="00BA0F0F"/>
    <w:rsid w:val="00BA11A0"/>
    <w:rsid w:val="00BA1A03"/>
    <w:rsid w:val="00BA1AA5"/>
    <w:rsid w:val="00BA2440"/>
    <w:rsid w:val="00BA4631"/>
    <w:rsid w:val="00BA4767"/>
    <w:rsid w:val="00BA47E3"/>
    <w:rsid w:val="00BA4829"/>
    <w:rsid w:val="00BA4873"/>
    <w:rsid w:val="00BA48E8"/>
    <w:rsid w:val="00BA4E63"/>
    <w:rsid w:val="00BA4FE9"/>
    <w:rsid w:val="00BA5CE9"/>
    <w:rsid w:val="00BA6157"/>
    <w:rsid w:val="00BA6ABF"/>
    <w:rsid w:val="00BA6C42"/>
    <w:rsid w:val="00BA7637"/>
    <w:rsid w:val="00BA7F61"/>
    <w:rsid w:val="00BB088C"/>
    <w:rsid w:val="00BB0A2A"/>
    <w:rsid w:val="00BB0E7F"/>
    <w:rsid w:val="00BB15D6"/>
    <w:rsid w:val="00BB19E5"/>
    <w:rsid w:val="00BB205F"/>
    <w:rsid w:val="00BB2091"/>
    <w:rsid w:val="00BB29DD"/>
    <w:rsid w:val="00BB346B"/>
    <w:rsid w:val="00BB3CB2"/>
    <w:rsid w:val="00BB4346"/>
    <w:rsid w:val="00BB4A4F"/>
    <w:rsid w:val="00BB5261"/>
    <w:rsid w:val="00BB5FBE"/>
    <w:rsid w:val="00BB6144"/>
    <w:rsid w:val="00BB6499"/>
    <w:rsid w:val="00BB669A"/>
    <w:rsid w:val="00BB7103"/>
    <w:rsid w:val="00BB7731"/>
    <w:rsid w:val="00BB794B"/>
    <w:rsid w:val="00BC07C7"/>
    <w:rsid w:val="00BC0BD8"/>
    <w:rsid w:val="00BC1344"/>
    <w:rsid w:val="00BC1804"/>
    <w:rsid w:val="00BC1E18"/>
    <w:rsid w:val="00BC24CB"/>
    <w:rsid w:val="00BC256F"/>
    <w:rsid w:val="00BC2626"/>
    <w:rsid w:val="00BC2D84"/>
    <w:rsid w:val="00BC30AA"/>
    <w:rsid w:val="00BC457B"/>
    <w:rsid w:val="00BC4684"/>
    <w:rsid w:val="00BC4E85"/>
    <w:rsid w:val="00BC6077"/>
    <w:rsid w:val="00BC6807"/>
    <w:rsid w:val="00BC6B6C"/>
    <w:rsid w:val="00BC7FC6"/>
    <w:rsid w:val="00BD02F3"/>
    <w:rsid w:val="00BD0449"/>
    <w:rsid w:val="00BD047F"/>
    <w:rsid w:val="00BD0AAE"/>
    <w:rsid w:val="00BD0FD3"/>
    <w:rsid w:val="00BD131B"/>
    <w:rsid w:val="00BD16DA"/>
    <w:rsid w:val="00BD17D3"/>
    <w:rsid w:val="00BD2C47"/>
    <w:rsid w:val="00BD2C91"/>
    <w:rsid w:val="00BD2CE8"/>
    <w:rsid w:val="00BD3888"/>
    <w:rsid w:val="00BD3C0A"/>
    <w:rsid w:val="00BD3F15"/>
    <w:rsid w:val="00BD42F1"/>
    <w:rsid w:val="00BD48BA"/>
    <w:rsid w:val="00BD4C1C"/>
    <w:rsid w:val="00BD4DCD"/>
    <w:rsid w:val="00BD5234"/>
    <w:rsid w:val="00BD5556"/>
    <w:rsid w:val="00BD593A"/>
    <w:rsid w:val="00BD6D75"/>
    <w:rsid w:val="00BD7430"/>
    <w:rsid w:val="00BD7957"/>
    <w:rsid w:val="00BE0438"/>
    <w:rsid w:val="00BE0522"/>
    <w:rsid w:val="00BE1B05"/>
    <w:rsid w:val="00BE2C0C"/>
    <w:rsid w:val="00BE304B"/>
    <w:rsid w:val="00BE3053"/>
    <w:rsid w:val="00BE3B66"/>
    <w:rsid w:val="00BE40E6"/>
    <w:rsid w:val="00BE44DB"/>
    <w:rsid w:val="00BE4720"/>
    <w:rsid w:val="00BE4CD8"/>
    <w:rsid w:val="00BE5A9F"/>
    <w:rsid w:val="00BE5BA2"/>
    <w:rsid w:val="00BE5BCD"/>
    <w:rsid w:val="00BE68F8"/>
    <w:rsid w:val="00BE7980"/>
    <w:rsid w:val="00BF011E"/>
    <w:rsid w:val="00BF12BA"/>
    <w:rsid w:val="00BF17FE"/>
    <w:rsid w:val="00BF1F5C"/>
    <w:rsid w:val="00BF315B"/>
    <w:rsid w:val="00BF414F"/>
    <w:rsid w:val="00BF61F7"/>
    <w:rsid w:val="00BF7AB9"/>
    <w:rsid w:val="00C00181"/>
    <w:rsid w:val="00C01880"/>
    <w:rsid w:val="00C027F5"/>
    <w:rsid w:val="00C0319F"/>
    <w:rsid w:val="00C03B91"/>
    <w:rsid w:val="00C03C00"/>
    <w:rsid w:val="00C0436C"/>
    <w:rsid w:val="00C04388"/>
    <w:rsid w:val="00C04668"/>
    <w:rsid w:val="00C04925"/>
    <w:rsid w:val="00C04D63"/>
    <w:rsid w:val="00C04DAF"/>
    <w:rsid w:val="00C058FF"/>
    <w:rsid w:val="00C059CF"/>
    <w:rsid w:val="00C05A24"/>
    <w:rsid w:val="00C05EDB"/>
    <w:rsid w:val="00C06B2A"/>
    <w:rsid w:val="00C06CDA"/>
    <w:rsid w:val="00C06FF2"/>
    <w:rsid w:val="00C072B8"/>
    <w:rsid w:val="00C07AA9"/>
    <w:rsid w:val="00C07D3B"/>
    <w:rsid w:val="00C1053A"/>
    <w:rsid w:val="00C10BC7"/>
    <w:rsid w:val="00C11EAB"/>
    <w:rsid w:val="00C13067"/>
    <w:rsid w:val="00C1355D"/>
    <w:rsid w:val="00C13A44"/>
    <w:rsid w:val="00C13C5A"/>
    <w:rsid w:val="00C1431C"/>
    <w:rsid w:val="00C14419"/>
    <w:rsid w:val="00C15658"/>
    <w:rsid w:val="00C156EC"/>
    <w:rsid w:val="00C158F4"/>
    <w:rsid w:val="00C16160"/>
    <w:rsid w:val="00C165A3"/>
    <w:rsid w:val="00C179DC"/>
    <w:rsid w:val="00C17EF0"/>
    <w:rsid w:val="00C17F50"/>
    <w:rsid w:val="00C20A4F"/>
    <w:rsid w:val="00C20DB6"/>
    <w:rsid w:val="00C21225"/>
    <w:rsid w:val="00C2132E"/>
    <w:rsid w:val="00C21CF4"/>
    <w:rsid w:val="00C21EAC"/>
    <w:rsid w:val="00C23090"/>
    <w:rsid w:val="00C23371"/>
    <w:rsid w:val="00C23932"/>
    <w:rsid w:val="00C24D30"/>
    <w:rsid w:val="00C25C63"/>
    <w:rsid w:val="00C25D74"/>
    <w:rsid w:val="00C26157"/>
    <w:rsid w:val="00C26188"/>
    <w:rsid w:val="00C26B12"/>
    <w:rsid w:val="00C2732D"/>
    <w:rsid w:val="00C27761"/>
    <w:rsid w:val="00C27B61"/>
    <w:rsid w:val="00C3055E"/>
    <w:rsid w:val="00C30D22"/>
    <w:rsid w:val="00C313CC"/>
    <w:rsid w:val="00C3174D"/>
    <w:rsid w:val="00C32E9E"/>
    <w:rsid w:val="00C33016"/>
    <w:rsid w:val="00C338A8"/>
    <w:rsid w:val="00C34492"/>
    <w:rsid w:val="00C34BE6"/>
    <w:rsid w:val="00C34CB6"/>
    <w:rsid w:val="00C34EAA"/>
    <w:rsid w:val="00C35540"/>
    <w:rsid w:val="00C356D7"/>
    <w:rsid w:val="00C36BCE"/>
    <w:rsid w:val="00C36ECE"/>
    <w:rsid w:val="00C36FAD"/>
    <w:rsid w:val="00C3702F"/>
    <w:rsid w:val="00C40B57"/>
    <w:rsid w:val="00C40FB3"/>
    <w:rsid w:val="00C4139D"/>
    <w:rsid w:val="00C416FE"/>
    <w:rsid w:val="00C41F84"/>
    <w:rsid w:val="00C421BC"/>
    <w:rsid w:val="00C434F4"/>
    <w:rsid w:val="00C437B1"/>
    <w:rsid w:val="00C438B1"/>
    <w:rsid w:val="00C43E9E"/>
    <w:rsid w:val="00C443F5"/>
    <w:rsid w:val="00C444BF"/>
    <w:rsid w:val="00C4482C"/>
    <w:rsid w:val="00C44D16"/>
    <w:rsid w:val="00C45287"/>
    <w:rsid w:val="00C453F5"/>
    <w:rsid w:val="00C454C4"/>
    <w:rsid w:val="00C455FB"/>
    <w:rsid w:val="00C45A83"/>
    <w:rsid w:val="00C45B70"/>
    <w:rsid w:val="00C46571"/>
    <w:rsid w:val="00C46A7F"/>
    <w:rsid w:val="00C50685"/>
    <w:rsid w:val="00C506E0"/>
    <w:rsid w:val="00C5135C"/>
    <w:rsid w:val="00C52742"/>
    <w:rsid w:val="00C529CE"/>
    <w:rsid w:val="00C5361B"/>
    <w:rsid w:val="00C5390A"/>
    <w:rsid w:val="00C53AD4"/>
    <w:rsid w:val="00C53DE9"/>
    <w:rsid w:val="00C53E06"/>
    <w:rsid w:val="00C53F61"/>
    <w:rsid w:val="00C5413E"/>
    <w:rsid w:val="00C54ED2"/>
    <w:rsid w:val="00C567B6"/>
    <w:rsid w:val="00C56C3D"/>
    <w:rsid w:val="00C57783"/>
    <w:rsid w:val="00C60A49"/>
    <w:rsid w:val="00C61831"/>
    <w:rsid w:val="00C61DDC"/>
    <w:rsid w:val="00C61ED1"/>
    <w:rsid w:val="00C62B03"/>
    <w:rsid w:val="00C62FD2"/>
    <w:rsid w:val="00C631DF"/>
    <w:rsid w:val="00C63F7D"/>
    <w:rsid w:val="00C64820"/>
    <w:rsid w:val="00C648CD"/>
    <w:rsid w:val="00C65598"/>
    <w:rsid w:val="00C662F3"/>
    <w:rsid w:val="00C66590"/>
    <w:rsid w:val="00C666C6"/>
    <w:rsid w:val="00C66C3E"/>
    <w:rsid w:val="00C70297"/>
    <w:rsid w:val="00C71005"/>
    <w:rsid w:val="00C7208A"/>
    <w:rsid w:val="00C722FC"/>
    <w:rsid w:val="00C729A6"/>
    <w:rsid w:val="00C72A64"/>
    <w:rsid w:val="00C73393"/>
    <w:rsid w:val="00C73A8B"/>
    <w:rsid w:val="00C74347"/>
    <w:rsid w:val="00C75DFF"/>
    <w:rsid w:val="00C76716"/>
    <w:rsid w:val="00C76EA2"/>
    <w:rsid w:val="00C77023"/>
    <w:rsid w:val="00C77186"/>
    <w:rsid w:val="00C77B59"/>
    <w:rsid w:val="00C77EDD"/>
    <w:rsid w:val="00C8021B"/>
    <w:rsid w:val="00C80300"/>
    <w:rsid w:val="00C80382"/>
    <w:rsid w:val="00C8079A"/>
    <w:rsid w:val="00C80FE2"/>
    <w:rsid w:val="00C81329"/>
    <w:rsid w:val="00C815B8"/>
    <w:rsid w:val="00C81B92"/>
    <w:rsid w:val="00C81CAB"/>
    <w:rsid w:val="00C822AC"/>
    <w:rsid w:val="00C83968"/>
    <w:rsid w:val="00C839DF"/>
    <w:rsid w:val="00C83FC8"/>
    <w:rsid w:val="00C84C8B"/>
    <w:rsid w:val="00C84DD9"/>
    <w:rsid w:val="00C85448"/>
    <w:rsid w:val="00C8639D"/>
    <w:rsid w:val="00C864B0"/>
    <w:rsid w:val="00C86572"/>
    <w:rsid w:val="00C8738B"/>
    <w:rsid w:val="00C8790F"/>
    <w:rsid w:val="00C9086A"/>
    <w:rsid w:val="00C913AD"/>
    <w:rsid w:val="00C91FF1"/>
    <w:rsid w:val="00C9356E"/>
    <w:rsid w:val="00C93B7D"/>
    <w:rsid w:val="00C93F36"/>
    <w:rsid w:val="00C94090"/>
    <w:rsid w:val="00C9452D"/>
    <w:rsid w:val="00C946DF"/>
    <w:rsid w:val="00C94C9E"/>
    <w:rsid w:val="00C954FD"/>
    <w:rsid w:val="00C9551A"/>
    <w:rsid w:val="00C95E22"/>
    <w:rsid w:val="00C96953"/>
    <w:rsid w:val="00C96D03"/>
    <w:rsid w:val="00CA119C"/>
    <w:rsid w:val="00CA22F1"/>
    <w:rsid w:val="00CA2498"/>
    <w:rsid w:val="00CA2C49"/>
    <w:rsid w:val="00CA3146"/>
    <w:rsid w:val="00CA31AB"/>
    <w:rsid w:val="00CA3447"/>
    <w:rsid w:val="00CA3684"/>
    <w:rsid w:val="00CA4322"/>
    <w:rsid w:val="00CA4A9C"/>
    <w:rsid w:val="00CA5093"/>
    <w:rsid w:val="00CA693D"/>
    <w:rsid w:val="00CA6C70"/>
    <w:rsid w:val="00CA7383"/>
    <w:rsid w:val="00CA7817"/>
    <w:rsid w:val="00CA7C43"/>
    <w:rsid w:val="00CA7D28"/>
    <w:rsid w:val="00CA7E20"/>
    <w:rsid w:val="00CB089E"/>
    <w:rsid w:val="00CB0D82"/>
    <w:rsid w:val="00CB0FFB"/>
    <w:rsid w:val="00CB185A"/>
    <w:rsid w:val="00CB233F"/>
    <w:rsid w:val="00CB369B"/>
    <w:rsid w:val="00CB385F"/>
    <w:rsid w:val="00CB3D6C"/>
    <w:rsid w:val="00CB5378"/>
    <w:rsid w:val="00CB5A9B"/>
    <w:rsid w:val="00CB6A54"/>
    <w:rsid w:val="00CB6C24"/>
    <w:rsid w:val="00CB6EE9"/>
    <w:rsid w:val="00CB7754"/>
    <w:rsid w:val="00CB7FE3"/>
    <w:rsid w:val="00CC022A"/>
    <w:rsid w:val="00CC0583"/>
    <w:rsid w:val="00CC0925"/>
    <w:rsid w:val="00CC09D9"/>
    <w:rsid w:val="00CC1735"/>
    <w:rsid w:val="00CC33C1"/>
    <w:rsid w:val="00CC350C"/>
    <w:rsid w:val="00CC375E"/>
    <w:rsid w:val="00CC498F"/>
    <w:rsid w:val="00CC4F68"/>
    <w:rsid w:val="00CC54BE"/>
    <w:rsid w:val="00CC693C"/>
    <w:rsid w:val="00CC6C26"/>
    <w:rsid w:val="00CC7031"/>
    <w:rsid w:val="00CC73D1"/>
    <w:rsid w:val="00CC761E"/>
    <w:rsid w:val="00CC783C"/>
    <w:rsid w:val="00CD00D4"/>
    <w:rsid w:val="00CD1328"/>
    <w:rsid w:val="00CD1D3D"/>
    <w:rsid w:val="00CD2570"/>
    <w:rsid w:val="00CD2850"/>
    <w:rsid w:val="00CD2E81"/>
    <w:rsid w:val="00CD318F"/>
    <w:rsid w:val="00CD3247"/>
    <w:rsid w:val="00CD5B0B"/>
    <w:rsid w:val="00CD617B"/>
    <w:rsid w:val="00CD6764"/>
    <w:rsid w:val="00CD6BA0"/>
    <w:rsid w:val="00CD6BD2"/>
    <w:rsid w:val="00CD74BF"/>
    <w:rsid w:val="00CD77CA"/>
    <w:rsid w:val="00CD7C63"/>
    <w:rsid w:val="00CE0E01"/>
    <w:rsid w:val="00CE15B5"/>
    <w:rsid w:val="00CE1F8C"/>
    <w:rsid w:val="00CE2736"/>
    <w:rsid w:val="00CE2DE0"/>
    <w:rsid w:val="00CE3E7F"/>
    <w:rsid w:val="00CE3E90"/>
    <w:rsid w:val="00CE43BF"/>
    <w:rsid w:val="00CE5743"/>
    <w:rsid w:val="00CE5B67"/>
    <w:rsid w:val="00CE5C26"/>
    <w:rsid w:val="00CE6074"/>
    <w:rsid w:val="00CE6773"/>
    <w:rsid w:val="00CE728F"/>
    <w:rsid w:val="00CE740A"/>
    <w:rsid w:val="00CF0361"/>
    <w:rsid w:val="00CF0749"/>
    <w:rsid w:val="00CF0756"/>
    <w:rsid w:val="00CF1BBB"/>
    <w:rsid w:val="00CF288B"/>
    <w:rsid w:val="00CF30FA"/>
    <w:rsid w:val="00CF36EC"/>
    <w:rsid w:val="00CF3901"/>
    <w:rsid w:val="00CF3D84"/>
    <w:rsid w:val="00CF498C"/>
    <w:rsid w:val="00CF4A2D"/>
    <w:rsid w:val="00CF4CEA"/>
    <w:rsid w:val="00CF4D41"/>
    <w:rsid w:val="00CF5F8C"/>
    <w:rsid w:val="00CF6355"/>
    <w:rsid w:val="00CF70D8"/>
    <w:rsid w:val="00CF731F"/>
    <w:rsid w:val="00CF76EB"/>
    <w:rsid w:val="00CF7AE9"/>
    <w:rsid w:val="00D00FA5"/>
    <w:rsid w:val="00D014F0"/>
    <w:rsid w:val="00D01AEC"/>
    <w:rsid w:val="00D01E9C"/>
    <w:rsid w:val="00D0227D"/>
    <w:rsid w:val="00D037AF"/>
    <w:rsid w:val="00D03849"/>
    <w:rsid w:val="00D03CF1"/>
    <w:rsid w:val="00D0486A"/>
    <w:rsid w:val="00D04ACF"/>
    <w:rsid w:val="00D04CA6"/>
    <w:rsid w:val="00D06028"/>
    <w:rsid w:val="00D06587"/>
    <w:rsid w:val="00D06691"/>
    <w:rsid w:val="00D0676F"/>
    <w:rsid w:val="00D06F0B"/>
    <w:rsid w:val="00D07F93"/>
    <w:rsid w:val="00D1039A"/>
    <w:rsid w:val="00D105D0"/>
    <w:rsid w:val="00D106D0"/>
    <w:rsid w:val="00D10C1A"/>
    <w:rsid w:val="00D11414"/>
    <w:rsid w:val="00D12421"/>
    <w:rsid w:val="00D12EEE"/>
    <w:rsid w:val="00D13676"/>
    <w:rsid w:val="00D13B47"/>
    <w:rsid w:val="00D13F18"/>
    <w:rsid w:val="00D142D6"/>
    <w:rsid w:val="00D14840"/>
    <w:rsid w:val="00D1511F"/>
    <w:rsid w:val="00D152DF"/>
    <w:rsid w:val="00D15C43"/>
    <w:rsid w:val="00D16281"/>
    <w:rsid w:val="00D176AD"/>
    <w:rsid w:val="00D17A42"/>
    <w:rsid w:val="00D17C12"/>
    <w:rsid w:val="00D17F08"/>
    <w:rsid w:val="00D2148C"/>
    <w:rsid w:val="00D218A5"/>
    <w:rsid w:val="00D218AE"/>
    <w:rsid w:val="00D21FFD"/>
    <w:rsid w:val="00D22347"/>
    <w:rsid w:val="00D224E7"/>
    <w:rsid w:val="00D22A7F"/>
    <w:rsid w:val="00D248FC"/>
    <w:rsid w:val="00D2555E"/>
    <w:rsid w:val="00D2572F"/>
    <w:rsid w:val="00D26015"/>
    <w:rsid w:val="00D26618"/>
    <w:rsid w:val="00D2689D"/>
    <w:rsid w:val="00D268D0"/>
    <w:rsid w:val="00D27321"/>
    <w:rsid w:val="00D274FF"/>
    <w:rsid w:val="00D27558"/>
    <w:rsid w:val="00D276F7"/>
    <w:rsid w:val="00D27BE2"/>
    <w:rsid w:val="00D30344"/>
    <w:rsid w:val="00D307F0"/>
    <w:rsid w:val="00D30B00"/>
    <w:rsid w:val="00D30E59"/>
    <w:rsid w:val="00D30FB7"/>
    <w:rsid w:val="00D31685"/>
    <w:rsid w:val="00D31D7B"/>
    <w:rsid w:val="00D31FF3"/>
    <w:rsid w:val="00D32237"/>
    <w:rsid w:val="00D32B0F"/>
    <w:rsid w:val="00D32E9B"/>
    <w:rsid w:val="00D32EBC"/>
    <w:rsid w:val="00D3385B"/>
    <w:rsid w:val="00D33D1D"/>
    <w:rsid w:val="00D34116"/>
    <w:rsid w:val="00D3419E"/>
    <w:rsid w:val="00D3480E"/>
    <w:rsid w:val="00D348EB"/>
    <w:rsid w:val="00D35151"/>
    <w:rsid w:val="00D3601C"/>
    <w:rsid w:val="00D36468"/>
    <w:rsid w:val="00D36474"/>
    <w:rsid w:val="00D36C24"/>
    <w:rsid w:val="00D4007D"/>
    <w:rsid w:val="00D406C1"/>
    <w:rsid w:val="00D406F8"/>
    <w:rsid w:val="00D40ACE"/>
    <w:rsid w:val="00D41A42"/>
    <w:rsid w:val="00D428CE"/>
    <w:rsid w:val="00D429F9"/>
    <w:rsid w:val="00D42C35"/>
    <w:rsid w:val="00D42DF6"/>
    <w:rsid w:val="00D441A5"/>
    <w:rsid w:val="00D44A6B"/>
    <w:rsid w:val="00D44EA5"/>
    <w:rsid w:val="00D457D5"/>
    <w:rsid w:val="00D4583D"/>
    <w:rsid w:val="00D46955"/>
    <w:rsid w:val="00D47741"/>
    <w:rsid w:val="00D47771"/>
    <w:rsid w:val="00D479B7"/>
    <w:rsid w:val="00D47BE5"/>
    <w:rsid w:val="00D47D60"/>
    <w:rsid w:val="00D51668"/>
    <w:rsid w:val="00D51689"/>
    <w:rsid w:val="00D51709"/>
    <w:rsid w:val="00D518E9"/>
    <w:rsid w:val="00D51DF0"/>
    <w:rsid w:val="00D520B1"/>
    <w:rsid w:val="00D52941"/>
    <w:rsid w:val="00D52B06"/>
    <w:rsid w:val="00D53096"/>
    <w:rsid w:val="00D55564"/>
    <w:rsid w:val="00D55589"/>
    <w:rsid w:val="00D55C32"/>
    <w:rsid w:val="00D56036"/>
    <w:rsid w:val="00D56658"/>
    <w:rsid w:val="00D56A76"/>
    <w:rsid w:val="00D56B5D"/>
    <w:rsid w:val="00D5705E"/>
    <w:rsid w:val="00D570CA"/>
    <w:rsid w:val="00D57264"/>
    <w:rsid w:val="00D57B54"/>
    <w:rsid w:val="00D57EEC"/>
    <w:rsid w:val="00D600B0"/>
    <w:rsid w:val="00D60160"/>
    <w:rsid w:val="00D60A79"/>
    <w:rsid w:val="00D61DE6"/>
    <w:rsid w:val="00D62047"/>
    <w:rsid w:val="00D62261"/>
    <w:rsid w:val="00D622E0"/>
    <w:rsid w:val="00D6284E"/>
    <w:rsid w:val="00D62A9D"/>
    <w:rsid w:val="00D62ABC"/>
    <w:rsid w:val="00D62C4A"/>
    <w:rsid w:val="00D62C7D"/>
    <w:rsid w:val="00D62FE4"/>
    <w:rsid w:val="00D637B3"/>
    <w:rsid w:val="00D63E17"/>
    <w:rsid w:val="00D64247"/>
    <w:rsid w:val="00D64525"/>
    <w:rsid w:val="00D6498A"/>
    <w:rsid w:val="00D64B55"/>
    <w:rsid w:val="00D66AA8"/>
    <w:rsid w:val="00D67052"/>
    <w:rsid w:val="00D6736F"/>
    <w:rsid w:val="00D67903"/>
    <w:rsid w:val="00D67B48"/>
    <w:rsid w:val="00D70772"/>
    <w:rsid w:val="00D71020"/>
    <w:rsid w:val="00D7121A"/>
    <w:rsid w:val="00D713D9"/>
    <w:rsid w:val="00D717EE"/>
    <w:rsid w:val="00D72845"/>
    <w:rsid w:val="00D73D51"/>
    <w:rsid w:val="00D740E0"/>
    <w:rsid w:val="00D743DB"/>
    <w:rsid w:val="00D7452A"/>
    <w:rsid w:val="00D74968"/>
    <w:rsid w:val="00D74B3F"/>
    <w:rsid w:val="00D74D90"/>
    <w:rsid w:val="00D74F5D"/>
    <w:rsid w:val="00D75289"/>
    <w:rsid w:val="00D7584D"/>
    <w:rsid w:val="00D76928"/>
    <w:rsid w:val="00D76C37"/>
    <w:rsid w:val="00D76EEF"/>
    <w:rsid w:val="00D774EB"/>
    <w:rsid w:val="00D775EA"/>
    <w:rsid w:val="00D777A7"/>
    <w:rsid w:val="00D77863"/>
    <w:rsid w:val="00D77EF6"/>
    <w:rsid w:val="00D77F31"/>
    <w:rsid w:val="00D80512"/>
    <w:rsid w:val="00D80E32"/>
    <w:rsid w:val="00D812F8"/>
    <w:rsid w:val="00D83177"/>
    <w:rsid w:val="00D83430"/>
    <w:rsid w:val="00D83D8E"/>
    <w:rsid w:val="00D841BF"/>
    <w:rsid w:val="00D8456D"/>
    <w:rsid w:val="00D84A4D"/>
    <w:rsid w:val="00D84B4D"/>
    <w:rsid w:val="00D84B57"/>
    <w:rsid w:val="00D84DB0"/>
    <w:rsid w:val="00D84FA2"/>
    <w:rsid w:val="00D854A0"/>
    <w:rsid w:val="00D85C04"/>
    <w:rsid w:val="00D86076"/>
    <w:rsid w:val="00D863DF"/>
    <w:rsid w:val="00D864E8"/>
    <w:rsid w:val="00D87341"/>
    <w:rsid w:val="00D8752C"/>
    <w:rsid w:val="00D87D66"/>
    <w:rsid w:val="00D87E01"/>
    <w:rsid w:val="00D87E06"/>
    <w:rsid w:val="00D87E60"/>
    <w:rsid w:val="00D9056C"/>
    <w:rsid w:val="00D91A3C"/>
    <w:rsid w:val="00D91C19"/>
    <w:rsid w:val="00D92487"/>
    <w:rsid w:val="00D92CCC"/>
    <w:rsid w:val="00D94234"/>
    <w:rsid w:val="00D9448A"/>
    <w:rsid w:val="00D95D26"/>
    <w:rsid w:val="00D95D29"/>
    <w:rsid w:val="00D96229"/>
    <w:rsid w:val="00D96925"/>
    <w:rsid w:val="00D97F30"/>
    <w:rsid w:val="00DA0C62"/>
    <w:rsid w:val="00DA1684"/>
    <w:rsid w:val="00DA2664"/>
    <w:rsid w:val="00DA2D97"/>
    <w:rsid w:val="00DA39AB"/>
    <w:rsid w:val="00DA4772"/>
    <w:rsid w:val="00DA5825"/>
    <w:rsid w:val="00DA5DF2"/>
    <w:rsid w:val="00DA73BF"/>
    <w:rsid w:val="00DA774B"/>
    <w:rsid w:val="00DA7DA9"/>
    <w:rsid w:val="00DA7FE6"/>
    <w:rsid w:val="00DB017E"/>
    <w:rsid w:val="00DB032E"/>
    <w:rsid w:val="00DB09E6"/>
    <w:rsid w:val="00DB116F"/>
    <w:rsid w:val="00DB129D"/>
    <w:rsid w:val="00DB18EB"/>
    <w:rsid w:val="00DB1C9C"/>
    <w:rsid w:val="00DB23A1"/>
    <w:rsid w:val="00DB2646"/>
    <w:rsid w:val="00DB2A4A"/>
    <w:rsid w:val="00DB3202"/>
    <w:rsid w:val="00DB39FD"/>
    <w:rsid w:val="00DB3CDA"/>
    <w:rsid w:val="00DB40C8"/>
    <w:rsid w:val="00DB42D0"/>
    <w:rsid w:val="00DB6EC2"/>
    <w:rsid w:val="00DB7080"/>
    <w:rsid w:val="00DB7341"/>
    <w:rsid w:val="00DB79DC"/>
    <w:rsid w:val="00DC0141"/>
    <w:rsid w:val="00DC13FF"/>
    <w:rsid w:val="00DC2316"/>
    <w:rsid w:val="00DC30B7"/>
    <w:rsid w:val="00DC319F"/>
    <w:rsid w:val="00DC3BA2"/>
    <w:rsid w:val="00DC3BC7"/>
    <w:rsid w:val="00DC4C9D"/>
    <w:rsid w:val="00DC587C"/>
    <w:rsid w:val="00DC6C74"/>
    <w:rsid w:val="00DC6D0E"/>
    <w:rsid w:val="00DC72D8"/>
    <w:rsid w:val="00DD03FC"/>
    <w:rsid w:val="00DD0AE1"/>
    <w:rsid w:val="00DD0FE8"/>
    <w:rsid w:val="00DD2103"/>
    <w:rsid w:val="00DD2193"/>
    <w:rsid w:val="00DD2CBA"/>
    <w:rsid w:val="00DD2EC6"/>
    <w:rsid w:val="00DD355A"/>
    <w:rsid w:val="00DD3867"/>
    <w:rsid w:val="00DD414A"/>
    <w:rsid w:val="00DD417E"/>
    <w:rsid w:val="00DD47A2"/>
    <w:rsid w:val="00DD4F48"/>
    <w:rsid w:val="00DD7BAC"/>
    <w:rsid w:val="00DD7ED4"/>
    <w:rsid w:val="00DE0128"/>
    <w:rsid w:val="00DE0456"/>
    <w:rsid w:val="00DE0541"/>
    <w:rsid w:val="00DE05D1"/>
    <w:rsid w:val="00DE06D1"/>
    <w:rsid w:val="00DE1F95"/>
    <w:rsid w:val="00DE2446"/>
    <w:rsid w:val="00DE2912"/>
    <w:rsid w:val="00DE2ECF"/>
    <w:rsid w:val="00DE2FE1"/>
    <w:rsid w:val="00DE34A3"/>
    <w:rsid w:val="00DE3B42"/>
    <w:rsid w:val="00DE40EF"/>
    <w:rsid w:val="00DE41DD"/>
    <w:rsid w:val="00DE42EB"/>
    <w:rsid w:val="00DE5404"/>
    <w:rsid w:val="00DE5589"/>
    <w:rsid w:val="00DE5AB0"/>
    <w:rsid w:val="00DE6D2F"/>
    <w:rsid w:val="00DE741B"/>
    <w:rsid w:val="00DE768B"/>
    <w:rsid w:val="00DE7A8A"/>
    <w:rsid w:val="00DF00A8"/>
    <w:rsid w:val="00DF0102"/>
    <w:rsid w:val="00DF1199"/>
    <w:rsid w:val="00DF15DD"/>
    <w:rsid w:val="00DF23D1"/>
    <w:rsid w:val="00DF2920"/>
    <w:rsid w:val="00DF309B"/>
    <w:rsid w:val="00DF3586"/>
    <w:rsid w:val="00DF3AED"/>
    <w:rsid w:val="00DF3B33"/>
    <w:rsid w:val="00DF3D87"/>
    <w:rsid w:val="00DF3D8C"/>
    <w:rsid w:val="00DF4410"/>
    <w:rsid w:val="00DF5056"/>
    <w:rsid w:val="00DF5111"/>
    <w:rsid w:val="00DF58E4"/>
    <w:rsid w:val="00DF678A"/>
    <w:rsid w:val="00DF68AF"/>
    <w:rsid w:val="00DF7148"/>
    <w:rsid w:val="00DF7C73"/>
    <w:rsid w:val="00E00213"/>
    <w:rsid w:val="00E008A7"/>
    <w:rsid w:val="00E00AEB"/>
    <w:rsid w:val="00E00C70"/>
    <w:rsid w:val="00E032E1"/>
    <w:rsid w:val="00E03980"/>
    <w:rsid w:val="00E04846"/>
    <w:rsid w:val="00E04BB8"/>
    <w:rsid w:val="00E05572"/>
    <w:rsid w:val="00E058ED"/>
    <w:rsid w:val="00E05D86"/>
    <w:rsid w:val="00E0621F"/>
    <w:rsid w:val="00E06254"/>
    <w:rsid w:val="00E0650A"/>
    <w:rsid w:val="00E06525"/>
    <w:rsid w:val="00E06838"/>
    <w:rsid w:val="00E07398"/>
    <w:rsid w:val="00E0772A"/>
    <w:rsid w:val="00E07A47"/>
    <w:rsid w:val="00E07C58"/>
    <w:rsid w:val="00E07D34"/>
    <w:rsid w:val="00E07E19"/>
    <w:rsid w:val="00E10022"/>
    <w:rsid w:val="00E1003E"/>
    <w:rsid w:val="00E104BE"/>
    <w:rsid w:val="00E11F7D"/>
    <w:rsid w:val="00E124BD"/>
    <w:rsid w:val="00E12905"/>
    <w:rsid w:val="00E12D5C"/>
    <w:rsid w:val="00E12D6D"/>
    <w:rsid w:val="00E137F2"/>
    <w:rsid w:val="00E140B3"/>
    <w:rsid w:val="00E14109"/>
    <w:rsid w:val="00E14320"/>
    <w:rsid w:val="00E14351"/>
    <w:rsid w:val="00E153EE"/>
    <w:rsid w:val="00E156FE"/>
    <w:rsid w:val="00E15787"/>
    <w:rsid w:val="00E15C09"/>
    <w:rsid w:val="00E15D32"/>
    <w:rsid w:val="00E16009"/>
    <w:rsid w:val="00E16EAA"/>
    <w:rsid w:val="00E1732C"/>
    <w:rsid w:val="00E22134"/>
    <w:rsid w:val="00E22217"/>
    <w:rsid w:val="00E22679"/>
    <w:rsid w:val="00E24370"/>
    <w:rsid w:val="00E24ABE"/>
    <w:rsid w:val="00E24F5E"/>
    <w:rsid w:val="00E2535B"/>
    <w:rsid w:val="00E25550"/>
    <w:rsid w:val="00E25A61"/>
    <w:rsid w:val="00E25BBF"/>
    <w:rsid w:val="00E2676F"/>
    <w:rsid w:val="00E269CD"/>
    <w:rsid w:val="00E26E02"/>
    <w:rsid w:val="00E27C6D"/>
    <w:rsid w:val="00E301CD"/>
    <w:rsid w:val="00E30463"/>
    <w:rsid w:val="00E30A2F"/>
    <w:rsid w:val="00E31F1A"/>
    <w:rsid w:val="00E32DA4"/>
    <w:rsid w:val="00E33209"/>
    <w:rsid w:val="00E33A0B"/>
    <w:rsid w:val="00E34164"/>
    <w:rsid w:val="00E341DF"/>
    <w:rsid w:val="00E345D8"/>
    <w:rsid w:val="00E357BE"/>
    <w:rsid w:val="00E35C38"/>
    <w:rsid w:val="00E361E5"/>
    <w:rsid w:val="00E36665"/>
    <w:rsid w:val="00E3767D"/>
    <w:rsid w:val="00E37BA4"/>
    <w:rsid w:val="00E37BFC"/>
    <w:rsid w:val="00E40C95"/>
    <w:rsid w:val="00E40CE7"/>
    <w:rsid w:val="00E412E3"/>
    <w:rsid w:val="00E41A92"/>
    <w:rsid w:val="00E420C8"/>
    <w:rsid w:val="00E42249"/>
    <w:rsid w:val="00E428D7"/>
    <w:rsid w:val="00E42F29"/>
    <w:rsid w:val="00E42FEC"/>
    <w:rsid w:val="00E43358"/>
    <w:rsid w:val="00E443C5"/>
    <w:rsid w:val="00E446FC"/>
    <w:rsid w:val="00E44B11"/>
    <w:rsid w:val="00E464E2"/>
    <w:rsid w:val="00E46FAE"/>
    <w:rsid w:val="00E4717D"/>
    <w:rsid w:val="00E50146"/>
    <w:rsid w:val="00E50B59"/>
    <w:rsid w:val="00E51042"/>
    <w:rsid w:val="00E51620"/>
    <w:rsid w:val="00E51951"/>
    <w:rsid w:val="00E51EAC"/>
    <w:rsid w:val="00E52413"/>
    <w:rsid w:val="00E52C1E"/>
    <w:rsid w:val="00E5323B"/>
    <w:rsid w:val="00E53396"/>
    <w:rsid w:val="00E53AAE"/>
    <w:rsid w:val="00E54029"/>
    <w:rsid w:val="00E5425F"/>
    <w:rsid w:val="00E54AE8"/>
    <w:rsid w:val="00E54F25"/>
    <w:rsid w:val="00E55A45"/>
    <w:rsid w:val="00E57311"/>
    <w:rsid w:val="00E57B9C"/>
    <w:rsid w:val="00E6158C"/>
    <w:rsid w:val="00E6187F"/>
    <w:rsid w:val="00E618D7"/>
    <w:rsid w:val="00E620C6"/>
    <w:rsid w:val="00E62228"/>
    <w:rsid w:val="00E6259C"/>
    <w:rsid w:val="00E62818"/>
    <w:rsid w:val="00E62921"/>
    <w:rsid w:val="00E63243"/>
    <w:rsid w:val="00E6391E"/>
    <w:rsid w:val="00E63B1D"/>
    <w:rsid w:val="00E64ED0"/>
    <w:rsid w:val="00E65601"/>
    <w:rsid w:val="00E657DF"/>
    <w:rsid w:val="00E65A15"/>
    <w:rsid w:val="00E66A2F"/>
    <w:rsid w:val="00E66AA0"/>
    <w:rsid w:val="00E674FD"/>
    <w:rsid w:val="00E67C2C"/>
    <w:rsid w:val="00E703A1"/>
    <w:rsid w:val="00E703C5"/>
    <w:rsid w:val="00E70643"/>
    <w:rsid w:val="00E70D30"/>
    <w:rsid w:val="00E70DBA"/>
    <w:rsid w:val="00E71469"/>
    <w:rsid w:val="00E72131"/>
    <w:rsid w:val="00E7218C"/>
    <w:rsid w:val="00E72A8D"/>
    <w:rsid w:val="00E72FE6"/>
    <w:rsid w:val="00E73322"/>
    <w:rsid w:val="00E73F1B"/>
    <w:rsid w:val="00E74077"/>
    <w:rsid w:val="00E7427F"/>
    <w:rsid w:val="00E74750"/>
    <w:rsid w:val="00E74F8E"/>
    <w:rsid w:val="00E75058"/>
    <w:rsid w:val="00E75469"/>
    <w:rsid w:val="00E75E52"/>
    <w:rsid w:val="00E75E67"/>
    <w:rsid w:val="00E7650D"/>
    <w:rsid w:val="00E765BC"/>
    <w:rsid w:val="00E76998"/>
    <w:rsid w:val="00E76ACE"/>
    <w:rsid w:val="00E76DA2"/>
    <w:rsid w:val="00E77373"/>
    <w:rsid w:val="00E775B5"/>
    <w:rsid w:val="00E77743"/>
    <w:rsid w:val="00E81896"/>
    <w:rsid w:val="00E81EFF"/>
    <w:rsid w:val="00E82359"/>
    <w:rsid w:val="00E83035"/>
    <w:rsid w:val="00E830BF"/>
    <w:rsid w:val="00E83B91"/>
    <w:rsid w:val="00E83CEB"/>
    <w:rsid w:val="00E83EE2"/>
    <w:rsid w:val="00E84455"/>
    <w:rsid w:val="00E8475E"/>
    <w:rsid w:val="00E86F65"/>
    <w:rsid w:val="00E87090"/>
    <w:rsid w:val="00E8774D"/>
    <w:rsid w:val="00E877E1"/>
    <w:rsid w:val="00E878C7"/>
    <w:rsid w:val="00E87BCF"/>
    <w:rsid w:val="00E87ED2"/>
    <w:rsid w:val="00E90C2A"/>
    <w:rsid w:val="00E915AA"/>
    <w:rsid w:val="00E92080"/>
    <w:rsid w:val="00E9248A"/>
    <w:rsid w:val="00E925B1"/>
    <w:rsid w:val="00E925BB"/>
    <w:rsid w:val="00E92BB5"/>
    <w:rsid w:val="00E9316B"/>
    <w:rsid w:val="00E936C2"/>
    <w:rsid w:val="00E939E2"/>
    <w:rsid w:val="00E93D08"/>
    <w:rsid w:val="00E940DC"/>
    <w:rsid w:val="00E94B0B"/>
    <w:rsid w:val="00E952FF"/>
    <w:rsid w:val="00E95DD6"/>
    <w:rsid w:val="00E965E9"/>
    <w:rsid w:val="00E966E8"/>
    <w:rsid w:val="00E968CA"/>
    <w:rsid w:val="00E96B22"/>
    <w:rsid w:val="00E972AC"/>
    <w:rsid w:val="00E97316"/>
    <w:rsid w:val="00E9769F"/>
    <w:rsid w:val="00E97C92"/>
    <w:rsid w:val="00E97D9B"/>
    <w:rsid w:val="00E97DCE"/>
    <w:rsid w:val="00EA0C33"/>
    <w:rsid w:val="00EA0D78"/>
    <w:rsid w:val="00EA1791"/>
    <w:rsid w:val="00EA1E1D"/>
    <w:rsid w:val="00EA2373"/>
    <w:rsid w:val="00EA25BD"/>
    <w:rsid w:val="00EA26FD"/>
    <w:rsid w:val="00EA2E08"/>
    <w:rsid w:val="00EA2F1F"/>
    <w:rsid w:val="00EA40DB"/>
    <w:rsid w:val="00EA4359"/>
    <w:rsid w:val="00EA4941"/>
    <w:rsid w:val="00EA57BC"/>
    <w:rsid w:val="00EA5F30"/>
    <w:rsid w:val="00EB03F9"/>
    <w:rsid w:val="00EB04D8"/>
    <w:rsid w:val="00EB1589"/>
    <w:rsid w:val="00EB1614"/>
    <w:rsid w:val="00EB1662"/>
    <w:rsid w:val="00EB1881"/>
    <w:rsid w:val="00EB19B8"/>
    <w:rsid w:val="00EB1AC9"/>
    <w:rsid w:val="00EB1EE9"/>
    <w:rsid w:val="00EB36DF"/>
    <w:rsid w:val="00EB3719"/>
    <w:rsid w:val="00EB506C"/>
    <w:rsid w:val="00EB547F"/>
    <w:rsid w:val="00EB5668"/>
    <w:rsid w:val="00EB6536"/>
    <w:rsid w:val="00EB666E"/>
    <w:rsid w:val="00EB6A02"/>
    <w:rsid w:val="00EB7239"/>
    <w:rsid w:val="00EB7953"/>
    <w:rsid w:val="00EC0F2E"/>
    <w:rsid w:val="00EC0FAD"/>
    <w:rsid w:val="00EC1E12"/>
    <w:rsid w:val="00EC43A7"/>
    <w:rsid w:val="00EC4D06"/>
    <w:rsid w:val="00EC4E39"/>
    <w:rsid w:val="00EC63DC"/>
    <w:rsid w:val="00EC681A"/>
    <w:rsid w:val="00EC68DA"/>
    <w:rsid w:val="00EC7993"/>
    <w:rsid w:val="00EC7AB3"/>
    <w:rsid w:val="00EC7F65"/>
    <w:rsid w:val="00EC7F6F"/>
    <w:rsid w:val="00ED0A72"/>
    <w:rsid w:val="00ED1063"/>
    <w:rsid w:val="00ED1AFE"/>
    <w:rsid w:val="00ED3E96"/>
    <w:rsid w:val="00ED3F42"/>
    <w:rsid w:val="00ED4004"/>
    <w:rsid w:val="00ED462E"/>
    <w:rsid w:val="00ED467B"/>
    <w:rsid w:val="00ED52EE"/>
    <w:rsid w:val="00ED564C"/>
    <w:rsid w:val="00ED59D0"/>
    <w:rsid w:val="00ED5B0D"/>
    <w:rsid w:val="00ED5D81"/>
    <w:rsid w:val="00ED5DA5"/>
    <w:rsid w:val="00ED6687"/>
    <w:rsid w:val="00ED6D7E"/>
    <w:rsid w:val="00ED6F49"/>
    <w:rsid w:val="00ED7049"/>
    <w:rsid w:val="00ED74C2"/>
    <w:rsid w:val="00ED7FC4"/>
    <w:rsid w:val="00EE026C"/>
    <w:rsid w:val="00EE06A1"/>
    <w:rsid w:val="00EE0DB2"/>
    <w:rsid w:val="00EE1546"/>
    <w:rsid w:val="00EE1A49"/>
    <w:rsid w:val="00EE2FED"/>
    <w:rsid w:val="00EE306F"/>
    <w:rsid w:val="00EE332C"/>
    <w:rsid w:val="00EE3729"/>
    <w:rsid w:val="00EE3E6D"/>
    <w:rsid w:val="00EE41A4"/>
    <w:rsid w:val="00EE423E"/>
    <w:rsid w:val="00EE438D"/>
    <w:rsid w:val="00EE4762"/>
    <w:rsid w:val="00EE4E08"/>
    <w:rsid w:val="00EE50FB"/>
    <w:rsid w:val="00EE53F1"/>
    <w:rsid w:val="00EE5CA3"/>
    <w:rsid w:val="00EE753C"/>
    <w:rsid w:val="00EF023C"/>
    <w:rsid w:val="00EF0393"/>
    <w:rsid w:val="00EF0756"/>
    <w:rsid w:val="00EF0C8F"/>
    <w:rsid w:val="00EF0EF1"/>
    <w:rsid w:val="00EF21FB"/>
    <w:rsid w:val="00EF22ED"/>
    <w:rsid w:val="00EF37A8"/>
    <w:rsid w:val="00EF4391"/>
    <w:rsid w:val="00EF4E47"/>
    <w:rsid w:val="00EF5899"/>
    <w:rsid w:val="00EF597D"/>
    <w:rsid w:val="00EF616B"/>
    <w:rsid w:val="00EF62AB"/>
    <w:rsid w:val="00EF6988"/>
    <w:rsid w:val="00EF6F7F"/>
    <w:rsid w:val="00EF6F85"/>
    <w:rsid w:val="00EF7457"/>
    <w:rsid w:val="00F00A80"/>
    <w:rsid w:val="00F01369"/>
    <w:rsid w:val="00F01884"/>
    <w:rsid w:val="00F0239A"/>
    <w:rsid w:val="00F027C1"/>
    <w:rsid w:val="00F03936"/>
    <w:rsid w:val="00F0591C"/>
    <w:rsid w:val="00F06790"/>
    <w:rsid w:val="00F07221"/>
    <w:rsid w:val="00F072B0"/>
    <w:rsid w:val="00F07B8C"/>
    <w:rsid w:val="00F07F1A"/>
    <w:rsid w:val="00F104BE"/>
    <w:rsid w:val="00F10BB5"/>
    <w:rsid w:val="00F1130E"/>
    <w:rsid w:val="00F11C28"/>
    <w:rsid w:val="00F11E26"/>
    <w:rsid w:val="00F12660"/>
    <w:rsid w:val="00F13705"/>
    <w:rsid w:val="00F13C39"/>
    <w:rsid w:val="00F14D68"/>
    <w:rsid w:val="00F15185"/>
    <w:rsid w:val="00F158F5"/>
    <w:rsid w:val="00F1600C"/>
    <w:rsid w:val="00F1643D"/>
    <w:rsid w:val="00F164AD"/>
    <w:rsid w:val="00F16B8E"/>
    <w:rsid w:val="00F1712A"/>
    <w:rsid w:val="00F177FA"/>
    <w:rsid w:val="00F2081F"/>
    <w:rsid w:val="00F21221"/>
    <w:rsid w:val="00F2177A"/>
    <w:rsid w:val="00F21D6F"/>
    <w:rsid w:val="00F22D20"/>
    <w:rsid w:val="00F22EC8"/>
    <w:rsid w:val="00F23183"/>
    <w:rsid w:val="00F2379F"/>
    <w:rsid w:val="00F2390F"/>
    <w:rsid w:val="00F23A30"/>
    <w:rsid w:val="00F23BA4"/>
    <w:rsid w:val="00F24247"/>
    <w:rsid w:val="00F2501A"/>
    <w:rsid w:val="00F25B08"/>
    <w:rsid w:val="00F31A63"/>
    <w:rsid w:val="00F31E54"/>
    <w:rsid w:val="00F32331"/>
    <w:rsid w:val="00F324EC"/>
    <w:rsid w:val="00F32A19"/>
    <w:rsid w:val="00F33215"/>
    <w:rsid w:val="00F34CC7"/>
    <w:rsid w:val="00F34D06"/>
    <w:rsid w:val="00F359C3"/>
    <w:rsid w:val="00F35BC9"/>
    <w:rsid w:val="00F35D91"/>
    <w:rsid w:val="00F35E60"/>
    <w:rsid w:val="00F35F0A"/>
    <w:rsid w:val="00F37420"/>
    <w:rsid w:val="00F37868"/>
    <w:rsid w:val="00F37E75"/>
    <w:rsid w:val="00F40070"/>
    <w:rsid w:val="00F404AF"/>
    <w:rsid w:val="00F41BDB"/>
    <w:rsid w:val="00F41C34"/>
    <w:rsid w:val="00F425B0"/>
    <w:rsid w:val="00F42714"/>
    <w:rsid w:val="00F428C3"/>
    <w:rsid w:val="00F43B7F"/>
    <w:rsid w:val="00F44177"/>
    <w:rsid w:val="00F4450C"/>
    <w:rsid w:val="00F445FA"/>
    <w:rsid w:val="00F454E7"/>
    <w:rsid w:val="00F45E82"/>
    <w:rsid w:val="00F46ACE"/>
    <w:rsid w:val="00F46C68"/>
    <w:rsid w:val="00F4761C"/>
    <w:rsid w:val="00F500AE"/>
    <w:rsid w:val="00F5049E"/>
    <w:rsid w:val="00F50A7E"/>
    <w:rsid w:val="00F51023"/>
    <w:rsid w:val="00F51553"/>
    <w:rsid w:val="00F51A84"/>
    <w:rsid w:val="00F5224B"/>
    <w:rsid w:val="00F52AF8"/>
    <w:rsid w:val="00F53407"/>
    <w:rsid w:val="00F53433"/>
    <w:rsid w:val="00F53547"/>
    <w:rsid w:val="00F53A69"/>
    <w:rsid w:val="00F54A25"/>
    <w:rsid w:val="00F54B7B"/>
    <w:rsid w:val="00F5516B"/>
    <w:rsid w:val="00F559A3"/>
    <w:rsid w:val="00F56EE8"/>
    <w:rsid w:val="00F57F1D"/>
    <w:rsid w:val="00F60F77"/>
    <w:rsid w:val="00F60F93"/>
    <w:rsid w:val="00F61942"/>
    <w:rsid w:val="00F636EC"/>
    <w:rsid w:val="00F64488"/>
    <w:rsid w:val="00F65BCC"/>
    <w:rsid w:val="00F66677"/>
    <w:rsid w:val="00F669E7"/>
    <w:rsid w:val="00F67142"/>
    <w:rsid w:val="00F67BDF"/>
    <w:rsid w:val="00F67EAD"/>
    <w:rsid w:val="00F702EF"/>
    <w:rsid w:val="00F70415"/>
    <w:rsid w:val="00F713A6"/>
    <w:rsid w:val="00F71F27"/>
    <w:rsid w:val="00F7231A"/>
    <w:rsid w:val="00F723D4"/>
    <w:rsid w:val="00F72860"/>
    <w:rsid w:val="00F73F01"/>
    <w:rsid w:val="00F743B8"/>
    <w:rsid w:val="00F746E9"/>
    <w:rsid w:val="00F74C28"/>
    <w:rsid w:val="00F74FB1"/>
    <w:rsid w:val="00F758BD"/>
    <w:rsid w:val="00F75DA4"/>
    <w:rsid w:val="00F765DF"/>
    <w:rsid w:val="00F76809"/>
    <w:rsid w:val="00F772C3"/>
    <w:rsid w:val="00F7742B"/>
    <w:rsid w:val="00F778C3"/>
    <w:rsid w:val="00F80275"/>
    <w:rsid w:val="00F80C4C"/>
    <w:rsid w:val="00F80EF6"/>
    <w:rsid w:val="00F8112C"/>
    <w:rsid w:val="00F82471"/>
    <w:rsid w:val="00F82EF2"/>
    <w:rsid w:val="00F8308B"/>
    <w:rsid w:val="00F8369C"/>
    <w:rsid w:val="00F839E3"/>
    <w:rsid w:val="00F83F75"/>
    <w:rsid w:val="00F84825"/>
    <w:rsid w:val="00F84F1B"/>
    <w:rsid w:val="00F8502E"/>
    <w:rsid w:val="00F8528E"/>
    <w:rsid w:val="00F863AE"/>
    <w:rsid w:val="00F86C2E"/>
    <w:rsid w:val="00F86CB3"/>
    <w:rsid w:val="00F87275"/>
    <w:rsid w:val="00F90FA2"/>
    <w:rsid w:val="00F91195"/>
    <w:rsid w:val="00F92484"/>
    <w:rsid w:val="00F926B8"/>
    <w:rsid w:val="00F930A7"/>
    <w:rsid w:val="00F935D5"/>
    <w:rsid w:val="00F94248"/>
    <w:rsid w:val="00F945E9"/>
    <w:rsid w:val="00F947E6"/>
    <w:rsid w:val="00F956AA"/>
    <w:rsid w:val="00F96370"/>
    <w:rsid w:val="00F96640"/>
    <w:rsid w:val="00F976A0"/>
    <w:rsid w:val="00F978A8"/>
    <w:rsid w:val="00F97F79"/>
    <w:rsid w:val="00FA0946"/>
    <w:rsid w:val="00FA0D29"/>
    <w:rsid w:val="00FA10C3"/>
    <w:rsid w:val="00FA1355"/>
    <w:rsid w:val="00FA1445"/>
    <w:rsid w:val="00FA1B4F"/>
    <w:rsid w:val="00FA293C"/>
    <w:rsid w:val="00FA2B12"/>
    <w:rsid w:val="00FA35A7"/>
    <w:rsid w:val="00FA3A63"/>
    <w:rsid w:val="00FA3D21"/>
    <w:rsid w:val="00FA4B88"/>
    <w:rsid w:val="00FA5A3C"/>
    <w:rsid w:val="00FA6D7D"/>
    <w:rsid w:val="00FB01F4"/>
    <w:rsid w:val="00FB02B1"/>
    <w:rsid w:val="00FB0B7B"/>
    <w:rsid w:val="00FB0FB9"/>
    <w:rsid w:val="00FB1BAA"/>
    <w:rsid w:val="00FB1DC9"/>
    <w:rsid w:val="00FB1E52"/>
    <w:rsid w:val="00FB1F2F"/>
    <w:rsid w:val="00FB1F78"/>
    <w:rsid w:val="00FB21D1"/>
    <w:rsid w:val="00FB2761"/>
    <w:rsid w:val="00FB2B65"/>
    <w:rsid w:val="00FB2EDE"/>
    <w:rsid w:val="00FB5E16"/>
    <w:rsid w:val="00FB6D98"/>
    <w:rsid w:val="00FB6DB0"/>
    <w:rsid w:val="00FB7148"/>
    <w:rsid w:val="00FB7555"/>
    <w:rsid w:val="00FC0805"/>
    <w:rsid w:val="00FC0DC0"/>
    <w:rsid w:val="00FC1454"/>
    <w:rsid w:val="00FC3537"/>
    <w:rsid w:val="00FC36E2"/>
    <w:rsid w:val="00FC47DF"/>
    <w:rsid w:val="00FC4A10"/>
    <w:rsid w:val="00FC6396"/>
    <w:rsid w:val="00FC63AD"/>
    <w:rsid w:val="00FC685F"/>
    <w:rsid w:val="00FC6BCD"/>
    <w:rsid w:val="00FC6FA8"/>
    <w:rsid w:val="00FD07C4"/>
    <w:rsid w:val="00FD317A"/>
    <w:rsid w:val="00FD3FAD"/>
    <w:rsid w:val="00FD4B7D"/>
    <w:rsid w:val="00FD5233"/>
    <w:rsid w:val="00FD5EC4"/>
    <w:rsid w:val="00FD6A25"/>
    <w:rsid w:val="00FD7145"/>
    <w:rsid w:val="00FD75B9"/>
    <w:rsid w:val="00FE01EB"/>
    <w:rsid w:val="00FE039C"/>
    <w:rsid w:val="00FE0E6B"/>
    <w:rsid w:val="00FE15AF"/>
    <w:rsid w:val="00FE1706"/>
    <w:rsid w:val="00FE1788"/>
    <w:rsid w:val="00FE1D29"/>
    <w:rsid w:val="00FE21A4"/>
    <w:rsid w:val="00FE23ED"/>
    <w:rsid w:val="00FE30DE"/>
    <w:rsid w:val="00FE363E"/>
    <w:rsid w:val="00FE3705"/>
    <w:rsid w:val="00FE384A"/>
    <w:rsid w:val="00FE3E96"/>
    <w:rsid w:val="00FE4995"/>
    <w:rsid w:val="00FE59E7"/>
    <w:rsid w:val="00FE663F"/>
    <w:rsid w:val="00FE66D7"/>
    <w:rsid w:val="00FE739B"/>
    <w:rsid w:val="00FE741B"/>
    <w:rsid w:val="00FF0FF5"/>
    <w:rsid w:val="00FF16CA"/>
    <w:rsid w:val="00FF22F3"/>
    <w:rsid w:val="00FF3508"/>
    <w:rsid w:val="00FF3E6D"/>
    <w:rsid w:val="00FF4287"/>
    <w:rsid w:val="00FF4E50"/>
    <w:rsid w:val="00FF5B83"/>
    <w:rsid w:val="00FF5C96"/>
    <w:rsid w:val="00FF609D"/>
    <w:rsid w:val="00FF60A2"/>
    <w:rsid w:val="00FF6505"/>
    <w:rsid w:val="00FF6A47"/>
    <w:rsid w:val="00FF6BE4"/>
    <w:rsid w:val="00FF6E96"/>
    <w:rsid w:val="00FF7677"/>
    <w:rsid w:val="06FBD65E"/>
    <w:rsid w:val="0AB8974E"/>
    <w:rsid w:val="1010A115"/>
    <w:rsid w:val="10416CF0"/>
    <w:rsid w:val="116FF571"/>
    <w:rsid w:val="13D9C730"/>
    <w:rsid w:val="1879BEBC"/>
    <w:rsid w:val="1B10595D"/>
    <w:rsid w:val="1DCDF1B3"/>
    <w:rsid w:val="1F77B9F6"/>
    <w:rsid w:val="201D4461"/>
    <w:rsid w:val="213EBAF6"/>
    <w:rsid w:val="22DAA936"/>
    <w:rsid w:val="23F5BC26"/>
    <w:rsid w:val="274D9AED"/>
    <w:rsid w:val="2DB90383"/>
    <w:rsid w:val="2ED64076"/>
    <w:rsid w:val="2FA9EF03"/>
    <w:rsid w:val="3AE07054"/>
    <w:rsid w:val="3AEACC2E"/>
    <w:rsid w:val="3BFF3782"/>
    <w:rsid w:val="473D47FB"/>
    <w:rsid w:val="49FBE9F4"/>
    <w:rsid w:val="4A6B2894"/>
    <w:rsid w:val="4AB629DF"/>
    <w:rsid w:val="4B816BCD"/>
    <w:rsid w:val="4BAA7215"/>
    <w:rsid w:val="4F38B435"/>
    <w:rsid w:val="52861338"/>
    <w:rsid w:val="52995736"/>
    <w:rsid w:val="53A50336"/>
    <w:rsid w:val="543299F9"/>
    <w:rsid w:val="5A24FEAE"/>
    <w:rsid w:val="5E8F9B6D"/>
    <w:rsid w:val="5F2046E6"/>
    <w:rsid w:val="5F282125"/>
    <w:rsid w:val="638ED72F"/>
    <w:rsid w:val="65455430"/>
    <w:rsid w:val="66E10372"/>
    <w:rsid w:val="66F5D2B4"/>
    <w:rsid w:val="69476A63"/>
    <w:rsid w:val="6EB5C288"/>
    <w:rsid w:val="6ED6445B"/>
    <w:rsid w:val="71393938"/>
    <w:rsid w:val="738247A2"/>
    <w:rsid w:val="77ADD8CA"/>
    <w:rsid w:val="7B61EB20"/>
    <w:rsid w:val="7D3CD3AF"/>
    <w:rsid w:val="7DB3CDE3"/>
    <w:rsid w:val="7F829E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5836C4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ECD"/>
    <w:pPr>
      <w:spacing w:before="120" w:after="120"/>
    </w:pPr>
    <w:rPr>
      <w:rFonts w:ascii="Segoe UI" w:hAnsi="Segoe UI"/>
      <w:sz w:val="20"/>
    </w:rPr>
  </w:style>
  <w:style w:type="paragraph" w:styleId="Heading1">
    <w:name w:val="heading 1"/>
    <w:basedOn w:val="Heading2"/>
    <w:next w:val="Normal"/>
    <w:link w:val="Heading1Char"/>
    <w:uiPriority w:val="9"/>
    <w:qFormat/>
    <w:rsid w:val="00A80773"/>
    <w:pPr>
      <w:numPr>
        <w:ilvl w:val="0"/>
      </w:numPr>
      <w:outlineLvl w:val="0"/>
    </w:pPr>
    <w:rPr>
      <w:sz w:val="32"/>
    </w:rPr>
  </w:style>
  <w:style w:type="paragraph" w:styleId="Heading2">
    <w:name w:val="heading 2"/>
    <w:basedOn w:val="Normal"/>
    <w:next w:val="Normal"/>
    <w:link w:val="Heading2Char"/>
    <w:uiPriority w:val="9"/>
    <w:unhideWhenUsed/>
    <w:qFormat/>
    <w:rsid w:val="00A80773"/>
    <w:pPr>
      <w:keepNext/>
      <w:keepLines/>
      <w:numPr>
        <w:ilvl w:val="1"/>
        <w:numId w:val="3"/>
      </w:numPr>
      <w:spacing w:before="240" w:after="0"/>
      <w:ind w:left="576" w:hanging="576"/>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8E6137"/>
    <w:pPr>
      <w:numPr>
        <w:ilvl w:val="2"/>
      </w:numPr>
      <w:outlineLvl w:val="2"/>
    </w:pPr>
    <w:rPr>
      <w:sz w:val="26"/>
    </w:rPr>
  </w:style>
  <w:style w:type="paragraph" w:styleId="Heading4">
    <w:name w:val="heading 4"/>
    <w:basedOn w:val="Normal"/>
    <w:next w:val="Normal"/>
    <w:link w:val="Heading4Char"/>
    <w:uiPriority w:val="9"/>
    <w:unhideWhenUsed/>
    <w:qFormat/>
    <w:rsid w:val="00BD3F15"/>
    <w:pPr>
      <w:keepNext/>
      <w:keepLines/>
      <w:spacing w:before="240"/>
      <w:outlineLvl w:val="3"/>
    </w:pPr>
    <w:rPr>
      <w:rFonts w:eastAsiaTheme="majorEastAsia" w:cstheme="majorBidi"/>
      <w:b/>
      <w:iCs/>
      <w:sz w:val="24"/>
    </w:rPr>
  </w:style>
  <w:style w:type="paragraph" w:styleId="Heading5">
    <w:name w:val="heading 5"/>
    <w:basedOn w:val="Normal"/>
    <w:next w:val="Normal"/>
    <w:link w:val="Heading5Char"/>
    <w:uiPriority w:val="9"/>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2641DA"/>
    <w:pPr>
      <w:keepNext/>
      <w:keepLines/>
      <w:spacing w:before="40" w:after="0" w:line="276"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2641DA"/>
    <w:pPr>
      <w:keepNext/>
      <w:keepLines/>
      <w:spacing w:before="40" w:after="0" w:line="276"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A80773"/>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8E6137"/>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semiHidden/>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semiHidden/>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uiPriority w:val="99"/>
    <w:semiHidden/>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BD2CE8"/>
    <w:rPr>
      <w:rFonts w:ascii="Segoe UI" w:hAnsi="Segoe UI" w:cs="Segoe UI"/>
      <w:sz w:val="18"/>
      <w:szCs w:val="18"/>
    </w:rPr>
  </w:style>
  <w:style w:type="table" w:styleId="TableGrid">
    <w:name w:val="Table Grid"/>
    <w:basedOn w:val="TableNormal"/>
    <w:uiPriority w:val="39"/>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semiHidden/>
    <w:unhideWhenUsed/>
    <w:rsid w:val="008F7DA4"/>
    <w:rPr>
      <w:b/>
      <w:bCs/>
    </w:rPr>
  </w:style>
  <w:style w:type="character" w:customStyle="1" w:styleId="CommentSubjectChar">
    <w:name w:val="Comment Subject Char"/>
    <w:basedOn w:val="CommentTextChar"/>
    <w:link w:val="CommentSubject"/>
    <w:uiPriority w:val="99"/>
    <w:semiHidden/>
    <w:rsid w:val="008F7DA4"/>
    <w:rPr>
      <w:b/>
      <w:bCs/>
      <w:sz w:val="20"/>
      <w:szCs w:val="20"/>
    </w:rPr>
  </w:style>
  <w:style w:type="character" w:customStyle="1" w:styleId="Heading1Char">
    <w:name w:val="Heading 1 Char"/>
    <w:basedOn w:val="DefaultParagraphFont"/>
    <w:link w:val="Heading1"/>
    <w:uiPriority w:val="9"/>
    <w:rsid w:val="00A80773"/>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9"/>
    <w:rsid w:val="00BD3F15"/>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1"/>
      </w:numPr>
    </w:pPr>
  </w:style>
  <w:style w:type="character" w:styleId="FollowedHyperlink">
    <w:name w:val="FollowedHyperlink"/>
    <w:basedOn w:val="DefaultParagraphFont"/>
    <w:uiPriority w:val="99"/>
    <w:semiHidden/>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aliases w:val="Num Bullet 1,Bullet Number,List Paragraph1,lp1,lp11,List Paragraph11,Use Case List Paragraph,Bullet List,FooterText,numbered,Paragraphe de liste1,Bulletr List Paragraph,列出段落,列出段落1,List Paragraph2,List Paragraph21,Listeafsnit1,Bullet 1"/>
    <w:basedOn w:val="Normal"/>
    <w:link w:val="ListParagraphChar"/>
    <w:uiPriority w:val="34"/>
    <w:qFormat/>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2"/>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link w:val="TableTextChar"/>
    <w:uiPriority w:val="4"/>
    <w:qFormat/>
    <w:rsid w:val="00117AE2"/>
    <w:pPr>
      <w:spacing w:line="240" w:lineRule="auto"/>
    </w:pPr>
  </w:style>
  <w:style w:type="paragraph" w:styleId="ListBullet">
    <w:name w:val="List Bullet"/>
    <w:basedOn w:val="Normal"/>
    <w:uiPriority w:val="4"/>
    <w:rsid w:val="000D4E93"/>
    <w:pPr>
      <w:numPr>
        <w:numId w:val="4"/>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D307F0"/>
    <w:pPr>
      <w:numPr>
        <w:numId w:val="9"/>
      </w:numPr>
    </w:pPr>
  </w:style>
  <w:style w:type="character" w:customStyle="1" w:styleId="ListParagraphChar">
    <w:name w:val="List Paragraph Char"/>
    <w:aliases w:val="Num Bullet 1 Char,Bullet Number Char,List Paragraph1 Char,lp1 Char,lp11 Char,List Paragraph11 Char,Use Case List Paragraph Char,Bullet List Char,FooterText Char,numbered Char,Paragraphe de liste1 Char,Bulletr List Paragraph Char"/>
    <w:basedOn w:val="DefaultParagraphFont"/>
    <w:link w:val="ListParagraph"/>
    <w:uiPriority w:val="34"/>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6"/>
      </w:numPr>
    </w:pPr>
  </w:style>
  <w:style w:type="paragraph" w:customStyle="1" w:styleId="TableBullet1MS">
    <w:name w:val="Table Bullet 1 MS"/>
    <w:basedOn w:val="TableText"/>
    <w:rsid w:val="00BB4A4F"/>
    <w:pPr>
      <w:numPr>
        <w:numId w:val="6"/>
      </w:numPr>
      <w:spacing w:before="0" w:after="0"/>
    </w:pPr>
  </w:style>
  <w:style w:type="paragraph" w:customStyle="1" w:styleId="TableBullet2MS">
    <w:name w:val="Table Bullet 2 MS"/>
    <w:basedOn w:val="TableText"/>
    <w:rsid w:val="00BB4A4F"/>
    <w:pPr>
      <w:numPr>
        <w:ilvl w:val="1"/>
        <w:numId w:val="6"/>
      </w:numPr>
      <w:spacing w:before="0" w:after="0"/>
    </w:pPr>
  </w:style>
  <w:style w:type="paragraph" w:customStyle="1" w:styleId="TableBullet1">
    <w:name w:val="Table Bullet 1"/>
    <w:basedOn w:val="Bulletlist"/>
    <w:qFormat/>
    <w:rsid w:val="00117AE2"/>
    <w:pPr>
      <w:spacing w:line="240" w:lineRule="auto"/>
    </w:pPr>
  </w:style>
  <w:style w:type="numbering" w:customStyle="1" w:styleId="BulletsTable">
    <w:name w:val="Bullets Table"/>
    <w:basedOn w:val="NoList"/>
    <w:rsid w:val="00CA693D"/>
  </w:style>
  <w:style w:type="paragraph" w:customStyle="1" w:styleId="NumBullet3">
    <w:name w:val="Num Bullet 3"/>
    <w:basedOn w:val="Normal"/>
    <w:uiPriority w:val="3"/>
    <w:rsid w:val="00CA693D"/>
    <w:pPr>
      <w:numPr>
        <w:numId w:val="7"/>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52546A"/>
    <w:pPr>
      <w:spacing w:after="100"/>
    </w:pPr>
  </w:style>
  <w:style w:type="paragraph" w:styleId="TOC2">
    <w:name w:val="toc 2"/>
    <w:basedOn w:val="Normal"/>
    <w:next w:val="Normal"/>
    <w:autoRedefine/>
    <w:uiPriority w:val="39"/>
    <w:unhideWhenUsed/>
    <w:rsid w:val="0052546A"/>
    <w:pPr>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8"/>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semiHidden/>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rsid w:val="002967F9"/>
    <w:rPr>
      <w:i/>
      <w:iCs/>
    </w:rPr>
  </w:style>
  <w:style w:type="character" w:customStyle="1" w:styleId="Heading7Char">
    <w:name w:val="Heading 7 Char"/>
    <w:basedOn w:val="DefaultParagraphFont"/>
    <w:link w:val="Heading7"/>
    <w:uiPriority w:val="9"/>
    <w:semiHidden/>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uiPriority w:val="99"/>
    <w:semiHidden/>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styleId="Mention">
    <w:name w:val="Mention"/>
    <w:basedOn w:val="DefaultParagraphFont"/>
    <w:uiPriority w:val="99"/>
    <w:unhideWhenUsed/>
    <w:rsid w:val="00E54029"/>
    <w:rPr>
      <w:color w:val="2B579A"/>
      <w:shd w:val="clear" w:color="auto" w:fill="E6E6E6"/>
    </w:rPr>
  </w:style>
  <w:style w:type="paragraph" w:customStyle="1" w:styleId="Bullets">
    <w:name w:val="Bullets"/>
    <w:basedOn w:val="ListParagraph"/>
    <w:link w:val="BulletsChar"/>
    <w:rsid w:val="003D1C77"/>
    <w:pPr>
      <w:numPr>
        <w:numId w:val="10"/>
      </w:numPr>
      <w:spacing w:line="240" w:lineRule="auto"/>
    </w:pPr>
  </w:style>
  <w:style w:type="character" w:customStyle="1" w:styleId="BulletsChar">
    <w:name w:val="Bullets Char"/>
    <w:basedOn w:val="BulletlistChar"/>
    <w:link w:val="Bullets"/>
    <w:rsid w:val="003D1C77"/>
    <w:rPr>
      <w:rFonts w:ascii="Segoe UI" w:hAnsi="Segoe UI"/>
      <w:sz w:val="20"/>
    </w:rPr>
  </w:style>
  <w:style w:type="character" w:customStyle="1" w:styleId="Heading8Char">
    <w:name w:val="Heading 8 Char"/>
    <w:basedOn w:val="DefaultParagraphFont"/>
    <w:link w:val="Heading8"/>
    <w:uiPriority w:val="9"/>
    <w:semiHidden/>
    <w:rsid w:val="002641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641DA"/>
    <w:rPr>
      <w:rFonts w:asciiTheme="majorHAnsi" w:eastAsiaTheme="majorEastAsia" w:hAnsiTheme="majorHAnsi" w:cstheme="majorBidi"/>
      <w:i/>
      <w:iCs/>
      <w:color w:val="272727" w:themeColor="text1" w:themeTint="D8"/>
      <w:sz w:val="21"/>
      <w:szCs w:val="21"/>
    </w:rPr>
  </w:style>
  <w:style w:type="paragraph" w:customStyle="1" w:styleId="TableListBullet">
    <w:name w:val="Table List Bullet"/>
    <w:basedOn w:val="Normal"/>
    <w:uiPriority w:val="99"/>
    <w:rsid w:val="002641DA"/>
    <w:pPr>
      <w:spacing w:before="60" w:line="240" w:lineRule="auto"/>
      <w:ind w:left="360" w:hanging="360"/>
      <w:contextualSpacing/>
    </w:pPr>
    <w:rPr>
      <w:rFonts w:eastAsiaTheme="minorEastAsia"/>
      <w:sz w:val="16"/>
      <w:szCs w:val="16"/>
    </w:rPr>
  </w:style>
  <w:style w:type="paragraph" w:customStyle="1" w:styleId="Heading1Numbered">
    <w:name w:val="Heading 1 (Numbered)"/>
    <w:basedOn w:val="Normal"/>
    <w:next w:val="Normal"/>
    <w:uiPriority w:val="2"/>
    <w:qFormat/>
    <w:rsid w:val="002641DA"/>
    <w:pPr>
      <w:keepNext/>
      <w:keepLines/>
      <w:pageBreakBefore/>
      <w:numPr>
        <w:numId w:val="13"/>
      </w:numPr>
      <w:tabs>
        <w:tab w:val="left" w:pos="1440"/>
      </w:tabs>
      <w:spacing w:before="360" w:after="360" w:line="600" w:lineRule="exact"/>
      <w:outlineLvl w:val="0"/>
    </w:pPr>
    <w:rPr>
      <w:color w:val="008AC8"/>
      <w:spacing w:val="10"/>
      <w:sz w:val="36"/>
      <w:szCs w:val="48"/>
    </w:rPr>
  </w:style>
  <w:style w:type="paragraph" w:customStyle="1" w:styleId="Heading2Numbered">
    <w:name w:val="Heading 2 (Numbered)"/>
    <w:basedOn w:val="Heading1Numbered"/>
    <w:next w:val="Normal"/>
    <w:uiPriority w:val="2"/>
    <w:qFormat/>
    <w:rsid w:val="002641DA"/>
    <w:pPr>
      <w:numPr>
        <w:ilvl w:val="1"/>
      </w:numPr>
    </w:pPr>
  </w:style>
  <w:style w:type="paragraph" w:customStyle="1" w:styleId="Heading3Numbered">
    <w:name w:val="Heading 3 (Numbered)"/>
    <w:basedOn w:val="Heading2Numbered"/>
    <w:next w:val="Normal"/>
    <w:uiPriority w:val="2"/>
    <w:qFormat/>
    <w:rsid w:val="002641DA"/>
    <w:pPr>
      <w:pageBreakBefore w:val="0"/>
      <w:numPr>
        <w:ilvl w:val="2"/>
      </w:numPr>
      <w:spacing w:before="240" w:after="240" w:line="240" w:lineRule="auto"/>
      <w:outlineLvl w:val="2"/>
    </w:pPr>
    <w:rPr>
      <w:sz w:val="28"/>
      <w:szCs w:val="28"/>
    </w:rPr>
  </w:style>
  <w:style w:type="paragraph" w:customStyle="1" w:styleId="Heading4Numbered">
    <w:name w:val="Heading 4 (Numbered)"/>
    <w:basedOn w:val="Heading3Numbered"/>
    <w:next w:val="Normal"/>
    <w:uiPriority w:val="2"/>
    <w:qFormat/>
    <w:rsid w:val="002641DA"/>
    <w:pPr>
      <w:numPr>
        <w:ilvl w:val="0"/>
        <w:numId w:val="0"/>
      </w:numPr>
      <w:ind w:left="936" w:hanging="936"/>
      <w:outlineLvl w:val="3"/>
    </w:pPr>
    <w:rPr>
      <w:sz w:val="24"/>
    </w:rPr>
  </w:style>
  <w:style w:type="paragraph" w:customStyle="1" w:styleId="NumHeading3">
    <w:name w:val="Num Heading 3"/>
    <w:basedOn w:val="Heading3"/>
    <w:next w:val="Normal"/>
    <w:rsid w:val="002641DA"/>
    <w:pPr>
      <w:keepNext w:val="0"/>
      <w:keepLines w:val="0"/>
      <w:widowControl w:val="0"/>
      <w:numPr>
        <w:ilvl w:val="0"/>
        <w:numId w:val="0"/>
      </w:numPr>
      <w:tabs>
        <w:tab w:val="left" w:pos="1440"/>
        <w:tab w:val="num" w:pos="4680"/>
      </w:tabs>
      <w:spacing w:before="120" w:after="60" w:line="240" w:lineRule="auto"/>
      <w:ind w:left="2736" w:hanging="936"/>
      <w:outlineLvl w:val="9"/>
    </w:pPr>
    <w:rPr>
      <w:rFonts w:ascii="Segoe UI" w:eastAsia="Segoe Semibold" w:hAnsi="Segoe UI" w:cs="Segoe Semibold"/>
      <w:bCs/>
      <w:color w:val="333333"/>
      <w:sz w:val="16"/>
      <w:szCs w:val="26"/>
      <w:lang w:eastAsia="en-AU"/>
    </w:rPr>
  </w:style>
  <w:style w:type="paragraph" w:customStyle="1" w:styleId="NumHeading4">
    <w:name w:val="Num Heading 4"/>
    <w:basedOn w:val="Heading4"/>
    <w:next w:val="Normal"/>
    <w:rsid w:val="002641DA"/>
    <w:pPr>
      <w:keepNext w:val="0"/>
      <w:keepLines w:val="0"/>
      <w:widowControl w:val="0"/>
      <w:tabs>
        <w:tab w:val="left" w:pos="1440"/>
        <w:tab w:val="num" w:pos="5400"/>
      </w:tabs>
      <w:spacing w:before="120" w:after="60" w:line="240" w:lineRule="auto"/>
      <w:ind w:left="3240" w:hanging="1080"/>
      <w:outlineLvl w:val="9"/>
    </w:pPr>
    <w:rPr>
      <w:rFonts w:eastAsia="Segoe Semibold" w:cs="Segoe Semibold"/>
      <w:b w:val="0"/>
      <w:bCs/>
      <w:i/>
      <w:color w:val="333333"/>
      <w:sz w:val="16"/>
      <w:szCs w:val="24"/>
      <w:lang w:eastAsia="en-AU"/>
    </w:rPr>
  </w:style>
  <w:style w:type="paragraph" w:customStyle="1" w:styleId="NumHeading1">
    <w:name w:val="Num Heading 1"/>
    <w:basedOn w:val="Heading1"/>
    <w:next w:val="Normal"/>
    <w:semiHidden/>
    <w:rsid w:val="002641DA"/>
    <w:pPr>
      <w:keepLines w:val="0"/>
      <w:pageBreakBefore/>
      <w:numPr>
        <w:ilvl w:val="3"/>
        <w:numId w:val="30"/>
      </w:numPr>
      <w:tabs>
        <w:tab w:val="left" w:pos="1440"/>
      </w:tabs>
      <w:spacing w:before="120" w:after="120" w:line="240" w:lineRule="auto"/>
    </w:pPr>
    <w:rPr>
      <w:rFonts w:ascii="Segoe Black" w:eastAsia="Segoe Black" w:hAnsi="Segoe Black" w:cs="Segoe Black"/>
      <w:b/>
      <w:bCs/>
      <w:smallCaps/>
      <w:color w:val="333333"/>
      <w:kern w:val="32"/>
      <w:lang w:eastAsia="en-AU"/>
    </w:rPr>
  </w:style>
  <w:style w:type="table" w:styleId="TableGridLight">
    <w:name w:val="Grid Table Light"/>
    <w:basedOn w:val="TableNormal"/>
    <w:uiPriority w:val="40"/>
    <w:rsid w:val="002641DA"/>
    <w:pPr>
      <w:numPr>
        <w:ilvl w:val="4"/>
        <w:numId w:val="30"/>
      </w:num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Bullet3">
    <w:name w:val="Table Bullet 3"/>
    <w:basedOn w:val="Normal"/>
    <w:uiPriority w:val="4"/>
    <w:qFormat/>
    <w:rsid w:val="002641DA"/>
    <w:pPr>
      <w:numPr>
        <w:numId w:val="15"/>
      </w:numPr>
      <w:spacing w:before="0" w:after="0" w:line="240" w:lineRule="auto"/>
      <w:contextualSpacing/>
    </w:pPr>
    <w:rPr>
      <w:rFonts w:eastAsiaTheme="minorEastAsia"/>
      <w:noProof/>
    </w:rPr>
  </w:style>
  <w:style w:type="character" w:styleId="UnresolvedMention">
    <w:name w:val="Unresolved Mention"/>
    <w:basedOn w:val="DefaultParagraphFont"/>
    <w:uiPriority w:val="99"/>
    <w:unhideWhenUsed/>
    <w:rsid w:val="002641DA"/>
    <w:rPr>
      <w:color w:val="808080"/>
      <w:shd w:val="clear" w:color="auto" w:fill="E6E6E6"/>
    </w:rPr>
  </w:style>
  <w:style w:type="paragraph" w:customStyle="1" w:styleId="Heading5Numbered">
    <w:name w:val="Heading 5 (Numbered)"/>
    <w:basedOn w:val="Normal"/>
    <w:next w:val="Normal"/>
    <w:uiPriority w:val="2"/>
    <w:unhideWhenUsed/>
    <w:rsid w:val="002641DA"/>
    <w:pPr>
      <w:keepNext/>
      <w:keepLines/>
      <w:tabs>
        <w:tab w:val="left" w:pos="1152"/>
      </w:tabs>
      <w:spacing w:before="240" w:line="240" w:lineRule="auto"/>
      <w:outlineLvl w:val="4"/>
    </w:pPr>
    <w:rPr>
      <w:color w:val="008AC8"/>
      <w:sz w:val="24"/>
      <w:szCs w:val="20"/>
    </w:rPr>
  </w:style>
  <w:style w:type="paragraph" w:customStyle="1" w:styleId="Bullet3">
    <w:name w:val="Bullet 3"/>
    <w:basedOn w:val="Normal"/>
    <w:uiPriority w:val="4"/>
    <w:rsid w:val="002641DA"/>
    <w:pPr>
      <w:numPr>
        <w:numId w:val="16"/>
      </w:numPr>
      <w:spacing w:line="276" w:lineRule="auto"/>
      <w:contextualSpacing/>
    </w:pPr>
    <w:rPr>
      <w:rFonts w:eastAsiaTheme="minorEastAsia"/>
      <w:sz w:val="22"/>
    </w:rPr>
  </w:style>
  <w:style w:type="character" w:customStyle="1" w:styleId="ng-binding">
    <w:name w:val="ng-binding"/>
    <w:basedOn w:val="DefaultParagraphFont"/>
    <w:rsid w:val="002641DA"/>
  </w:style>
  <w:style w:type="paragraph" w:styleId="ListBullet2">
    <w:name w:val="List Bullet 2"/>
    <w:basedOn w:val="ListBullet"/>
    <w:uiPriority w:val="99"/>
    <w:qFormat/>
    <w:rsid w:val="008E6D34"/>
    <w:pPr>
      <w:numPr>
        <w:numId w:val="17"/>
      </w:numPr>
      <w:spacing w:after="200"/>
      <w:ind w:left="1080"/>
    </w:pPr>
  </w:style>
  <w:style w:type="paragraph" w:styleId="ListBullet3">
    <w:name w:val="List Bullet 3"/>
    <w:basedOn w:val="ListBullet2"/>
    <w:uiPriority w:val="99"/>
    <w:qFormat/>
    <w:rsid w:val="003F3E03"/>
    <w:pPr>
      <w:numPr>
        <w:numId w:val="18"/>
      </w:numPr>
    </w:pPr>
  </w:style>
  <w:style w:type="paragraph" w:styleId="ListBullet4">
    <w:name w:val="List Bullet 4"/>
    <w:basedOn w:val="ListBullet3"/>
    <w:uiPriority w:val="99"/>
    <w:qFormat/>
    <w:rsid w:val="006444E8"/>
    <w:pPr>
      <w:numPr>
        <w:numId w:val="19"/>
      </w:numPr>
    </w:pPr>
  </w:style>
  <w:style w:type="character" w:customStyle="1" w:styleId="TableTextChar">
    <w:name w:val="Table Text Char"/>
    <w:basedOn w:val="DefaultParagraphFont"/>
    <w:link w:val="TableText"/>
    <w:uiPriority w:val="4"/>
    <w:locked/>
    <w:rsid w:val="00264327"/>
    <w:rPr>
      <w:rFonts w:ascii="Segoe UI" w:hAnsi="Segoe U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106534">
      <w:bodyDiv w:val="1"/>
      <w:marLeft w:val="0"/>
      <w:marRight w:val="0"/>
      <w:marTop w:val="0"/>
      <w:marBottom w:val="0"/>
      <w:divBdr>
        <w:top w:val="none" w:sz="0" w:space="0" w:color="auto"/>
        <w:left w:val="none" w:sz="0" w:space="0" w:color="auto"/>
        <w:bottom w:val="none" w:sz="0" w:space="0" w:color="auto"/>
        <w:right w:val="none" w:sz="0" w:space="0" w:color="auto"/>
      </w:divBdr>
      <w:divsChild>
        <w:div w:id="2094470532">
          <w:marLeft w:val="0"/>
          <w:marRight w:val="0"/>
          <w:marTop w:val="0"/>
          <w:marBottom w:val="0"/>
          <w:divBdr>
            <w:top w:val="none" w:sz="0" w:space="0" w:color="auto"/>
            <w:left w:val="none" w:sz="0" w:space="0" w:color="auto"/>
            <w:bottom w:val="none" w:sz="0" w:space="0" w:color="auto"/>
            <w:right w:val="none" w:sz="0" w:space="0" w:color="auto"/>
          </w:divBdr>
        </w:div>
      </w:divsChild>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279143804">
      <w:bodyDiv w:val="1"/>
      <w:marLeft w:val="0"/>
      <w:marRight w:val="0"/>
      <w:marTop w:val="0"/>
      <w:marBottom w:val="0"/>
      <w:divBdr>
        <w:top w:val="none" w:sz="0" w:space="0" w:color="auto"/>
        <w:left w:val="none" w:sz="0" w:space="0" w:color="auto"/>
        <w:bottom w:val="none" w:sz="0" w:space="0" w:color="auto"/>
        <w:right w:val="none" w:sz="0" w:space="0" w:color="auto"/>
      </w:divBdr>
    </w:div>
    <w:div w:id="285308402">
      <w:bodyDiv w:val="1"/>
      <w:marLeft w:val="0"/>
      <w:marRight w:val="0"/>
      <w:marTop w:val="0"/>
      <w:marBottom w:val="0"/>
      <w:divBdr>
        <w:top w:val="none" w:sz="0" w:space="0" w:color="auto"/>
        <w:left w:val="none" w:sz="0" w:space="0" w:color="auto"/>
        <w:bottom w:val="none" w:sz="0" w:space="0" w:color="auto"/>
        <w:right w:val="none" w:sz="0" w:space="0" w:color="auto"/>
      </w:divBdr>
      <w:divsChild>
        <w:div w:id="812331649">
          <w:marLeft w:val="0"/>
          <w:marRight w:val="0"/>
          <w:marTop w:val="0"/>
          <w:marBottom w:val="0"/>
          <w:divBdr>
            <w:top w:val="none" w:sz="0" w:space="0" w:color="auto"/>
            <w:left w:val="none" w:sz="0" w:space="0" w:color="auto"/>
            <w:bottom w:val="none" w:sz="0" w:space="0" w:color="auto"/>
            <w:right w:val="none" w:sz="0" w:space="0" w:color="auto"/>
          </w:divBdr>
        </w:div>
      </w:divsChild>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410396754">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483668221">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607351984">
      <w:bodyDiv w:val="1"/>
      <w:marLeft w:val="0"/>
      <w:marRight w:val="0"/>
      <w:marTop w:val="0"/>
      <w:marBottom w:val="0"/>
      <w:divBdr>
        <w:top w:val="none" w:sz="0" w:space="0" w:color="auto"/>
        <w:left w:val="none" w:sz="0" w:space="0" w:color="auto"/>
        <w:bottom w:val="none" w:sz="0" w:space="0" w:color="auto"/>
        <w:right w:val="none" w:sz="0" w:space="0" w:color="auto"/>
      </w:divBdr>
    </w:div>
    <w:div w:id="654337878">
      <w:bodyDiv w:val="1"/>
      <w:marLeft w:val="0"/>
      <w:marRight w:val="0"/>
      <w:marTop w:val="0"/>
      <w:marBottom w:val="0"/>
      <w:divBdr>
        <w:top w:val="none" w:sz="0" w:space="0" w:color="auto"/>
        <w:left w:val="none" w:sz="0" w:space="0" w:color="auto"/>
        <w:bottom w:val="none" w:sz="0" w:space="0" w:color="auto"/>
        <w:right w:val="none" w:sz="0" w:space="0" w:color="auto"/>
      </w:divBdr>
      <w:divsChild>
        <w:div w:id="201329269">
          <w:marLeft w:val="0"/>
          <w:marRight w:val="0"/>
          <w:marTop w:val="0"/>
          <w:marBottom w:val="0"/>
          <w:divBdr>
            <w:top w:val="none" w:sz="0" w:space="0" w:color="auto"/>
            <w:left w:val="none" w:sz="0" w:space="0" w:color="auto"/>
            <w:bottom w:val="none" w:sz="0" w:space="0" w:color="auto"/>
            <w:right w:val="none" w:sz="0" w:space="0" w:color="auto"/>
          </w:divBdr>
        </w:div>
      </w:divsChild>
    </w:div>
    <w:div w:id="744381019">
      <w:bodyDiv w:val="1"/>
      <w:marLeft w:val="0"/>
      <w:marRight w:val="0"/>
      <w:marTop w:val="0"/>
      <w:marBottom w:val="0"/>
      <w:divBdr>
        <w:top w:val="none" w:sz="0" w:space="0" w:color="auto"/>
        <w:left w:val="none" w:sz="0" w:space="0" w:color="auto"/>
        <w:bottom w:val="none" w:sz="0" w:space="0" w:color="auto"/>
        <w:right w:val="none" w:sz="0" w:space="0" w:color="auto"/>
      </w:divBdr>
      <w:divsChild>
        <w:div w:id="5135634">
          <w:marLeft w:val="0"/>
          <w:marRight w:val="0"/>
          <w:marTop w:val="0"/>
          <w:marBottom w:val="0"/>
          <w:divBdr>
            <w:top w:val="none" w:sz="0" w:space="0" w:color="auto"/>
            <w:left w:val="none" w:sz="0" w:space="0" w:color="auto"/>
            <w:bottom w:val="none" w:sz="0" w:space="0" w:color="auto"/>
            <w:right w:val="none" w:sz="0" w:space="0" w:color="auto"/>
          </w:divBdr>
        </w:div>
      </w:divsChild>
    </w:div>
    <w:div w:id="865096471">
      <w:bodyDiv w:val="1"/>
      <w:marLeft w:val="0"/>
      <w:marRight w:val="0"/>
      <w:marTop w:val="0"/>
      <w:marBottom w:val="0"/>
      <w:divBdr>
        <w:top w:val="none" w:sz="0" w:space="0" w:color="auto"/>
        <w:left w:val="none" w:sz="0" w:space="0" w:color="auto"/>
        <w:bottom w:val="none" w:sz="0" w:space="0" w:color="auto"/>
        <w:right w:val="none" w:sz="0" w:space="0" w:color="auto"/>
      </w:divBdr>
    </w:div>
    <w:div w:id="914823692">
      <w:bodyDiv w:val="1"/>
      <w:marLeft w:val="0"/>
      <w:marRight w:val="0"/>
      <w:marTop w:val="0"/>
      <w:marBottom w:val="0"/>
      <w:divBdr>
        <w:top w:val="none" w:sz="0" w:space="0" w:color="auto"/>
        <w:left w:val="none" w:sz="0" w:space="0" w:color="auto"/>
        <w:bottom w:val="none" w:sz="0" w:space="0" w:color="auto"/>
        <w:right w:val="none" w:sz="0" w:space="0" w:color="auto"/>
      </w:divBdr>
      <w:divsChild>
        <w:div w:id="568273647">
          <w:marLeft w:val="0"/>
          <w:marRight w:val="0"/>
          <w:marTop w:val="0"/>
          <w:marBottom w:val="0"/>
          <w:divBdr>
            <w:top w:val="none" w:sz="0" w:space="0" w:color="auto"/>
            <w:left w:val="none" w:sz="0" w:space="0" w:color="auto"/>
            <w:bottom w:val="none" w:sz="0" w:space="0" w:color="auto"/>
            <w:right w:val="none" w:sz="0" w:space="0" w:color="auto"/>
          </w:divBdr>
        </w:div>
      </w:divsChild>
    </w:div>
    <w:div w:id="920799208">
      <w:bodyDiv w:val="1"/>
      <w:marLeft w:val="0"/>
      <w:marRight w:val="0"/>
      <w:marTop w:val="0"/>
      <w:marBottom w:val="0"/>
      <w:divBdr>
        <w:top w:val="none" w:sz="0" w:space="0" w:color="auto"/>
        <w:left w:val="none" w:sz="0" w:space="0" w:color="auto"/>
        <w:bottom w:val="none" w:sz="0" w:space="0" w:color="auto"/>
        <w:right w:val="none" w:sz="0" w:space="0" w:color="auto"/>
      </w:divBdr>
      <w:divsChild>
        <w:div w:id="1466045142">
          <w:marLeft w:val="0"/>
          <w:marRight w:val="0"/>
          <w:marTop w:val="0"/>
          <w:marBottom w:val="0"/>
          <w:divBdr>
            <w:top w:val="none" w:sz="0" w:space="0" w:color="auto"/>
            <w:left w:val="none" w:sz="0" w:space="0" w:color="auto"/>
            <w:bottom w:val="none" w:sz="0" w:space="0" w:color="auto"/>
            <w:right w:val="none" w:sz="0" w:space="0" w:color="auto"/>
          </w:divBdr>
        </w:div>
      </w:divsChild>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099524250">
      <w:bodyDiv w:val="1"/>
      <w:marLeft w:val="0"/>
      <w:marRight w:val="0"/>
      <w:marTop w:val="0"/>
      <w:marBottom w:val="0"/>
      <w:divBdr>
        <w:top w:val="none" w:sz="0" w:space="0" w:color="auto"/>
        <w:left w:val="none" w:sz="0" w:space="0" w:color="auto"/>
        <w:bottom w:val="none" w:sz="0" w:space="0" w:color="auto"/>
        <w:right w:val="none" w:sz="0" w:space="0" w:color="auto"/>
      </w:divBdr>
    </w:div>
    <w:div w:id="1113331173">
      <w:bodyDiv w:val="1"/>
      <w:marLeft w:val="0"/>
      <w:marRight w:val="0"/>
      <w:marTop w:val="0"/>
      <w:marBottom w:val="0"/>
      <w:divBdr>
        <w:top w:val="none" w:sz="0" w:space="0" w:color="auto"/>
        <w:left w:val="none" w:sz="0" w:space="0" w:color="auto"/>
        <w:bottom w:val="none" w:sz="0" w:space="0" w:color="auto"/>
        <w:right w:val="none" w:sz="0" w:space="0" w:color="auto"/>
      </w:divBdr>
      <w:divsChild>
        <w:div w:id="306670361">
          <w:marLeft w:val="0"/>
          <w:marRight w:val="0"/>
          <w:marTop w:val="0"/>
          <w:marBottom w:val="0"/>
          <w:divBdr>
            <w:top w:val="none" w:sz="0" w:space="0" w:color="auto"/>
            <w:left w:val="none" w:sz="0" w:space="0" w:color="auto"/>
            <w:bottom w:val="none" w:sz="0" w:space="0" w:color="auto"/>
            <w:right w:val="none" w:sz="0" w:space="0" w:color="auto"/>
          </w:divBdr>
        </w:div>
      </w:divsChild>
    </w:div>
    <w:div w:id="1115490282">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7148926">
      <w:bodyDiv w:val="1"/>
      <w:marLeft w:val="0"/>
      <w:marRight w:val="0"/>
      <w:marTop w:val="0"/>
      <w:marBottom w:val="0"/>
      <w:divBdr>
        <w:top w:val="none" w:sz="0" w:space="0" w:color="auto"/>
        <w:left w:val="none" w:sz="0" w:space="0" w:color="auto"/>
        <w:bottom w:val="none" w:sz="0" w:space="0" w:color="auto"/>
        <w:right w:val="none" w:sz="0" w:space="0" w:color="auto"/>
      </w:divBdr>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489008701">
      <w:bodyDiv w:val="1"/>
      <w:marLeft w:val="0"/>
      <w:marRight w:val="0"/>
      <w:marTop w:val="0"/>
      <w:marBottom w:val="0"/>
      <w:divBdr>
        <w:top w:val="none" w:sz="0" w:space="0" w:color="auto"/>
        <w:left w:val="none" w:sz="0" w:space="0" w:color="auto"/>
        <w:bottom w:val="none" w:sz="0" w:space="0" w:color="auto"/>
        <w:right w:val="none" w:sz="0" w:space="0" w:color="auto"/>
      </w:divBdr>
    </w:div>
    <w:div w:id="1544097430">
      <w:bodyDiv w:val="1"/>
      <w:marLeft w:val="0"/>
      <w:marRight w:val="0"/>
      <w:marTop w:val="0"/>
      <w:marBottom w:val="0"/>
      <w:divBdr>
        <w:top w:val="none" w:sz="0" w:space="0" w:color="auto"/>
        <w:left w:val="none" w:sz="0" w:space="0" w:color="auto"/>
        <w:bottom w:val="none" w:sz="0" w:space="0" w:color="auto"/>
        <w:right w:val="none" w:sz="0" w:space="0" w:color="auto"/>
      </w:divBdr>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658728021">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31019152">
      <w:bodyDiv w:val="1"/>
      <w:marLeft w:val="0"/>
      <w:marRight w:val="0"/>
      <w:marTop w:val="0"/>
      <w:marBottom w:val="0"/>
      <w:divBdr>
        <w:top w:val="none" w:sz="0" w:space="0" w:color="auto"/>
        <w:left w:val="none" w:sz="0" w:space="0" w:color="auto"/>
        <w:bottom w:val="none" w:sz="0" w:space="0" w:color="auto"/>
        <w:right w:val="none" w:sz="0" w:space="0" w:color="auto"/>
      </w:divBdr>
      <w:divsChild>
        <w:div w:id="801996228">
          <w:marLeft w:val="0"/>
          <w:marRight w:val="0"/>
          <w:marTop w:val="0"/>
          <w:marBottom w:val="0"/>
          <w:divBdr>
            <w:top w:val="none" w:sz="0" w:space="0" w:color="auto"/>
            <w:left w:val="none" w:sz="0" w:space="0" w:color="auto"/>
            <w:bottom w:val="none" w:sz="0" w:space="0" w:color="auto"/>
            <w:right w:val="none" w:sz="0" w:space="0" w:color="auto"/>
          </w:divBdr>
        </w:div>
      </w:divsChild>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3384162">
      <w:bodyDiv w:val="1"/>
      <w:marLeft w:val="0"/>
      <w:marRight w:val="0"/>
      <w:marTop w:val="0"/>
      <w:marBottom w:val="0"/>
      <w:divBdr>
        <w:top w:val="none" w:sz="0" w:space="0" w:color="auto"/>
        <w:left w:val="none" w:sz="0" w:space="0" w:color="auto"/>
        <w:bottom w:val="none" w:sz="0" w:space="0" w:color="auto"/>
        <w:right w:val="none" w:sz="0" w:space="0" w:color="auto"/>
      </w:divBdr>
    </w:div>
    <w:div w:id="2024355028">
      <w:bodyDiv w:val="1"/>
      <w:marLeft w:val="0"/>
      <w:marRight w:val="0"/>
      <w:marTop w:val="0"/>
      <w:marBottom w:val="0"/>
      <w:divBdr>
        <w:top w:val="none" w:sz="0" w:space="0" w:color="auto"/>
        <w:left w:val="none" w:sz="0" w:space="0" w:color="auto"/>
        <w:bottom w:val="none" w:sz="0" w:space="0" w:color="auto"/>
        <w:right w:val="none" w:sz="0" w:space="0" w:color="auto"/>
      </w:divBdr>
      <w:divsChild>
        <w:div w:id="1061631927">
          <w:marLeft w:val="0"/>
          <w:marRight w:val="0"/>
          <w:marTop w:val="0"/>
          <w:marBottom w:val="0"/>
          <w:divBdr>
            <w:top w:val="none" w:sz="0" w:space="0" w:color="auto"/>
            <w:left w:val="none" w:sz="0" w:space="0" w:color="auto"/>
            <w:bottom w:val="none" w:sz="0" w:space="0" w:color="auto"/>
            <w:right w:val="none" w:sz="0" w:space="0" w:color="auto"/>
          </w:divBdr>
        </w:div>
      </w:divsChild>
    </w:div>
    <w:div w:id="208105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aka.ms/fasttrackterms" TargetMode="Externa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a.ms/ftcmigration"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customXml" Target="../customXml/item2.xm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E46EC6-57B4-4B7F-BC5C-4C518199A8E5}" type="doc">
      <dgm:prSet loTypeId="urn:microsoft.com/office/officeart/2005/8/layout/hChevron3" loCatId="process" qsTypeId="urn:microsoft.com/office/officeart/2005/8/quickstyle/simple1" qsCatId="simple" csTypeId="urn:microsoft.com/office/officeart/2005/8/colors/accent1_2" csCatId="accent1" phldr="1"/>
      <dgm:spPr/>
    </dgm:pt>
    <dgm:pt modelId="{1CF11602-05C2-4784-A89A-3EB38E4BDAB1}">
      <dgm:prSet phldrT="[Text]" custT="1"/>
      <dgm:spPr>
        <a:solidFill>
          <a:srgbClr val="008272"/>
        </a:solidFill>
      </dgm:spPr>
      <dgm:t>
        <a:bodyPr lIns="182880"/>
        <a:lstStyle/>
        <a:p>
          <a:pPr algn="l"/>
          <a:r>
            <a:rPr lang="en-US" sz="1000" dirty="0">
              <a:latin typeface="Segoe UI" panose="020B0502040204020203" pitchFamily="34" charset="0"/>
              <a:cs typeface="Segoe UI" panose="020B0502040204020203" pitchFamily="34" charset="0"/>
            </a:rPr>
            <a:t>Assess</a:t>
          </a:r>
        </a:p>
        <a:p>
          <a:pPr algn="l"/>
          <a:r>
            <a:rPr lang="en-US" sz="900" dirty="0">
              <a:latin typeface="Segoe UI" panose="020B0502040204020203" pitchFamily="34" charset="0"/>
              <a:cs typeface="Segoe UI" panose="020B0502040204020203" pitchFamily="34" charset="0"/>
            </a:rPr>
            <a:t>3 weeks</a:t>
          </a:r>
        </a:p>
      </dgm:t>
    </dgm:pt>
    <dgm:pt modelId="{0C7898AE-956E-4299-B557-B8567BB9D6D7}" type="parTrans" cxnId="{7017B9DC-8069-4A67-8A9D-35BB5483DB47}">
      <dgm:prSet/>
      <dgm:spPr/>
      <dgm:t>
        <a:bodyPr/>
        <a:lstStyle/>
        <a:p>
          <a:pPr algn="l"/>
          <a:endParaRPr lang="en-US" sz="1000"/>
        </a:p>
      </dgm:t>
    </dgm:pt>
    <dgm:pt modelId="{C8D1416F-FDD7-4F2A-A128-D05D37B9C397}" type="sibTrans" cxnId="{7017B9DC-8069-4A67-8A9D-35BB5483DB47}">
      <dgm:prSet/>
      <dgm:spPr/>
      <dgm:t>
        <a:bodyPr/>
        <a:lstStyle/>
        <a:p>
          <a:pPr algn="l"/>
          <a:endParaRPr lang="en-US" sz="1000"/>
        </a:p>
      </dgm:t>
    </dgm:pt>
    <dgm:pt modelId="{53D7F959-0E41-47BC-B677-075E77C9C479}">
      <dgm:prSet phldrT="[Text]" custT="1"/>
      <dgm:spPr>
        <a:solidFill>
          <a:srgbClr val="008272"/>
        </a:solidFill>
      </dgm:spPr>
      <dgm:t>
        <a:bodyPr lIns="91440"/>
        <a:lstStyle/>
        <a:p>
          <a:pPr algn="l"/>
          <a:r>
            <a:rPr lang="en-US" sz="1000" dirty="0">
              <a:latin typeface="Segoe UI" panose="020B0502040204020203" pitchFamily="34" charset="0"/>
              <a:cs typeface="Segoe UI" panose="020B0502040204020203" pitchFamily="34" charset="0"/>
            </a:rPr>
            <a:t>Remediate </a:t>
          </a:r>
        </a:p>
        <a:p>
          <a:pPr algn="l"/>
          <a:r>
            <a:rPr lang="en-US" sz="900" dirty="0">
              <a:latin typeface="Segoe UI" panose="020B0502040204020203" pitchFamily="34" charset="0"/>
              <a:cs typeface="Segoe UI" panose="020B0502040204020203" pitchFamily="34" charset="0"/>
            </a:rPr>
            <a:t>4 weeks</a:t>
          </a:r>
        </a:p>
      </dgm:t>
    </dgm:pt>
    <dgm:pt modelId="{66C95D98-3098-47EF-A71F-534710AD704D}" type="parTrans" cxnId="{D319FE0A-8DE4-492D-92BE-3BC03224EAF6}">
      <dgm:prSet/>
      <dgm:spPr/>
      <dgm:t>
        <a:bodyPr/>
        <a:lstStyle/>
        <a:p>
          <a:pPr algn="l"/>
          <a:endParaRPr lang="en-US" sz="1000"/>
        </a:p>
      </dgm:t>
    </dgm:pt>
    <dgm:pt modelId="{C54C2300-C6C5-443B-BF72-E5EFA2993239}" type="sibTrans" cxnId="{D319FE0A-8DE4-492D-92BE-3BC03224EAF6}">
      <dgm:prSet/>
      <dgm:spPr/>
      <dgm:t>
        <a:bodyPr/>
        <a:lstStyle/>
        <a:p>
          <a:pPr algn="l"/>
          <a:endParaRPr lang="en-US" sz="1000"/>
        </a:p>
      </dgm:t>
    </dgm:pt>
    <dgm:pt modelId="{44518100-2369-4B4F-96CB-CFABD8A1E03D}">
      <dgm:prSet phldrT="[Text]" custT="1"/>
      <dgm:spPr>
        <a:solidFill>
          <a:srgbClr val="008272"/>
        </a:solidFill>
      </dgm:spPr>
      <dgm:t>
        <a:bodyPr lIns="91440"/>
        <a:lstStyle/>
        <a:p>
          <a:pPr algn="l"/>
          <a:r>
            <a:rPr lang="en-US" sz="1000" dirty="0">
              <a:latin typeface="Segoe UI" panose="020B0502040204020203" pitchFamily="34" charset="0"/>
              <a:cs typeface="Segoe UI" panose="020B0502040204020203" pitchFamily="34" charset="0"/>
            </a:rPr>
            <a:t>Enable</a:t>
          </a:r>
        </a:p>
        <a:p>
          <a:pPr algn="l"/>
          <a:r>
            <a:rPr lang="en-US" sz="900" dirty="0">
              <a:latin typeface="Segoe UI" panose="020B0502040204020203" pitchFamily="34" charset="0"/>
              <a:cs typeface="Segoe UI" panose="020B0502040204020203" pitchFamily="34" charset="0"/>
            </a:rPr>
            <a:t>8 weeks</a:t>
          </a:r>
        </a:p>
      </dgm:t>
    </dgm:pt>
    <dgm:pt modelId="{8EF10DF0-2087-49EE-8C4A-494871BE15C0}" type="parTrans" cxnId="{78DAB8CF-B256-44C8-AC60-F39E0CC9BF41}">
      <dgm:prSet/>
      <dgm:spPr/>
      <dgm:t>
        <a:bodyPr/>
        <a:lstStyle/>
        <a:p>
          <a:pPr algn="l"/>
          <a:endParaRPr lang="en-US" sz="1000"/>
        </a:p>
      </dgm:t>
    </dgm:pt>
    <dgm:pt modelId="{1DCE4FD4-96B0-41F5-967E-8F1B023BD0C7}" type="sibTrans" cxnId="{78DAB8CF-B256-44C8-AC60-F39E0CC9BF41}">
      <dgm:prSet/>
      <dgm:spPr/>
      <dgm:t>
        <a:bodyPr/>
        <a:lstStyle/>
        <a:p>
          <a:pPr algn="l"/>
          <a:endParaRPr lang="en-US" sz="1000"/>
        </a:p>
      </dgm:t>
    </dgm:pt>
    <dgm:pt modelId="{0D9566BF-DD1B-4DF4-A1E9-CDC832C00FFA}">
      <dgm:prSet custT="1"/>
      <dgm:spPr>
        <a:solidFill>
          <a:srgbClr val="008272"/>
        </a:solidFill>
        <a:ln w="12700" cap="flat" cmpd="sng" algn="ctr">
          <a:solidFill>
            <a:prstClr val="white">
              <a:hueOff val="0"/>
              <a:satOff val="0"/>
              <a:lumOff val="0"/>
              <a:alphaOff val="0"/>
            </a:prstClr>
          </a:solidFill>
          <a:prstDash val="solid"/>
          <a:miter lim="800000"/>
        </a:ln>
        <a:effectLst/>
      </dgm:spPr>
      <dgm:t>
        <a:bodyPr spcFirstLastPara="0" vert="horz" wrap="square" lIns="96012" tIns="64008" rIns="32004" bIns="64008" numCol="1" spcCol="1270" anchor="ctr" anchorCtr="0"/>
        <a:lstStyle/>
        <a:p>
          <a:pPr marL="0" lvl="0" indent="0" algn="l" defTabSz="1066800">
            <a:lnSpc>
              <a:spcPct val="90000"/>
            </a:lnSpc>
            <a:spcBef>
              <a:spcPct val="0"/>
            </a:spcBef>
            <a:spcAft>
              <a:spcPct val="35000"/>
            </a:spcAft>
            <a:buNone/>
          </a:pPr>
          <a:r>
            <a:rPr lang="en-US" sz="1000" kern="1200" dirty="0">
              <a:solidFill>
                <a:prstClr val="white"/>
              </a:solidFill>
              <a:latin typeface="Segoe UI" panose="020B0502040204020203" pitchFamily="34" charset="0"/>
              <a:ea typeface="+mn-ea"/>
              <a:cs typeface="Segoe UI" panose="020B0502040204020203" pitchFamily="34" charset="0"/>
            </a:rPr>
            <a:t>Migrate</a:t>
          </a:r>
        </a:p>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30 weeks</a:t>
          </a:r>
        </a:p>
      </dgm:t>
    </dgm:pt>
    <dgm:pt modelId="{4964F2B5-5A8B-4D65-B424-154FCAF42BF9}" type="parTrans" cxnId="{FE6AB2C1-FEA6-432A-A05F-E44A654FF2C8}">
      <dgm:prSet/>
      <dgm:spPr/>
      <dgm:t>
        <a:bodyPr/>
        <a:lstStyle/>
        <a:p>
          <a:endParaRPr lang="en-US" sz="1000"/>
        </a:p>
      </dgm:t>
    </dgm:pt>
    <dgm:pt modelId="{405110DB-298A-4637-81D3-136D6DE6CE7C}" type="sibTrans" cxnId="{FE6AB2C1-FEA6-432A-A05F-E44A654FF2C8}">
      <dgm:prSet/>
      <dgm:spPr/>
      <dgm:t>
        <a:bodyPr/>
        <a:lstStyle/>
        <a:p>
          <a:endParaRPr lang="en-US" sz="1000"/>
        </a:p>
      </dgm:t>
    </dgm:pt>
    <dgm:pt modelId="{3F7B5799-7635-47FC-9C94-5E0EBC20D49C}" type="pres">
      <dgm:prSet presAssocID="{61E46EC6-57B4-4B7F-BC5C-4C518199A8E5}" presName="Name0" presStyleCnt="0">
        <dgm:presLayoutVars>
          <dgm:dir/>
          <dgm:resizeHandles val="exact"/>
        </dgm:presLayoutVars>
      </dgm:prSet>
      <dgm:spPr/>
    </dgm:pt>
    <dgm:pt modelId="{F9ACCFCF-6137-4304-A781-5056DC56EEDC}" type="pres">
      <dgm:prSet presAssocID="{1CF11602-05C2-4784-A89A-3EB38E4BDAB1}" presName="parTxOnly" presStyleLbl="node1" presStyleIdx="0" presStyleCnt="4">
        <dgm:presLayoutVars>
          <dgm:bulletEnabled val="1"/>
        </dgm:presLayoutVars>
      </dgm:prSet>
      <dgm:spPr/>
    </dgm:pt>
    <dgm:pt modelId="{3DD1044D-2311-46BD-9510-EF7F0027816F}" type="pres">
      <dgm:prSet presAssocID="{C8D1416F-FDD7-4F2A-A128-D05D37B9C397}" presName="parSpace" presStyleCnt="0"/>
      <dgm:spPr/>
    </dgm:pt>
    <dgm:pt modelId="{022198C4-94E6-41BC-965A-01324E1D21D6}" type="pres">
      <dgm:prSet presAssocID="{53D7F959-0E41-47BC-B677-075E77C9C479}" presName="parTxOnly" presStyleLbl="node1" presStyleIdx="1" presStyleCnt="4">
        <dgm:presLayoutVars>
          <dgm:bulletEnabled val="1"/>
        </dgm:presLayoutVars>
      </dgm:prSet>
      <dgm:spPr/>
    </dgm:pt>
    <dgm:pt modelId="{56209B5B-BFAF-4BC9-BD99-66CD947C3008}" type="pres">
      <dgm:prSet presAssocID="{C54C2300-C6C5-443B-BF72-E5EFA2993239}" presName="parSpace" presStyleCnt="0"/>
      <dgm:spPr/>
    </dgm:pt>
    <dgm:pt modelId="{1B6D4189-1DFC-45EE-8E69-EC935AD595A1}" type="pres">
      <dgm:prSet presAssocID="{44518100-2369-4B4F-96CB-CFABD8A1E03D}" presName="parTxOnly" presStyleLbl="node1" presStyleIdx="2" presStyleCnt="4">
        <dgm:presLayoutVars>
          <dgm:bulletEnabled val="1"/>
        </dgm:presLayoutVars>
      </dgm:prSet>
      <dgm:spPr/>
    </dgm:pt>
    <dgm:pt modelId="{96B12E41-A0C5-4B8A-BB03-316F8E1204DD}" type="pres">
      <dgm:prSet presAssocID="{1DCE4FD4-96B0-41F5-967E-8F1B023BD0C7}" presName="parSpace" presStyleCnt="0"/>
      <dgm:spPr/>
    </dgm:pt>
    <dgm:pt modelId="{1A9EE76E-4DB8-4512-A221-179E0BA07BEF}" type="pres">
      <dgm:prSet presAssocID="{0D9566BF-DD1B-4DF4-A1E9-CDC832C00FFA}" presName="parTxOnly" presStyleLbl="node1" presStyleIdx="3" presStyleCnt="4">
        <dgm:presLayoutVars>
          <dgm:bulletEnabled val="1"/>
        </dgm:presLayoutVars>
      </dgm:prSet>
      <dgm:spPr>
        <a:xfrm>
          <a:off x="5805537" y="2189607"/>
          <a:ext cx="2418457" cy="967382"/>
        </a:xfrm>
        <a:prstGeom prst="chevron">
          <a:avLst/>
        </a:prstGeom>
      </dgm:spPr>
    </dgm:pt>
  </dgm:ptLst>
  <dgm:cxnLst>
    <dgm:cxn modelId="{D319FE0A-8DE4-492D-92BE-3BC03224EAF6}" srcId="{61E46EC6-57B4-4B7F-BC5C-4C518199A8E5}" destId="{53D7F959-0E41-47BC-B677-075E77C9C479}" srcOrd="1" destOrd="0" parTransId="{66C95D98-3098-47EF-A71F-534710AD704D}" sibTransId="{C54C2300-C6C5-443B-BF72-E5EFA2993239}"/>
    <dgm:cxn modelId="{3850C929-CAA5-4F95-8448-E6DD88A09FEF}" type="presOf" srcId="{44518100-2369-4B4F-96CB-CFABD8A1E03D}" destId="{1B6D4189-1DFC-45EE-8E69-EC935AD595A1}" srcOrd="0" destOrd="0" presId="urn:microsoft.com/office/officeart/2005/8/layout/hChevron3"/>
    <dgm:cxn modelId="{273FD464-CAA4-461E-B0B0-B41A044C17C9}" type="presOf" srcId="{53D7F959-0E41-47BC-B677-075E77C9C479}" destId="{022198C4-94E6-41BC-965A-01324E1D21D6}" srcOrd="0" destOrd="0" presId="urn:microsoft.com/office/officeart/2005/8/layout/hChevron3"/>
    <dgm:cxn modelId="{E21EF473-ECBC-4BB8-ACB7-011351130B10}" type="presOf" srcId="{0D9566BF-DD1B-4DF4-A1E9-CDC832C00FFA}" destId="{1A9EE76E-4DB8-4512-A221-179E0BA07BEF}" srcOrd="0" destOrd="0" presId="urn:microsoft.com/office/officeart/2005/8/layout/hChevron3"/>
    <dgm:cxn modelId="{816FDC9A-FBD5-4BE9-969A-8F14F178757E}" type="presOf" srcId="{61E46EC6-57B4-4B7F-BC5C-4C518199A8E5}" destId="{3F7B5799-7635-47FC-9C94-5E0EBC20D49C}" srcOrd="0" destOrd="0" presId="urn:microsoft.com/office/officeart/2005/8/layout/hChevron3"/>
    <dgm:cxn modelId="{C0D223AB-9428-49DE-AFB4-1F8E74E5B695}" type="presOf" srcId="{1CF11602-05C2-4784-A89A-3EB38E4BDAB1}" destId="{F9ACCFCF-6137-4304-A781-5056DC56EEDC}" srcOrd="0" destOrd="0" presId="urn:microsoft.com/office/officeart/2005/8/layout/hChevron3"/>
    <dgm:cxn modelId="{FE6AB2C1-FEA6-432A-A05F-E44A654FF2C8}" srcId="{61E46EC6-57B4-4B7F-BC5C-4C518199A8E5}" destId="{0D9566BF-DD1B-4DF4-A1E9-CDC832C00FFA}" srcOrd="3" destOrd="0" parTransId="{4964F2B5-5A8B-4D65-B424-154FCAF42BF9}" sibTransId="{405110DB-298A-4637-81D3-136D6DE6CE7C}"/>
    <dgm:cxn modelId="{78DAB8CF-B256-44C8-AC60-F39E0CC9BF41}" srcId="{61E46EC6-57B4-4B7F-BC5C-4C518199A8E5}" destId="{44518100-2369-4B4F-96CB-CFABD8A1E03D}" srcOrd="2" destOrd="0" parTransId="{8EF10DF0-2087-49EE-8C4A-494871BE15C0}" sibTransId="{1DCE4FD4-96B0-41F5-967E-8F1B023BD0C7}"/>
    <dgm:cxn modelId="{7017B9DC-8069-4A67-8A9D-35BB5483DB47}" srcId="{61E46EC6-57B4-4B7F-BC5C-4C518199A8E5}" destId="{1CF11602-05C2-4784-A89A-3EB38E4BDAB1}" srcOrd="0" destOrd="0" parTransId="{0C7898AE-956E-4299-B557-B8567BB9D6D7}" sibTransId="{C8D1416F-FDD7-4F2A-A128-D05D37B9C397}"/>
    <dgm:cxn modelId="{0230FB4A-AB04-40EA-B34E-2B1962E03566}" type="presParOf" srcId="{3F7B5799-7635-47FC-9C94-5E0EBC20D49C}" destId="{F9ACCFCF-6137-4304-A781-5056DC56EEDC}" srcOrd="0" destOrd="0" presId="urn:microsoft.com/office/officeart/2005/8/layout/hChevron3"/>
    <dgm:cxn modelId="{AFFBA2F5-6C32-4008-951A-3C1DC70A721A}" type="presParOf" srcId="{3F7B5799-7635-47FC-9C94-5E0EBC20D49C}" destId="{3DD1044D-2311-46BD-9510-EF7F0027816F}" srcOrd="1" destOrd="0" presId="urn:microsoft.com/office/officeart/2005/8/layout/hChevron3"/>
    <dgm:cxn modelId="{E76F3BBC-AD00-4656-B704-C734C814968D}" type="presParOf" srcId="{3F7B5799-7635-47FC-9C94-5E0EBC20D49C}" destId="{022198C4-94E6-41BC-965A-01324E1D21D6}" srcOrd="2" destOrd="0" presId="urn:microsoft.com/office/officeart/2005/8/layout/hChevron3"/>
    <dgm:cxn modelId="{72D70F88-20E9-481D-989C-D005528D1A3E}" type="presParOf" srcId="{3F7B5799-7635-47FC-9C94-5E0EBC20D49C}" destId="{56209B5B-BFAF-4BC9-BD99-66CD947C3008}" srcOrd="3" destOrd="0" presId="urn:microsoft.com/office/officeart/2005/8/layout/hChevron3"/>
    <dgm:cxn modelId="{70FCB49E-FA00-4246-A063-61CB809E3EBE}" type="presParOf" srcId="{3F7B5799-7635-47FC-9C94-5E0EBC20D49C}" destId="{1B6D4189-1DFC-45EE-8E69-EC935AD595A1}" srcOrd="4" destOrd="0" presId="urn:microsoft.com/office/officeart/2005/8/layout/hChevron3"/>
    <dgm:cxn modelId="{D09A6467-8DD9-4400-8B10-0184AE6E9945}" type="presParOf" srcId="{3F7B5799-7635-47FC-9C94-5E0EBC20D49C}" destId="{96B12E41-A0C5-4B8A-BB03-316F8E1204DD}" srcOrd="5" destOrd="0" presId="urn:microsoft.com/office/officeart/2005/8/layout/hChevron3"/>
    <dgm:cxn modelId="{DFD09E34-40A1-4AA1-B933-814FD286E898}" type="presParOf" srcId="{3F7B5799-7635-47FC-9C94-5E0EBC20D49C}" destId="{1A9EE76E-4DB8-4512-A221-179E0BA07BEF}" srcOrd="6" destOrd="0" presId="urn:microsoft.com/office/officeart/2005/8/layout/hChevron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ACCFCF-6137-4304-A781-5056DC56EEDC}">
      <dsp:nvSpPr>
        <dsp:cNvPr id="0" name=""/>
        <dsp:cNvSpPr/>
      </dsp:nvSpPr>
      <dsp:spPr>
        <a:xfrm>
          <a:off x="1670" y="0"/>
          <a:ext cx="1676537" cy="590549"/>
        </a:xfrm>
        <a:prstGeom prst="homePlate">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2880"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Assess</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3 weeks</a:t>
          </a:r>
        </a:p>
      </dsp:txBody>
      <dsp:txXfrm>
        <a:off x="1670" y="0"/>
        <a:ext cx="1528900" cy="590549"/>
      </dsp:txXfrm>
    </dsp:sp>
    <dsp:sp modelId="{022198C4-94E6-41BC-965A-01324E1D21D6}">
      <dsp:nvSpPr>
        <dsp:cNvPr id="0" name=""/>
        <dsp:cNvSpPr/>
      </dsp:nvSpPr>
      <dsp:spPr>
        <a:xfrm>
          <a:off x="1342901" y="0"/>
          <a:ext cx="1676537" cy="590549"/>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Remediate </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4 weeks</a:t>
          </a:r>
        </a:p>
      </dsp:txBody>
      <dsp:txXfrm>
        <a:off x="1638176" y="0"/>
        <a:ext cx="1085988" cy="590549"/>
      </dsp:txXfrm>
    </dsp:sp>
    <dsp:sp modelId="{1B6D4189-1DFC-45EE-8E69-EC935AD595A1}">
      <dsp:nvSpPr>
        <dsp:cNvPr id="0" name=""/>
        <dsp:cNvSpPr/>
      </dsp:nvSpPr>
      <dsp:spPr>
        <a:xfrm>
          <a:off x="2684131" y="0"/>
          <a:ext cx="1676537" cy="590549"/>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Enable</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8 weeks</a:t>
          </a:r>
        </a:p>
      </dsp:txBody>
      <dsp:txXfrm>
        <a:off x="2979406" y="0"/>
        <a:ext cx="1085988" cy="590549"/>
      </dsp:txXfrm>
    </dsp:sp>
    <dsp:sp modelId="{1A9EE76E-4DB8-4512-A221-179E0BA07BEF}">
      <dsp:nvSpPr>
        <dsp:cNvPr id="0" name=""/>
        <dsp:cNvSpPr/>
      </dsp:nvSpPr>
      <dsp:spPr>
        <a:xfrm>
          <a:off x="4025361" y="0"/>
          <a:ext cx="1676537" cy="590549"/>
        </a:xfrm>
        <a:prstGeom prst="chevron">
          <a:avLst/>
        </a:prstGeom>
        <a:solidFill>
          <a:srgbClr val="008272"/>
        </a:solidFill>
        <a:ln w="12700" cap="flat" cmpd="sng" algn="ctr">
          <a:solidFill>
            <a:prstClr val="white">
              <a:hueOff val="0"/>
              <a:satOff val="0"/>
              <a:lumOff val="0"/>
              <a:alphaOff val="0"/>
            </a:prst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6012" tIns="64008" rIns="32004" bIns="64008" numCol="1" spcCol="1270" anchor="ctr" anchorCtr="0">
          <a:noAutofit/>
        </a:bodyPr>
        <a:lstStyle/>
        <a:p>
          <a:pPr marL="0" lvl="0" indent="0" algn="l" defTabSz="1066800">
            <a:lnSpc>
              <a:spcPct val="90000"/>
            </a:lnSpc>
            <a:spcBef>
              <a:spcPct val="0"/>
            </a:spcBef>
            <a:spcAft>
              <a:spcPct val="35000"/>
            </a:spcAft>
            <a:buNone/>
          </a:pPr>
          <a:r>
            <a:rPr lang="en-US" sz="1000" kern="1200" dirty="0">
              <a:solidFill>
                <a:prstClr val="white"/>
              </a:solidFill>
              <a:latin typeface="Segoe UI" panose="020B0502040204020203" pitchFamily="34" charset="0"/>
              <a:ea typeface="+mn-ea"/>
              <a:cs typeface="Segoe UI" panose="020B0502040204020203" pitchFamily="34" charset="0"/>
            </a:rPr>
            <a:t>Migrate</a:t>
          </a:r>
        </a:p>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30 weeks</a:t>
          </a:r>
        </a:p>
      </dsp:txBody>
      <dsp:txXfrm>
        <a:off x="4320636" y="0"/>
        <a:ext cx="1085988" cy="590549"/>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C98F00-BD07-4ACD-88DA-DBED5B82397F}">
  <ds:schemaRefs>
    <ds:schemaRef ds:uri="http://schemas.openxmlformats.org/officeDocument/2006/bibliography"/>
  </ds:schemaRefs>
</ds:datastoreItem>
</file>

<file path=customXml/itemProps2.xml><?xml version="1.0" encoding="utf-8"?>
<ds:datastoreItem xmlns:ds="http://schemas.openxmlformats.org/officeDocument/2006/customXml" ds:itemID="{1CBD3AC9-E996-45D7-8B1C-65A994545779}"/>
</file>

<file path=customXml/itemProps3.xml><?xml version="1.0" encoding="utf-8"?>
<ds:datastoreItem xmlns:ds="http://schemas.openxmlformats.org/officeDocument/2006/customXml" ds:itemID="{7218BE56-F036-48A5-8397-BEE6BD5A9057}"/>
</file>

<file path=customXml/itemProps4.xml><?xml version="1.0" encoding="utf-8"?>
<ds:datastoreItem xmlns:ds="http://schemas.openxmlformats.org/officeDocument/2006/customXml" ds:itemID="{E3220299-B473-40F9-A028-AA02E59DA820}"/>
</file>

<file path=docProps/app.xml><?xml version="1.0" encoding="utf-8"?>
<Properties xmlns="http://schemas.openxmlformats.org/officeDocument/2006/extended-properties" xmlns:vt="http://schemas.openxmlformats.org/officeDocument/2006/docPropsVTypes">
  <Template>Normal</Template>
  <TotalTime>0</TotalTime>
  <Pages>37</Pages>
  <Words>9776</Words>
  <Characters>55727</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2020-06-22T17:25:00Z</dcterms:created>
  <dcterms:modified xsi:type="dcterms:W3CDTF">2020-06-22T17:25:00Z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Sensitivity">
    <vt:lpwstr>General</vt:lpwstr>
  </property>
  <property fmtid="{D5CDD505-2E9C-101B-9397-08002B2CF9AE}" pid="4" name="AuthorIds_UIVersion_50">
    <vt:lpwstr>39142</vt:lpwstr>
  </property>
  <property fmtid="{D5CDD505-2E9C-101B-9397-08002B2CF9AE}" pid="5" name="MSIP_Label_f42aa342-8706-4288-bd11-ebb85995028c_Enabled">
    <vt:lpwstr>True</vt:lpwstr>
  </property>
  <property fmtid="{D5CDD505-2E9C-101B-9397-08002B2CF9AE}" pid="6" name="ContentTypeId">
    <vt:lpwstr>0x0101004CEC02E0258A27448A29FB0FC0148545</vt:lpwstr>
  </property>
  <property fmtid="{D5CDD505-2E9C-101B-9397-08002B2CF9AE}" pid="7" name="AuthorIds_UIVersion_40">
    <vt:lpwstr>1102</vt:lpwstr>
  </property>
  <property fmtid="{D5CDD505-2E9C-101B-9397-08002B2CF9AE}" pid="8" name="AuthorIds_UIVersion_27">
    <vt:lpwstr>1102</vt:lpwstr>
  </property>
  <property fmtid="{D5CDD505-2E9C-101B-9397-08002B2CF9AE}" pid="9" name="MSIP_Label_f42aa342-8706-4288-bd11-ebb85995028c_SetDate">
    <vt:lpwstr>2018-05-17T19:55:52.0109244Z</vt:lpwstr>
  </property>
  <property fmtid="{D5CDD505-2E9C-101B-9397-08002B2CF9AE}" pid="10" name="_dlc_DocIdItemGuid">
    <vt:lpwstr>7015194c-18c5-408c-9f2e-1e55245c0694</vt:lpwstr>
  </property>
  <property fmtid="{D5CDD505-2E9C-101B-9397-08002B2CF9AE}" pid="11" name="MSIP_Label_f42aa342-8706-4288-bd11-ebb85995028c_Name">
    <vt:lpwstr>General</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Extended_MSFT_Method">
    <vt:lpwstr>Automatic</vt:lpwstr>
  </property>
  <property fmtid="{D5CDD505-2E9C-101B-9397-08002B2CF9AE}" pid="14" name="MSIP_Label_f42aa342-8706-4288-bd11-ebb85995028c_Owner">
    <vt:lpwstr>Andrea.Keller@indigoslate.com</vt:lpwstr>
  </property>
</Properties>
</file>