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BB107" w14:textId="77777777" w:rsidR="00F07221" w:rsidRPr="002F70FD" w:rsidRDefault="00F07221">
      <w:pPr>
        <w:rPr>
          <w:color w:val="FF00FF"/>
          <w:lang w:val="en-ZA"/>
        </w:rPr>
      </w:pPr>
    </w:p>
    <w:p w14:paraId="3B1BB108" w14:textId="77777777" w:rsidR="00DB42D0" w:rsidRPr="002F70FD" w:rsidRDefault="00DB42D0">
      <w:pPr>
        <w:rPr>
          <w:color w:val="FF00FF"/>
          <w:lang w:val="en-ZA"/>
        </w:rPr>
      </w:pPr>
    </w:p>
    <w:p w14:paraId="3B1BB127" w14:textId="77777777" w:rsidR="00A059E4" w:rsidRPr="002F70FD" w:rsidRDefault="00A059E4" w:rsidP="003E260B">
      <w:pPr>
        <w:rPr>
          <w:lang w:val="en-ZA"/>
        </w:rPr>
      </w:pPr>
    </w:p>
    <w:p w14:paraId="3B1BB128" w14:textId="77777777" w:rsidR="00A059E4" w:rsidRPr="002F70FD" w:rsidRDefault="00A059E4" w:rsidP="003E260B">
      <w:pPr>
        <w:rPr>
          <w:lang w:val="en-ZA"/>
        </w:rPr>
      </w:pPr>
    </w:p>
    <w:p w14:paraId="3B1BB129" w14:textId="77777777" w:rsidR="00A059E4" w:rsidRPr="002F70FD" w:rsidRDefault="00A059E4" w:rsidP="003E260B">
      <w:pPr>
        <w:rPr>
          <w:lang w:val="en-ZA"/>
        </w:rPr>
      </w:pPr>
    </w:p>
    <w:p w14:paraId="3B1BB12A" w14:textId="77777777" w:rsidR="00717F2C" w:rsidRPr="002F70FD" w:rsidRDefault="008E6137" w:rsidP="003E260B">
      <w:pPr>
        <w:rPr>
          <w:lang w:val="en-ZA"/>
        </w:rPr>
      </w:pPr>
      <w:r w:rsidRPr="002F70FD">
        <w:rPr>
          <w:noProof/>
          <w:sz w:val="2"/>
          <w:szCs w:val="2"/>
          <w:lang w:val="en-ZA"/>
        </w:rPr>
        <mc:AlternateContent>
          <mc:Choice Requires="wps">
            <w:drawing>
              <wp:anchor distT="0" distB="0" distL="114300" distR="114300" simplePos="0" relativeHeight="251658240" behindDoc="0" locked="0" layoutInCell="1" allowOverlap="1" wp14:anchorId="3B1BB3C2" wp14:editId="3B1BB3C3">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B1BB3F2" w14:textId="77777777" w:rsidR="00D61DE6" w:rsidRDefault="00D61DE6" w:rsidP="00636570">
                            <w:pPr>
                              <w:pStyle w:val="Heading1"/>
                              <w:numPr>
                                <w:ilvl w:val="0"/>
                                <w:numId w:val="0"/>
                              </w:numPr>
                            </w:pPr>
                            <w:bookmarkStart w:id="0" w:name="_Toc475028472"/>
                            <w:bookmarkStart w:id="1" w:name="_Toc476167700"/>
                            <w:bookmarkEnd w:id="0"/>
                            <w:bookmarkEnd w:id="1"/>
                          </w:p>
                          <w:p w14:paraId="3B1BB3F3" w14:textId="77777777" w:rsidR="00D61DE6" w:rsidRPr="0052546A" w:rsidRDefault="00D61DE6"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BB3C2"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B1BB3F2" w14:textId="77777777" w:rsidR="00D61DE6" w:rsidRDefault="00D61DE6" w:rsidP="00636570">
                      <w:pPr>
                        <w:pStyle w:val="Heading1"/>
                        <w:numPr>
                          <w:ilvl w:val="0"/>
                          <w:numId w:val="0"/>
                        </w:numPr>
                      </w:pPr>
                      <w:bookmarkStart w:id="2" w:name="_Toc475028472"/>
                      <w:bookmarkStart w:id="3" w:name="_Toc476167700"/>
                      <w:bookmarkEnd w:id="2"/>
                      <w:bookmarkEnd w:id="3"/>
                    </w:p>
                    <w:p w14:paraId="3B1BB3F3" w14:textId="77777777" w:rsidR="00D61DE6" w:rsidRPr="0052546A" w:rsidRDefault="00D61DE6"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3B1BB12B" w14:textId="77777777" w:rsidR="00A86A5C" w:rsidRPr="002F70FD" w:rsidRDefault="00A86A5C" w:rsidP="003E260B">
      <w:pPr>
        <w:rPr>
          <w:lang w:val="en-ZA"/>
        </w:rPr>
      </w:pPr>
    </w:p>
    <w:p w14:paraId="3B1BB12D" w14:textId="5EEA6B57" w:rsidR="0043613E" w:rsidRPr="002F70FD" w:rsidRDefault="00E909A1" w:rsidP="00CF7AE9">
      <w:pPr>
        <w:rPr>
          <w:rFonts w:ascii="Segoe UI Semibold" w:hAnsi="Segoe UI Semibold" w:cs="Segoe UI Semibold"/>
          <w:color w:val="008272"/>
          <w:sz w:val="32"/>
          <w:lang w:val="en-ZA"/>
        </w:rPr>
      </w:pPr>
      <w:r w:rsidRPr="002F70FD">
        <w:rPr>
          <w:rFonts w:ascii="Segoe UI Semibold" w:hAnsi="Segoe UI Semibold" w:cs="Segoe UI Semibold"/>
          <w:color w:val="008272"/>
          <w:sz w:val="32"/>
          <w:lang w:val="en-ZA"/>
        </w:rPr>
        <w:t xml:space="preserve"> –</w:t>
      </w:r>
      <w:r w:rsidR="00352346">
        <w:rPr>
          <w:rFonts w:ascii="Segoe UI Semibold" w:hAnsi="Segoe UI Semibold" w:cs="Segoe UI Semibold"/>
          <w:color w:val="008272"/>
          <w:sz w:val="32"/>
          <w:lang w:val="en-ZA"/>
        </w:rPr>
        <w:t xml:space="preserve"> </w:t>
      </w:r>
      <w:r w:rsidRPr="002F70FD">
        <w:rPr>
          <w:rFonts w:ascii="Segoe UI Semibold" w:hAnsi="Segoe UI Semibold" w:cs="Segoe UI Semibold"/>
          <w:color w:val="008272"/>
          <w:sz w:val="32"/>
          <w:lang w:val="en-ZA"/>
        </w:rPr>
        <w:t>Hypercare</w:t>
      </w:r>
      <w:r w:rsidR="00352346">
        <w:rPr>
          <w:rFonts w:ascii="Segoe UI Semibold" w:hAnsi="Segoe UI Semibold" w:cs="Segoe UI Semibold"/>
          <w:color w:val="008272"/>
          <w:sz w:val="32"/>
          <w:lang w:val="en-ZA"/>
        </w:rPr>
        <w:t xml:space="preserve"> Support</w:t>
      </w:r>
    </w:p>
    <w:p w14:paraId="3B1BB12E" w14:textId="77777777" w:rsidR="0043613E" w:rsidRPr="002F70FD" w:rsidRDefault="0043613E" w:rsidP="003E260B">
      <w:pPr>
        <w:rPr>
          <w:lang w:val="en-ZA"/>
        </w:rPr>
      </w:pPr>
    </w:p>
    <w:p w14:paraId="3B1BB12F" w14:textId="77777777" w:rsidR="00717F2C" w:rsidRPr="002F70FD" w:rsidRDefault="00717F2C" w:rsidP="003E260B">
      <w:pPr>
        <w:rPr>
          <w:lang w:val="en-ZA"/>
        </w:rPr>
      </w:pPr>
      <w:r w:rsidRPr="002F70FD">
        <w:rPr>
          <w:lang w:val="en-ZA"/>
        </w:rPr>
        <w:t>Prepared for</w:t>
      </w:r>
    </w:p>
    <w:p w14:paraId="3B1BB130" w14:textId="4F882CF5" w:rsidR="00717F2C" w:rsidRPr="002F70FD" w:rsidRDefault="00717F2C" w:rsidP="00A8149E">
      <w:pPr>
        <w:pStyle w:val="Instructional"/>
        <w:rPr>
          <w:b/>
          <w:bCs/>
          <w:color w:val="auto"/>
          <w:lang w:val="en-ZA"/>
        </w:rPr>
      </w:pPr>
    </w:p>
    <w:p w14:paraId="3B1BB131" w14:textId="77777777" w:rsidR="00B40F77" w:rsidRPr="002F70FD" w:rsidRDefault="00B40F77" w:rsidP="003E260B">
      <w:pPr>
        <w:rPr>
          <w:lang w:val="en-ZA"/>
        </w:rPr>
      </w:pPr>
    </w:p>
    <w:p w14:paraId="3B1BB132" w14:textId="77777777" w:rsidR="007F148A" w:rsidRPr="002F70FD" w:rsidRDefault="007F148A" w:rsidP="003E260B">
      <w:pPr>
        <w:rPr>
          <w:lang w:val="en-ZA"/>
        </w:rPr>
      </w:pPr>
      <w:r w:rsidRPr="002F70FD">
        <w:rPr>
          <w:lang w:val="en-ZA"/>
        </w:rPr>
        <w:t>Prepared by</w:t>
      </w:r>
    </w:p>
    <w:p w14:paraId="3B1BB134" w14:textId="77777777" w:rsidR="007F148A" w:rsidRPr="002F70FD" w:rsidRDefault="007F148A" w:rsidP="003E260B">
      <w:pPr>
        <w:rPr>
          <w:lang w:val="en-ZA"/>
        </w:rPr>
      </w:pPr>
    </w:p>
    <w:p w14:paraId="3B1BB135" w14:textId="5421D554" w:rsidR="00717F2C" w:rsidRPr="002F70FD" w:rsidRDefault="00717F2C" w:rsidP="003E260B">
      <w:pPr>
        <w:rPr>
          <w:lang w:val="en-ZA"/>
        </w:rPr>
      </w:pPr>
      <w:r w:rsidRPr="002F70FD">
        <w:rPr>
          <w:lang w:val="en-ZA"/>
        </w:rPr>
        <w:t xml:space="preserve">Date: </w:t>
      </w:r>
      <w:r w:rsidR="00000AC6">
        <w:rPr>
          <w:lang w:val="en-ZA"/>
        </w:rPr>
        <w:t>11 February 2020</w:t>
      </w:r>
    </w:p>
    <w:p w14:paraId="3B1BB136" w14:textId="25C0EDF2" w:rsidR="00717F2C" w:rsidRPr="002F70FD" w:rsidRDefault="00717F2C" w:rsidP="003E260B">
      <w:pPr>
        <w:rPr>
          <w:rStyle w:val="InstructionalChar"/>
          <w:color w:val="auto"/>
          <w:lang w:val="en-ZA"/>
        </w:rPr>
      </w:pPr>
      <w:r w:rsidRPr="002F70FD">
        <w:rPr>
          <w:lang w:val="en-ZA"/>
        </w:rPr>
        <w:t>Version</w:t>
      </w:r>
      <w:r w:rsidR="00DF1628" w:rsidRPr="002F70FD">
        <w:rPr>
          <w:rStyle w:val="InstructionalChar"/>
          <w:color w:val="auto"/>
          <w:lang w:val="en-ZA"/>
        </w:rPr>
        <w:t xml:space="preserve">: </w:t>
      </w:r>
      <w:r w:rsidR="00E779D7">
        <w:rPr>
          <w:rStyle w:val="InstructionalChar"/>
          <w:color w:val="auto"/>
          <w:lang w:val="en-ZA"/>
        </w:rPr>
        <w:t>2</w:t>
      </w:r>
      <w:r w:rsidR="00297396">
        <w:rPr>
          <w:rStyle w:val="InstructionalChar"/>
          <w:color w:val="auto"/>
          <w:lang w:val="en-ZA"/>
        </w:rPr>
        <w:t>.0 FINAL</w:t>
      </w:r>
    </w:p>
    <w:p w14:paraId="3B1BB137" w14:textId="77777777" w:rsidR="007F148A" w:rsidRPr="002F70FD" w:rsidRDefault="007F148A" w:rsidP="003E260B">
      <w:pPr>
        <w:rPr>
          <w:lang w:val="en-ZA"/>
        </w:rPr>
      </w:pPr>
    </w:p>
    <w:p w14:paraId="3B1BB138" w14:textId="77777777" w:rsidR="007F148A" w:rsidRPr="002F70FD" w:rsidRDefault="007F148A" w:rsidP="003E260B">
      <w:pPr>
        <w:rPr>
          <w:lang w:val="en-ZA"/>
        </w:rPr>
        <w:sectPr w:rsidR="007F148A" w:rsidRPr="002F70FD"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lang w:val="en-ZA"/>
        </w:rPr>
        <w:id w:val="1992295303"/>
        <w:docPartObj>
          <w:docPartGallery w:val="Table of Contents"/>
          <w:docPartUnique/>
        </w:docPartObj>
      </w:sdtPr>
      <w:sdtEndPr>
        <w:rPr>
          <w:b/>
          <w:bCs/>
          <w:noProof/>
        </w:rPr>
      </w:sdtEndPr>
      <w:sdtContent>
        <w:p w14:paraId="3B1BB139" w14:textId="77777777" w:rsidR="00C23371" w:rsidRPr="002F70FD" w:rsidRDefault="00C23371" w:rsidP="00C158F4">
          <w:pPr>
            <w:pStyle w:val="TOCHeading"/>
            <w:numPr>
              <w:ilvl w:val="0"/>
              <w:numId w:val="0"/>
            </w:numPr>
            <w:ind w:left="360" w:hanging="360"/>
            <w:rPr>
              <w:lang w:val="en-ZA"/>
            </w:rPr>
          </w:pPr>
          <w:r w:rsidRPr="002F70FD">
            <w:rPr>
              <w:lang w:val="en-ZA"/>
            </w:rPr>
            <w:t xml:space="preserve">Table of </w:t>
          </w:r>
          <w:r w:rsidR="006209A1" w:rsidRPr="002F70FD">
            <w:rPr>
              <w:lang w:val="en-ZA"/>
            </w:rPr>
            <w:t>contents</w:t>
          </w:r>
        </w:p>
        <w:p w14:paraId="53E3EAF1" w14:textId="7AB05296" w:rsidR="00297396" w:rsidRDefault="00EF21FB">
          <w:pPr>
            <w:pStyle w:val="TOC1"/>
            <w:tabs>
              <w:tab w:val="right" w:leader="dot" w:pos="9350"/>
            </w:tabs>
            <w:rPr>
              <w:rFonts w:asciiTheme="minorHAnsi" w:eastAsiaTheme="minorEastAsia" w:hAnsiTheme="minorHAnsi"/>
              <w:noProof/>
              <w:sz w:val="22"/>
              <w:lang w:val="en-ZA" w:eastAsia="en-ZA"/>
            </w:rPr>
          </w:pPr>
          <w:r w:rsidRPr="002F70FD">
            <w:rPr>
              <w:lang w:val="en-ZA"/>
            </w:rPr>
            <w:fldChar w:fldCharType="begin"/>
          </w:r>
          <w:r w:rsidRPr="002F70FD">
            <w:rPr>
              <w:lang w:val="en-ZA"/>
            </w:rPr>
            <w:instrText xml:space="preserve"> TOC \o "1-2" \h \z \u </w:instrText>
          </w:r>
          <w:r w:rsidRPr="002F70FD">
            <w:rPr>
              <w:lang w:val="en-ZA"/>
            </w:rPr>
            <w:fldChar w:fldCharType="separate"/>
          </w:r>
          <w:hyperlink w:anchor="_Toc24894656" w:history="1">
            <w:r w:rsidR="00297396" w:rsidRPr="00EF3D26">
              <w:rPr>
                <w:rStyle w:val="Hyperlink"/>
                <w:noProof/>
                <w:lang w:val="en-ZA"/>
              </w:rPr>
              <w:t>Introduction</w:t>
            </w:r>
            <w:r w:rsidR="00297396">
              <w:rPr>
                <w:noProof/>
                <w:webHidden/>
              </w:rPr>
              <w:tab/>
            </w:r>
            <w:r w:rsidR="00297396">
              <w:rPr>
                <w:noProof/>
                <w:webHidden/>
              </w:rPr>
              <w:fldChar w:fldCharType="begin"/>
            </w:r>
            <w:r w:rsidR="00297396">
              <w:rPr>
                <w:noProof/>
                <w:webHidden/>
              </w:rPr>
              <w:instrText xml:space="preserve"> PAGEREF _Toc24894656 \h </w:instrText>
            </w:r>
            <w:r w:rsidR="00297396">
              <w:rPr>
                <w:noProof/>
                <w:webHidden/>
              </w:rPr>
            </w:r>
            <w:r w:rsidR="00297396">
              <w:rPr>
                <w:noProof/>
                <w:webHidden/>
              </w:rPr>
              <w:fldChar w:fldCharType="separate"/>
            </w:r>
            <w:r w:rsidR="00297396">
              <w:rPr>
                <w:noProof/>
                <w:webHidden/>
              </w:rPr>
              <w:t>1</w:t>
            </w:r>
            <w:r w:rsidR="00297396">
              <w:rPr>
                <w:noProof/>
                <w:webHidden/>
              </w:rPr>
              <w:fldChar w:fldCharType="end"/>
            </w:r>
          </w:hyperlink>
        </w:p>
        <w:p w14:paraId="69B90514" w14:textId="61DD8B0E" w:rsidR="00297396" w:rsidRDefault="00D62FEA">
          <w:pPr>
            <w:pStyle w:val="TOC1"/>
            <w:tabs>
              <w:tab w:val="left" w:pos="400"/>
              <w:tab w:val="right" w:leader="dot" w:pos="9350"/>
            </w:tabs>
            <w:rPr>
              <w:rFonts w:asciiTheme="minorHAnsi" w:eastAsiaTheme="minorEastAsia" w:hAnsiTheme="minorHAnsi"/>
              <w:noProof/>
              <w:sz w:val="22"/>
              <w:lang w:val="en-ZA" w:eastAsia="en-ZA"/>
            </w:rPr>
          </w:pPr>
          <w:hyperlink w:anchor="_Toc24894657" w:history="1">
            <w:r w:rsidR="00297396" w:rsidRPr="00EF3D26">
              <w:rPr>
                <w:rStyle w:val="Hyperlink"/>
                <w:noProof/>
                <w:lang w:val="en-ZA"/>
              </w:rPr>
              <w:t>1.</w:t>
            </w:r>
            <w:r w:rsidR="00297396">
              <w:rPr>
                <w:rFonts w:asciiTheme="minorHAnsi" w:eastAsiaTheme="minorEastAsia" w:hAnsiTheme="minorHAnsi"/>
                <w:noProof/>
                <w:sz w:val="22"/>
                <w:lang w:val="en-ZA" w:eastAsia="en-ZA"/>
              </w:rPr>
              <w:tab/>
            </w:r>
            <w:r w:rsidR="00297396" w:rsidRPr="00EF3D26">
              <w:rPr>
                <w:rStyle w:val="Hyperlink"/>
                <w:noProof/>
                <w:lang w:val="en-ZA"/>
              </w:rPr>
              <w:t>Project objectives and scope</w:t>
            </w:r>
            <w:r w:rsidR="00297396">
              <w:rPr>
                <w:noProof/>
                <w:webHidden/>
              </w:rPr>
              <w:tab/>
            </w:r>
            <w:r w:rsidR="00297396">
              <w:rPr>
                <w:noProof/>
                <w:webHidden/>
              </w:rPr>
              <w:fldChar w:fldCharType="begin"/>
            </w:r>
            <w:r w:rsidR="00297396">
              <w:rPr>
                <w:noProof/>
                <w:webHidden/>
              </w:rPr>
              <w:instrText xml:space="preserve"> PAGEREF _Toc24894657 \h </w:instrText>
            </w:r>
            <w:r w:rsidR="00297396">
              <w:rPr>
                <w:noProof/>
                <w:webHidden/>
              </w:rPr>
            </w:r>
            <w:r w:rsidR="00297396">
              <w:rPr>
                <w:noProof/>
                <w:webHidden/>
              </w:rPr>
              <w:fldChar w:fldCharType="separate"/>
            </w:r>
            <w:r w:rsidR="00297396">
              <w:rPr>
                <w:noProof/>
                <w:webHidden/>
              </w:rPr>
              <w:t>1</w:t>
            </w:r>
            <w:r w:rsidR="00297396">
              <w:rPr>
                <w:noProof/>
                <w:webHidden/>
              </w:rPr>
              <w:fldChar w:fldCharType="end"/>
            </w:r>
          </w:hyperlink>
        </w:p>
        <w:p w14:paraId="7A04AED2" w14:textId="6EF046BB" w:rsidR="00297396" w:rsidRDefault="00D62FEA">
          <w:pPr>
            <w:pStyle w:val="TOC2"/>
            <w:tabs>
              <w:tab w:val="left" w:pos="800"/>
              <w:tab w:val="right" w:leader="dot" w:pos="9350"/>
            </w:tabs>
            <w:rPr>
              <w:rFonts w:asciiTheme="minorHAnsi" w:eastAsiaTheme="minorEastAsia" w:hAnsiTheme="minorHAnsi"/>
              <w:noProof/>
              <w:sz w:val="22"/>
              <w:lang w:val="en-ZA" w:eastAsia="en-ZA"/>
            </w:rPr>
          </w:pPr>
          <w:hyperlink w:anchor="_Toc24894658" w:history="1">
            <w:r w:rsidR="00297396" w:rsidRPr="00EF3D26">
              <w:rPr>
                <w:rStyle w:val="Hyperlink"/>
                <w:noProof/>
                <w:lang w:val="en-ZA"/>
              </w:rPr>
              <w:t>1.1.</w:t>
            </w:r>
            <w:r w:rsidR="00297396">
              <w:rPr>
                <w:rFonts w:asciiTheme="minorHAnsi" w:eastAsiaTheme="minorEastAsia" w:hAnsiTheme="minorHAnsi"/>
                <w:noProof/>
                <w:sz w:val="22"/>
                <w:lang w:val="en-ZA" w:eastAsia="en-ZA"/>
              </w:rPr>
              <w:tab/>
            </w:r>
            <w:r w:rsidR="00297396" w:rsidRPr="00EF3D26">
              <w:rPr>
                <w:rStyle w:val="Hyperlink"/>
                <w:noProof/>
                <w:lang w:val="en-ZA"/>
              </w:rPr>
              <w:t>Objectives</w:t>
            </w:r>
            <w:r w:rsidR="00297396">
              <w:rPr>
                <w:noProof/>
                <w:webHidden/>
              </w:rPr>
              <w:tab/>
            </w:r>
            <w:r w:rsidR="00297396">
              <w:rPr>
                <w:noProof/>
                <w:webHidden/>
              </w:rPr>
              <w:fldChar w:fldCharType="begin"/>
            </w:r>
            <w:r w:rsidR="00297396">
              <w:rPr>
                <w:noProof/>
                <w:webHidden/>
              </w:rPr>
              <w:instrText xml:space="preserve"> PAGEREF _Toc24894658 \h </w:instrText>
            </w:r>
            <w:r w:rsidR="00297396">
              <w:rPr>
                <w:noProof/>
                <w:webHidden/>
              </w:rPr>
            </w:r>
            <w:r w:rsidR="00297396">
              <w:rPr>
                <w:noProof/>
                <w:webHidden/>
              </w:rPr>
              <w:fldChar w:fldCharType="separate"/>
            </w:r>
            <w:r w:rsidR="00297396">
              <w:rPr>
                <w:noProof/>
                <w:webHidden/>
              </w:rPr>
              <w:t>1</w:t>
            </w:r>
            <w:r w:rsidR="00297396">
              <w:rPr>
                <w:noProof/>
                <w:webHidden/>
              </w:rPr>
              <w:fldChar w:fldCharType="end"/>
            </w:r>
          </w:hyperlink>
        </w:p>
        <w:p w14:paraId="20B3B756" w14:textId="6596D58F" w:rsidR="00297396" w:rsidRDefault="00D62FEA">
          <w:pPr>
            <w:pStyle w:val="TOC2"/>
            <w:tabs>
              <w:tab w:val="left" w:pos="800"/>
              <w:tab w:val="right" w:leader="dot" w:pos="9350"/>
            </w:tabs>
            <w:rPr>
              <w:rFonts w:asciiTheme="minorHAnsi" w:eastAsiaTheme="minorEastAsia" w:hAnsiTheme="minorHAnsi"/>
              <w:noProof/>
              <w:sz w:val="22"/>
              <w:lang w:val="en-ZA" w:eastAsia="en-ZA"/>
            </w:rPr>
          </w:pPr>
          <w:hyperlink w:anchor="_Toc24894659" w:history="1">
            <w:r w:rsidR="00297396" w:rsidRPr="00EF3D26">
              <w:rPr>
                <w:rStyle w:val="Hyperlink"/>
                <w:noProof/>
                <w:lang w:val="en-ZA"/>
              </w:rPr>
              <w:t>1.2.</w:t>
            </w:r>
            <w:r w:rsidR="00297396">
              <w:rPr>
                <w:rFonts w:asciiTheme="minorHAnsi" w:eastAsiaTheme="minorEastAsia" w:hAnsiTheme="minorHAnsi"/>
                <w:noProof/>
                <w:sz w:val="22"/>
                <w:lang w:val="en-ZA" w:eastAsia="en-ZA"/>
              </w:rPr>
              <w:tab/>
            </w:r>
            <w:r w:rsidR="00297396" w:rsidRPr="00EF3D26">
              <w:rPr>
                <w:rStyle w:val="Hyperlink"/>
                <w:noProof/>
                <w:lang w:val="en-ZA"/>
              </w:rPr>
              <w:t>Project principles, roles and responsibilities</w:t>
            </w:r>
            <w:r w:rsidR="00297396">
              <w:rPr>
                <w:noProof/>
                <w:webHidden/>
              </w:rPr>
              <w:tab/>
            </w:r>
            <w:r w:rsidR="00297396">
              <w:rPr>
                <w:noProof/>
                <w:webHidden/>
              </w:rPr>
              <w:fldChar w:fldCharType="begin"/>
            </w:r>
            <w:r w:rsidR="00297396">
              <w:rPr>
                <w:noProof/>
                <w:webHidden/>
              </w:rPr>
              <w:instrText xml:space="preserve"> PAGEREF _Toc24894659 \h </w:instrText>
            </w:r>
            <w:r w:rsidR="00297396">
              <w:rPr>
                <w:noProof/>
                <w:webHidden/>
              </w:rPr>
            </w:r>
            <w:r w:rsidR="00297396">
              <w:rPr>
                <w:noProof/>
                <w:webHidden/>
              </w:rPr>
              <w:fldChar w:fldCharType="separate"/>
            </w:r>
            <w:r w:rsidR="00297396">
              <w:rPr>
                <w:noProof/>
                <w:webHidden/>
              </w:rPr>
              <w:t>2</w:t>
            </w:r>
            <w:r w:rsidR="00297396">
              <w:rPr>
                <w:noProof/>
                <w:webHidden/>
              </w:rPr>
              <w:fldChar w:fldCharType="end"/>
            </w:r>
          </w:hyperlink>
        </w:p>
        <w:p w14:paraId="298D1A43" w14:textId="69A7061C" w:rsidR="00297396" w:rsidRDefault="00D62FEA">
          <w:pPr>
            <w:pStyle w:val="TOC2"/>
            <w:tabs>
              <w:tab w:val="left" w:pos="800"/>
              <w:tab w:val="right" w:leader="dot" w:pos="9350"/>
            </w:tabs>
            <w:rPr>
              <w:rFonts w:asciiTheme="minorHAnsi" w:eastAsiaTheme="minorEastAsia" w:hAnsiTheme="minorHAnsi"/>
              <w:noProof/>
              <w:sz w:val="22"/>
              <w:lang w:val="en-ZA" w:eastAsia="en-ZA"/>
            </w:rPr>
          </w:pPr>
          <w:hyperlink w:anchor="_Toc24894660" w:history="1">
            <w:r w:rsidR="00297396" w:rsidRPr="00EF3D26">
              <w:rPr>
                <w:rStyle w:val="Hyperlink"/>
                <w:noProof/>
                <w:lang w:val="en-ZA"/>
              </w:rPr>
              <w:t>1.3.</w:t>
            </w:r>
            <w:r w:rsidR="00297396">
              <w:rPr>
                <w:rFonts w:asciiTheme="minorHAnsi" w:eastAsiaTheme="minorEastAsia" w:hAnsiTheme="minorHAnsi"/>
                <w:noProof/>
                <w:sz w:val="22"/>
                <w:lang w:val="en-ZA" w:eastAsia="en-ZA"/>
              </w:rPr>
              <w:tab/>
            </w:r>
            <w:r w:rsidR="00297396" w:rsidRPr="00EF3D26">
              <w:rPr>
                <w:rStyle w:val="Hyperlink"/>
                <w:noProof/>
                <w:lang w:val="en-ZA"/>
              </w:rPr>
              <w:t>Areas in scope</w:t>
            </w:r>
            <w:r w:rsidR="00297396">
              <w:rPr>
                <w:noProof/>
                <w:webHidden/>
              </w:rPr>
              <w:tab/>
            </w:r>
            <w:r w:rsidR="00297396">
              <w:rPr>
                <w:noProof/>
                <w:webHidden/>
              </w:rPr>
              <w:fldChar w:fldCharType="begin"/>
            </w:r>
            <w:r w:rsidR="00297396">
              <w:rPr>
                <w:noProof/>
                <w:webHidden/>
              </w:rPr>
              <w:instrText xml:space="preserve"> PAGEREF _Toc24894660 \h </w:instrText>
            </w:r>
            <w:r w:rsidR="00297396">
              <w:rPr>
                <w:noProof/>
                <w:webHidden/>
              </w:rPr>
            </w:r>
            <w:r w:rsidR="00297396">
              <w:rPr>
                <w:noProof/>
                <w:webHidden/>
              </w:rPr>
              <w:fldChar w:fldCharType="separate"/>
            </w:r>
            <w:r w:rsidR="00297396">
              <w:rPr>
                <w:noProof/>
                <w:webHidden/>
              </w:rPr>
              <w:t>4</w:t>
            </w:r>
            <w:r w:rsidR="00297396">
              <w:rPr>
                <w:noProof/>
                <w:webHidden/>
              </w:rPr>
              <w:fldChar w:fldCharType="end"/>
            </w:r>
          </w:hyperlink>
        </w:p>
        <w:p w14:paraId="253542C6" w14:textId="0EA1E463" w:rsidR="00297396" w:rsidRDefault="00D62FEA">
          <w:pPr>
            <w:pStyle w:val="TOC1"/>
            <w:tabs>
              <w:tab w:val="left" w:pos="400"/>
              <w:tab w:val="right" w:leader="dot" w:pos="9350"/>
            </w:tabs>
            <w:rPr>
              <w:rFonts w:asciiTheme="minorHAnsi" w:eastAsiaTheme="minorEastAsia" w:hAnsiTheme="minorHAnsi"/>
              <w:noProof/>
              <w:sz w:val="22"/>
              <w:lang w:val="en-ZA" w:eastAsia="en-ZA"/>
            </w:rPr>
          </w:pPr>
          <w:hyperlink w:anchor="_Toc24894661" w:history="1">
            <w:r w:rsidR="00297396" w:rsidRPr="00EF3D26">
              <w:rPr>
                <w:rStyle w:val="Hyperlink"/>
                <w:noProof/>
                <w:lang w:val="en-ZA"/>
              </w:rPr>
              <w:t>2.</w:t>
            </w:r>
            <w:r w:rsidR="00297396">
              <w:rPr>
                <w:rFonts w:asciiTheme="minorHAnsi" w:eastAsiaTheme="minorEastAsia" w:hAnsiTheme="minorHAnsi"/>
                <w:noProof/>
                <w:sz w:val="22"/>
                <w:lang w:val="en-ZA" w:eastAsia="en-ZA"/>
              </w:rPr>
              <w:tab/>
            </w:r>
            <w:r w:rsidR="00297396" w:rsidRPr="00EF3D26">
              <w:rPr>
                <w:rStyle w:val="Hyperlink"/>
                <w:noProof/>
                <w:lang w:val="en-ZA"/>
              </w:rPr>
              <w:t>Areas out of scope</w:t>
            </w:r>
            <w:r w:rsidR="00297396">
              <w:rPr>
                <w:noProof/>
                <w:webHidden/>
              </w:rPr>
              <w:tab/>
            </w:r>
            <w:r w:rsidR="00297396">
              <w:rPr>
                <w:noProof/>
                <w:webHidden/>
              </w:rPr>
              <w:fldChar w:fldCharType="begin"/>
            </w:r>
            <w:r w:rsidR="00297396">
              <w:rPr>
                <w:noProof/>
                <w:webHidden/>
              </w:rPr>
              <w:instrText xml:space="preserve"> PAGEREF _Toc24894661 \h </w:instrText>
            </w:r>
            <w:r w:rsidR="00297396">
              <w:rPr>
                <w:noProof/>
                <w:webHidden/>
              </w:rPr>
            </w:r>
            <w:r w:rsidR="00297396">
              <w:rPr>
                <w:noProof/>
                <w:webHidden/>
              </w:rPr>
              <w:fldChar w:fldCharType="separate"/>
            </w:r>
            <w:r w:rsidR="00297396">
              <w:rPr>
                <w:noProof/>
                <w:webHidden/>
              </w:rPr>
              <w:t>7</w:t>
            </w:r>
            <w:r w:rsidR="00297396">
              <w:rPr>
                <w:noProof/>
                <w:webHidden/>
              </w:rPr>
              <w:fldChar w:fldCharType="end"/>
            </w:r>
          </w:hyperlink>
        </w:p>
        <w:p w14:paraId="074F75E2" w14:textId="331C4036" w:rsidR="00297396" w:rsidRDefault="00D62FEA">
          <w:pPr>
            <w:pStyle w:val="TOC1"/>
            <w:tabs>
              <w:tab w:val="left" w:pos="400"/>
              <w:tab w:val="right" w:leader="dot" w:pos="9350"/>
            </w:tabs>
            <w:rPr>
              <w:rFonts w:asciiTheme="minorHAnsi" w:eastAsiaTheme="minorEastAsia" w:hAnsiTheme="minorHAnsi"/>
              <w:noProof/>
              <w:sz w:val="22"/>
              <w:lang w:val="en-ZA" w:eastAsia="en-ZA"/>
            </w:rPr>
          </w:pPr>
          <w:hyperlink w:anchor="_Toc24894662" w:history="1">
            <w:r w:rsidR="00297396" w:rsidRPr="00EF3D26">
              <w:rPr>
                <w:rStyle w:val="Hyperlink"/>
                <w:noProof/>
                <w:lang w:val="en-ZA"/>
              </w:rPr>
              <w:t>3.</w:t>
            </w:r>
            <w:r w:rsidR="00297396">
              <w:rPr>
                <w:rFonts w:asciiTheme="minorHAnsi" w:eastAsiaTheme="minorEastAsia" w:hAnsiTheme="minorHAnsi"/>
                <w:noProof/>
                <w:sz w:val="22"/>
                <w:lang w:val="en-ZA" w:eastAsia="en-ZA"/>
              </w:rPr>
              <w:tab/>
            </w:r>
            <w:r w:rsidR="00297396" w:rsidRPr="00EF3D26">
              <w:rPr>
                <w:rStyle w:val="Hyperlink"/>
                <w:noProof/>
                <w:lang w:val="en-ZA"/>
              </w:rPr>
              <w:t>Project governance</w:t>
            </w:r>
            <w:r w:rsidR="00297396">
              <w:rPr>
                <w:noProof/>
                <w:webHidden/>
              </w:rPr>
              <w:tab/>
            </w:r>
            <w:r w:rsidR="00297396">
              <w:rPr>
                <w:noProof/>
                <w:webHidden/>
              </w:rPr>
              <w:fldChar w:fldCharType="begin"/>
            </w:r>
            <w:r w:rsidR="00297396">
              <w:rPr>
                <w:noProof/>
                <w:webHidden/>
              </w:rPr>
              <w:instrText xml:space="preserve"> PAGEREF _Toc24894662 \h </w:instrText>
            </w:r>
            <w:r w:rsidR="00297396">
              <w:rPr>
                <w:noProof/>
                <w:webHidden/>
              </w:rPr>
            </w:r>
            <w:r w:rsidR="00297396">
              <w:rPr>
                <w:noProof/>
                <w:webHidden/>
              </w:rPr>
              <w:fldChar w:fldCharType="separate"/>
            </w:r>
            <w:r w:rsidR="00297396">
              <w:rPr>
                <w:noProof/>
                <w:webHidden/>
              </w:rPr>
              <w:t>7</w:t>
            </w:r>
            <w:r w:rsidR="00297396">
              <w:rPr>
                <w:noProof/>
                <w:webHidden/>
              </w:rPr>
              <w:fldChar w:fldCharType="end"/>
            </w:r>
          </w:hyperlink>
        </w:p>
        <w:p w14:paraId="0E6A0B50" w14:textId="1B27989A" w:rsidR="00297396" w:rsidRDefault="00D62FEA">
          <w:pPr>
            <w:pStyle w:val="TOC2"/>
            <w:tabs>
              <w:tab w:val="left" w:pos="800"/>
              <w:tab w:val="right" w:leader="dot" w:pos="9350"/>
            </w:tabs>
            <w:rPr>
              <w:rFonts w:asciiTheme="minorHAnsi" w:eastAsiaTheme="minorEastAsia" w:hAnsiTheme="minorHAnsi"/>
              <w:noProof/>
              <w:sz w:val="22"/>
              <w:lang w:val="en-ZA" w:eastAsia="en-ZA"/>
            </w:rPr>
          </w:pPr>
          <w:hyperlink w:anchor="_Toc24894663" w:history="1">
            <w:r w:rsidR="00297396" w:rsidRPr="00EF3D26">
              <w:rPr>
                <w:rStyle w:val="Hyperlink"/>
                <w:noProof/>
                <w:lang w:val="en-ZA"/>
              </w:rPr>
              <w:t>3.1.</w:t>
            </w:r>
            <w:r w:rsidR="00297396">
              <w:rPr>
                <w:rFonts w:asciiTheme="minorHAnsi" w:eastAsiaTheme="minorEastAsia" w:hAnsiTheme="minorHAnsi"/>
                <w:noProof/>
                <w:sz w:val="22"/>
                <w:lang w:val="en-ZA" w:eastAsia="en-ZA"/>
              </w:rPr>
              <w:tab/>
            </w:r>
            <w:r w:rsidR="00297396" w:rsidRPr="00EF3D26">
              <w:rPr>
                <w:rStyle w:val="Hyperlink"/>
                <w:noProof/>
                <w:lang w:val="en-ZA"/>
              </w:rPr>
              <w:t>Risk and issue management</w:t>
            </w:r>
            <w:r w:rsidR="00297396">
              <w:rPr>
                <w:noProof/>
                <w:webHidden/>
              </w:rPr>
              <w:tab/>
            </w:r>
            <w:r w:rsidR="00297396">
              <w:rPr>
                <w:noProof/>
                <w:webHidden/>
              </w:rPr>
              <w:fldChar w:fldCharType="begin"/>
            </w:r>
            <w:r w:rsidR="00297396">
              <w:rPr>
                <w:noProof/>
                <w:webHidden/>
              </w:rPr>
              <w:instrText xml:space="preserve"> PAGEREF _Toc24894663 \h </w:instrText>
            </w:r>
            <w:r w:rsidR="00297396">
              <w:rPr>
                <w:noProof/>
                <w:webHidden/>
              </w:rPr>
            </w:r>
            <w:r w:rsidR="00297396">
              <w:rPr>
                <w:noProof/>
                <w:webHidden/>
              </w:rPr>
              <w:fldChar w:fldCharType="separate"/>
            </w:r>
            <w:r w:rsidR="00297396">
              <w:rPr>
                <w:noProof/>
                <w:webHidden/>
              </w:rPr>
              <w:t>7</w:t>
            </w:r>
            <w:r w:rsidR="00297396">
              <w:rPr>
                <w:noProof/>
                <w:webHidden/>
              </w:rPr>
              <w:fldChar w:fldCharType="end"/>
            </w:r>
          </w:hyperlink>
        </w:p>
        <w:p w14:paraId="1540B5FC" w14:textId="7A517779" w:rsidR="00297396" w:rsidRDefault="00D62FEA">
          <w:pPr>
            <w:pStyle w:val="TOC2"/>
            <w:tabs>
              <w:tab w:val="left" w:pos="800"/>
              <w:tab w:val="right" w:leader="dot" w:pos="9350"/>
            </w:tabs>
            <w:rPr>
              <w:rFonts w:asciiTheme="minorHAnsi" w:eastAsiaTheme="minorEastAsia" w:hAnsiTheme="minorHAnsi"/>
              <w:noProof/>
              <w:sz w:val="22"/>
              <w:lang w:val="en-ZA" w:eastAsia="en-ZA"/>
            </w:rPr>
          </w:pPr>
          <w:hyperlink w:anchor="_Toc24894664" w:history="1">
            <w:r w:rsidR="00297396" w:rsidRPr="00EF3D26">
              <w:rPr>
                <w:rStyle w:val="Hyperlink"/>
                <w:noProof/>
                <w:lang w:val="en-ZA"/>
              </w:rPr>
              <w:t>3.2.</w:t>
            </w:r>
            <w:r w:rsidR="00297396">
              <w:rPr>
                <w:rFonts w:asciiTheme="minorHAnsi" w:eastAsiaTheme="minorEastAsia" w:hAnsiTheme="minorHAnsi"/>
                <w:noProof/>
                <w:sz w:val="22"/>
                <w:lang w:val="en-ZA" w:eastAsia="en-ZA"/>
              </w:rPr>
              <w:tab/>
            </w:r>
            <w:r w:rsidR="00297396" w:rsidRPr="00EF3D26">
              <w:rPr>
                <w:rStyle w:val="Hyperlink"/>
                <w:noProof/>
                <w:lang w:val="en-ZA"/>
              </w:rPr>
              <w:t>Change management process</w:t>
            </w:r>
            <w:r w:rsidR="00297396">
              <w:rPr>
                <w:noProof/>
                <w:webHidden/>
              </w:rPr>
              <w:tab/>
            </w:r>
            <w:r w:rsidR="00297396">
              <w:rPr>
                <w:noProof/>
                <w:webHidden/>
              </w:rPr>
              <w:fldChar w:fldCharType="begin"/>
            </w:r>
            <w:r w:rsidR="00297396">
              <w:rPr>
                <w:noProof/>
                <w:webHidden/>
              </w:rPr>
              <w:instrText xml:space="preserve"> PAGEREF _Toc24894664 \h </w:instrText>
            </w:r>
            <w:r w:rsidR="00297396">
              <w:rPr>
                <w:noProof/>
                <w:webHidden/>
              </w:rPr>
            </w:r>
            <w:r w:rsidR="00297396">
              <w:rPr>
                <w:noProof/>
                <w:webHidden/>
              </w:rPr>
              <w:fldChar w:fldCharType="separate"/>
            </w:r>
            <w:r w:rsidR="00297396">
              <w:rPr>
                <w:noProof/>
                <w:webHidden/>
              </w:rPr>
              <w:t>8</w:t>
            </w:r>
            <w:r w:rsidR="00297396">
              <w:rPr>
                <w:noProof/>
                <w:webHidden/>
              </w:rPr>
              <w:fldChar w:fldCharType="end"/>
            </w:r>
          </w:hyperlink>
        </w:p>
        <w:p w14:paraId="6E9247AE" w14:textId="59F21B2F" w:rsidR="00297396" w:rsidRDefault="00D62FEA">
          <w:pPr>
            <w:pStyle w:val="TOC2"/>
            <w:tabs>
              <w:tab w:val="left" w:pos="800"/>
              <w:tab w:val="right" w:leader="dot" w:pos="9350"/>
            </w:tabs>
            <w:rPr>
              <w:rFonts w:asciiTheme="minorHAnsi" w:eastAsiaTheme="minorEastAsia" w:hAnsiTheme="minorHAnsi"/>
              <w:noProof/>
              <w:sz w:val="22"/>
              <w:lang w:val="en-ZA" w:eastAsia="en-ZA"/>
            </w:rPr>
          </w:pPr>
          <w:hyperlink w:anchor="_Toc24894665" w:history="1">
            <w:r w:rsidR="00297396" w:rsidRPr="00EF3D26">
              <w:rPr>
                <w:rStyle w:val="Hyperlink"/>
                <w:noProof/>
                <w:lang w:val="en-ZA"/>
              </w:rPr>
              <w:t>3.3.</w:t>
            </w:r>
            <w:r w:rsidR="00297396">
              <w:rPr>
                <w:rFonts w:asciiTheme="minorHAnsi" w:eastAsiaTheme="minorEastAsia" w:hAnsiTheme="minorHAnsi"/>
                <w:noProof/>
                <w:sz w:val="22"/>
                <w:lang w:val="en-ZA" w:eastAsia="en-ZA"/>
              </w:rPr>
              <w:tab/>
            </w:r>
            <w:r w:rsidR="00297396" w:rsidRPr="00EF3D26">
              <w:rPr>
                <w:rStyle w:val="Hyperlink"/>
                <w:noProof/>
                <w:lang w:val="en-ZA"/>
              </w:rPr>
              <w:t>Executive steering committee</w:t>
            </w:r>
            <w:r w:rsidR="00297396">
              <w:rPr>
                <w:noProof/>
                <w:webHidden/>
              </w:rPr>
              <w:tab/>
            </w:r>
            <w:r w:rsidR="00297396">
              <w:rPr>
                <w:noProof/>
                <w:webHidden/>
              </w:rPr>
              <w:fldChar w:fldCharType="begin"/>
            </w:r>
            <w:r w:rsidR="00297396">
              <w:rPr>
                <w:noProof/>
                <w:webHidden/>
              </w:rPr>
              <w:instrText xml:space="preserve"> PAGEREF _Toc24894665 \h </w:instrText>
            </w:r>
            <w:r w:rsidR="00297396">
              <w:rPr>
                <w:noProof/>
                <w:webHidden/>
              </w:rPr>
            </w:r>
            <w:r w:rsidR="00297396">
              <w:rPr>
                <w:noProof/>
                <w:webHidden/>
              </w:rPr>
              <w:fldChar w:fldCharType="separate"/>
            </w:r>
            <w:r w:rsidR="00297396">
              <w:rPr>
                <w:noProof/>
                <w:webHidden/>
              </w:rPr>
              <w:t>8</w:t>
            </w:r>
            <w:r w:rsidR="00297396">
              <w:rPr>
                <w:noProof/>
                <w:webHidden/>
              </w:rPr>
              <w:fldChar w:fldCharType="end"/>
            </w:r>
          </w:hyperlink>
        </w:p>
        <w:p w14:paraId="7CD4D4D2" w14:textId="5A7D3354" w:rsidR="00297396" w:rsidRDefault="00D62FEA">
          <w:pPr>
            <w:pStyle w:val="TOC2"/>
            <w:tabs>
              <w:tab w:val="left" w:pos="800"/>
              <w:tab w:val="right" w:leader="dot" w:pos="9350"/>
            </w:tabs>
            <w:rPr>
              <w:rFonts w:asciiTheme="minorHAnsi" w:eastAsiaTheme="minorEastAsia" w:hAnsiTheme="minorHAnsi"/>
              <w:noProof/>
              <w:sz w:val="22"/>
              <w:lang w:val="en-ZA" w:eastAsia="en-ZA"/>
            </w:rPr>
          </w:pPr>
          <w:hyperlink w:anchor="_Toc24894666" w:history="1">
            <w:r w:rsidR="00297396" w:rsidRPr="00EF3D26">
              <w:rPr>
                <w:rStyle w:val="Hyperlink"/>
                <w:noProof/>
                <w:lang w:val="en-ZA"/>
              </w:rPr>
              <w:t>3.4.</w:t>
            </w:r>
            <w:r w:rsidR="00297396">
              <w:rPr>
                <w:rFonts w:asciiTheme="minorHAnsi" w:eastAsiaTheme="minorEastAsia" w:hAnsiTheme="minorHAnsi"/>
                <w:noProof/>
                <w:sz w:val="22"/>
                <w:lang w:val="en-ZA" w:eastAsia="en-ZA"/>
              </w:rPr>
              <w:tab/>
            </w:r>
            <w:r w:rsidR="00297396" w:rsidRPr="00EF3D26">
              <w:rPr>
                <w:rStyle w:val="Hyperlink"/>
                <w:noProof/>
                <w:lang w:val="en-ZA"/>
              </w:rPr>
              <w:t>Project completion</w:t>
            </w:r>
            <w:r w:rsidR="00297396">
              <w:rPr>
                <w:noProof/>
                <w:webHidden/>
              </w:rPr>
              <w:tab/>
            </w:r>
            <w:r w:rsidR="00297396">
              <w:rPr>
                <w:noProof/>
                <w:webHidden/>
              </w:rPr>
              <w:fldChar w:fldCharType="begin"/>
            </w:r>
            <w:r w:rsidR="00297396">
              <w:rPr>
                <w:noProof/>
                <w:webHidden/>
              </w:rPr>
              <w:instrText xml:space="preserve"> PAGEREF _Toc24894666 \h </w:instrText>
            </w:r>
            <w:r w:rsidR="00297396">
              <w:rPr>
                <w:noProof/>
                <w:webHidden/>
              </w:rPr>
            </w:r>
            <w:r w:rsidR="00297396">
              <w:rPr>
                <w:noProof/>
                <w:webHidden/>
              </w:rPr>
              <w:fldChar w:fldCharType="separate"/>
            </w:r>
            <w:r w:rsidR="00297396">
              <w:rPr>
                <w:noProof/>
                <w:webHidden/>
              </w:rPr>
              <w:t>9</w:t>
            </w:r>
            <w:r w:rsidR="00297396">
              <w:rPr>
                <w:noProof/>
                <w:webHidden/>
              </w:rPr>
              <w:fldChar w:fldCharType="end"/>
            </w:r>
          </w:hyperlink>
        </w:p>
        <w:p w14:paraId="0BF56AD0" w14:textId="2C3C5722" w:rsidR="00297396" w:rsidRDefault="00D62FEA">
          <w:pPr>
            <w:pStyle w:val="TOC1"/>
            <w:tabs>
              <w:tab w:val="left" w:pos="400"/>
              <w:tab w:val="right" w:leader="dot" w:pos="9350"/>
            </w:tabs>
            <w:rPr>
              <w:rFonts w:asciiTheme="minorHAnsi" w:eastAsiaTheme="minorEastAsia" w:hAnsiTheme="minorHAnsi"/>
              <w:noProof/>
              <w:sz w:val="22"/>
              <w:lang w:val="en-ZA" w:eastAsia="en-ZA"/>
            </w:rPr>
          </w:pPr>
          <w:hyperlink w:anchor="_Toc24894667" w:history="1">
            <w:r w:rsidR="00297396" w:rsidRPr="00EF3D26">
              <w:rPr>
                <w:rStyle w:val="Hyperlink"/>
                <w:noProof/>
                <w:lang w:val="en-ZA"/>
              </w:rPr>
              <w:t>4.</w:t>
            </w:r>
            <w:r w:rsidR="00297396">
              <w:rPr>
                <w:rFonts w:asciiTheme="minorHAnsi" w:eastAsiaTheme="minorEastAsia" w:hAnsiTheme="minorHAnsi"/>
                <w:noProof/>
                <w:sz w:val="22"/>
                <w:lang w:val="en-ZA" w:eastAsia="en-ZA"/>
              </w:rPr>
              <w:tab/>
            </w:r>
            <w:r w:rsidR="00297396" w:rsidRPr="00EF3D26">
              <w:rPr>
                <w:rStyle w:val="Hyperlink"/>
                <w:noProof/>
                <w:lang w:val="en-ZA"/>
              </w:rPr>
              <w:t>Project organization</w:t>
            </w:r>
            <w:r w:rsidR="00297396">
              <w:rPr>
                <w:noProof/>
                <w:webHidden/>
              </w:rPr>
              <w:tab/>
            </w:r>
            <w:r w:rsidR="00297396">
              <w:rPr>
                <w:noProof/>
                <w:webHidden/>
              </w:rPr>
              <w:fldChar w:fldCharType="begin"/>
            </w:r>
            <w:r w:rsidR="00297396">
              <w:rPr>
                <w:noProof/>
                <w:webHidden/>
              </w:rPr>
              <w:instrText xml:space="preserve"> PAGEREF _Toc24894667 \h </w:instrText>
            </w:r>
            <w:r w:rsidR="00297396">
              <w:rPr>
                <w:noProof/>
                <w:webHidden/>
              </w:rPr>
            </w:r>
            <w:r w:rsidR="00297396">
              <w:rPr>
                <w:noProof/>
                <w:webHidden/>
              </w:rPr>
              <w:fldChar w:fldCharType="separate"/>
            </w:r>
            <w:r w:rsidR="00297396">
              <w:rPr>
                <w:noProof/>
                <w:webHidden/>
              </w:rPr>
              <w:t>9</w:t>
            </w:r>
            <w:r w:rsidR="00297396">
              <w:rPr>
                <w:noProof/>
                <w:webHidden/>
              </w:rPr>
              <w:fldChar w:fldCharType="end"/>
            </w:r>
          </w:hyperlink>
        </w:p>
        <w:p w14:paraId="610F5E0A" w14:textId="78343EE1" w:rsidR="00297396" w:rsidRDefault="00D62FEA">
          <w:pPr>
            <w:pStyle w:val="TOC2"/>
            <w:tabs>
              <w:tab w:val="left" w:pos="800"/>
              <w:tab w:val="right" w:leader="dot" w:pos="9350"/>
            </w:tabs>
            <w:rPr>
              <w:rFonts w:asciiTheme="minorHAnsi" w:eastAsiaTheme="minorEastAsia" w:hAnsiTheme="minorHAnsi"/>
              <w:noProof/>
              <w:sz w:val="22"/>
              <w:lang w:val="en-ZA" w:eastAsia="en-ZA"/>
            </w:rPr>
          </w:pPr>
          <w:hyperlink w:anchor="_Toc24894668" w:history="1">
            <w:r w:rsidR="00297396" w:rsidRPr="00EF3D26">
              <w:rPr>
                <w:rStyle w:val="Hyperlink"/>
                <w:noProof/>
                <w:lang w:val="en-ZA"/>
              </w:rPr>
              <w:t>4.1.</w:t>
            </w:r>
            <w:r w:rsidR="00297396">
              <w:rPr>
                <w:rFonts w:asciiTheme="minorHAnsi" w:eastAsiaTheme="minorEastAsia" w:hAnsiTheme="minorHAnsi"/>
                <w:noProof/>
                <w:sz w:val="22"/>
                <w:lang w:val="en-ZA" w:eastAsia="en-ZA"/>
              </w:rPr>
              <w:tab/>
            </w:r>
            <w:r w:rsidR="00297396" w:rsidRPr="00EF3D26">
              <w:rPr>
                <w:rStyle w:val="Hyperlink"/>
                <w:noProof/>
                <w:lang w:val="en-ZA"/>
              </w:rPr>
              <w:t>Project roles and responsibilities</w:t>
            </w:r>
            <w:r w:rsidR="00297396">
              <w:rPr>
                <w:noProof/>
                <w:webHidden/>
              </w:rPr>
              <w:tab/>
            </w:r>
            <w:r w:rsidR="00297396">
              <w:rPr>
                <w:noProof/>
                <w:webHidden/>
              </w:rPr>
              <w:fldChar w:fldCharType="begin"/>
            </w:r>
            <w:r w:rsidR="00297396">
              <w:rPr>
                <w:noProof/>
                <w:webHidden/>
              </w:rPr>
              <w:instrText xml:space="preserve"> PAGEREF _Toc24894668 \h </w:instrText>
            </w:r>
            <w:r w:rsidR="00297396">
              <w:rPr>
                <w:noProof/>
                <w:webHidden/>
              </w:rPr>
            </w:r>
            <w:r w:rsidR="00297396">
              <w:rPr>
                <w:noProof/>
                <w:webHidden/>
              </w:rPr>
              <w:fldChar w:fldCharType="separate"/>
            </w:r>
            <w:r w:rsidR="00297396">
              <w:rPr>
                <w:noProof/>
                <w:webHidden/>
              </w:rPr>
              <w:t>9</w:t>
            </w:r>
            <w:r w:rsidR="00297396">
              <w:rPr>
                <w:noProof/>
                <w:webHidden/>
              </w:rPr>
              <w:fldChar w:fldCharType="end"/>
            </w:r>
          </w:hyperlink>
        </w:p>
        <w:p w14:paraId="2597937B" w14:textId="2EC3AE02" w:rsidR="00297396" w:rsidRDefault="00D62FEA">
          <w:pPr>
            <w:pStyle w:val="TOC1"/>
            <w:tabs>
              <w:tab w:val="left" w:pos="400"/>
              <w:tab w:val="right" w:leader="dot" w:pos="9350"/>
            </w:tabs>
            <w:rPr>
              <w:rFonts w:asciiTheme="minorHAnsi" w:eastAsiaTheme="minorEastAsia" w:hAnsiTheme="minorHAnsi"/>
              <w:noProof/>
              <w:sz w:val="22"/>
              <w:lang w:val="en-ZA" w:eastAsia="en-ZA"/>
            </w:rPr>
          </w:pPr>
          <w:hyperlink w:anchor="_Toc24894669" w:history="1">
            <w:r w:rsidR="00297396" w:rsidRPr="00EF3D26">
              <w:rPr>
                <w:rStyle w:val="Hyperlink"/>
                <w:noProof/>
                <w:lang w:val="en-ZA"/>
              </w:rPr>
              <w:t>5.</w:t>
            </w:r>
            <w:r w:rsidR="00297396">
              <w:rPr>
                <w:rFonts w:asciiTheme="minorHAnsi" w:eastAsiaTheme="minorEastAsia" w:hAnsiTheme="minorHAnsi"/>
                <w:noProof/>
                <w:sz w:val="22"/>
                <w:lang w:val="en-ZA" w:eastAsia="en-ZA"/>
              </w:rPr>
              <w:tab/>
            </w:r>
            <w:r w:rsidR="00297396" w:rsidRPr="00EF3D26">
              <w:rPr>
                <w:rStyle w:val="Hyperlink"/>
                <w:noProof/>
                <w:lang w:val="en-ZA"/>
              </w:rPr>
              <w:t>Customer responsibilities</w:t>
            </w:r>
            <w:r w:rsidR="00297396">
              <w:rPr>
                <w:noProof/>
                <w:webHidden/>
              </w:rPr>
              <w:tab/>
            </w:r>
            <w:r w:rsidR="00297396">
              <w:rPr>
                <w:noProof/>
                <w:webHidden/>
              </w:rPr>
              <w:fldChar w:fldCharType="begin"/>
            </w:r>
            <w:r w:rsidR="00297396">
              <w:rPr>
                <w:noProof/>
                <w:webHidden/>
              </w:rPr>
              <w:instrText xml:space="preserve"> PAGEREF _Toc24894669 \h </w:instrText>
            </w:r>
            <w:r w:rsidR="00297396">
              <w:rPr>
                <w:noProof/>
                <w:webHidden/>
              </w:rPr>
            </w:r>
            <w:r w:rsidR="00297396">
              <w:rPr>
                <w:noProof/>
                <w:webHidden/>
              </w:rPr>
              <w:fldChar w:fldCharType="separate"/>
            </w:r>
            <w:r w:rsidR="00297396">
              <w:rPr>
                <w:noProof/>
                <w:webHidden/>
              </w:rPr>
              <w:t>10</w:t>
            </w:r>
            <w:r w:rsidR="00297396">
              <w:rPr>
                <w:noProof/>
                <w:webHidden/>
              </w:rPr>
              <w:fldChar w:fldCharType="end"/>
            </w:r>
          </w:hyperlink>
        </w:p>
        <w:p w14:paraId="3B1BB14B" w14:textId="43019419" w:rsidR="00C23371" w:rsidRPr="002F70FD" w:rsidRDefault="00EF21FB">
          <w:pPr>
            <w:rPr>
              <w:lang w:val="en-ZA"/>
            </w:rPr>
          </w:pPr>
          <w:r w:rsidRPr="002F70FD">
            <w:rPr>
              <w:lang w:val="en-ZA"/>
            </w:rPr>
            <w:fldChar w:fldCharType="end"/>
          </w:r>
        </w:p>
      </w:sdtContent>
    </w:sdt>
    <w:p w14:paraId="3B1BB14C" w14:textId="77777777" w:rsidR="00C81329" w:rsidRPr="002F70FD" w:rsidRDefault="00C81329">
      <w:pPr>
        <w:rPr>
          <w:lang w:val="en-ZA"/>
        </w:rPr>
      </w:pPr>
    </w:p>
    <w:p w14:paraId="3B1BB14D" w14:textId="77777777" w:rsidR="007E7F79" w:rsidRPr="002F70FD" w:rsidRDefault="007E7F79">
      <w:pPr>
        <w:rPr>
          <w:highlight w:val="yellow"/>
          <w:lang w:val="en-ZA"/>
        </w:rPr>
        <w:sectPr w:rsidR="007E7F79" w:rsidRPr="002F70FD" w:rsidSect="00525EBE">
          <w:footerReference w:type="first" r:id="rId8"/>
          <w:pgSz w:w="12240" w:h="15840" w:code="1"/>
          <w:pgMar w:top="1440" w:right="1440" w:bottom="1440" w:left="1440" w:header="720" w:footer="720" w:gutter="0"/>
          <w:pgNumType w:start="1"/>
          <w:cols w:space="720"/>
          <w:docGrid w:linePitch="360"/>
        </w:sectPr>
      </w:pPr>
    </w:p>
    <w:p w14:paraId="3B1BB14E" w14:textId="3F87C9EE" w:rsidR="0001741F" w:rsidRPr="002F70FD" w:rsidRDefault="0001741F" w:rsidP="0001741F">
      <w:pPr>
        <w:rPr>
          <w:lang w:val="en-ZA"/>
        </w:rPr>
      </w:pPr>
      <w:bookmarkStart w:id="4" w:name="_Toc476167701"/>
      <w:bookmarkStart w:id="5" w:name="_Toc476168021"/>
      <w:r w:rsidRPr="002F70FD">
        <w:rPr>
          <w:lang w:val="en-ZA"/>
        </w:rPr>
        <w:lastRenderedPageBreak/>
        <w:t xml:space="preserve">This Statement of Work (SOW) and any exhibits, appendices, schedules, and attachments to it are made pursuant to Work Order </w:t>
      </w:r>
      <w:r w:rsidR="00CC3EAC" w:rsidRPr="00CC3EAC">
        <w:rPr>
          <w:rStyle w:val="InstructionalChar"/>
          <w:color w:val="auto"/>
          <w:lang w:val="en-ZA"/>
        </w:rPr>
        <w:t xml:space="preserve">6ZAF201-260353-308257 </w:t>
      </w:r>
      <w:r w:rsidRPr="002F70FD">
        <w:rPr>
          <w:lang w:val="en-ZA"/>
        </w:rPr>
        <w:t>and describes the work to be performed (Services) by Microsoft (“us,” “we”) for</w:t>
      </w:r>
      <w:r w:rsidR="00521682" w:rsidRPr="002F70FD">
        <w:rPr>
          <w:lang w:val="en-ZA"/>
        </w:rPr>
        <w:t xml:space="preserve"> State Technology </w:t>
      </w:r>
      <w:r w:rsidR="00774D67" w:rsidRPr="002F70FD">
        <w:rPr>
          <w:lang w:val="en-ZA"/>
        </w:rPr>
        <w:t>Information Agency on behalf of Gauteng Provincial Government</w:t>
      </w:r>
      <w:r w:rsidRPr="002F70FD">
        <w:rPr>
          <w:lang w:val="en-ZA"/>
        </w:rPr>
        <w:t xml:space="preserve"> (</w:t>
      </w:r>
      <w:r w:rsidR="00774D67" w:rsidRPr="002F70FD">
        <w:rPr>
          <w:lang w:val="en-ZA"/>
        </w:rPr>
        <w:t xml:space="preserve">“SITA”, “”, </w:t>
      </w:r>
      <w:r w:rsidRPr="002F70FD">
        <w:rPr>
          <w:lang w:val="en-ZA"/>
        </w:rPr>
        <w:t>“Customer,” “you,” “your”) relating to</w:t>
      </w:r>
      <w:r w:rsidR="00774D67" w:rsidRPr="002F70FD">
        <w:rPr>
          <w:lang w:val="en-ZA"/>
        </w:rPr>
        <w:t xml:space="preserve">  Hypercare</w:t>
      </w:r>
      <w:r w:rsidR="00352346">
        <w:rPr>
          <w:lang w:val="en-ZA"/>
        </w:rPr>
        <w:t xml:space="preserve"> Support</w:t>
      </w:r>
      <w:r w:rsidRPr="002F70FD">
        <w:rPr>
          <w:lang w:val="en-ZA"/>
        </w:rPr>
        <w:t xml:space="preserve"> (</w:t>
      </w:r>
      <w:r w:rsidR="008553F7" w:rsidRPr="002F70FD">
        <w:rPr>
          <w:lang w:val="en-ZA"/>
        </w:rPr>
        <w:t>“</w:t>
      </w:r>
      <w:r w:rsidRPr="002F70FD">
        <w:rPr>
          <w:lang w:val="en-ZA"/>
        </w:rPr>
        <w:t>project</w:t>
      </w:r>
      <w:r w:rsidR="008553F7" w:rsidRPr="002F70FD">
        <w:rPr>
          <w:lang w:val="en-ZA"/>
        </w:rPr>
        <w:t>”</w:t>
      </w:r>
      <w:r w:rsidRPr="002F70FD">
        <w:rPr>
          <w:lang w:val="en-ZA"/>
        </w:rPr>
        <w:t>).</w:t>
      </w:r>
    </w:p>
    <w:p w14:paraId="3B1BB14F" w14:textId="77777777" w:rsidR="0001741F" w:rsidRPr="002F70FD" w:rsidRDefault="0001741F" w:rsidP="0001741F">
      <w:pPr>
        <w:rPr>
          <w:lang w:val="en-ZA"/>
        </w:rPr>
      </w:pPr>
      <w:r w:rsidRPr="002F70FD">
        <w:rPr>
          <w:lang w:val="en-ZA"/>
        </w:rPr>
        <w:t xml:space="preserve">This SOW and the associated Work Order expire 30 days after their publication date, unless signed by both parties </w:t>
      </w:r>
      <w:proofErr w:type="gramStart"/>
      <w:r w:rsidRPr="002F70FD">
        <w:rPr>
          <w:lang w:val="en-ZA"/>
        </w:rPr>
        <w:t>or</w:t>
      </w:r>
      <w:proofErr w:type="gramEnd"/>
      <w:r w:rsidRPr="002F70FD">
        <w:rPr>
          <w:lang w:val="en-ZA"/>
        </w:rPr>
        <w:t xml:space="preserve"> formally extended in writing by Microsoft.</w:t>
      </w:r>
    </w:p>
    <w:p w14:paraId="3B1BB150" w14:textId="77777777" w:rsidR="00C81329" w:rsidRPr="002F70FD" w:rsidRDefault="00C81329" w:rsidP="004737C4">
      <w:pPr>
        <w:pStyle w:val="Heading1nonumbers"/>
        <w:rPr>
          <w:lang w:val="en-ZA"/>
        </w:rPr>
      </w:pPr>
      <w:bookmarkStart w:id="6" w:name="_Toc24894656"/>
      <w:r w:rsidRPr="002F70FD">
        <w:rPr>
          <w:lang w:val="en-ZA"/>
        </w:rPr>
        <w:t>Introduction</w:t>
      </w:r>
      <w:bookmarkEnd w:id="4"/>
      <w:bookmarkEnd w:id="5"/>
      <w:bookmarkEnd w:id="6"/>
    </w:p>
    <w:p w14:paraId="406658A6" w14:textId="47058EB0" w:rsidR="00713547" w:rsidRPr="002F70FD" w:rsidRDefault="00713547" w:rsidP="00713547">
      <w:pPr>
        <w:jc w:val="both"/>
        <w:rPr>
          <w:lang w:val="en-ZA"/>
        </w:rPr>
      </w:pPr>
      <w:r w:rsidRPr="002F70FD">
        <w:rPr>
          <w:lang w:val="en-ZA"/>
        </w:rPr>
        <w:t xml:space="preserve">A recurring theme of ’s digital transformation journey is the leveraging of its investment with its strategic partners such as Microsoft. To support </w:t>
      </w:r>
      <w:proofErr w:type="gramStart"/>
      <w:r w:rsidRPr="002F70FD">
        <w:rPr>
          <w:lang w:val="en-ZA"/>
        </w:rPr>
        <w:t>this,  will</w:t>
      </w:r>
      <w:proofErr w:type="gramEnd"/>
      <w:r w:rsidRPr="002F70FD">
        <w:rPr>
          <w:lang w:val="en-ZA"/>
        </w:rPr>
        <w:t xml:space="preserve"> commission a migration project from Hosted Exchange to Exchange Online in order to reduce operational costs and increase the utilization of its Enterprise Agreement. </w:t>
      </w:r>
    </w:p>
    <w:p w14:paraId="3163C1CE" w14:textId="77777777" w:rsidR="00713547" w:rsidRPr="002F70FD" w:rsidRDefault="00713547" w:rsidP="00713547">
      <w:pPr>
        <w:jc w:val="both"/>
        <w:rPr>
          <w:lang w:val="en-ZA"/>
        </w:rPr>
      </w:pPr>
      <w:r w:rsidRPr="002F70FD">
        <w:rPr>
          <w:lang w:val="en-ZA"/>
        </w:rPr>
        <w:t>Migration to Exchange Online will be the first step to value realisation of the investment in Microsoft cloud services. This project will focus on transforming the hosted Exchange email platform to Exchange Online and unlock the integration benefits that come with the cloud service.</w:t>
      </w:r>
    </w:p>
    <w:p w14:paraId="5B0ECC15" w14:textId="3B3FC164" w:rsidR="00713547" w:rsidRPr="002F70FD" w:rsidRDefault="00713547" w:rsidP="00713547">
      <w:pPr>
        <w:jc w:val="both"/>
        <w:rPr>
          <w:lang w:val="en-ZA"/>
        </w:rPr>
      </w:pPr>
      <w:r w:rsidRPr="002F70FD">
        <w:rPr>
          <w:lang w:val="en-ZA"/>
        </w:rPr>
        <w:t>The Migration to Exchange Online Project includes a current and post implementation project support (</w:t>
      </w:r>
      <w:r w:rsidRPr="002F70FD">
        <w:rPr>
          <w:i/>
          <w:lang w:val="en-ZA"/>
        </w:rPr>
        <w:t>hand-holding</w:t>
      </w:r>
      <w:r w:rsidRPr="002F70FD">
        <w:rPr>
          <w:lang w:val="en-ZA"/>
        </w:rPr>
        <w:t xml:space="preserve">) phase which will assist in adoption management during the migration and immediately post </w:t>
      </w:r>
      <w:proofErr w:type="spellStart"/>
      <w:r w:rsidRPr="002F70FD">
        <w:rPr>
          <w:lang w:val="en-ZA"/>
        </w:rPr>
        <w:t>go-live</w:t>
      </w:r>
      <w:proofErr w:type="spellEnd"/>
      <w:r w:rsidRPr="002F70FD">
        <w:rPr>
          <w:lang w:val="en-ZA"/>
        </w:rPr>
        <w:t xml:space="preserve"> of Exchange Online. This phase is referred to as ‘Hypercare’. This phase focuses on migration support, customer support, system stability and system knowledge reinforcement. Hypercare Support effort will leverage the knowledge and experience of each work stream and require coordination and collaboration between , Microsoft and the selected TER partner/s. Hypercare is customer-</w:t>
      </w:r>
      <w:r w:rsidR="00924069" w:rsidRPr="002F70FD">
        <w:rPr>
          <w:lang w:val="en-ZA"/>
        </w:rPr>
        <w:t>centred</w:t>
      </w:r>
      <w:r w:rsidRPr="002F70FD">
        <w:rPr>
          <w:lang w:val="en-ZA"/>
        </w:rPr>
        <w:t xml:space="preserve"> support during a critical period in the project lifecycle.</w:t>
      </w:r>
    </w:p>
    <w:p w14:paraId="3B1BB151" w14:textId="61B83012" w:rsidR="00B5324B" w:rsidRPr="002F70FD" w:rsidRDefault="00713547" w:rsidP="0032778B">
      <w:pPr>
        <w:jc w:val="both"/>
        <w:rPr>
          <w:lang w:val="en-ZA"/>
        </w:rPr>
      </w:pPr>
      <w:r w:rsidRPr="002F70FD">
        <w:rPr>
          <w:lang w:val="en-ZA"/>
        </w:rPr>
        <w:t>Hypercare will identify appropriate channels for the first level to third level of support, confirm issue resolution pathways, determine communications tactics, and ensure the project is gathering the necessary organizational support to meet user needs during migration and immediately post migration.</w:t>
      </w:r>
    </w:p>
    <w:p w14:paraId="3B1BB152" w14:textId="51D2607F" w:rsidR="00C81329" w:rsidRPr="002F70FD" w:rsidRDefault="00C81329" w:rsidP="00C84DD9">
      <w:pPr>
        <w:pStyle w:val="Heading1"/>
        <w:rPr>
          <w:lang w:val="en-ZA"/>
        </w:rPr>
      </w:pPr>
      <w:bookmarkStart w:id="7" w:name="_Toc476167702"/>
      <w:bookmarkStart w:id="8" w:name="_Toc476168022"/>
      <w:bookmarkStart w:id="9" w:name="_Ref477786305"/>
      <w:bookmarkStart w:id="10" w:name="_Toc24894657"/>
      <w:r w:rsidRPr="002F70FD">
        <w:rPr>
          <w:lang w:val="en-ZA"/>
        </w:rPr>
        <w:t xml:space="preserve">Project </w:t>
      </w:r>
      <w:r w:rsidR="00D8456D" w:rsidRPr="002F70FD">
        <w:rPr>
          <w:lang w:val="en-ZA"/>
        </w:rPr>
        <w:t>objective</w:t>
      </w:r>
      <w:r w:rsidR="00267D79" w:rsidRPr="002F70FD">
        <w:rPr>
          <w:lang w:val="en-ZA"/>
        </w:rPr>
        <w:t>s</w:t>
      </w:r>
      <w:r w:rsidR="00D8456D" w:rsidRPr="002F70FD">
        <w:rPr>
          <w:lang w:val="en-ZA"/>
        </w:rPr>
        <w:t xml:space="preserve"> and scope</w:t>
      </w:r>
      <w:bookmarkEnd w:id="7"/>
      <w:bookmarkEnd w:id="8"/>
      <w:bookmarkEnd w:id="9"/>
      <w:bookmarkEnd w:id="10"/>
    </w:p>
    <w:p w14:paraId="3B1BB153" w14:textId="77777777" w:rsidR="005A1C5E" w:rsidRPr="002F70FD" w:rsidRDefault="005A1C5E" w:rsidP="00C84DD9">
      <w:pPr>
        <w:pStyle w:val="Heading2"/>
        <w:rPr>
          <w:lang w:val="en-ZA"/>
        </w:rPr>
      </w:pPr>
      <w:bookmarkStart w:id="11" w:name="_Toc476167703"/>
      <w:bookmarkStart w:id="12" w:name="_Toc476168023"/>
      <w:bookmarkStart w:id="13" w:name="_Toc24894658"/>
      <w:r w:rsidRPr="002F70FD">
        <w:rPr>
          <w:lang w:val="en-ZA"/>
        </w:rPr>
        <w:t>Objectives</w:t>
      </w:r>
      <w:bookmarkEnd w:id="11"/>
      <w:bookmarkEnd w:id="12"/>
      <w:bookmarkEnd w:id="13"/>
    </w:p>
    <w:p w14:paraId="4A7C0112" w14:textId="77777777" w:rsidR="00BF32DE" w:rsidRPr="002F70FD" w:rsidRDefault="00BF32DE" w:rsidP="00BF32DE">
      <w:pPr>
        <w:rPr>
          <w:lang w:val="en-ZA"/>
        </w:rPr>
      </w:pPr>
      <w:r w:rsidRPr="002F70FD">
        <w:rPr>
          <w:lang w:val="en-ZA"/>
        </w:rPr>
        <w:t>The project objectives include:</w:t>
      </w:r>
    </w:p>
    <w:p w14:paraId="1241F1B3" w14:textId="17EAEFCC" w:rsidR="00BF32DE" w:rsidRDefault="00BF32DE" w:rsidP="00543F78">
      <w:pPr>
        <w:pStyle w:val="ListParagraph"/>
        <w:numPr>
          <w:ilvl w:val="0"/>
          <w:numId w:val="9"/>
        </w:numPr>
        <w:spacing w:line="276" w:lineRule="auto"/>
        <w:jc w:val="both"/>
        <w:rPr>
          <w:lang w:val="en-ZA"/>
        </w:rPr>
      </w:pPr>
      <w:proofErr w:type="gramStart"/>
      <w:r w:rsidRPr="002F70FD">
        <w:rPr>
          <w:lang w:val="en-ZA"/>
        </w:rPr>
        <w:t>Assisting  to</w:t>
      </w:r>
      <w:proofErr w:type="gramEnd"/>
      <w:r w:rsidRPr="002F70FD">
        <w:rPr>
          <w:lang w:val="en-ZA"/>
        </w:rPr>
        <w:t xml:space="preserve"> closely monitor customer service, and the smooth functioning of the implemented solution. </w:t>
      </w:r>
    </w:p>
    <w:p w14:paraId="544D0621" w14:textId="2AFE301D" w:rsidR="00273C56" w:rsidRPr="002F70FD" w:rsidRDefault="00FF0411" w:rsidP="00543F78">
      <w:pPr>
        <w:pStyle w:val="ListParagraph"/>
        <w:numPr>
          <w:ilvl w:val="0"/>
          <w:numId w:val="9"/>
        </w:numPr>
        <w:spacing w:line="276" w:lineRule="auto"/>
        <w:jc w:val="both"/>
        <w:rPr>
          <w:lang w:val="en-ZA"/>
        </w:rPr>
      </w:pPr>
      <w:r>
        <w:rPr>
          <w:lang w:val="en-ZA"/>
        </w:rPr>
        <w:t>None of the M</w:t>
      </w:r>
      <w:r w:rsidR="00EF4206">
        <w:rPr>
          <w:lang w:val="en-ZA"/>
        </w:rPr>
        <w:t xml:space="preserve">icrosoft </w:t>
      </w:r>
      <w:r w:rsidR="00FC51D8" w:rsidRPr="00FC51D8">
        <w:rPr>
          <w:lang w:val="en-ZA"/>
        </w:rPr>
        <w:t xml:space="preserve">team </w:t>
      </w:r>
      <w:r>
        <w:rPr>
          <w:lang w:val="en-ZA"/>
        </w:rPr>
        <w:t xml:space="preserve">will have </w:t>
      </w:r>
      <w:r w:rsidR="00FC51D8" w:rsidRPr="00FC51D8">
        <w:rPr>
          <w:lang w:val="en-ZA"/>
        </w:rPr>
        <w:t>Global Admin</w:t>
      </w:r>
      <w:r>
        <w:rPr>
          <w:lang w:val="en-ZA"/>
        </w:rPr>
        <w:t xml:space="preserve"> rights. It is the responsibility </w:t>
      </w:r>
      <w:proofErr w:type="gramStart"/>
      <w:r>
        <w:rPr>
          <w:lang w:val="en-ZA"/>
        </w:rPr>
        <w:t xml:space="preserve">of </w:t>
      </w:r>
      <w:r w:rsidR="00AB039C">
        <w:rPr>
          <w:lang w:val="en-ZA"/>
        </w:rPr>
        <w:t xml:space="preserve"> to</w:t>
      </w:r>
      <w:proofErr w:type="gramEnd"/>
      <w:r w:rsidR="00AB039C">
        <w:rPr>
          <w:lang w:val="en-ZA"/>
        </w:rPr>
        <w:t xml:space="preserve"> administer the tenant</w:t>
      </w:r>
    </w:p>
    <w:p w14:paraId="29C850E6" w14:textId="4C8CAB4F" w:rsidR="00BF32DE" w:rsidRPr="002F70FD" w:rsidRDefault="00BF32DE" w:rsidP="00543F78">
      <w:pPr>
        <w:pStyle w:val="ListParagraph"/>
        <w:numPr>
          <w:ilvl w:val="0"/>
          <w:numId w:val="9"/>
        </w:numPr>
        <w:spacing w:line="276" w:lineRule="auto"/>
        <w:jc w:val="both"/>
        <w:rPr>
          <w:lang w:val="en-ZA"/>
        </w:rPr>
      </w:pPr>
      <w:r w:rsidRPr="002F70FD">
        <w:rPr>
          <w:lang w:val="en-ZA"/>
        </w:rPr>
        <w:t xml:space="preserve">Hypercare is a tiered support service, focused </w:t>
      </w:r>
      <w:r w:rsidR="007A383C">
        <w:rPr>
          <w:lang w:val="en-ZA"/>
        </w:rPr>
        <w:t xml:space="preserve">on Exchange </w:t>
      </w:r>
      <w:r w:rsidR="000D4BE4">
        <w:rPr>
          <w:lang w:val="en-ZA"/>
        </w:rPr>
        <w:t>Online</w:t>
      </w:r>
      <w:r w:rsidR="005B750D">
        <w:rPr>
          <w:lang w:val="en-ZA"/>
        </w:rPr>
        <w:t xml:space="preserve">, </w:t>
      </w:r>
      <w:r w:rsidRPr="002F70FD">
        <w:rPr>
          <w:lang w:val="en-ZA"/>
        </w:rPr>
        <w:t>mainly providing level 2</w:t>
      </w:r>
      <w:r w:rsidR="004A7369">
        <w:rPr>
          <w:lang w:val="en-ZA"/>
        </w:rPr>
        <w:t xml:space="preserve"> and </w:t>
      </w:r>
      <w:r w:rsidRPr="002F70FD">
        <w:rPr>
          <w:lang w:val="en-ZA"/>
        </w:rPr>
        <w:t>3 support which will be delivered based on the below defined levels: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703"/>
        <w:gridCol w:w="3402"/>
        <w:gridCol w:w="4254"/>
      </w:tblGrid>
      <w:tr w:rsidR="00192C6C" w:rsidRPr="002F70FD" w14:paraId="0515150F" w14:textId="77777777" w:rsidTr="00133FC0">
        <w:trPr>
          <w:trHeight w:val="360"/>
          <w:tblHeader/>
        </w:trPr>
        <w:tc>
          <w:tcPr>
            <w:tcW w:w="1703" w:type="dxa"/>
            <w:shd w:val="clear" w:color="auto" w:fill="008272"/>
          </w:tcPr>
          <w:p w14:paraId="33A41CBD" w14:textId="69EB5C3A" w:rsidR="00192C6C" w:rsidRPr="002F70FD" w:rsidRDefault="00E479AD" w:rsidP="00FE3FA6">
            <w:pPr>
              <w:pStyle w:val="Table-Header"/>
              <w:rPr>
                <w:lang w:val="en-ZA"/>
              </w:rPr>
            </w:pPr>
            <w:r w:rsidRPr="002F70FD">
              <w:rPr>
                <w:lang w:val="en-ZA"/>
              </w:rPr>
              <w:t>Support level</w:t>
            </w:r>
          </w:p>
        </w:tc>
        <w:tc>
          <w:tcPr>
            <w:tcW w:w="3402" w:type="dxa"/>
            <w:shd w:val="clear" w:color="auto" w:fill="008272"/>
          </w:tcPr>
          <w:p w14:paraId="39EF4B03" w14:textId="48657FDB" w:rsidR="00192C6C" w:rsidRPr="002F70FD" w:rsidRDefault="00691A4E" w:rsidP="00FE3FA6">
            <w:pPr>
              <w:pStyle w:val="Table-Header"/>
              <w:rPr>
                <w:lang w:val="en-ZA"/>
              </w:rPr>
            </w:pPr>
            <w:r w:rsidRPr="002F70FD">
              <w:rPr>
                <w:lang w:val="en-ZA"/>
              </w:rPr>
              <w:t>Party responsible</w:t>
            </w:r>
          </w:p>
        </w:tc>
        <w:tc>
          <w:tcPr>
            <w:tcW w:w="4254" w:type="dxa"/>
            <w:shd w:val="clear" w:color="auto" w:fill="008272"/>
          </w:tcPr>
          <w:p w14:paraId="2C1D8F74" w14:textId="785D92C9" w:rsidR="00192C6C" w:rsidRPr="002F70FD" w:rsidRDefault="00465AA1" w:rsidP="00FE3FA6">
            <w:pPr>
              <w:pStyle w:val="Table-Header"/>
              <w:rPr>
                <w:lang w:val="en-ZA"/>
              </w:rPr>
            </w:pPr>
            <w:r w:rsidRPr="002F70FD">
              <w:rPr>
                <w:lang w:val="en-ZA"/>
              </w:rPr>
              <w:t>Description</w:t>
            </w:r>
          </w:p>
        </w:tc>
      </w:tr>
      <w:tr w:rsidR="00133FC0" w:rsidRPr="002F70FD" w14:paraId="3C0390F2" w14:textId="77777777" w:rsidTr="00133FC0">
        <w:trPr>
          <w:trHeight w:val="432"/>
        </w:trPr>
        <w:tc>
          <w:tcPr>
            <w:tcW w:w="1703" w:type="dxa"/>
            <w:shd w:val="clear" w:color="auto" w:fill="auto"/>
            <w:vAlign w:val="bottom"/>
          </w:tcPr>
          <w:p w14:paraId="14D5919B" w14:textId="20A17615" w:rsidR="00133FC0" w:rsidRPr="002F70FD" w:rsidRDefault="00133FC0" w:rsidP="00133FC0">
            <w:pPr>
              <w:pStyle w:val="TableText"/>
              <w:rPr>
                <w:lang w:val="en-ZA"/>
              </w:rPr>
            </w:pPr>
            <w:r w:rsidRPr="002F70FD">
              <w:rPr>
                <w:lang w:val="en-ZA"/>
              </w:rPr>
              <w:t>Level 1 (L1)</w:t>
            </w:r>
          </w:p>
        </w:tc>
        <w:tc>
          <w:tcPr>
            <w:tcW w:w="3402" w:type="dxa"/>
            <w:shd w:val="clear" w:color="auto" w:fill="FFFFFF" w:themeFill="background1"/>
            <w:vAlign w:val="bottom"/>
          </w:tcPr>
          <w:p w14:paraId="603FA0C7" w14:textId="6D3BBBF9" w:rsidR="00133FC0" w:rsidRPr="002F70FD" w:rsidRDefault="00133FC0" w:rsidP="00133FC0">
            <w:pPr>
              <w:pStyle w:val="TableText"/>
              <w:rPr>
                <w:rFonts w:ascii="Segoe UI Semilight" w:hAnsi="Segoe UI Semilight"/>
                <w:lang w:val="en-ZA"/>
              </w:rPr>
            </w:pPr>
            <w:proofErr w:type="spellStart"/>
            <w:r w:rsidRPr="002F70FD">
              <w:rPr>
                <w:lang w:val="en-ZA"/>
              </w:rPr>
              <w:t>eGov</w:t>
            </w:r>
            <w:proofErr w:type="spellEnd"/>
            <w:r w:rsidRPr="002F70FD">
              <w:rPr>
                <w:lang w:val="en-ZA"/>
              </w:rPr>
              <w:t xml:space="preserve"> Support Team(s)</w:t>
            </w:r>
          </w:p>
        </w:tc>
        <w:tc>
          <w:tcPr>
            <w:tcW w:w="4254" w:type="dxa"/>
            <w:shd w:val="clear" w:color="auto" w:fill="FFFFFF" w:themeFill="background1"/>
            <w:vAlign w:val="bottom"/>
          </w:tcPr>
          <w:p w14:paraId="0407D859" w14:textId="27A73013" w:rsidR="00133FC0" w:rsidRPr="002F70FD" w:rsidRDefault="00133FC0" w:rsidP="00133FC0">
            <w:pPr>
              <w:pStyle w:val="TableText"/>
              <w:rPr>
                <w:rFonts w:ascii="Segoe UI Semilight" w:hAnsi="Segoe UI Semilight"/>
                <w:lang w:val="en-ZA"/>
              </w:rPr>
            </w:pPr>
            <w:r w:rsidRPr="002F70FD">
              <w:rPr>
                <w:lang w:val="en-ZA"/>
              </w:rPr>
              <w:t>Initial service request triage and Service request resolution.</w:t>
            </w:r>
          </w:p>
        </w:tc>
      </w:tr>
      <w:tr w:rsidR="00133FC0" w:rsidRPr="002F70FD" w14:paraId="4CB8622D" w14:textId="77777777" w:rsidTr="00133FC0">
        <w:trPr>
          <w:trHeight w:val="432"/>
        </w:trPr>
        <w:tc>
          <w:tcPr>
            <w:tcW w:w="1703" w:type="dxa"/>
            <w:shd w:val="clear" w:color="auto" w:fill="auto"/>
            <w:vAlign w:val="bottom"/>
          </w:tcPr>
          <w:p w14:paraId="6FDC59BF" w14:textId="53EC230A" w:rsidR="00133FC0" w:rsidRPr="002F70FD" w:rsidRDefault="00133FC0" w:rsidP="00133FC0">
            <w:pPr>
              <w:pStyle w:val="TableText"/>
              <w:rPr>
                <w:lang w:val="en-ZA"/>
              </w:rPr>
            </w:pPr>
            <w:r w:rsidRPr="002F70FD">
              <w:rPr>
                <w:lang w:val="en-ZA"/>
              </w:rPr>
              <w:lastRenderedPageBreak/>
              <w:t>Level 2 (L2)</w:t>
            </w:r>
          </w:p>
        </w:tc>
        <w:tc>
          <w:tcPr>
            <w:tcW w:w="3402" w:type="dxa"/>
            <w:shd w:val="clear" w:color="auto" w:fill="FFFFFF" w:themeFill="background1"/>
            <w:vAlign w:val="bottom"/>
          </w:tcPr>
          <w:p w14:paraId="736BD950" w14:textId="51749169" w:rsidR="00133FC0" w:rsidRPr="002F70FD" w:rsidRDefault="00133FC0" w:rsidP="00133FC0">
            <w:pPr>
              <w:pStyle w:val="TableText"/>
              <w:rPr>
                <w:rFonts w:ascii="Segoe UI Semilight" w:hAnsi="Segoe UI Semilight"/>
                <w:lang w:val="en-ZA"/>
              </w:rPr>
            </w:pPr>
            <w:r w:rsidRPr="002F70FD">
              <w:rPr>
                <w:lang w:val="en-ZA"/>
              </w:rPr>
              <w:t xml:space="preserve">Hypercare </w:t>
            </w:r>
            <w:r w:rsidR="008A5F86">
              <w:rPr>
                <w:lang w:val="en-ZA"/>
              </w:rPr>
              <w:t xml:space="preserve">Support </w:t>
            </w:r>
            <w:r w:rsidRPr="002F70FD">
              <w:rPr>
                <w:lang w:val="en-ZA"/>
              </w:rPr>
              <w:t>team</w:t>
            </w:r>
          </w:p>
        </w:tc>
        <w:tc>
          <w:tcPr>
            <w:tcW w:w="4254" w:type="dxa"/>
            <w:shd w:val="clear" w:color="auto" w:fill="FFFFFF" w:themeFill="background1"/>
            <w:vAlign w:val="bottom"/>
          </w:tcPr>
          <w:p w14:paraId="0B7CC5AE" w14:textId="6ABDC19D" w:rsidR="00133FC0" w:rsidRPr="002F70FD" w:rsidRDefault="00133FC0" w:rsidP="00133FC0">
            <w:pPr>
              <w:pStyle w:val="TableText"/>
              <w:rPr>
                <w:rFonts w:ascii="Segoe UI Semilight" w:hAnsi="Segoe UI Semilight"/>
                <w:lang w:val="en-ZA"/>
              </w:rPr>
            </w:pPr>
            <w:r w:rsidRPr="002F70FD">
              <w:rPr>
                <w:lang w:val="en-ZA"/>
              </w:rPr>
              <w:t>Receive service request escalations from L1 team, triage, resolve or escalate.</w:t>
            </w:r>
          </w:p>
        </w:tc>
      </w:tr>
      <w:tr w:rsidR="00133FC0" w:rsidRPr="002F70FD" w14:paraId="356BB73E" w14:textId="77777777" w:rsidTr="00133FC0">
        <w:trPr>
          <w:trHeight w:val="432"/>
        </w:trPr>
        <w:tc>
          <w:tcPr>
            <w:tcW w:w="1703" w:type="dxa"/>
            <w:shd w:val="clear" w:color="auto" w:fill="auto"/>
            <w:vAlign w:val="bottom"/>
          </w:tcPr>
          <w:p w14:paraId="1B25CD6C" w14:textId="006198FF" w:rsidR="00133FC0" w:rsidRPr="002F70FD" w:rsidRDefault="00133FC0" w:rsidP="00133FC0">
            <w:pPr>
              <w:pStyle w:val="TableText"/>
              <w:rPr>
                <w:lang w:val="en-ZA"/>
              </w:rPr>
            </w:pPr>
            <w:r w:rsidRPr="002F70FD">
              <w:rPr>
                <w:lang w:val="en-ZA"/>
              </w:rPr>
              <w:t>Level 3 (L3)</w:t>
            </w:r>
          </w:p>
        </w:tc>
        <w:tc>
          <w:tcPr>
            <w:tcW w:w="3402" w:type="dxa"/>
            <w:shd w:val="clear" w:color="auto" w:fill="FFFFFF" w:themeFill="background1"/>
            <w:vAlign w:val="bottom"/>
          </w:tcPr>
          <w:p w14:paraId="14465CC3" w14:textId="5ECADA41" w:rsidR="00133FC0" w:rsidRPr="002F70FD" w:rsidRDefault="00133FC0" w:rsidP="00133FC0">
            <w:pPr>
              <w:pStyle w:val="TableText"/>
              <w:rPr>
                <w:lang w:val="en-ZA"/>
              </w:rPr>
            </w:pPr>
            <w:r w:rsidRPr="002F70FD">
              <w:rPr>
                <w:lang w:val="en-ZA"/>
              </w:rPr>
              <w:t>Hypercare Support Team</w:t>
            </w:r>
          </w:p>
        </w:tc>
        <w:tc>
          <w:tcPr>
            <w:tcW w:w="4254" w:type="dxa"/>
            <w:shd w:val="clear" w:color="auto" w:fill="FFFFFF" w:themeFill="background1"/>
            <w:vAlign w:val="center"/>
          </w:tcPr>
          <w:p w14:paraId="6A6164FA" w14:textId="4F242D30" w:rsidR="00133FC0" w:rsidRPr="002F70FD" w:rsidRDefault="00133FC0" w:rsidP="00133FC0">
            <w:pPr>
              <w:pStyle w:val="TableText"/>
              <w:rPr>
                <w:lang w:val="en-ZA"/>
              </w:rPr>
            </w:pPr>
            <w:r w:rsidRPr="002F70FD">
              <w:rPr>
                <w:lang w:val="en-ZA"/>
              </w:rPr>
              <w:t xml:space="preserve">Receive service request escalations from L2 team, </w:t>
            </w:r>
            <w:proofErr w:type="gramStart"/>
            <w:r w:rsidRPr="002F70FD">
              <w:rPr>
                <w:lang w:val="en-ZA"/>
              </w:rPr>
              <w:t>triage</w:t>
            </w:r>
            <w:proofErr w:type="gramEnd"/>
            <w:r w:rsidRPr="002F70FD">
              <w:rPr>
                <w:lang w:val="en-ZA"/>
              </w:rPr>
              <w:t xml:space="preserve"> and resolve</w:t>
            </w:r>
          </w:p>
        </w:tc>
      </w:tr>
    </w:tbl>
    <w:p w14:paraId="3B1BB155" w14:textId="4967E4EB" w:rsidR="00D8456D" w:rsidRPr="002F70FD" w:rsidRDefault="007127AA" w:rsidP="00C84DD9">
      <w:pPr>
        <w:pStyle w:val="Heading2"/>
        <w:rPr>
          <w:lang w:val="en-ZA"/>
        </w:rPr>
      </w:pPr>
      <w:bookmarkStart w:id="14" w:name="_Toc24894659"/>
      <w:r w:rsidRPr="002F70FD">
        <w:rPr>
          <w:lang w:val="en-ZA"/>
        </w:rPr>
        <w:t>Project principles</w:t>
      </w:r>
      <w:r w:rsidR="00047EED" w:rsidRPr="002F70FD">
        <w:rPr>
          <w:lang w:val="en-ZA"/>
        </w:rPr>
        <w:t xml:space="preserve">, </w:t>
      </w:r>
      <w:proofErr w:type="gramStart"/>
      <w:r w:rsidR="00047EED" w:rsidRPr="002F70FD">
        <w:rPr>
          <w:lang w:val="en-ZA"/>
        </w:rPr>
        <w:t>roles</w:t>
      </w:r>
      <w:proofErr w:type="gramEnd"/>
      <w:r w:rsidR="00047EED" w:rsidRPr="002F70FD">
        <w:rPr>
          <w:lang w:val="en-ZA"/>
        </w:rPr>
        <w:t xml:space="preserve"> and responsibilities</w:t>
      </w:r>
      <w:bookmarkEnd w:id="14"/>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2068B2" w:rsidRPr="002F70FD" w14:paraId="3B1BB15C" w14:textId="77777777" w:rsidTr="000A5694">
        <w:trPr>
          <w:trHeight w:val="360"/>
          <w:tblHeader/>
        </w:trPr>
        <w:tc>
          <w:tcPr>
            <w:tcW w:w="2162" w:type="dxa"/>
            <w:shd w:val="clear" w:color="auto" w:fill="008272"/>
          </w:tcPr>
          <w:p w14:paraId="3B1BB159" w14:textId="3BC95330" w:rsidR="002068B2" w:rsidRPr="002F70FD" w:rsidRDefault="002068B2" w:rsidP="002068B2">
            <w:pPr>
              <w:pStyle w:val="Table-Header"/>
              <w:rPr>
                <w:rFonts w:cs="Segoe UI"/>
                <w:szCs w:val="20"/>
                <w:lang w:val="en-ZA"/>
              </w:rPr>
            </w:pPr>
            <w:r w:rsidRPr="002F70FD">
              <w:rPr>
                <w:rFonts w:cs="Segoe UI"/>
                <w:szCs w:val="20"/>
                <w:lang w:val="en-ZA"/>
              </w:rPr>
              <w:t>Focus Area</w:t>
            </w:r>
          </w:p>
        </w:tc>
        <w:tc>
          <w:tcPr>
            <w:tcW w:w="4410" w:type="dxa"/>
            <w:shd w:val="clear" w:color="auto" w:fill="008272"/>
          </w:tcPr>
          <w:p w14:paraId="3B1BB15A" w14:textId="67CE4854" w:rsidR="002068B2" w:rsidRPr="002F70FD" w:rsidRDefault="002068B2" w:rsidP="002068B2">
            <w:pPr>
              <w:pStyle w:val="Table-Header"/>
              <w:rPr>
                <w:rFonts w:cs="Segoe UI"/>
                <w:szCs w:val="20"/>
                <w:lang w:val="en-ZA"/>
              </w:rPr>
            </w:pPr>
            <w:r w:rsidRPr="002F70FD">
              <w:rPr>
                <w:rFonts w:cs="Segoe UI"/>
                <w:szCs w:val="20"/>
                <w:lang w:val="en-ZA"/>
              </w:rPr>
              <w:t>Description</w:t>
            </w:r>
          </w:p>
        </w:tc>
        <w:tc>
          <w:tcPr>
            <w:tcW w:w="2787" w:type="dxa"/>
            <w:shd w:val="clear" w:color="auto" w:fill="008272"/>
          </w:tcPr>
          <w:p w14:paraId="3B1BB15B" w14:textId="4374AEEA" w:rsidR="002068B2" w:rsidRPr="002F70FD" w:rsidRDefault="002068B2" w:rsidP="002068B2">
            <w:pPr>
              <w:pStyle w:val="Table-Header"/>
              <w:rPr>
                <w:rFonts w:cs="Segoe UI"/>
                <w:szCs w:val="20"/>
                <w:lang w:val="en-ZA"/>
              </w:rPr>
            </w:pPr>
            <w:r w:rsidRPr="002F70FD">
              <w:rPr>
                <w:rFonts w:cs="Segoe UI"/>
                <w:szCs w:val="20"/>
                <w:lang w:val="en-ZA"/>
              </w:rPr>
              <w:t>Owner</w:t>
            </w:r>
          </w:p>
        </w:tc>
      </w:tr>
      <w:tr w:rsidR="002208A1" w:rsidRPr="002F70FD" w14:paraId="3B1BB160" w14:textId="77777777" w:rsidTr="00B44F57">
        <w:trPr>
          <w:trHeight w:val="432"/>
        </w:trPr>
        <w:tc>
          <w:tcPr>
            <w:tcW w:w="2162" w:type="dxa"/>
            <w:shd w:val="clear" w:color="auto" w:fill="auto"/>
          </w:tcPr>
          <w:p w14:paraId="3B1BB15D" w14:textId="46984D04" w:rsidR="002208A1" w:rsidRPr="002F70FD" w:rsidRDefault="002208A1" w:rsidP="002208A1">
            <w:pPr>
              <w:pStyle w:val="TableText"/>
              <w:rPr>
                <w:rFonts w:cs="Segoe UI"/>
                <w:szCs w:val="20"/>
                <w:lang w:val="en-ZA"/>
              </w:rPr>
            </w:pPr>
            <w:r w:rsidRPr="002F70FD">
              <w:rPr>
                <w:rFonts w:cs="Segoe UI"/>
                <w:b/>
                <w:szCs w:val="20"/>
                <w:lang w:val="en-ZA"/>
              </w:rPr>
              <w:t>Hypercare Focus</w:t>
            </w:r>
          </w:p>
        </w:tc>
        <w:tc>
          <w:tcPr>
            <w:tcW w:w="4410" w:type="dxa"/>
            <w:shd w:val="clear" w:color="auto" w:fill="FFFFFF" w:themeFill="background1"/>
          </w:tcPr>
          <w:p w14:paraId="5BCF6BB1" w14:textId="74889B8E" w:rsidR="002208A1" w:rsidRPr="003A08F8" w:rsidRDefault="002208A1" w:rsidP="000B5A2B">
            <w:pPr>
              <w:pStyle w:val="TableBullet1"/>
              <w:rPr>
                <w:lang w:val="en-ZA"/>
              </w:rPr>
            </w:pPr>
            <w:r w:rsidRPr="00233843">
              <w:rPr>
                <w:lang w:val="en-ZA"/>
              </w:rPr>
              <w:t xml:space="preserve"> has embarked on a project during 2018 to onboard their 14 departments in the cloud enabling Office 365 </w:t>
            </w:r>
            <w:proofErr w:type="spellStart"/>
            <w:r w:rsidRPr="00233843">
              <w:rPr>
                <w:lang w:val="en-ZA"/>
              </w:rPr>
              <w:t>ProPlus</w:t>
            </w:r>
            <w:proofErr w:type="spellEnd"/>
            <w:r w:rsidRPr="00233843">
              <w:rPr>
                <w:lang w:val="en-ZA"/>
              </w:rPr>
              <w:t xml:space="preserve"> and Skype for Business for Instant Messaging/Presence. The Office 365 service availability in South </w:t>
            </w:r>
            <w:r w:rsidRPr="003103B1">
              <w:rPr>
                <w:lang w:val="en-ZA"/>
              </w:rPr>
              <w:t>Africa will enable the province to extend the services to Office 365 Exchange Online.</w:t>
            </w:r>
          </w:p>
          <w:p w14:paraId="3F634BF4" w14:textId="6BECED80" w:rsidR="002208A1" w:rsidRPr="002F70FD" w:rsidRDefault="002208A1" w:rsidP="00D00410">
            <w:pPr>
              <w:pStyle w:val="TableBullet1"/>
              <w:rPr>
                <w:lang w:val="en-ZA"/>
              </w:rPr>
            </w:pPr>
            <w:r w:rsidRPr="002F70FD">
              <w:rPr>
                <w:lang w:val="en-ZA"/>
              </w:rPr>
              <w:t xml:space="preserve">The </w:t>
            </w:r>
            <w:r w:rsidR="00E53BBA" w:rsidRPr="002F70FD">
              <w:rPr>
                <w:lang w:val="en-ZA"/>
              </w:rPr>
              <w:t>project</w:t>
            </w:r>
            <w:r w:rsidR="00E53BBA">
              <w:rPr>
                <w:lang w:val="en-ZA"/>
              </w:rPr>
              <w:t xml:space="preserve">’s </w:t>
            </w:r>
            <w:r w:rsidR="00E53BBA" w:rsidRPr="002F70FD">
              <w:rPr>
                <w:lang w:val="en-ZA"/>
              </w:rPr>
              <w:t>focus</w:t>
            </w:r>
            <w:r w:rsidR="00ED024D">
              <w:rPr>
                <w:lang w:val="en-ZA"/>
              </w:rPr>
              <w:t xml:space="preserve"> </w:t>
            </w:r>
            <w:r w:rsidR="00E84BB5">
              <w:rPr>
                <w:lang w:val="en-ZA"/>
              </w:rPr>
              <w:t xml:space="preserve">is </w:t>
            </w:r>
            <w:r w:rsidR="000D2F17">
              <w:rPr>
                <w:lang w:val="en-ZA"/>
              </w:rPr>
              <w:t xml:space="preserve">around </w:t>
            </w:r>
            <w:r w:rsidR="00D7716E">
              <w:rPr>
                <w:lang w:val="en-ZA"/>
              </w:rPr>
              <w:t xml:space="preserve">support of the </w:t>
            </w:r>
            <w:r w:rsidR="00827219">
              <w:rPr>
                <w:lang w:val="en-ZA"/>
              </w:rPr>
              <w:t xml:space="preserve">Exchange online </w:t>
            </w:r>
            <w:r w:rsidR="00180BA1">
              <w:rPr>
                <w:lang w:val="en-ZA"/>
              </w:rPr>
              <w:t xml:space="preserve">service, </w:t>
            </w:r>
            <w:r w:rsidR="00A66151">
              <w:rPr>
                <w:lang w:val="en-ZA"/>
              </w:rPr>
              <w:t>e</w:t>
            </w:r>
            <w:r w:rsidR="00A66151" w:rsidRPr="002F70FD">
              <w:rPr>
                <w:lang w:val="en-ZA"/>
              </w:rPr>
              <w:t>nsuring</w:t>
            </w:r>
            <w:r w:rsidRPr="002F70FD">
              <w:rPr>
                <w:lang w:val="en-ZA"/>
              </w:rPr>
              <w:t xml:space="preserve"> email availability, email stability</w:t>
            </w:r>
            <w:r w:rsidR="003F02E8">
              <w:rPr>
                <w:lang w:val="en-ZA"/>
              </w:rPr>
              <w:t xml:space="preserve"> and </w:t>
            </w:r>
            <w:r w:rsidRPr="002F70FD">
              <w:rPr>
                <w:lang w:val="en-ZA"/>
              </w:rPr>
              <w:t>email security</w:t>
            </w:r>
            <w:r w:rsidR="00014BA3">
              <w:rPr>
                <w:lang w:val="en-ZA"/>
              </w:rPr>
              <w:t>.</w:t>
            </w:r>
          </w:p>
          <w:p w14:paraId="3B1BB15E" w14:textId="2143FA29" w:rsidR="002208A1" w:rsidRPr="004A7369" w:rsidRDefault="002208A1" w:rsidP="004A7369">
            <w:pPr>
              <w:pStyle w:val="TableBullet1"/>
              <w:rPr>
                <w:lang w:val="en-ZA"/>
              </w:rPr>
            </w:pPr>
            <w:r w:rsidRPr="002F70FD">
              <w:rPr>
                <w:lang w:val="en-ZA"/>
              </w:rPr>
              <w:t>Ensur</w:t>
            </w:r>
            <w:r w:rsidR="00233843">
              <w:rPr>
                <w:lang w:val="en-ZA"/>
              </w:rPr>
              <w:t xml:space="preserve">ing </w:t>
            </w:r>
            <w:r w:rsidR="00233843" w:rsidRPr="00FF649F">
              <w:rPr>
                <w:lang w:val="en-ZA"/>
              </w:rPr>
              <w:t xml:space="preserve">the day-to-day administrative tasks, both planned and on-demand, that are required to keep </w:t>
            </w:r>
            <w:r w:rsidR="00E42317">
              <w:rPr>
                <w:lang w:val="en-ZA"/>
              </w:rPr>
              <w:t xml:space="preserve">Exchange </w:t>
            </w:r>
            <w:r w:rsidR="00FF649F">
              <w:rPr>
                <w:lang w:val="en-ZA"/>
              </w:rPr>
              <w:t xml:space="preserve">Online </w:t>
            </w:r>
            <w:r w:rsidR="00FF649F" w:rsidRPr="00FF649F">
              <w:rPr>
                <w:lang w:val="en-ZA"/>
              </w:rPr>
              <w:t>functioning</w:t>
            </w:r>
            <w:r w:rsidR="00233843" w:rsidRPr="00FF649F">
              <w:rPr>
                <w:lang w:val="en-ZA"/>
              </w:rPr>
              <w:t xml:space="preserve"> smoothly.</w:t>
            </w:r>
          </w:p>
        </w:tc>
        <w:tc>
          <w:tcPr>
            <w:tcW w:w="2787" w:type="dxa"/>
            <w:shd w:val="clear" w:color="auto" w:fill="FFFFFF" w:themeFill="background1"/>
          </w:tcPr>
          <w:p w14:paraId="3B1BB15F" w14:textId="59436F71" w:rsidR="002208A1" w:rsidRPr="002F70FD" w:rsidRDefault="002208A1" w:rsidP="002208A1">
            <w:pPr>
              <w:pStyle w:val="TableText"/>
              <w:rPr>
                <w:rFonts w:cs="Segoe UI"/>
                <w:szCs w:val="20"/>
                <w:lang w:val="en-ZA"/>
              </w:rPr>
            </w:pPr>
            <w:proofErr w:type="spellStart"/>
            <w:r w:rsidRPr="002F70FD">
              <w:rPr>
                <w:rFonts w:cs="Segoe UI"/>
                <w:szCs w:val="20"/>
                <w:lang w:val="en-ZA"/>
              </w:rPr>
              <w:t>eGov</w:t>
            </w:r>
            <w:proofErr w:type="spellEnd"/>
            <w:r w:rsidRPr="002F70FD">
              <w:rPr>
                <w:rFonts w:cs="Segoe UI"/>
                <w:szCs w:val="20"/>
                <w:lang w:val="en-ZA"/>
              </w:rPr>
              <w:t xml:space="preserve"> Support teams</w:t>
            </w:r>
          </w:p>
        </w:tc>
      </w:tr>
      <w:tr w:rsidR="002208A1" w:rsidRPr="002F70FD" w14:paraId="3B1BB164" w14:textId="77777777" w:rsidTr="00B44F57">
        <w:trPr>
          <w:trHeight w:val="432"/>
        </w:trPr>
        <w:tc>
          <w:tcPr>
            <w:tcW w:w="2162" w:type="dxa"/>
            <w:shd w:val="clear" w:color="auto" w:fill="auto"/>
          </w:tcPr>
          <w:p w14:paraId="3B1BB161" w14:textId="0B1729FB" w:rsidR="002208A1" w:rsidRPr="002F70FD" w:rsidRDefault="002208A1" w:rsidP="002208A1">
            <w:pPr>
              <w:pStyle w:val="TableText"/>
              <w:rPr>
                <w:rFonts w:cs="Segoe UI"/>
                <w:szCs w:val="20"/>
                <w:lang w:val="en-ZA"/>
              </w:rPr>
            </w:pPr>
            <w:r w:rsidRPr="002F70FD">
              <w:rPr>
                <w:rFonts w:cs="Segoe UI"/>
                <w:b/>
                <w:szCs w:val="20"/>
                <w:lang w:val="en-ZA"/>
              </w:rPr>
              <w:t>Take a Proactive and ‘Get Ready’ Approach</w:t>
            </w:r>
          </w:p>
        </w:tc>
        <w:tc>
          <w:tcPr>
            <w:tcW w:w="4410" w:type="dxa"/>
            <w:shd w:val="clear" w:color="auto" w:fill="FFFFFF" w:themeFill="background1"/>
          </w:tcPr>
          <w:p w14:paraId="12B23331" w14:textId="77777777" w:rsidR="002208A1" w:rsidRPr="002F70FD" w:rsidRDefault="002208A1" w:rsidP="00543F78">
            <w:pPr>
              <w:pStyle w:val="ListParagraph"/>
              <w:numPr>
                <w:ilvl w:val="0"/>
                <w:numId w:val="11"/>
              </w:numPr>
              <w:spacing w:after="0"/>
              <w:ind w:left="186" w:hanging="186"/>
              <w:jc w:val="both"/>
              <w:rPr>
                <w:rFonts w:cs="Segoe UI"/>
                <w:szCs w:val="20"/>
                <w:lang w:val="en-ZA"/>
              </w:rPr>
            </w:pPr>
            <w:r w:rsidRPr="002F70FD">
              <w:rPr>
                <w:rFonts w:cs="Segoe UI"/>
                <w:szCs w:val="20"/>
                <w:lang w:val="en-ZA"/>
              </w:rPr>
              <w:t>Volume of requests for service may increase when it comes to support tickets that the organization did not have the day before. It is critical that the team is onboarded earlier to support the system during this process.</w:t>
            </w:r>
          </w:p>
          <w:p w14:paraId="3B1BB162" w14:textId="059A848F" w:rsidR="002208A1" w:rsidRPr="004A7369" w:rsidRDefault="002208A1" w:rsidP="002208A1">
            <w:pPr>
              <w:pStyle w:val="ListParagraph"/>
              <w:numPr>
                <w:ilvl w:val="0"/>
                <w:numId w:val="11"/>
              </w:numPr>
              <w:spacing w:after="0"/>
              <w:ind w:left="186" w:hanging="186"/>
              <w:jc w:val="both"/>
              <w:rPr>
                <w:rFonts w:cs="Segoe UI"/>
                <w:szCs w:val="20"/>
                <w:lang w:val="en-ZA"/>
              </w:rPr>
            </w:pPr>
            <w:r w:rsidRPr="002F70FD">
              <w:rPr>
                <w:rFonts w:cs="Segoe UI"/>
                <w:szCs w:val="20"/>
                <w:lang w:val="en-ZA"/>
              </w:rPr>
              <w:t xml:space="preserve">Assist </w:t>
            </w:r>
            <w:proofErr w:type="spellStart"/>
            <w:r w:rsidRPr="002F70FD">
              <w:rPr>
                <w:rFonts w:cs="Segoe UI"/>
                <w:szCs w:val="20"/>
                <w:lang w:val="en-ZA"/>
              </w:rPr>
              <w:t>eGov</w:t>
            </w:r>
            <w:proofErr w:type="spellEnd"/>
            <w:r w:rsidRPr="002F70FD">
              <w:rPr>
                <w:rFonts w:cs="Segoe UI"/>
                <w:szCs w:val="20"/>
                <w:lang w:val="en-ZA"/>
              </w:rPr>
              <w:t xml:space="preserve"> support teams who are taking over support post implementation. It is assumed that the </w:t>
            </w:r>
            <w:proofErr w:type="spellStart"/>
            <w:r w:rsidRPr="002F70FD">
              <w:rPr>
                <w:rFonts w:cs="Segoe UI"/>
                <w:szCs w:val="20"/>
                <w:lang w:val="en-ZA"/>
              </w:rPr>
              <w:t>eGov</w:t>
            </w:r>
            <w:proofErr w:type="spellEnd"/>
            <w:r w:rsidRPr="002F70FD">
              <w:rPr>
                <w:rFonts w:cs="Segoe UI"/>
                <w:szCs w:val="20"/>
                <w:lang w:val="en-ZA"/>
              </w:rPr>
              <w:t xml:space="preserve"> teams have been adequately trained so that they can adopt and support the new processes and solution.</w:t>
            </w:r>
          </w:p>
        </w:tc>
        <w:tc>
          <w:tcPr>
            <w:tcW w:w="2787" w:type="dxa"/>
            <w:shd w:val="clear" w:color="auto" w:fill="FFFFFF" w:themeFill="background1"/>
          </w:tcPr>
          <w:p w14:paraId="3B1BB163" w14:textId="3461CD2D" w:rsidR="002208A1" w:rsidRPr="002F70FD" w:rsidRDefault="002208A1" w:rsidP="002208A1">
            <w:pPr>
              <w:pStyle w:val="TableText"/>
              <w:rPr>
                <w:rFonts w:cs="Segoe UI"/>
                <w:szCs w:val="20"/>
                <w:lang w:val="en-ZA"/>
              </w:rPr>
            </w:pPr>
            <w:proofErr w:type="spellStart"/>
            <w:r w:rsidRPr="002F70FD">
              <w:rPr>
                <w:rFonts w:cs="Segoe UI"/>
                <w:szCs w:val="20"/>
                <w:lang w:val="en-ZA"/>
              </w:rPr>
              <w:t>eGov</w:t>
            </w:r>
            <w:proofErr w:type="spellEnd"/>
            <w:r w:rsidRPr="002F70FD">
              <w:rPr>
                <w:rFonts w:cs="Segoe UI"/>
                <w:szCs w:val="20"/>
                <w:lang w:val="en-ZA"/>
              </w:rPr>
              <w:t xml:space="preserve"> Support teams</w:t>
            </w:r>
          </w:p>
        </w:tc>
      </w:tr>
      <w:tr w:rsidR="002208A1" w:rsidRPr="002F70FD" w14:paraId="2DAF6461" w14:textId="77777777" w:rsidTr="00B44F57">
        <w:trPr>
          <w:trHeight w:val="432"/>
        </w:trPr>
        <w:tc>
          <w:tcPr>
            <w:tcW w:w="2162" w:type="dxa"/>
            <w:shd w:val="clear" w:color="auto" w:fill="auto"/>
          </w:tcPr>
          <w:p w14:paraId="79F3D0A6" w14:textId="3CAAA8D7" w:rsidR="002208A1" w:rsidRPr="002F70FD" w:rsidRDefault="002208A1" w:rsidP="002208A1">
            <w:pPr>
              <w:pStyle w:val="TableText"/>
              <w:rPr>
                <w:rFonts w:cs="Segoe UI"/>
                <w:b/>
                <w:szCs w:val="20"/>
                <w:lang w:val="en-ZA"/>
              </w:rPr>
            </w:pPr>
            <w:r w:rsidRPr="002F70FD">
              <w:rPr>
                <w:rFonts w:cs="Segoe UI"/>
                <w:b/>
                <w:szCs w:val="20"/>
                <w:lang w:val="en-ZA"/>
              </w:rPr>
              <w:t>Hands on Knowledge Reinforcement</w:t>
            </w:r>
          </w:p>
        </w:tc>
        <w:tc>
          <w:tcPr>
            <w:tcW w:w="4410" w:type="dxa"/>
            <w:shd w:val="clear" w:color="auto" w:fill="FFFFFF" w:themeFill="background1"/>
          </w:tcPr>
          <w:p w14:paraId="7A1C2482" w14:textId="77777777" w:rsidR="002208A1" w:rsidRPr="002F70FD" w:rsidRDefault="002208A1" w:rsidP="00543F78">
            <w:pPr>
              <w:pStyle w:val="ListParagraph"/>
              <w:numPr>
                <w:ilvl w:val="0"/>
                <w:numId w:val="12"/>
              </w:numPr>
              <w:spacing w:after="0"/>
              <w:ind w:left="315"/>
              <w:rPr>
                <w:rFonts w:cs="Segoe UI"/>
                <w:szCs w:val="20"/>
                <w:lang w:val="en-ZA"/>
              </w:rPr>
            </w:pPr>
            <w:r w:rsidRPr="002F70FD">
              <w:rPr>
                <w:rFonts w:cs="Segoe UI"/>
                <w:szCs w:val="20"/>
                <w:lang w:val="en-ZA"/>
              </w:rPr>
              <w:t xml:space="preserve">Knowledge reinforcement with the </w:t>
            </w:r>
            <w:proofErr w:type="spellStart"/>
            <w:r w:rsidRPr="002F70FD">
              <w:rPr>
                <w:rFonts w:cs="Segoe UI"/>
                <w:szCs w:val="20"/>
                <w:lang w:val="en-ZA"/>
              </w:rPr>
              <w:t>eGov</w:t>
            </w:r>
            <w:proofErr w:type="spellEnd"/>
            <w:r w:rsidRPr="002F70FD">
              <w:rPr>
                <w:rFonts w:cs="Segoe UI"/>
                <w:szCs w:val="20"/>
                <w:lang w:val="en-ZA"/>
              </w:rPr>
              <w:t xml:space="preserve"> Support team is a key deliverable and expectation during the Hypercare phase. </w:t>
            </w:r>
          </w:p>
          <w:p w14:paraId="199870CF" w14:textId="099D849C" w:rsidR="002208A1" w:rsidRPr="002F70FD" w:rsidRDefault="002208A1" w:rsidP="00543F78">
            <w:pPr>
              <w:pStyle w:val="ListParagraph"/>
              <w:numPr>
                <w:ilvl w:val="0"/>
                <w:numId w:val="12"/>
              </w:numPr>
              <w:spacing w:after="0"/>
              <w:ind w:left="315"/>
              <w:rPr>
                <w:rFonts w:cs="Segoe UI"/>
                <w:szCs w:val="20"/>
                <w:lang w:val="en-ZA"/>
              </w:rPr>
            </w:pPr>
            <w:r w:rsidRPr="002F70FD">
              <w:rPr>
                <w:rFonts w:cs="Segoe UI"/>
                <w:szCs w:val="20"/>
                <w:lang w:val="en-ZA"/>
              </w:rPr>
              <w:t>Once Knowledge transfer has been completed the Hypercare team will drive Knowledge Reinforcement and technical handholding of the solution during the Hypercare phase.</w:t>
            </w:r>
          </w:p>
        </w:tc>
        <w:tc>
          <w:tcPr>
            <w:tcW w:w="2787" w:type="dxa"/>
            <w:shd w:val="clear" w:color="auto" w:fill="FFFFFF" w:themeFill="background1"/>
          </w:tcPr>
          <w:p w14:paraId="082C7C76" w14:textId="4762E88A" w:rsidR="002208A1" w:rsidRPr="002F70FD" w:rsidRDefault="002208A1" w:rsidP="002208A1">
            <w:pPr>
              <w:pStyle w:val="TableText"/>
              <w:rPr>
                <w:rFonts w:cs="Segoe UI"/>
                <w:szCs w:val="20"/>
                <w:lang w:val="en-ZA"/>
              </w:rPr>
            </w:pPr>
            <w:r w:rsidRPr="002F70FD">
              <w:rPr>
                <w:rFonts w:cs="Segoe UI"/>
                <w:szCs w:val="20"/>
                <w:lang w:val="en-ZA"/>
              </w:rPr>
              <w:t>TER Hypercare Support team</w:t>
            </w:r>
          </w:p>
        </w:tc>
      </w:tr>
      <w:tr w:rsidR="002208A1" w:rsidRPr="002F70FD" w14:paraId="7D43FBCB" w14:textId="77777777" w:rsidTr="00B44F57">
        <w:trPr>
          <w:trHeight w:val="432"/>
        </w:trPr>
        <w:tc>
          <w:tcPr>
            <w:tcW w:w="2162" w:type="dxa"/>
            <w:shd w:val="clear" w:color="auto" w:fill="auto"/>
          </w:tcPr>
          <w:p w14:paraId="116EDE07" w14:textId="341F90C2" w:rsidR="002208A1" w:rsidRPr="002F70FD" w:rsidRDefault="002208A1" w:rsidP="002208A1">
            <w:pPr>
              <w:pStyle w:val="TableText"/>
              <w:rPr>
                <w:rFonts w:cs="Segoe UI"/>
                <w:b/>
                <w:szCs w:val="20"/>
                <w:lang w:val="en-ZA"/>
              </w:rPr>
            </w:pPr>
            <w:r w:rsidRPr="002F70FD">
              <w:rPr>
                <w:rFonts w:cs="Segoe UI"/>
                <w:b/>
                <w:szCs w:val="20"/>
                <w:lang w:val="en-ZA"/>
              </w:rPr>
              <w:lastRenderedPageBreak/>
              <w:t>Hyper Care Resources</w:t>
            </w:r>
          </w:p>
        </w:tc>
        <w:tc>
          <w:tcPr>
            <w:tcW w:w="4410" w:type="dxa"/>
            <w:shd w:val="clear" w:color="auto" w:fill="FFFFFF" w:themeFill="background1"/>
          </w:tcPr>
          <w:p w14:paraId="3A013F9D" w14:textId="4E289615" w:rsidR="002208A1" w:rsidRPr="002F70FD" w:rsidRDefault="002208A1" w:rsidP="00543F78">
            <w:pPr>
              <w:pStyle w:val="ListParagraph"/>
              <w:numPr>
                <w:ilvl w:val="0"/>
                <w:numId w:val="12"/>
              </w:numPr>
              <w:spacing w:after="0"/>
              <w:ind w:left="315"/>
              <w:rPr>
                <w:rFonts w:cs="Segoe UI"/>
                <w:szCs w:val="20"/>
                <w:lang w:val="en-ZA"/>
              </w:rPr>
            </w:pPr>
            <w:r w:rsidRPr="002F70FD">
              <w:rPr>
                <w:rFonts w:cs="Segoe UI"/>
                <w:szCs w:val="20"/>
                <w:lang w:val="en-ZA"/>
              </w:rPr>
              <w:t xml:space="preserve">The Team will be structured with </w:t>
            </w:r>
            <w:r w:rsidR="00EF3F7E">
              <w:rPr>
                <w:rFonts w:cs="Segoe UI"/>
                <w:szCs w:val="20"/>
                <w:lang w:val="en-ZA"/>
              </w:rPr>
              <w:t xml:space="preserve">L2 </w:t>
            </w:r>
            <w:r w:rsidRPr="002F70FD">
              <w:rPr>
                <w:rFonts w:cs="Segoe UI"/>
                <w:szCs w:val="20"/>
                <w:lang w:val="en-ZA"/>
              </w:rPr>
              <w:t xml:space="preserve">Support Resources, complimented with </w:t>
            </w:r>
            <w:r w:rsidR="00EF3F7E">
              <w:rPr>
                <w:rFonts w:cs="Segoe UI"/>
                <w:szCs w:val="20"/>
                <w:lang w:val="en-ZA"/>
              </w:rPr>
              <w:t>L3</w:t>
            </w:r>
            <w:r w:rsidRPr="002F70FD">
              <w:rPr>
                <w:rFonts w:cs="Segoe UI"/>
                <w:szCs w:val="20"/>
                <w:lang w:val="en-ZA"/>
              </w:rPr>
              <w:t xml:space="preserve"> support resources</w:t>
            </w:r>
          </w:p>
          <w:p w14:paraId="5CF23B68" w14:textId="77777777" w:rsidR="002208A1" w:rsidRPr="002F70FD" w:rsidRDefault="002208A1" w:rsidP="00543F78">
            <w:pPr>
              <w:pStyle w:val="ListParagraph"/>
              <w:numPr>
                <w:ilvl w:val="0"/>
                <w:numId w:val="12"/>
              </w:numPr>
              <w:spacing w:after="0"/>
              <w:ind w:left="315"/>
              <w:rPr>
                <w:rFonts w:cs="Segoe UI"/>
                <w:szCs w:val="20"/>
                <w:lang w:val="en-ZA"/>
              </w:rPr>
            </w:pPr>
            <w:r w:rsidRPr="002F70FD">
              <w:rPr>
                <w:rFonts w:cs="Segoe UI"/>
                <w:szCs w:val="20"/>
                <w:lang w:val="en-ZA"/>
              </w:rPr>
              <w:t xml:space="preserve">The entire Hypercare team will be available during stipulated working hours during the Hypercare phase </w:t>
            </w:r>
            <w:proofErr w:type="gramStart"/>
            <w:r w:rsidRPr="002F70FD">
              <w:rPr>
                <w:rFonts w:cs="Segoe UI"/>
                <w:szCs w:val="20"/>
                <w:lang w:val="en-ZA"/>
              </w:rPr>
              <w:t>in order to</w:t>
            </w:r>
            <w:proofErr w:type="gramEnd"/>
            <w:r w:rsidRPr="002F70FD">
              <w:rPr>
                <w:rFonts w:cs="Segoe UI"/>
                <w:szCs w:val="20"/>
                <w:lang w:val="en-ZA"/>
              </w:rPr>
              <w:t xml:space="preserve"> provide quick responses and support to the </w:t>
            </w:r>
            <w:proofErr w:type="spellStart"/>
            <w:r w:rsidRPr="002F70FD">
              <w:rPr>
                <w:rFonts w:cs="Segoe UI"/>
                <w:szCs w:val="20"/>
                <w:lang w:val="en-ZA"/>
              </w:rPr>
              <w:t>eGov</w:t>
            </w:r>
            <w:proofErr w:type="spellEnd"/>
            <w:r w:rsidRPr="002F70FD">
              <w:rPr>
                <w:rFonts w:cs="Segoe UI"/>
                <w:szCs w:val="20"/>
                <w:lang w:val="en-ZA"/>
              </w:rPr>
              <w:t xml:space="preserve"> support team.</w:t>
            </w:r>
          </w:p>
          <w:p w14:paraId="65487D52" w14:textId="53DDE8A9" w:rsidR="002208A1" w:rsidRPr="002F70FD" w:rsidRDefault="002208A1" w:rsidP="00543F78">
            <w:pPr>
              <w:numPr>
                <w:ilvl w:val="0"/>
                <w:numId w:val="10"/>
              </w:numPr>
              <w:ind w:left="315"/>
              <w:rPr>
                <w:rFonts w:cs="Segoe UI"/>
                <w:szCs w:val="20"/>
                <w:lang w:val="en-ZA"/>
              </w:rPr>
            </w:pPr>
            <w:r w:rsidRPr="002F70FD">
              <w:rPr>
                <w:rFonts w:cs="Segoe UI"/>
                <w:szCs w:val="20"/>
                <w:lang w:val="en-ZA"/>
              </w:rPr>
              <w:t>The Hypercare team will add additional value of providing application knowledge reinforcement, issue triage, and general application support during the Hypercare phase.</w:t>
            </w:r>
          </w:p>
        </w:tc>
        <w:tc>
          <w:tcPr>
            <w:tcW w:w="2787" w:type="dxa"/>
            <w:shd w:val="clear" w:color="auto" w:fill="FFFFFF" w:themeFill="background1"/>
          </w:tcPr>
          <w:p w14:paraId="28FC9745" w14:textId="03337A1C" w:rsidR="002208A1" w:rsidRPr="002F70FD" w:rsidRDefault="002208A1" w:rsidP="002208A1">
            <w:pPr>
              <w:pStyle w:val="TableText"/>
              <w:rPr>
                <w:rFonts w:cs="Segoe UI"/>
                <w:szCs w:val="20"/>
                <w:lang w:val="en-ZA"/>
              </w:rPr>
            </w:pPr>
            <w:r w:rsidRPr="002F70FD">
              <w:rPr>
                <w:rFonts w:cs="Segoe UI"/>
                <w:szCs w:val="20"/>
                <w:lang w:val="en-ZA"/>
              </w:rPr>
              <w:t>TER Partner/s Hypercare Support Team</w:t>
            </w:r>
          </w:p>
        </w:tc>
      </w:tr>
      <w:tr w:rsidR="002208A1" w:rsidRPr="002F70FD" w14:paraId="61D0FCB8" w14:textId="77777777" w:rsidTr="004A7369">
        <w:trPr>
          <w:trHeight w:val="2044"/>
        </w:trPr>
        <w:tc>
          <w:tcPr>
            <w:tcW w:w="2162" w:type="dxa"/>
            <w:shd w:val="clear" w:color="auto" w:fill="auto"/>
          </w:tcPr>
          <w:p w14:paraId="33651465" w14:textId="297C1289" w:rsidR="002208A1" w:rsidRPr="002F70FD" w:rsidRDefault="002208A1" w:rsidP="002208A1">
            <w:pPr>
              <w:pStyle w:val="TableText"/>
              <w:rPr>
                <w:rFonts w:cs="Segoe UI"/>
                <w:b/>
                <w:szCs w:val="20"/>
                <w:lang w:val="en-ZA"/>
              </w:rPr>
            </w:pPr>
            <w:r w:rsidRPr="002F70FD">
              <w:rPr>
                <w:rFonts w:cs="Segoe UI"/>
                <w:b/>
                <w:szCs w:val="20"/>
                <w:lang w:val="en-ZA"/>
              </w:rPr>
              <w:t>Levels of Support during Hypercare Phase</w:t>
            </w:r>
          </w:p>
        </w:tc>
        <w:tc>
          <w:tcPr>
            <w:tcW w:w="4410" w:type="dxa"/>
            <w:shd w:val="clear" w:color="auto" w:fill="FFFFFF" w:themeFill="background1"/>
          </w:tcPr>
          <w:p w14:paraId="17DFEDA2" w14:textId="37C47A51" w:rsidR="002208A1" w:rsidRPr="002F70FD" w:rsidRDefault="002208A1" w:rsidP="00543F78">
            <w:pPr>
              <w:pStyle w:val="ListParagraph"/>
              <w:numPr>
                <w:ilvl w:val="0"/>
                <w:numId w:val="12"/>
              </w:numPr>
              <w:spacing w:after="0"/>
              <w:ind w:left="315"/>
              <w:rPr>
                <w:rFonts w:cs="Segoe UI"/>
                <w:szCs w:val="20"/>
                <w:lang w:val="en-ZA"/>
              </w:rPr>
            </w:pPr>
            <w:r w:rsidRPr="002F70FD">
              <w:rPr>
                <w:rFonts w:cs="Segoe UI"/>
                <w:szCs w:val="20"/>
                <w:lang w:val="en-ZA"/>
              </w:rPr>
              <w:t xml:space="preserve">Self Help - typically provided </w:t>
            </w:r>
            <w:proofErr w:type="gramStart"/>
            <w:r w:rsidRPr="002F70FD">
              <w:rPr>
                <w:rFonts w:cs="Segoe UI"/>
                <w:szCs w:val="20"/>
                <w:lang w:val="en-ZA"/>
              </w:rPr>
              <w:t>by  via</w:t>
            </w:r>
            <w:proofErr w:type="gramEnd"/>
            <w:r w:rsidRPr="002F70FD">
              <w:rPr>
                <w:rFonts w:cs="Segoe UI"/>
                <w:szCs w:val="20"/>
                <w:lang w:val="en-ZA"/>
              </w:rPr>
              <w:t xml:space="preserve"> an intranet web site - which is ideal for How to Questions, Process Specific areas, Quick Reference Guides, etc. </w:t>
            </w:r>
          </w:p>
          <w:p w14:paraId="04AC2DDB" w14:textId="77777777" w:rsidR="002208A1" w:rsidRPr="002F70FD" w:rsidRDefault="002208A1" w:rsidP="00543F78">
            <w:pPr>
              <w:pStyle w:val="ListParagraph"/>
              <w:numPr>
                <w:ilvl w:val="0"/>
                <w:numId w:val="12"/>
              </w:numPr>
              <w:spacing w:after="0"/>
              <w:ind w:left="315"/>
              <w:rPr>
                <w:rFonts w:cs="Segoe UI"/>
                <w:szCs w:val="20"/>
                <w:lang w:val="en-ZA"/>
              </w:rPr>
            </w:pPr>
            <w:r w:rsidRPr="002F70FD">
              <w:rPr>
                <w:rFonts w:cs="Segoe UI"/>
                <w:b/>
                <w:bCs/>
                <w:szCs w:val="20"/>
                <w:lang w:val="en-ZA"/>
              </w:rPr>
              <w:t>Level 1 Assessment and Triage</w:t>
            </w:r>
            <w:r w:rsidRPr="002F70FD">
              <w:rPr>
                <w:rFonts w:cs="Segoe UI"/>
                <w:szCs w:val="20"/>
                <w:lang w:val="en-ZA"/>
              </w:rPr>
              <w:t xml:space="preserve"> - Basic troubleshooting and further how-to questions, owned by </w:t>
            </w:r>
            <w:proofErr w:type="spellStart"/>
            <w:r w:rsidRPr="002F70FD">
              <w:rPr>
                <w:rFonts w:cs="Segoe UI"/>
                <w:szCs w:val="20"/>
                <w:lang w:val="en-ZA"/>
              </w:rPr>
              <w:t>eGov</w:t>
            </w:r>
            <w:proofErr w:type="spellEnd"/>
            <w:r w:rsidRPr="002F70FD">
              <w:rPr>
                <w:rFonts w:cs="Segoe UI"/>
                <w:szCs w:val="20"/>
                <w:lang w:val="en-ZA"/>
              </w:rPr>
              <w:t xml:space="preserve"> and business system administrators. </w:t>
            </w:r>
          </w:p>
          <w:p w14:paraId="5C67E168" w14:textId="3FC7992B" w:rsidR="002208A1" w:rsidRPr="002F70FD" w:rsidRDefault="002208A1" w:rsidP="00FE1CFB">
            <w:pPr>
              <w:pStyle w:val="TableBullet1"/>
              <w:rPr>
                <w:lang w:val="en-ZA"/>
              </w:rPr>
            </w:pPr>
            <w:r w:rsidRPr="002F70FD">
              <w:rPr>
                <w:b/>
                <w:bCs/>
                <w:lang w:val="en-ZA"/>
              </w:rPr>
              <w:t>Level 2 Support &amp; Triage</w:t>
            </w:r>
            <w:r w:rsidRPr="002F70FD">
              <w:rPr>
                <w:lang w:val="en-ZA"/>
              </w:rPr>
              <w:t xml:space="preserve"> – Intermediate hands-on </w:t>
            </w:r>
            <w:r w:rsidR="00DE5CE2" w:rsidRPr="002F70FD">
              <w:rPr>
                <w:lang w:val="en-ZA"/>
              </w:rPr>
              <w:t xml:space="preserve">Exchange Online </w:t>
            </w:r>
            <w:r w:rsidRPr="002F70FD">
              <w:rPr>
                <w:lang w:val="en-ZA"/>
              </w:rPr>
              <w:t xml:space="preserve">support, Triage and knowledge reinforcement in areas listed within scope during the Hypercare phase </w:t>
            </w:r>
          </w:p>
          <w:p w14:paraId="47CC4806" w14:textId="531CC196" w:rsidR="002208A1" w:rsidRPr="002F70FD" w:rsidRDefault="002208A1" w:rsidP="00543F78">
            <w:pPr>
              <w:numPr>
                <w:ilvl w:val="0"/>
                <w:numId w:val="10"/>
              </w:numPr>
              <w:ind w:left="315"/>
              <w:rPr>
                <w:rFonts w:cs="Segoe UI"/>
                <w:szCs w:val="20"/>
                <w:lang w:val="en-ZA"/>
              </w:rPr>
            </w:pPr>
            <w:r w:rsidRPr="002F70FD">
              <w:rPr>
                <w:rFonts w:cs="Segoe UI"/>
                <w:b/>
                <w:bCs/>
                <w:szCs w:val="20"/>
                <w:lang w:val="en-ZA"/>
              </w:rPr>
              <w:t>Level 3 Support &amp; Triage</w:t>
            </w:r>
            <w:r w:rsidRPr="002F70FD">
              <w:rPr>
                <w:rFonts w:cs="Segoe UI"/>
                <w:szCs w:val="20"/>
                <w:lang w:val="en-ZA"/>
              </w:rPr>
              <w:t xml:space="preserve"> – Advanced hands-on </w:t>
            </w:r>
            <w:r w:rsidR="00DE5CE2" w:rsidRPr="002F70FD">
              <w:rPr>
                <w:rFonts w:cs="Segoe UI"/>
                <w:szCs w:val="20"/>
                <w:lang w:val="en-ZA"/>
              </w:rPr>
              <w:t xml:space="preserve">Exchange Online </w:t>
            </w:r>
            <w:r w:rsidRPr="002F70FD">
              <w:rPr>
                <w:rFonts w:cs="Segoe UI"/>
                <w:szCs w:val="20"/>
                <w:lang w:val="en-ZA"/>
              </w:rPr>
              <w:t xml:space="preserve">support, including knowledge reinforcement in areas listed within scope during the Hypercare phase </w:t>
            </w:r>
          </w:p>
        </w:tc>
        <w:tc>
          <w:tcPr>
            <w:tcW w:w="2787" w:type="dxa"/>
            <w:shd w:val="clear" w:color="auto" w:fill="FFFFFF" w:themeFill="background1"/>
          </w:tcPr>
          <w:p w14:paraId="4A662405" w14:textId="77777777" w:rsidR="002208A1" w:rsidRPr="002F70FD" w:rsidRDefault="002208A1" w:rsidP="002208A1">
            <w:pPr>
              <w:rPr>
                <w:rFonts w:cs="Segoe UI"/>
                <w:szCs w:val="20"/>
                <w:lang w:val="en-ZA"/>
              </w:rPr>
            </w:pPr>
            <w:proofErr w:type="spellStart"/>
            <w:r w:rsidRPr="002F70FD">
              <w:rPr>
                <w:rFonts w:cs="Segoe UI"/>
                <w:szCs w:val="20"/>
                <w:lang w:val="en-ZA"/>
              </w:rPr>
              <w:t>eGov</w:t>
            </w:r>
            <w:proofErr w:type="spellEnd"/>
            <w:r w:rsidRPr="002F70FD">
              <w:rPr>
                <w:rFonts w:cs="Segoe UI"/>
                <w:szCs w:val="20"/>
                <w:lang w:val="en-ZA"/>
              </w:rPr>
              <w:t xml:space="preserve"> Support Teams</w:t>
            </w:r>
          </w:p>
          <w:p w14:paraId="4B80B2E6" w14:textId="77777777" w:rsidR="002208A1" w:rsidRPr="002F70FD" w:rsidRDefault="002208A1" w:rsidP="002208A1">
            <w:pPr>
              <w:rPr>
                <w:rFonts w:cs="Segoe UI"/>
                <w:szCs w:val="20"/>
                <w:lang w:val="en-ZA"/>
              </w:rPr>
            </w:pPr>
          </w:p>
          <w:p w14:paraId="235C0EA7" w14:textId="77777777" w:rsidR="002208A1" w:rsidRPr="002F70FD" w:rsidRDefault="002208A1" w:rsidP="002208A1">
            <w:pPr>
              <w:rPr>
                <w:rFonts w:cs="Segoe UI"/>
                <w:szCs w:val="20"/>
                <w:lang w:val="en-ZA"/>
              </w:rPr>
            </w:pPr>
            <w:proofErr w:type="spellStart"/>
            <w:r w:rsidRPr="002F70FD">
              <w:rPr>
                <w:rFonts w:cs="Segoe UI"/>
                <w:szCs w:val="20"/>
                <w:lang w:val="en-ZA"/>
              </w:rPr>
              <w:t>eGov</w:t>
            </w:r>
            <w:proofErr w:type="spellEnd"/>
            <w:r w:rsidRPr="002F70FD">
              <w:rPr>
                <w:rFonts w:cs="Segoe UI"/>
                <w:szCs w:val="20"/>
                <w:lang w:val="en-ZA"/>
              </w:rPr>
              <w:t xml:space="preserve"> Support Teams</w:t>
            </w:r>
          </w:p>
          <w:p w14:paraId="1DAAE221" w14:textId="77777777" w:rsidR="002208A1" w:rsidRPr="002F70FD" w:rsidRDefault="002208A1" w:rsidP="002208A1">
            <w:pPr>
              <w:rPr>
                <w:rFonts w:cs="Segoe UI"/>
                <w:szCs w:val="20"/>
                <w:lang w:val="en-ZA"/>
              </w:rPr>
            </w:pPr>
          </w:p>
          <w:p w14:paraId="3FB1CE13" w14:textId="77777777" w:rsidR="002208A1" w:rsidRPr="002F70FD" w:rsidRDefault="002208A1" w:rsidP="002208A1">
            <w:pPr>
              <w:rPr>
                <w:rFonts w:cs="Segoe UI"/>
                <w:szCs w:val="20"/>
                <w:lang w:val="en-ZA"/>
              </w:rPr>
            </w:pPr>
          </w:p>
          <w:p w14:paraId="233B90B0" w14:textId="18B4B8B5" w:rsidR="002208A1" w:rsidRPr="002F70FD" w:rsidRDefault="002208A1" w:rsidP="002208A1">
            <w:pPr>
              <w:rPr>
                <w:rFonts w:cs="Segoe UI"/>
                <w:szCs w:val="20"/>
                <w:lang w:val="en-ZA"/>
              </w:rPr>
            </w:pPr>
            <w:r w:rsidRPr="002F70FD">
              <w:rPr>
                <w:rFonts w:cs="Segoe UI"/>
                <w:szCs w:val="20"/>
                <w:lang w:val="en-ZA"/>
              </w:rPr>
              <w:t>Hypercare Support Team</w:t>
            </w:r>
          </w:p>
          <w:p w14:paraId="3F2A64FD" w14:textId="77777777" w:rsidR="002208A1" w:rsidRPr="002F70FD" w:rsidRDefault="002208A1" w:rsidP="002208A1">
            <w:pPr>
              <w:rPr>
                <w:rFonts w:cs="Segoe UI"/>
                <w:szCs w:val="20"/>
                <w:lang w:val="en-ZA"/>
              </w:rPr>
            </w:pPr>
          </w:p>
          <w:p w14:paraId="650B532C" w14:textId="77777777" w:rsidR="002208A1" w:rsidRPr="002F70FD" w:rsidRDefault="002208A1" w:rsidP="002208A1">
            <w:pPr>
              <w:rPr>
                <w:rFonts w:cs="Segoe UI"/>
                <w:szCs w:val="20"/>
                <w:lang w:val="en-ZA"/>
              </w:rPr>
            </w:pPr>
          </w:p>
          <w:p w14:paraId="7E82A0D6" w14:textId="77777777" w:rsidR="002208A1" w:rsidRPr="002F70FD" w:rsidRDefault="002208A1" w:rsidP="002208A1">
            <w:pPr>
              <w:rPr>
                <w:rFonts w:cs="Segoe UI"/>
                <w:szCs w:val="20"/>
                <w:lang w:val="en-ZA"/>
              </w:rPr>
            </w:pPr>
          </w:p>
          <w:p w14:paraId="74613A7C" w14:textId="77777777" w:rsidR="002208A1" w:rsidRPr="002F70FD" w:rsidRDefault="002208A1" w:rsidP="002208A1">
            <w:pPr>
              <w:rPr>
                <w:rFonts w:cs="Segoe UI"/>
                <w:szCs w:val="20"/>
                <w:lang w:val="en-ZA"/>
              </w:rPr>
            </w:pPr>
          </w:p>
          <w:p w14:paraId="02F3E626" w14:textId="77777777" w:rsidR="002208A1" w:rsidRPr="002F70FD" w:rsidRDefault="002208A1" w:rsidP="002208A1">
            <w:pPr>
              <w:pStyle w:val="TableText"/>
              <w:rPr>
                <w:rFonts w:cs="Segoe UI"/>
                <w:szCs w:val="20"/>
                <w:lang w:val="en-ZA"/>
              </w:rPr>
            </w:pPr>
          </w:p>
        </w:tc>
      </w:tr>
      <w:tr w:rsidR="002208A1" w:rsidRPr="002F70FD" w14:paraId="3E0F6271" w14:textId="77777777" w:rsidTr="00B44F57">
        <w:trPr>
          <w:trHeight w:val="432"/>
        </w:trPr>
        <w:tc>
          <w:tcPr>
            <w:tcW w:w="2162" w:type="dxa"/>
            <w:shd w:val="clear" w:color="auto" w:fill="auto"/>
          </w:tcPr>
          <w:p w14:paraId="0B39156E" w14:textId="6F406FED" w:rsidR="002208A1" w:rsidRPr="002F70FD" w:rsidRDefault="002208A1" w:rsidP="002208A1">
            <w:pPr>
              <w:pStyle w:val="TableText"/>
              <w:rPr>
                <w:rFonts w:cs="Segoe UI"/>
                <w:b/>
                <w:szCs w:val="20"/>
                <w:lang w:val="en-ZA"/>
              </w:rPr>
            </w:pPr>
            <w:r w:rsidRPr="002F70FD">
              <w:rPr>
                <w:rFonts w:cs="Segoe UI"/>
                <w:b/>
                <w:szCs w:val="20"/>
                <w:lang w:val="en-ZA"/>
              </w:rPr>
              <w:t>Ensuring smooth handover</w:t>
            </w:r>
          </w:p>
        </w:tc>
        <w:tc>
          <w:tcPr>
            <w:tcW w:w="4410" w:type="dxa"/>
            <w:shd w:val="clear" w:color="auto" w:fill="FFFFFF" w:themeFill="background1"/>
          </w:tcPr>
          <w:p w14:paraId="1612C000" w14:textId="77777777" w:rsidR="002208A1" w:rsidRPr="002F70FD" w:rsidRDefault="002208A1" w:rsidP="00807668">
            <w:pPr>
              <w:pStyle w:val="TableBullet1"/>
              <w:rPr>
                <w:lang w:val="en-ZA"/>
              </w:rPr>
            </w:pPr>
            <w:r w:rsidRPr="002F70FD">
              <w:rPr>
                <w:lang w:val="en-ZA"/>
              </w:rPr>
              <w:t>Includes handover of any additional support documentation created during the Hypercare phase.</w:t>
            </w:r>
          </w:p>
          <w:p w14:paraId="3F7BCD56" w14:textId="77777777" w:rsidR="002208A1" w:rsidRPr="002F70FD" w:rsidRDefault="002208A1" w:rsidP="00807668">
            <w:pPr>
              <w:pStyle w:val="TableBullet1"/>
              <w:rPr>
                <w:lang w:val="en-ZA"/>
              </w:rPr>
            </w:pPr>
            <w:r w:rsidRPr="002F70FD">
              <w:rPr>
                <w:lang w:val="en-ZA"/>
              </w:rPr>
              <w:t>Formal communication via email confirming resolution of support issues that are related to the Hypercare Phase, will be produced.</w:t>
            </w:r>
          </w:p>
          <w:p w14:paraId="27F7DD07" w14:textId="0B81290C" w:rsidR="002208A1" w:rsidRPr="002F70FD" w:rsidRDefault="002208A1" w:rsidP="00807668">
            <w:pPr>
              <w:pStyle w:val="TableBullet1"/>
              <w:rPr>
                <w:lang w:val="en-ZA"/>
              </w:rPr>
            </w:pPr>
            <w:r w:rsidRPr="002F70FD">
              <w:rPr>
                <w:lang w:val="en-ZA"/>
              </w:rPr>
              <w:t>Identified service requests will be reported on regularly to ensure service request resolution.</w:t>
            </w:r>
          </w:p>
        </w:tc>
        <w:tc>
          <w:tcPr>
            <w:tcW w:w="2787" w:type="dxa"/>
            <w:shd w:val="clear" w:color="auto" w:fill="FFFFFF" w:themeFill="background1"/>
          </w:tcPr>
          <w:p w14:paraId="75106BCD" w14:textId="77777777" w:rsidR="002208A1" w:rsidRPr="002F70FD" w:rsidRDefault="002208A1" w:rsidP="002208A1">
            <w:pPr>
              <w:rPr>
                <w:rFonts w:cs="Segoe UI"/>
                <w:szCs w:val="20"/>
                <w:lang w:val="en-ZA"/>
              </w:rPr>
            </w:pPr>
            <w:r w:rsidRPr="002F70FD">
              <w:rPr>
                <w:rFonts w:cs="Segoe UI"/>
                <w:szCs w:val="20"/>
                <w:lang w:val="en-ZA"/>
              </w:rPr>
              <w:t>Hypercare Support Team</w:t>
            </w:r>
          </w:p>
          <w:p w14:paraId="6AE714A1" w14:textId="77777777" w:rsidR="002208A1" w:rsidRPr="002F70FD" w:rsidRDefault="002208A1" w:rsidP="002208A1">
            <w:pPr>
              <w:rPr>
                <w:rFonts w:cs="Segoe UI"/>
                <w:szCs w:val="20"/>
                <w:lang w:val="en-ZA"/>
              </w:rPr>
            </w:pPr>
          </w:p>
        </w:tc>
      </w:tr>
    </w:tbl>
    <w:p w14:paraId="62A4C247" w14:textId="4D8D0A96" w:rsidR="00896C58" w:rsidRPr="002F70FD" w:rsidRDefault="00436B90" w:rsidP="00896C58">
      <w:pPr>
        <w:pStyle w:val="Heading2"/>
        <w:rPr>
          <w:lang w:val="en-ZA"/>
        </w:rPr>
      </w:pPr>
      <w:bookmarkStart w:id="15" w:name="_Toc24894660"/>
      <w:bookmarkStart w:id="16" w:name="_Toc476168026"/>
      <w:r w:rsidRPr="002F70FD">
        <w:rPr>
          <w:lang w:val="en-ZA"/>
        </w:rPr>
        <w:lastRenderedPageBreak/>
        <w:t>Areas in scope</w:t>
      </w:r>
      <w:bookmarkEnd w:id="15"/>
    </w:p>
    <w:p w14:paraId="3F9628A1" w14:textId="52E81040" w:rsidR="00AA3D60" w:rsidRPr="002F70FD" w:rsidRDefault="00AA3D60" w:rsidP="00AA3D60">
      <w:pPr>
        <w:jc w:val="both"/>
        <w:rPr>
          <w:lang w:val="en-ZA"/>
        </w:rPr>
      </w:pPr>
      <w:r w:rsidRPr="002F70FD">
        <w:rPr>
          <w:lang w:val="en-ZA"/>
        </w:rPr>
        <w:t xml:space="preserve">This section defines the objectives for this phase of the project and areas in scope and out of scope as well as areas of customer and project responsibility. The Hypercare phase is valid </w:t>
      </w:r>
      <w:r w:rsidR="00684BBF">
        <w:rPr>
          <w:lang w:val="en-ZA"/>
        </w:rPr>
        <w:t xml:space="preserve">during velocity migration of the </w:t>
      </w:r>
      <w:r w:rsidR="00F14ED9">
        <w:rPr>
          <w:lang w:val="en-ZA"/>
        </w:rPr>
        <w:t xml:space="preserve">Hosted Exchange </w:t>
      </w:r>
      <w:r w:rsidR="00C27229">
        <w:rPr>
          <w:lang w:val="en-ZA"/>
        </w:rPr>
        <w:t xml:space="preserve">mailboxes </w:t>
      </w:r>
      <w:r w:rsidR="000E68DC">
        <w:rPr>
          <w:lang w:val="en-ZA"/>
        </w:rPr>
        <w:t xml:space="preserve">to Exchange Online </w:t>
      </w:r>
      <w:r w:rsidR="00C27229">
        <w:rPr>
          <w:lang w:val="en-ZA"/>
        </w:rPr>
        <w:t xml:space="preserve">and for a </w:t>
      </w:r>
      <w:r w:rsidRPr="002F70FD">
        <w:rPr>
          <w:lang w:val="en-ZA"/>
        </w:rPr>
        <w:t xml:space="preserve">period of </w:t>
      </w:r>
      <w:r w:rsidR="00E83C9D" w:rsidRPr="003720AA">
        <w:rPr>
          <w:b/>
          <w:bCs/>
          <w:lang w:val="en-ZA"/>
        </w:rPr>
        <w:t>24</w:t>
      </w:r>
      <w:r w:rsidRPr="003720AA">
        <w:rPr>
          <w:b/>
          <w:bCs/>
          <w:lang w:val="en-ZA"/>
        </w:rPr>
        <w:t xml:space="preserve"> months</w:t>
      </w:r>
      <w:r w:rsidRPr="002F70FD">
        <w:rPr>
          <w:lang w:val="en-ZA"/>
        </w:rPr>
        <w:t xml:space="preserve"> </w:t>
      </w:r>
      <w:r w:rsidR="00C27229">
        <w:rPr>
          <w:lang w:val="en-ZA"/>
        </w:rPr>
        <w:t xml:space="preserve">post </w:t>
      </w:r>
      <w:r w:rsidR="00C54811">
        <w:rPr>
          <w:lang w:val="en-ZA"/>
        </w:rPr>
        <w:t>mailbox migration</w:t>
      </w:r>
      <w:r w:rsidRPr="002F70FD">
        <w:rPr>
          <w:lang w:val="en-ZA"/>
        </w:rPr>
        <w:t xml:space="preserve">. The Hypercare phase aims to provide hands on support and augment the existing </w:t>
      </w:r>
      <w:proofErr w:type="spellStart"/>
      <w:r w:rsidRPr="002F70FD">
        <w:rPr>
          <w:lang w:val="en-ZA"/>
        </w:rPr>
        <w:t>eGov</w:t>
      </w:r>
      <w:proofErr w:type="spellEnd"/>
      <w:r w:rsidRPr="002F70FD">
        <w:rPr>
          <w:lang w:val="en-ZA"/>
        </w:rPr>
        <w:t xml:space="preserve"> Support Teams to identify, troubleshoot and resolve any potential issues on the migration to Exchange Online project. </w:t>
      </w:r>
    </w:p>
    <w:p w14:paraId="7EA18E3D" w14:textId="37B9C138" w:rsidR="00AA3D60" w:rsidRPr="002F70FD" w:rsidRDefault="00AA3D60" w:rsidP="00AA3D60">
      <w:pPr>
        <w:jc w:val="both"/>
        <w:rPr>
          <w:lang w:val="en-ZA"/>
        </w:rPr>
      </w:pPr>
      <w:r w:rsidRPr="002F70FD">
        <w:rPr>
          <w:lang w:val="en-ZA"/>
        </w:rPr>
        <w:t xml:space="preserve">During the Hypercare Phase of the project, the TER/s Hypercare Support Teams will work closely with </w:t>
      </w:r>
      <w:proofErr w:type="spellStart"/>
      <w:r w:rsidRPr="002F70FD">
        <w:rPr>
          <w:lang w:val="en-ZA"/>
        </w:rPr>
        <w:t>eGov</w:t>
      </w:r>
      <w:proofErr w:type="spellEnd"/>
      <w:r w:rsidRPr="002F70FD">
        <w:rPr>
          <w:lang w:val="en-ZA"/>
        </w:rPr>
        <w:t xml:space="preserve"> Support Teams in line with defined scope for Hypercare Phase. Upon completion of the Hypercare Phase, </w:t>
      </w:r>
      <w:proofErr w:type="spellStart"/>
      <w:r w:rsidRPr="002F70FD">
        <w:rPr>
          <w:lang w:val="en-ZA"/>
        </w:rPr>
        <w:t>eGov</w:t>
      </w:r>
      <w:proofErr w:type="spellEnd"/>
      <w:r w:rsidRPr="002F70FD">
        <w:rPr>
          <w:lang w:val="en-ZA"/>
        </w:rPr>
        <w:t xml:space="preserve"> Support Teams will take over complete ownership of all support and maintenance related to the deployed platform.</w:t>
      </w:r>
    </w:p>
    <w:p w14:paraId="16DAADA1" w14:textId="77777777" w:rsidR="00AA3D60" w:rsidRPr="002F70FD" w:rsidRDefault="00AA3D60" w:rsidP="00AA3D60">
      <w:pPr>
        <w:pStyle w:val="NoSpacing"/>
        <w:jc w:val="both"/>
        <w:rPr>
          <w:rFonts w:ascii="Segoe UI" w:eastAsiaTheme="minorEastAsia" w:hAnsi="Segoe UI"/>
        </w:rPr>
      </w:pPr>
    </w:p>
    <w:p w14:paraId="5E43A984" w14:textId="7191D408" w:rsidR="00AA3D60" w:rsidRPr="002F70FD" w:rsidRDefault="00AA3D60" w:rsidP="00AA3D60">
      <w:pPr>
        <w:pStyle w:val="NoSpacing"/>
        <w:rPr>
          <w:rFonts w:ascii="Segoe UI" w:eastAsiaTheme="minorEastAsia" w:hAnsi="Segoe UI"/>
          <w:sz w:val="20"/>
          <w:szCs w:val="20"/>
        </w:rPr>
      </w:pPr>
      <w:r w:rsidRPr="002F70FD">
        <w:rPr>
          <w:rFonts w:ascii="Segoe UI" w:eastAsiaTheme="minorEastAsia" w:hAnsi="Segoe UI"/>
          <w:sz w:val="20"/>
          <w:szCs w:val="20"/>
        </w:rPr>
        <w:t xml:space="preserve">The scope of support that will be covered by the Hypercare Support Team </w:t>
      </w:r>
      <w:r w:rsidR="000E73E3" w:rsidRPr="002F70FD">
        <w:rPr>
          <w:rFonts w:ascii="Segoe UI" w:eastAsiaTheme="minorEastAsia" w:hAnsi="Segoe UI"/>
          <w:sz w:val="20"/>
          <w:szCs w:val="20"/>
        </w:rPr>
        <w:t>for Exchange Online</w:t>
      </w:r>
      <w:r w:rsidRPr="002F70FD">
        <w:rPr>
          <w:rFonts w:ascii="Segoe UI" w:eastAsiaTheme="minorEastAsia" w:hAnsi="Segoe UI"/>
          <w:sz w:val="20"/>
          <w:szCs w:val="20"/>
        </w:rPr>
        <w:t xml:space="preserve"> include</w:t>
      </w:r>
      <w:r w:rsidR="00B30A89">
        <w:rPr>
          <w:rFonts w:ascii="Segoe UI" w:eastAsiaTheme="minorEastAsia" w:hAnsi="Segoe UI"/>
          <w:sz w:val="20"/>
          <w:szCs w:val="20"/>
        </w:rPr>
        <w:t>s</w:t>
      </w:r>
      <w:r w:rsidRPr="002F70FD">
        <w:rPr>
          <w:rFonts w:ascii="Segoe UI" w:eastAsiaTheme="minorEastAsia" w:hAnsi="Segoe UI"/>
          <w:sz w:val="20"/>
          <w:szCs w:val="20"/>
        </w:rPr>
        <w:t xml:space="preserve"> the following deployed solution components:</w:t>
      </w:r>
    </w:p>
    <w:p w14:paraId="64CB1759" w14:textId="76C77923" w:rsidR="00AA3D60" w:rsidRPr="002F70FD" w:rsidRDefault="000639A1" w:rsidP="00543F78">
      <w:pPr>
        <w:pStyle w:val="ListParagraph"/>
        <w:numPr>
          <w:ilvl w:val="0"/>
          <w:numId w:val="14"/>
        </w:numPr>
        <w:spacing w:line="276" w:lineRule="auto"/>
        <w:jc w:val="both"/>
        <w:rPr>
          <w:szCs w:val="20"/>
          <w:lang w:val="en-ZA"/>
        </w:rPr>
      </w:pPr>
      <w:r>
        <w:rPr>
          <w:szCs w:val="20"/>
          <w:lang w:val="en-ZA"/>
        </w:rPr>
        <w:t xml:space="preserve">Perform </w:t>
      </w:r>
      <w:r w:rsidR="00B22695">
        <w:rPr>
          <w:szCs w:val="20"/>
          <w:lang w:val="en-ZA"/>
        </w:rPr>
        <w:t>r</w:t>
      </w:r>
      <w:r w:rsidRPr="00E80A93">
        <w:rPr>
          <w:szCs w:val="20"/>
          <w:lang w:val="en-ZA"/>
        </w:rPr>
        <w:t xml:space="preserve">outine tasks to ensure </w:t>
      </w:r>
      <w:r w:rsidR="00E80A93">
        <w:rPr>
          <w:szCs w:val="20"/>
          <w:lang w:val="en-ZA"/>
        </w:rPr>
        <w:t>Microsoft</w:t>
      </w:r>
      <w:r w:rsidRPr="00041BAB">
        <w:rPr>
          <w:szCs w:val="20"/>
          <w:lang w:val="en-ZA"/>
        </w:rPr>
        <w:t xml:space="preserve"> O365 Exchange Online service and its components are </w:t>
      </w:r>
      <w:r w:rsidR="00E80A93" w:rsidRPr="00E80A93">
        <w:rPr>
          <w:szCs w:val="20"/>
          <w:lang w:val="en-ZA"/>
        </w:rPr>
        <w:t>healthy.</w:t>
      </w:r>
    </w:p>
    <w:p w14:paraId="5E4BAED6" w14:textId="77777777" w:rsidR="00AA3D60" w:rsidRPr="002F70FD" w:rsidRDefault="00AA3D60" w:rsidP="00543F78">
      <w:pPr>
        <w:pStyle w:val="ListParagraph"/>
        <w:numPr>
          <w:ilvl w:val="0"/>
          <w:numId w:val="14"/>
        </w:numPr>
        <w:spacing w:line="276" w:lineRule="auto"/>
        <w:jc w:val="both"/>
        <w:rPr>
          <w:szCs w:val="20"/>
          <w:lang w:val="en-ZA"/>
        </w:rPr>
      </w:pPr>
      <w:r w:rsidRPr="002F70FD">
        <w:rPr>
          <w:szCs w:val="20"/>
          <w:lang w:val="en-ZA"/>
        </w:rPr>
        <w:t>Inbound and Outbound Email Services</w:t>
      </w:r>
    </w:p>
    <w:p w14:paraId="61A53260" w14:textId="2CFC216A" w:rsidR="00AA3D60" w:rsidRPr="002F70FD" w:rsidRDefault="002B0A51" w:rsidP="00543F78">
      <w:pPr>
        <w:pStyle w:val="ListParagraph"/>
        <w:numPr>
          <w:ilvl w:val="0"/>
          <w:numId w:val="14"/>
        </w:numPr>
        <w:spacing w:line="276" w:lineRule="auto"/>
        <w:jc w:val="both"/>
        <w:rPr>
          <w:szCs w:val="20"/>
          <w:lang w:val="en-ZA"/>
        </w:rPr>
      </w:pPr>
      <w:r>
        <w:rPr>
          <w:szCs w:val="20"/>
          <w:lang w:val="en-ZA"/>
        </w:rPr>
        <w:t xml:space="preserve">Exchange </w:t>
      </w:r>
      <w:r w:rsidR="008C1B57">
        <w:rPr>
          <w:szCs w:val="20"/>
          <w:lang w:val="en-ZA"/>
        </w:rPr>
        <w:t xml:space="preserve">Online </w:t>
      </w:r>
      <w:r>
        <w:rPr>
          <w:szCs w:val="20"/>
          <w:lang w:val="en-ZA"/>
        </w:rPr>
        <w:t>e</w:t>
      </w:r>
      <w:r w:rsidR="00AA3D60" w:rsidRPr="002F70FD">
        <w:rPr>
          <w:szCs w:val="20"/>
          <w:lang w:val="en-ZA"/>
        </w:rPr>
        <w:t xml:space="preserve">mail </w:t>
      </w:r>
      <w:r>
        <w:rPr>
          <w:szCs w:val="20"/>
          <w:lang w:val="en-ZA"/>
        </w:rPr>
        <w:t>a</w:t>
      </w:r>
      <w:r w:rsidR="00AA3D60" w:rsidRPr="002F70FD">
        <w:rPr>
          <w:szCs w:val="20"/>
          <w:lang w:val="en-ZA"/>
        </w:rPr>
        <w:t>rchiving</w:t>
      </w:r>
      <w:r w:rsidR="00540CCD" w:rsidRPr="002F70FD">
        <w:rPr>
          <w:szCs w:val="20"/>
          <w:lang w:val="en-ZA"/>
        </w:rPr>
        <w:t xml:space="preserve"> </w:t>
      </w:r>
    </w:p>
    <w:p w14:paraId="198A73FB" w14:textId="77777777" w:rsidR="00AA3D60" w:rsidRPr="002F70FD" w:rsidRDefault="00AA3D60" w:rsidP="00543F78">
      <w:pPr>
        <w:pStyle w:val="ListParagraph"/>
        <w:numPr>
          <w:ilvl w:val="0"/>
          <w:numId w:val="14"/>
        </w:numPr>
        <w:spacing w:line="276" w:lineRule="auto"/>
        <w:jc w:val="both"/>
        <w:rPr>
          <w:szCs w:val="20"/>
          <w:lang w:val="en-ZA"/>
        </w:rPr>
      </w:pPr>
      <w:r w:rsidRPr="002F70FD">
        <w:rPr>
          <w:szCs w:val="20"/>
          <w:lang w:val="en-ZA"/>
        </w:rPr>
        <w:t>Email Security</w:t>
      </w:r>
    </w:p>
    <w:p w14:paraId="6F901542" w14:textId="77323AD2" w:rsidR="00AA3D60" w:rsidRPr="002F70FD" w:rsidRDefault="00AA3D60" w:rsidP="00543F78">
      <w:pPr>
        <w:pStyle w:val="ListParagraph"/>
        <w:numPr>
          <w:ilvl w:val="0"/>
          <w:numId w:val="14"/>
        </w:numPr>
        <w:spacing w:line="276" w:lineRule="auto"/>
        <w:jc w:val="both"/>
        <w:rPr>
          <w:szCs w:val="20"/>
          <w:lang w:val="en-ZA"/>
        </w:rPr>
      </w:pPr>
      <w:r w:rsidRPr="002F70FD">
        <w:rPr>
          <w:szCs w:val="20"/>
          <w:lang w:val="en-ZA"/>
        </w:rPr>
        <w:t>Mobile Email Access limited to IOS, Android &amp; Windows</w:t>
      </w:r>
    </w:p>
    <w:p w14:paraId="058C8435" w14:textId="21A677D7" w:rsidR="00AA3D60" w:rsidRPr="002F70FD" w:rsidRDefault="00AA3D60" w:rsidP="00543F78">
      <w:pPr>
        <w:pStyle w:val="ListParagraph"/>
        <w:numPr>
          <w:ilvl w:val="0"/>
          <w:numId w:val="14"/>
        </w:numPr>
        <w:spacing w:line="276" w:lineRule="auto"/>
        <w:jc w:val="both"/>
        <w:rPr>
          <w:szCs w:val="20"/>
          <w:lang w:val="en-ZA"/>
        </w:rPr>
      </w:pPr>
      <w:r w:rsidRPr="002F70FD">
        <w:rPr>
          <w:szCs w:val="20"/>
          <w:lang w:val="en-ZA"/>
        </w:rPr>
        <w:t xml:space="preserve">Monthly Service Level Performance Reports </w:t>
      </w:r>
      <w:r w:rsidR="001C2FD8">
        <w:rPr>
          <w:szCs w:val="20"/>
          <w:lang w:val="en-ZA"/>
        </w:rPr>
        <w:t>on the tenant</w:t>
      </w:r>
    </w:p>
    <w:p w14:paraId="7AB8A936" w14:textId="77777777" w:rsidR="00AA3D60" w:rsidRPr="002F70FD" w:rsidRDefault="00AA3D60" w:rsidP="00543F78">
      <w:pPr>
        <w:pStyle w:val="ListParagraph"/>
        <w:numPr>
          <w:ilvl w:val="0"/>
          <w:numId w:val="14"/>
        </w:numPr>
        <w:spacing w:line="276" w:lineRule="auto"/>
        <w:jc w:val="both"/>
        <w:rPr>
          <w:szCs w:val="20"/>
          <w:lang w:val="en-ZA"/>
        </w:rPr>
      </w:pPr>
      <w:r w:rsidRPr="002F70FD">
        <w:rPr>
          <w:szCs w:val="20"/>
          <w:lang w:val="en-ZA"/>
        </w:rPr>
        <w:t xml:space="preserve">Extraction and Publishing of Monthly Service Level Performance Reports </w:t>
      </w:r>
    </w:p>
    <w:p w14:paraId="19407328" w14:textId="77777777" w:rsidR="00AA3D60" w:rsidRPr="002F70FD" w:rsidRDefault="00AA3D60" w:rsidP="00543F78">
      <w:pPr>
        <w:pStyle w:val="ListParagraph"/>
        <w:numPr>
          <w:ilvl w:val="0"/>
          <w:numId w:val="14"/>
        </w:numPr>
        <w:spacing w:line="276" w:lineRule="auto"/>
        <w:jc w:val="both"/>
        <w:rPr>
          <w:szCs w:val="20"/>
          <w:lang w:val="en-ZA"/>
        </w:rPr>
      </w:pPr>
      <w:r w:rsidRPr="002F70FD">
        <w:rPr>
          <w:szCs w:val="20"/>
          <w:lang w:val="en-ZA"/>
        </w:rPr>
        <w:t>Basic Performance Management</w:t>
      </w:r>
    </w:p>
    <w:bookmarkEnd w:id="16"/>
    <w:p w14:paraId="3B1BB165" w14:textId="79095F19" w:rsidR="00D8456D" w:rsidRPr="002F70FD" w:rsidRDefault="00826D2C" w:rsidP="00C84DD9">
      <w:pPr>
        <w:pStyle w:val="Heading3"/>
        <w:rPr>
          <w:lang w:val="en-ZA"/>
        </w:rPr>
      </w:pPr>
      <w:r w:rsidRPr="002F70FD">
        <w:rPr>
          <w:lang w:val="en-ZA"/>
        </w:rPr>
        <w:t>Team structure</w:t>
      </w:r>
    </w:p>
    <w:p w14:paraId="06F74381" w14:textId="7F5F53E7" w:rsidR="00826D2C" w:rsidRDefault="00744954" w:rsidP="00826D2C">
      <w:pPr>
        <w:rPr>
          <w:rFonts w:cstheme="minorHAnsi"/>
          <w:lang w:val="en-ZA"/>
        </w:rPr>
      </w:pPr>
      <w:r w:rsidRPr="002F70FD">
        <w:rPr>
          <w:rFonts w:cstheme="minorHAnsi"/>
          <w:lang w:val="en-ZA"/>
        </w:rPr>
        <w:t>The team will be structured in accordance with the below during the Hypercare Phase</w:t>
      </w:r>
    </w:p>
    <w:tbl>
      <w:tblPr>
        <w:tblStyle w:val="TableGrid"/>
        <w:tblW w:w="9493" w:type="dxa"/>
        <w:tblLook w:val="04A0" w:firstRow="1" w:lastRow="0" w:firstColumn="1" w:lastColumn="0" w:noHBand="0" w:noVBand="1"/>
      </w:tblPr>
      <w:tblGrid>
        <w:gridCol w:w="2830"/>
        <w:gridCol w:w="6663"/>
      </w:tblGrid>
      <w:tr w:rsidR="00822117" w14:paraId="7CCDB673" w14:textId="77777777" w:rsidTr="00970624">
        <w:tc>
          <w:tcPr>
            <w:tcW w:w="2830" w:type="dxa"/>
            <w:shd w:val="clear" w:color="auto" w:fill="008272"/>
          </w:tcPr>
          <w:p w14:paraId="213FAA9A" w14:textId="71E1EBED" w:rsidR="00822117" w:rsidRPr="00970624" w:rsidRDefault="00822117" w:rsidP="00826D2C">
            <w:pPr>
              <w:rPr>
                <w:b/>
                <w:bCs/>
                <w:color w:val="FFFFFF" w:themeColor="background1"/>
                <w:lang w:val="en-ZA"/>
              </w:rPr>
            </w:pPr>
            <w:r w:rsidRPr="00970624">
              <w:rPr>
                <w:b/>
                <w:bCs/>
                <w:color w:val="FFFFFF" w:themeColor="background1"/>
                <w:lang w:val="en-ZA"/>
              </w:rPr>
              <w:t>Migration Hypercare</w:t>
            </w:r>
          </w:p>
        </w:tc>
        <w:tc>
          <w:tcPr>
            <w:tcW w:w="6663" w:type="dxa"/>
          </w:tcPr>
          <w:p w14:paraId="3C35E746" w14:textId="4CC4F230" w:rsidR="00CD6A9C" w:rsidRDefault="00CD6A9C" w:rsidP="003D344C">
            <w:pPr>
              <w:pStyle w:val="TableBullet1"/>
              <w:rPr>
                <w:sz w:val="18"/>
                <w:szCs w:val="20"/>
                <w:lang w:val="en-ZA"/>
              </w:rPr>
            </w:pPr>
            <w:r>
              <w:rPr>
                <w:sz w:val="18"/>
                <w:szCs w:val="20"/>
                <w:lang w:val="en-ZA"/>
              </w:rPr>
              <w:t xml:space="preserve">Project manager (part-time at </w:t>
            </w:r>
            <w:r w:rsidR="007679E7">
              <w:rPr>
                <w:sz w:val="18"/>
                <w:szCs w:val="20"/>
                <w:lang w:val="en-ZA"/>
              </w:rPr>
              <w:t>8</w:t>
            </w:r>
            <w:r>
              <w:rPr>
                <w:sz w:val="18"/>
                <w:szCs w:val="20"/>
                <w:lang w:val="en-ZA"/>
              </w:rPr>
              <w:t xml:space="preserve"> </w:t>
            </w:r>
            <w:r w:rsidR="007679E7">
              <w:rPr>
                <w:sz w:val="18"/>
                <w:szCs w:val="20"/>
                <w:lang w:val="en-ZA"/>
              </w:rPr>
              <w:t xml:space="preserve">hours </w:t>
            </w:r>
            <w:r>
              <w:rPr>
                <w:sz w:val="18"/>
                <w:szCs w:val="20"/>
                <w:lang w:val="en-ZA"/>
              </w:rPr>
              <w:t>a week)</w:t>
            </w:r>
          </w:p>
          <w:p w14:paraId="298C2D65" w14:textId="6E6A0524" w:rsidR="00822117" w:rsidRPr="00F32B2E" w:rsidRDefault="00822117" w:rsidP="003D344C">
            <w:pPr>
              <w:pStyle w:val="TableBullet1"/>
              <w:rPr>
                <w:sz w:val="18"/>
                <w:szCs w:val="20"/>
                <w:lang w:val="en-ZA"/>
              </w:rPr>
            </w:pPr>
            <w:r w:rsidRPr="00F32B2E">
              <w:rPr>
                <w:sz w:val="18"/>
                <w:szCs w:val="20"/>
                <w:lang w:val="en-ZA"/>
              </w:rPr>
              <w:t xml:space="preserve">Account Delivery Executive (Part-time at </w:t>
            </w:r>
            <w:r w:rsidR="007679E7">
              <w:rPr>
                <w:sz w:val="18"/>
                <w:szCs w:val="20"/>
                <w:lang w:val="en-ZA"/>
              </w:rPr>
              <w:t xml:space="preserve">4 hours </w:t>
            </w:r>
            <w:r w:rsidRPr="00F32B2E">
              <w:rPr>
                <w:sz w:val="18"/>
                <w:szCs w:val="20"/>
                <w:lang w:val="en-ZA"/>
              </w:rPr>
              <w:t>week)</w:t>
            </w:r>
          </w:p>
          <w:p w14:paraId="57E9BA88" w14:textId="7BD13DF7" w:rsidR="00822117" w:rsidRPr="00F32B2E" w:rsidRDefault="00822117" w:rsidP="003D344C">
            <w:pPr>
              <w:pStyle w:val="TableBullet1"/>
              <w:rPr>
                <w:sz w:val="18"/>
                <w:szCs w:val="20"/>
                <w:lang w:val="en-ZA"/>
              </w:rPr>
            </w:pPr>
            <w:r w:rsidRPr="00F32B2E">
              <w:rPr>
                <w:sz w:val="18"/>
                <w:szCs w:val="20"/>
                <w:lang w:val="en-ZA"/>
              </w:rPr>
              <w:t>1 X Microsoft Consultant</w:t>
            </w:r>
            <w:r w:rsidR="00013C06">
              <w:rPr>
                <w:sz w:val="18"/>
                <w:szCs w:val="20"/>
                <w:lang w:val="en-ZA"/>
              </w:rPr>
              <w:t xml:space="preserve"> (Part-time at </w:t>
            </w:r>
            <w:r w:rsidR="007679E7">
              <w:rPr>
                <w:sz w:val="18"/>
                <w:szCs w:val="20"/>
                <w:lang w:val="en-ZA"/>
              </w:rPr>
              <w:t>16</w:t>
            </w:r>
            <w:r w:rsidR="00013C06">
              <w:rPr>
                <w:sz w:val="18"/>
                <w:szCs w:val="20"/>
                <w:lang w:val="en-ZA"/>
              </w:rPr>
              <w:t xml:space="preserve"> </w:t>
            </w:r>
            <w:r w:rsidR="007679E7">
              <w:rPr>
                <w:sz w:val="18"/>
                <w:szCs w:val="20"/>
                <w:lang w:val="en-ZA"/>
              </w:rPr>
              <w:t xml:space="preserve">hours </w:t>
            </w:r>
            <w:r w:rsidR="00013C06">
              <w:rPr>
                <w:sz w:val="18"/>
                <w:szCs w:val="20"/>
                <w:lang w:val="en-ZA"/>
              </w:rPr>
              <w:t>a week)</w:t>
            </w:r>
          </w:p>
          <w:p w14:paraId="49927F50" w14:textId="7CEAD491" w:rsidR="00822117" w:rsidRPr="00F32B2E" w:rsidRDefault="00822117" w:rsidP="003D344C">
            <w:pPr>
              <w:pStyle w:val="TableBullet1"/>
              <w:rPr>
                <w:sz w:val="18"/>
                <w:szCs w:val="20"/>
                <w:lang w:val="en-ZA"/>
              </w:rPr>
            </w:pPr>
            <w:r w:rsidRPr="00F32B2E">
              <w:rPr>
                <w:sz w:val="18"/>
                <w:szCs w:val="20"/>
                <w:lang w:val="en-ZA"/>
              </w:rPr>
              <w:t>1 X TER Partner Lead (Part-time at 4 hours a day)</w:t>
            </w:r>
          </w:p>
          <w:p w14:paraId="228087DA" w14:textId="0EE2FDF4" w:rsidR="00822117" w:rsidRPr="00F32B2E" w:rsidRDefault="00F32B2E" w:rsidP="005E0864">
            <w:pPr>
              <w:pStyle w:val="TableBullet1"/>
              <w:rPr>
                <w:sz w:val="18"/>
                <w:szCs w:val="20"/>
                <w:lang w:val="en-ZA"/>
              </w:rPr>
            </w:pPr>
            <w:r>
              <w:rPr>
                <w:sz w:val="18"/>
                <w:szCs w:val="20"/>
                <w:lang w:val="en-ZA"/>
              </w:rPr>
              <w:t>1</w:t>
            </w:r>
            <w:r w:rsidR="00822117" w:rsidRPr="00F32B2E">
              <w:rPr>
                <w:sz w:val="18"/>
                <w:szCs w:val="20"/>
                <w:lang w:val="en-ZA"/>
              </w:rPr>
              <w:t xml:space="preserve"> X TER Partner resources</w:t>
            </w:r>
          </w:p>
        </w:tc>
      </w:tr>
      <w:tr w:rsidR="00822117" w14:paraId="64A081E3" w14:textId="77777777" w:rsidTr="00970624">
        <w:tc>
          <w:tcPr>
            <w:tcW w:w="2830" w:type="dxa"/>
            <w:shd w:val="clear" w:color="auto" w:fill="008272"/>
          </w:tcPr>
          <w:p w14:paraId="7ADD491E" w14:textId="4D450707" w:rsidR="00822117" w:rsidRPr="00970624" w:rsidRDefault="00970624" w:rsidP="00826D2C">
            <w:pPr>
              <w:rPr>
                <w:b/>
                <w:bCs/>
                <w:color w:val="FFFFFF" w:themeColor="background1"/>
                <w:lang w:val="en-ZA"/>
              </w:rPr>
            </w:pPr>
            <w:r w:rsidRPr="00970624">
              <w:rPr>
                <w:b/>
                <w:bCs/>
                <w:color w:val="FFFFFF" w:themeColor="background1"/>
                <w:lang w:val="en-ZA"/>
              </w:rPr>
              <w:t>Post Migration Hypercare</w:t>
            </w:r>
          </w:p>
        </w:tc>
        <w:tc>
          <w:tcPr>
            <w:tcW w:w="6663" w:type="dxa"/>
          </w:tcPr>
          <w:p w14:paraId="045622EE" w14:textId="15F6C134" w:rsidR="00CD6A9C" w:rsidRDefault="00CD6A9C" w:rsidP="00CD6A9C">
            <w:pPr>
              <w:pStyle w:val="TableBullet1"/>
              <w:rPr>
                <w:sz w:val="18"/>
                <w:szCs w:val="20"/>
                <w:lang w:val="en-ZA"/>
              </w:rPr>
            </w:pPr>
            <w:r>
              <w:rPr>
                <w:sz w:val="18"/>
                <w:szCs w:val="20"/>
                <w:lang w:val="en-ZA"/>
              </w:rPr>
              <w:t xml:space="preserve">Project manager (part-time at </w:t>
            </w:r>
            <w:r w:rsidR="007679E7">
              <w:rPr>
                <w:sz w:val="18"/>
                <w:szCs w:val="20"/>
                <w:lang w:val="en-ZA"/>
              </w:rPr>
              <w:t xml:space="preserve">8 hours </w:t>
            </w:r>
            <w:r>
              <w:rPr>
                <w:sz w:val="18"/>
                <w:szCs w:val="20"/>
                <w:lang w:val="en-ZA"/>
              </w:rPr>
              <w:t>a week)</w:t>
            </w:r>
          </w:p>
          <w:p w14:paraId="7786BD07" w14:textId="5B23D36C" w:rsidR="00CD6A9C" w:rsidRPr="00F32B2E" w:rsidRDefault="00CD6A9C" w:rsidP="00CD6A9C">
            <w:pPr>
              <w:pStyle w:val="TableBullet1"/>
              <w:rPr>
                <w:sz w:val="18"/>
                <w:szCs w:val="20"/>
                <w:lang w:val="en-ZA"/>
              </w:rPr>
            </w:pPr>
            <w:r w:rsidRPr="00F32B2E">
              <w:rPr>
                <w:sz w:val="18"/>
                <w:szCs w:val="20"/>
                <w:lang w:val="en-ZA"/>
              </w:rPr>
              <w:t xml:space="preserve">Account Delivery Executive (Part-time at </w:t>
            </w:r>
            <w:r w:rsidR="007679E7">
              <w:rPr>
                <w:sz w:val="18"/>
                <w:szCs w:val="20"/>
                <w:lang w:val="en-ZA"/>
              </w:rPr>
              <w:t xml:space="preserve">4 hours </w:t>
            </w:r>
            <w:r w:rsidRPr="00F32B2E">
              <w:rPr>
                <w:sz w:val="18"/>
                <w:szCs w:val="20"/>
                <w:lang w:val="en-ZA"/>
              </w:rPr>
              <w:t>a week)</w:t>
            </w:r>
          </w:p>
          <w:p w14:paraId="08998C6E" w14:textId="5B03E693" w:rsidR="00970624" w:rsidRPr="00F32B2E" w:rsidRDefault="00970624" w:rsidP="00970624">
            <w:pPr>
              <w:pStyle w:val="TableBullet1"/>
              <w:rPr>
                <w:sz w:val="18"/>
                <w:szCs w:val="20"/>
                <w:lang w:val="en-ZA"/>
              </w:rPr>
            </w:pPr>
            <w:r w:rsidRPr="00F32B2E">
              <w:rPr>
                <w:sz w:val="18"/>
                <w:szCs w:val="20"/>
                <w:lang w:val="en-ZA"/>
              </w:rPr>
              <w:t>1 X Microsoft Consultant</w:t>
            </w:r>
          </w:p>
          <w:p w14:paraId="05ACFDA7" w14:textId="77777777" w:rsidR="00970624" w:rsidRPr="00F32B2E" w:rsidRDefault="00970624" w:rsidP="00970624">
            <w:pPr>
              <w:pStyle w:val="TableBullet1"/>
              <w:rPr>
                <w:sz w:val="18"/>
                <w:szCs w:val="20"/>
                <w:lang w:val="en-ZA"/>
              </w:rPr>
            </w:pPr>
            <w:r w:rsidRPr="00F32B2E">
              <w:rPr>
                <w:sz w:val="18"/>
                <w:szCs w:val="20"/>
                <w:lang w:val="en-ZA"/>
              </w:rPr>
              <w:t>1 X TER Partner Lead (Part-time at 4 hours a day)</w:t>
            </w:r>
          </w:p>
          <w:p w14:paraId="164B011B" w14:textId="4F399E1F" w:rsidR="00822117" w:rsidRPr="00F32B2E" w:rsidRDefault="00970624" w:rsidP="00970624">
            <w:pPr>
              <w:pStyle w:val="TableBullet1"/>
              <w:rPr>
                <w:sz w:val="18"/>
                <w:szCs w:val="20"/>
                <w:lang w:val="en-ZA"/>
              </w:rPr>
            </w:pPr>
            <w:r w:rsidRPr="00F32B2E">
              <w:rPr>
                <w:sz w:val="18"/>
                <w:szCs w:val="20"/>
                <w:lang w:val="en-ZA"/>
              </w:rPr>
              <w:t>3 X TER Partner resources</w:t>
            </w:r>
          </w:p>
        </w:tc>
      </w:tr>
    </w:tbl>
    <w:p w14:paraId="5F8F6B41" w14:textId="77777777" w:rsidR="00081C60" w:rsidRPr="002F70FD" w:rsidRDefault="00081C60" w:rsidP="00826D2C">
      <w:pPr>
        <w:rPr>
          <w:lang w:val="en-ZA"/>
        </w:rPr>
      </w:pPr>
    </w:p>
    <w:p w14:paraId="00B38276" w14:textId="69714372" w:rsidR="003A2942" w:rsidRPr="002F70FD" w:rsidRDefault="0029336F" w:rsidP="003A2942">
      <w:pPr>
        <w:pStyle w:val="Heading3"/>
        <w:rPr>
          <w:lang w:val="en-ZA"/>
        </w:rPr>
      </w:pPr>
      <w:r w:rsidRPr="002F70FD">
        <w:rPr>
          <w:lang w:val="en-ZA"/>
        </w:rPr>
        <w:lastRenderedPageBreak/>
        <w:t>Support model</w:t>
      </w:r>
      <w:r w:rsidR="007107A4" w:rsidRPr="002F70FD">
        <w:rPr>
          <w:lang w:val="en-ZA"/>
        </w:rPr>
        <w:t xml:space="preserve"> for Exchange Online</w:t>
      </w:r>
      <w:r w:rsidR="00197AAA">
        <w:rPr>
          <w:lang w:val="en-ZA"/>
        </w:rPr>
        <w:t xml:space="preserve"> – Migration and Post Migration Support</w:t>
      </w:r>
    </w:p>
    <w:p w14:paraId="462C4BD1" w14:textId="7364EEB2" w:rsidR="001A504A" w:rsidRPr="002F70FD" w:rsidRDefault="001A504A" w:rsidP="001A504A">
      <w:pPr>
        <w:pStyle w:val="Bulletlist"/>
        <w:rPr>
          <w:lang w:val="en-ZA"/>
        </w:rPr>
      </w:pPr>
      <w:bookmarkStart w:id="17" w:name="_Toc476168027"/>
      <w:r w:rsidRPr="002F70FD">
        <w:rPr>
          <w:lang w:val="en-ZA"/>
        </w:rPr>
        <w:t>The Hypercare team will assist with any identified break/fix service requests on the deployed solution, contained within the scope and signed off deliverables of the deployed solution, Phase and overall project.</w:t>
      </w:r>
    </w:p>
    <w:p w14:paraId="2C6576D4" w14:textId="5921418B" w:rsidR="001A504A" w:rsidRPr="002F70FD" w:rsidRDefault="001A504A" w:rsidP="001A504A">
      <w:pPr>
        <w:pStyle w:val="Bulletlist"/>
        <w:rPr>
          <w:lang w:val="en-ZA"/>
        </w:rPr>
      </w:pPr>
      <w:r w:rsidRPr="002F70FD">
        <w:rPr>
          <w:lang w:val="en-ZA"/>
        </w:rPr>
        <w:t xml:space="preserve">The Hypercare team will endeavour to resolve </w:t>
      </w:r>
      <w:r w:rsidR="00A44F37">
        <w:rPr>
          <w:lang w:val="en-ZA"/>
        </w:rPr>
        <w:t xml:space="preserve">Level 2/3 </w:t>
      </w:r>
      <w:r w:rsidR="002F269E">
        <w:rPr>
          <w:lang w:val="en-ZA"/>
        </w:rPr>
        <w:t>support calls logged related to Exchange Online</w:t>
      </w:r>
      <w:r w:rsidR="00E91F4E">
        <w:rPr>
          <w:lang w:val="en-ZA"/>
        </w:rPr>
        <w:t xml:space="preserve"> </w:t>
      </w:r>
      <w:r w:rsidRPr="002F70FD">
        <w:rPr>
          <w:lang w:val="en-ZA"/>
        </w:rPr>
        <w:t>during the Hypercare Phase</w:t>
      </w:r>
      <w:r w:rsidR="00024E87">
        <w:rPr>
          <w:lang w:val="en-ZA"/>
        </w:rPr>
        <w:t>.</w:t>
      </w:r>
      <w:r w:rsidRPr="002F70FD">
        <w:rPr>
          <w:lang w:val="en-ZA"/>
        </w:rPr>
        <w:t xml:space="preserve"> </w:t>
      </w:r>
    </w:p>
    <w:p w14:paraId="67CCAD29" w14:textId="3191A2EB" w:rsidR="001A504A" w:rsidRPr="00FB1839" w:rsidRDefault="001A504A" w:rsidP="00FB1839">
      <w:pPr>
        <w:pStyle w:val="Bulletlist"/>
        <w:rPr>
          <w:lang w:val="en-ZA"/>
        </w:rPr>
      </w:pPr>
      <w:r w:rsidRPr="002F70FD">
        <w:rPr>
          <w:lang w:val="en-ZA"/>
        </w:rPr>
        <w:t>Timely resolution with confirmation of resolution of all identified break/fix service requests</w:t>
      </w:r>
    </w:p>
    <w:p w14:paraId="321BE213" w14:textId="0E54AA21" w:rsidR="001A504A" w:rsidRPr="002F70FD" w:rsidRDefault="001A504A" w:rsidP="001A504A">
      <w:pPr>
        <w:pStyle w:val="Bulletlist"/>
        <w:rPr>
          <w:lang w:val="en-ZA"/>
        </w:rPr>
      </w:pPr>
      <w:r w:rsidRPr="002F70FD">
        <w:rPr>
          <w:lang w:val="en-ZA"/>
        </w:rPr>
        <w:t xml:space="preserve">This support will aid the </w:t>
      </w:r>
      <w:proofErr w:type="spellStart"/>
      <w:r w:rsidRPr="002F70FD">
        <w:rPr>
          <w:lang w:val="en-ZA"/>
        </w:rPr>
        <w:t>eGov</w:t>
      </w:r>
      <w:proofErr w:type="spellEnd"/>
      <w:r w:rsidRPr="002F70FD">
        <w:rPr>
          <w:lang w:val="en-ZA"/>
        </w:rPr>
        <w:t xml:space="preserve"> Support Teams to drive more efficient first level incident triage and resolution whilst being reactively guided by the Hypercare Team.</w:t>
      </w:r>
    </w:p>
    <w:p w14:paraId="670F8F6A" w14:textId="3BE1B377" w:rsidR="001A504A" w:rsidRPr="002F70FD" w:rsidRDefault="001A504A" w:rsidP="001A504A">
      <w:pPr>
        <w:pStyle w:val="Bulletlist"/>
        <w:rPr>
          <w:lang w:val="en-ZA"/>
        </w:rPr>
      </w:pPr>
      <w:r w:rsidRPr="002F70FD">
        <w:rPr>
          <w:lang w:val="en-ZA"/>
        </w:rPr>
        <w:t xml:space="preserve">Any issues identified that could not be resolved by the L1 </w:t>
      </w:r>
      <w:proofErr w:type="spellStart"/>
      <w:r w:rsidRPr="002F70FD">
        <w:rPr>
          <w:lang w:val="en-ZA"/>
        </w:rPr>
        <w:t>eGov</w:t>
      </w:r>
      <w:proofErr w:type="spellEnd"/>
      <w:r w:rsidRPr="002F70FD">
        <w:rPr>
          <w:lang w:val="en-ZA"/>
        </w:rPr>
        <w:t xml:space="preserve"> support team, will be escalated </w:t>
      </w:r>
      <w:proofErr w:type="gramStart"/>
      <w:r w:rsidRPr="002F70FD">
        <w:rPr>
          <w:lang w:val="en-ZA"/>
        </w:rPr>
        <w:t>to</w:t>
      </w:r>
      <w:proofErr w:type="gramEnd"/>
      <w:r w:rsidRPr="002F70FD">
        <w:rPr>
          <w:lang w:val="en-ZA"/>
        </w:rPr>
        <w:t xml:space="preserve"> and addressed by the L2/L3</w:t>
      </w:r>
      <w:r w:rsidR="00F32B2E">
        <w:rPr>
          <w:lang w:val="en-ZA"/>
        </w:rPr>
        <w:t xml:space="preserve"> </w:t>
      </w:r>
      <w:r w:rsidRPr="002F70FD">
        <w:rPr>
          <w:lang w:val="en-ZA"/>
        </w:rPr>
        <w:t xml:space="preserve">Hypercare team. This escalation process will integrate into the existing Microsoft Premier Support agreement and where required the Hypercare Team will escalate to Microsoft using the exiting </w:t>
      </w:r>
      <w:proofErr w:type="spellStart"/>
      <w:r w:rsidRPr="002F70FD">
        <w:rPr>
          <w:lang w:val="en-ZA"/>
        </w:rPr>
        <w:t>eGov</w:t>
      </w:r>
      <w:proofErr w:type="spellEnd"/>
      <w:r w:rsidRPr="002F70FD">
        <w:rPr>
          <w:lang w:val="en-ZA"/>
        </w:rPr>
        <w:t xml:space="preserve"> escalation channels and invoke the Microsoft Premier support process for the cases which relate to Premier support.</w:t>
      </w:r>
    </w:p>
    <w:bookmarkEnd w:id="17"/>
    <w:p w14:paraId="3B1BB174" w14:textId="027FFC85" w:rsidR="002455C5" w:rsidRPr="002F70FD" w:rsidRDefault="003B1F29" w:rsidP="001A504A">
      <w:pPr>
        <w:pStyle w:val="Heading3"/>
        <w:rPr>
          <w:lang w:val="en-ZA"/>
        </w:rPr>
      </w:pPr>
      <w:r w:rsidRPr="002F70FD">
        <w:rPr>
          <w:lang w:val="en-ZA"/>
        </w:rPr>
        <w:t>Hours of support</w:t>
      </w:r>
    </w:p>
    <w:p w14:paraId="35E76F92" w14:textId="6163452A" w:rsidR="003B1F29" w:rsidRPr="002F70FD" w:rsidRDefault="003B1F29" w:rsidP="003B1F29">
      <w:pPr>
        <w:jc w:val="both"/>
        <w:rPr>
          <w:rFonts w:cstheme="minorHAnsi"/>
          <w:lang w:val="en-ZA"/>
        </w:rPr>
      </w:pPr>
      <w:r w:rsidRPr="002F70FD">
        <w:rPr>
          <w:rFonts w:cstheme="minorHAnsi"/>
          <w:lang w:val="en-ZA"/>
        </w:rPr>
        <w:t xml:space="preserve">The Hypercare support team will work within the parameters of normal business hours, with the </w:t>
      </w:r>
      <w:proofErr w:type="spellStart"/>
      <w:r w:rsidRPr="002F70FD">
        <w:rPr>
          <w:rFonts w:cstheme="minorHAnsi"/>
          <w:lang w:val="en-ZA"/>
        </w:rPr>
        <w:t>eGov</w:t>
      </w:r>
      <w:proofErr w:type="spellEnd"/>
      <w:r w:rsidRPr="002F70FD">
        <w:rPr>
          <w:rFonts w:cstheme="minorHAnsi"/>
          <w:lang w:val="en-ZA"/>
        </w:rPr>
        <w:t xml:space="preserve"> IT Infrastructure support team. The hours of support will be Monday to Friday, 08:00-16:00 excluding weekends and public holidays. No afterhours support requirement has been identified as in scope for Hypercare Support Team.</w:t>
      </w:r>
    </w:p>
    <w:p w14:paraId="0AB000D8" w14:textId="1E5C4D9F" w:rsidR="003B1F29" w:rsidRPr="002F70FD" w:rsidRDefault="003B1F29" w:rsidP="003B1F29">
      <w:pPr>
        <w:jc w:val="both"/>
        <w:rPr>
          <w:rFonts w:cstheme="minorHAnsi"/>
          <w:lang w:val="en-ZA"/>
        </w:rPr>
      </w:pPr>
      <w:r w:rsidRPr="002F70FD">
        <w:rPr>
          <w:rFonts w:cstheme="minorHAnsi"/>
          <w:lang w:val="en-ZA"/>
        </w:rPr>
        <w:t xml:space="preserve">As the Hypercare phase matures and Hypercare resources scale down, the dependency on the </w:t>
      </w:r>
      <w:proofErr w:type="spellStart"/>
      <w:r w:rsidRPr="002F70FD">
        <w:rPr>
          <w:rFonts w:cstheme="minorHAnsi"/>
          <w:lang w:val="en-ZA"/>
        </w:rPr>
        <w:t>eGov</w:t>
      </w:r>
      <w:proofErr w:type="spellEnd"/>
      <w:r w:rsidRPr="002F70FD">
        <w:rPr>
          <w:rFonts w:cstheme="minorHAnsi"/>
          <w:lang w:val="en-ZA"/>
        </w:rPr>
        <w:t xml:space="preserve"> Support team will increase, the intent is for the </w:t>
      </w:r>
      <w:proofErr w:type="spellStart"/>
      <w:r w:rsidRPr="002F70FD">
        <w:rPr>
          <w:rFonts w:cstheme="minorHAnsi"/>
          <w:lang w:val="en-ZA"/>
        </w:rPr>
        <w:t>eGov</w:t>
      </w:r>
      <w:proofErr w:type="spellEnd"/>
      <w:r w:rsidRPr="002F70FD">
        <w:rPr>
          <w:rFonts w:cstheme="minorHAnsi"/>
          <w:lang w:val="en-ZA"/>
        </w:rPr>
        <w:t xml:space="preserve"> Team to perform full support and triage of the solution after </w:t>
      </w:r>
      <w:r w:rsidR="00AA772C" w:rsidRPr="002F70FD">
        <w:rPr>
          <w:rFonts w:cstheme="minorHAnsi"/>
          <w:lang w:val="en-ZA"/>
        </w:rPr>
        <w:t xml:space="preserve">the </w:t>
      </w:r>
      <w:r w:rsidR="00197AAA">
        <w:rPr>
          <w:rFonts w:cstheme="minorHAnsi"/>
          <w:lang w:val="en-ZA"/>
        </w:rPr>
        <w:t xml:space="preserve">post migration </w:t>
      </w:r>
      <w:r w:rsidR="0041187F">
        <w:rPr>
          <w:rFonts w:cstheme="minorHAnsi"/>
          <w:lang w:val="en-ZA"/>
        </w:rPr>
        <w:t>Hypercare</w:t>
      </w:r>
      <w:r w:rsidRPr="002F70FD">
        <w:rPr>
          <w:rFonts w:cstheme="minorHAnsi"/>
          <w:lang w:val="en-ZA"/>
        </w:rPr>
        <w:t xml:space="preserve">. </w:t>
      </w:r>
    </w:p>
    <w:p w14:paraId="3B1BB1B4" w14:textId="7ED60F38" w:rsidR="00D0227D" w:rsidRPr="002F70FD" w:rsidRDefault="00EE621A" w:rsidP="00C84DD9">
      <w:pPr>
        <w:pStyle w:val="Heading3"/>
        <w:rPr>
          <w:lang w:val="en-ZA"/>
        </w:rPr>
      </w:pPr>
      <w:r w:rsidRPr="002F70FD">
        <w:rPr>
          <w:lang w:val="en-ZA"/>
        </w:rPr>
        <w:t>Hypercare readiness and prerequisites</w:t>
      </w:r>
    </w:p>
    <w:p w14:paraId="24EE1BA3" w14:textId="1C463ADB" w:rsidR="00DA0204" w:rsidRPr="002F70FD" w:rsidRDefault="00DA0204" w:rsidP="00DA0204">
      <w:pPr>
        <w:jc w:val="both"/>
        <w:rPr>
          <w:rFonts w:cstheme="minorHAnsi"/>
          <w:lang w:val="en-ZA"/>
        </w:rPr>
      </w:pPr>
      <w:bookmarkStart w:id="18" w:name="_Toc476168029"/>
      <w:r w:rsidRPr="002F70FD">
        <w:rPr>
          <w:rFonts w:cstheme="minorHAnsi"/>
          <w:lang w:val="en-ZA"/>
        </w:rPr>
        <w:t xml:space="preserve">The required site readiness activities are a prerequisite for the successful initiation and completion of the Hypercare project phase. Failure to have all the below listed, prerequisites in place may result in overall project and Hypercare phase delays, which could require costed change requests to this SOW.  </w:t>
      </w:r>
    </w:p>
    <w:p w14:paraId="6214BFC6" w14:textId="60AE40CD" w:rsidR="002F0F0F" w:rsidRDefault="00542EC0" w:rsidP="00451FFD">
      <w:pPr>
        <w:pStyle w:val="ListParagraph"/>
        <w:numPr>
          <w:ilvl w:val="0"/>
          <w:numId w:val="15"/>
        </w:numPr>
        <w:spacing w:line="276" w:lineRule="auto"/>
        <w:jc w:val="both"/>
        <w:rPr>
          <w:rFonts w:cs="Segoe UI"/>
          <w:lang w:val="en-ZA"/>
        </w:rPr>
      </w:pPr>
      <w:r>
        <w:rPr>
          <w:rFonts w:cs="Segoe UI"/>
          <w:lang w:val="en-ZA"/>
        </w:rPr>
        <w:t xml:space="preserve">The </w:t>
      </w:r>
      <w:r w:rsidR="00F2642D">
        <w:rPr>
          <w:rFonts w:cs="Segoe UI"/>
          <w:lang w:val="en-ZA"/>
        </w:rPr>
        <w:t xml:space="preserve">Support levels </w:t>
      </w:r>
      <w:r w:rsidR="00A41B40">
        <w:rPr>
          <w:rFonts w:cs="Segoe UI"/>
          <w:lang w:val="en-ZA"/>
        </w:rPr>
        <w:t xml:space="preserve">(L1/L2/L3) </w:t>
      </w:r>
      <w:r w:rsidR="00F2642D">
        <w:rPr>
          <w:rFonts w:cs="Segoe UI"/>
          <w:lang w:val="en-ZA"/>
        </w:rPr>
        <w:t>will be defined at the kick-off of the Hypercare</w:t>
      </w:r>
      <w:r w:rsidR="0008505C">
        <w:rPr>
          <w:rFonts w:cs="Segoe UI"/>
          <w:lang w:val="en-ZA"/>
        </w:rPr>
        <w:t xml:space="preserve"> as well as the hand-off </w:t>
      </w:r>
      <w:r w:rsidR="005354B1">
        <w:rPr>
          <w:rFonts w:cs="Segoe UI"/>
          <w:lang w:val="en-ZA"/>
        </w:rPr>
        <w:t>between the Support levels.</w:t>
      </w:r>
    </w:p>
    <w:p w14:paraId="6AA4C6B0" w14:textId="04B5C4E6" w:rsidR="00DA0204" w:rsidRPr="00451FFD" w:rsidRDefault="00DA0204" w:rsidP="00451FFD">
      <w:pPr>
        <w:pStyle w:val="ListParagraph"/>
        <w:numPr>
          <w:ilvl w:val="0"/>
          <w:numId w:val="15"/>
        </w:numPr>
        <w:spacing w:line="276" w:lineRule="auto"/>
        <w:jc w:val="both"/>
        <w:rPr>
          <w:rFonts w:cs="Segoe UI"/>
          <w:lang w:val="en-ZA"/>
        </w:rPr>
      </w:pPr>
      <w:r w:rsidRPr="002F70FD">
        <w:rPr>
          <w:rFonts w:cs="Segoe UI"/>
          <w:lang w:val="en-ZA"/>
        </w:rPr>
        <w:t xml:space="preserve"> </w:t>
      </w:r>
      <w:proofErr w:type="spellStart"/>
      <w:r w:rsidRPr="002F70FD">
        <w:rPr>
          <w:rFonts w:cs="Segoe UI"/>
          <w:lang w:val="en-ZA"/>
        </w:rPr>
        <w:t>eGov</w:t>
      </w:r>
      <w:proofErr w:type="spellEnd"/>
      <w:r w:rsidRPr="002F70FD">
        <w:rPr>
          <w:rFonts w:cs="Segoe UI"/>
          <w:lang w:val="en-ZA"/>
        </w:rPr>
        <w:t xml:space="preserve"> Support Team have the pre-existing / prerequisite technical capability and competency to manage and resolve 1</w:t>
      </w:r>
      <w:r w:rsidRPr="002F70FD">
        <w:rPr>
          <w:rFonts w:cs="Segoe UI"/>
          <w:vertAlign w:val="superscript"/>
          <w:lang w:val="en-ZA"/>
        </w:rPr>
        <w:t>st</w:t>
      </w:r>
      <w:r w:rsidRPr="002F70FD">
        <w:rPr>
          <w:rFonts w:cs="Segoe UI"/>
          <w:lang w:val="en-ZA"/>
        </w:rPr>
        <w:t xml:space="preserve"> level email as a service support and triage.  to provide list of all </w:t>
      </w:r>
      <w:proofErr w:type="spellStart"/>
      <w:r w:rsidRPr="002F70FD">
        <w:rPr>
          <w:rFonts w:cs="Segoe UI"/>
          <w:lang w:val="en-ZA"/>
        </w:rPr>
        <w:t>eGov</w:t>
      </w:r>
      <w:proofErr w:type="spellEnd"/>
      <w:r w:rsidRPr="002F70FD">
        <w:rPr>
          <w:rFonts w:cs="Segoe UI"/>
          <w:lang w:val="en-ZA"/>
        </w:rPr>
        <w:t xml:space="preserve"> Support team members that attended the training and support sessions delivered by </w:t>
      </w:r>
      <w:r w:rsidR="00F32B2E">
        <w:rPr>
          <w:rFonts w:cs="Segoe UI"/>
          <w:lang w:val="en-ZA"/>
        </w:rPr>
        <w:t>Microsoft Premier</w:t>
      </w:r>
      <w:r w:rsidRPr="002F70FD">
        <w:rPr>
          <w:rFonts w:cs="Segoe UI"/>
          <w:lang w:val="en-ZA"/>
        </w:rPr>
        <w:t>.</w:t>
      </w:r>
    </w:p>
    <w:p w14:paraId="4E672B13" w14:textId="4C4F5A62" w:rsidR="00DA0204" w:rsidRPr="002F70FD" w:rsidRDefault="00DA0204" w:rsidP="00543F78">
      <w:pPr>
        <w:pStyle w:val="ListParagraph"/>
        <w:numPr>
          <w:ilvl w:val="0"/>
          <w:numId w:val="15"/>
        </w:numPr>
        <w:spacing w:line="276" w:lineRule="auto"/>
        <w:jc w:val="both"/>
        <w:rPr>
          <w:rFonts w:cs="Segoe UI"/>
          <w:lang w:val="en-ZA"/>
        </w:rPr>
      </w:pPr>
      <w:r w:rsidRPr="002F70FD">
        <w:rPr>
          <w:rFonts w:cs="Segoe UI"/>
          <w:lang w:val="en-ZA"/>
        </w:rPr>
        <w:t xml:space="preserve"> </w:t>
      </w:r>
      <w:proofErr w:type="spellStart"/>
      <w:r w:rsidRPr="002F70FD">
        <w:rPr>
          <w:rFonts w:cs="Segoe UI"/>
          <w:lang w:val="en-ZA"/>
        </w:rPr>
        <w:t>eGov</w:t>
      </w:r>
      <w:proofErr w:type="spellEnd"/>
      <w:r w:rsidRPr="002F70FD">
        <w:rPr>
          <w:rFonts w:cs="Segoe UI"/>
          <w:lang w:val="en-ZA"/>
        </w:rPr>
        <w:t xml:space="preserve"> Support Team have formal and documented processes and policies in place for service request, incident and problem logging, resolution, </w:t>
      </w:r>
      <w:proofErr w:type="gramStart"/>
      <w:r w:rsidRPr="002F70FD">
        <w:rPr>
          <w:rFonts w:cs="Segoe UI"/>
          <w:lang w:val="en-ZA"/>
        </w:rPr>
        <w:t>management</w:t>
      </w:r>
      <w:proofErr w:type="gramEnd"/>
      <w:r w:rsidRPr="002F70FD">
        <w:rPr>
          <w:rFonts w:cs="Segoe UI"/>
          <w:lang w:val="en-ZA"/>
        </w:rPr>
        <w:t xml:space="preserve"> and reporting. </w:t>
      </w:r>
      <w:proofErr w:type="gramStart"/>
      <w:r w:rsidRPr="002F70FD">
        <w:rPr>
          <w:rFonts w:cs="Segoe UI"/>
          <w:lang w:val="en-ZA"/>
        </w:rPr>
        <w:t>In the event that</w:t>
      </w:r>
      <w:proofErr w:type="gramEnd"/>
      <w:r w:rsidRPr="002F70FD">
        <w:rPr>
          <w:rFonts w:cs="Segoe UI"/>
          <w:lang w:val="en-ZA"/>
        </w:rPr>
        <w:t xml:space="preserve"> no formalised processes exist, it should be noted that this can potentially impact the delivery of the Hypercare phase and require change controls to remedy.</w:t>
      </w:r>
    </w:p>
    <w:p w14:paraId="4EC2D2B6" w14:textId="1B4B4F99" w:rsidR="00C84BF3" w:rsidRDefault="009D0EAC" w:rsidP="00543F78">
      <w:pPr>
        <w:pStyle w:val="ListParagraph"/>
        <w:numPr>
          <w:ilvl w:val="0"/>
          <w:numId w:val="15"/>
        </w:numPr>
        <w:spacing w:line="276" w:lineRule="auto"/>
        <w:jc w:val="both"/>
        <w:rPr>
          <w:rFonts w:cs="Segoe UI"/>
          <w:lang w:val="en-ZA"/>
        </w:rPr>
      </w:pPr>
      <w:r>
        <w:rPr>
          <w:rFonts w:cs="Segoe UI"/>
          <w:lang w:val="en-ZA"/>
        </w:rPr>
        <w:t xml:space="preserve"> resources </w:t>
      </w:r>
      <w:r w:rsidR="00B81C31">
        <w:rPr>
          <w:rFonts w:cs="Segoe UI"/>
          <w:lang w:val="en-ZA"/>
        </w:rPr>
        <w:t xml:space="preserve">that was part of the </w:t>
      </w:r>
      <w:r w:rsidR="008B7631">
        <w:rPr>
          <w:rFonts w:cs="Segoe UI"/>
          <w:lang w:val="en-ZA"/>
        </w:rPr>
        <w:t xml:space="preserve">Office </w:t>
      </w:r>
      <w:r w:rsidR="00CF5E06">
        <w:rPr>
          <w:rFonts w:cs="Segoe UI"/>
          <w:lang w:val="en-ZA"/>
        </w:rPr>
        <w:t xml:space="preserve">365 </w:t>
      </w:r>
      <w:r w:rsidR="00DA7A79">
        <w:rPr>
          <w:rFonts w:cs="Segoe UI"/>
          <w:lang w:val="en-ZA"/>
        </w:rPr>
        <w:t xml:space="preserve">mailbox </w:t>
      </w:r>
      <w:r w:rsidR="007A7F5D">
        <w:rPr>
          <w:rFonts w:cs="Segoe UI"/>
          <w:lang w:val="en-ZA"/>
        </w:rPr>
        <w:t xml:space="preserve">onboarding project </w:t>
      </w:r>
      <w:r w:rsidR="000839DD">
        <w:rPr>
          <w:rFonts w:cs="Segoe UI"/>
          <w:lang w:val="en-ZA"/>
        </w:rPr>
        <w:t xml:space="preserve">attended </w:t>
      </w:r>
      <w:r w:rsidR="00EA5684">
        <w:rPr>
          <w:rFonts w:cs="Segoe UI"/>
          <w:lang w:val="en-ZA"/>
        </w:rPr>
        <w:t xml:space="preserve">accredited </w:t>
      </w:r>
      <w:r w:rsidR="000839DD">
        <w:rPr>
          <w:rFonts w:cs="Segoe UI"/>
          <w:lang w:val="en-ZA"/>
        </w:rPr>
        <w:t xml:space="preserve">training </w:t>
      </w:r>
      <w:r w:rsidR="00283CF0">
        <w:rPr>
          <w:rFonts w:cs="Segoe UI"/>
          <w:lang w:val="en-ZA"/>
        </w:rPr>
        <w:t xml:space="preserve">courses </w:t>
      </w:r>
      <w:r w:rsidR="00EA5684">
        <w:rPr>
          <w:rFonts w:cs="Segoe UI"/>
          <w:lang w:val="en-ZA"/>
        </w:rPr>
        <w:t>related to O</w:t>
      </w:r>
      <w:r w:rsidR="003C61D5">
        <w:rPr>
          <w:rFonts w:cs="Segoe UI"/>
          <w:lang w:val="en-ZA"/>
        </w:rPr>
        <w:t xml:space="preserve">ffice 365 </w:t>
      </w:r>
      <w:r w:rsidR="00ED325E">
        <w:rPr>
          <w:rFonts w:cs="Segoe UI"/>
          <w:lang w:val="en-ZA"/>
        </w:rPr>
        <w:t>Administration</w:t>
      </w:r>
      <w:r w:rsidR="009475CF">
        <w:rPr>
          <w:rFonts w:cs="Segoe UI"/>
          <w:lang w:val="en-ZA"/>
        </w:rPr>
        <w:t>.</w:t>
      </w:r>
    </w:p>
    <w:p w14:paraId="3D69C39E" w14:textId="33396CEF" w:rsidR="009B2F5B" w:rsidRDefault="00385726" w:rsidP="00543F78">
      <w:pPr>
        <w:pStyle w:val="ListParagraph"/>
        <w:numPr>
          <w:ilvl w:val="0"/>
          <w:numId w:val="15"/>
        </w:numPr>
        <w:spacing w:line="276" w:lineRule="auto"/>
        <w:jc w:val="both"/>
        <w:rPr>
          <w:rFonts w:cs="Segoe UI"/>
          <w:lang w:val="en-ZA"/>
        </w:rPr>
      </w:pPr>
      <w:r w:rsidRPr="00FB20CC">
        <w:lastRenderedPageBreak/>
        <w:t xml:space="preserve"> staff members who work alongside Microsoft staff </w:t>
      </w:r>
      <w:r w:rsidR="000050BA">
        <w:t xml:space="preserve">during Office 365 </w:t>
      </w:r>
      <w:r w:rsidR="00DA7A79">
        <w:t xml:space="preserve">mailbox onboarding </w:t>
      </w:r>
      <w:r w:rsidRPr="00FB20CC">
        <w:t xml:space="preserve">will be provided with information knowledge transfer throughout the </w:t>
      </w:r>
      <w:r w:rsidRPr="004551C5">
        <w:t>pro</w:t>
      </w:r>
      <w:r w:rsidR="003968C9">
        <w:t>ject</w:t>
      </w:r>
      <w:r w:rsidRPr="00FB20CC">
        <w:t xml:space="preserve">. </w:t>
      </w:r>
    </w:p>
    <w:p w14:paraId="0A2BA17B" w14:textId="7921E8A9" w:rsidR="00DA0204" w:rsidRPr="002F70FD" w:rsidRDefault="009A6AD2" w:rsidP="00543F78">
      <w:pPr>
        <w:pStyle w:val="ListParagraph"/>
        <w:numPr>
          <w:ilvl w:val="0"/>
          <w:numId w:val="15"/>
        </w:numPr>
        <w:spacing w:line="276" w:lineRule="auto"/>
        <w:jc w:val="both"/>
        <w:rPr>
          <w:rFonts w:cs="Segoe UI"/>
          <w:lang w:val="en-ZA"/>
        </w:rPr>
      </w:pPr>
      <w:r>
        <w:rPr>
          <w:rFonts w:cs="Segoe UI"/>
          <w:lang w:val="en-ZA"/>
        </w:rPr>
        <w:t xml:space="preserve">If the </w:t>
      </w:r>
      <w:r w:rsidR="00DA0204" w:rsidRPr="002F70FD">
        <w:rPr>
          <w:rFonts w:cs="Segoe UI"/>
          <w:lang w:val="en-ZA"/>
        </w:rPr>
        <w:t xml:space="preserve">Hypercare Support team </w:t>
      </w:r>
      <w:r>
        <w:rPr>
          <w:rFonts w:cs="Segoe UI"/>
          <w:lang w:val="en-ZA"/>
        </w:rPr>
        <w:t xml:space="preserve">is onsite, they </w:t>
      </w:r>
      <w:r w:rsidR="00DA0204" w:rsidRPr="002F70FD">
        <w:rPr>
          <w:rFonts w:cs="Segoe UI"/>
          <w:lang w:val="en-ZA"/>
        </w:rPr>
        <w:t xml:space="preserve">will require: </w:t>
      </w:r>
    </w:p>
    <w:p w14:paraId="46DE9259" w14:textId="59AC828F" w:rsidR="00DA0204" w:rsidRPr="002F70FD" w:rsidRDefault="00DA0204" w:rsidP="00543F78">
      <w:pPr>
        <w:pStyle w:val="ListParagraph"/>
        <w:numPr>
          <w:ilvl w:val="1"/>
          <w:numId w:val="15"/>
        </w:numPr>
        <w:spacing w:line="276" w:lineRule="auto"/>
        <w:jc w:val="both"/>
        <w:rPr>
          <w:rFonts w:cs="Segoe UI"/>
          <w:lang w:val="en-ZA"/>
        </w:rPr>
      </w:pPr>
      <w:r w:rsidRPr="002F70FD">
        <w:rPr>
          <w:rFonts w:cs="Segoe UI"/>
          <w:lang w:val="en-ZA"/>
        </w:rPr>
        <w:t xml:space="preserve">Suitable working environment provided by the client. </w:t>
      </w:r>
    </w:p>
    <w:p w14:paraId="63A12FAE" w14:textId="69680AA4" w:rsidR="00DA0204" w:rsidRPr="002F70FD" w:rsidRDefault="00DA0204" w:rsidP="00543F78">
      <w:pPr>
        <w:pStyle w:val="ListParagraph"/>
        <w:numPr>
          <w:ilvl w:val="1"/>
          <w:numId w:val="15"/>
        </w:numPr>
        <w:spacing w:line="276" w:lineRule="auto"/>
        <w:jc w:val="both"/>
        <w:rPr>
          <w:rFonts w:cs="Segoe UI"/>
          <w:lang w:val="en-ZA"/>
        </w:rPr>
      </w:pPr>
      <w:r w:rsidRPr="002F70FD">
        <w:rPr>
          <w:rFonts w:cs="Segoe UI"/>
          <w:lang w:val="en-ZA"/>
        </w:rPr>
        <w:t xml:space="preserve">Desks, power points, secure parking will be arranged. </w:t>
      </w:r>
    </w:p>
    <w:p w14:paraId="0BAFCCBB" w14:textId="77777777" w:rsidR="00DA0204" w:rsidRPr="002F70FD" w:rsidRDefault="00DA0204" w:rsidP="00543F78">
      <w:pPr>
        <w:pStyle w:val="ListParagraph"/>
        <w:numPr>
          <w:ilvl w:val="1"/>
          <w:numId w:val="15"/>
        </w:numPr>
        <w:spacing w:line="276" w:lineRule="auto"/>
        <w:jc w:val="both"/>
        <w:rPr>
          <w:rFonts w:cs="Segoe UI"/>
          <w:lang w:val="en-ZA"/>
        </w:rPr>
      </w:pPr>
      <w:r w:rsidRPr="002F70FD">
        <w:rPr>
          <w:rFonts w:cs="Segoe UI"/>
          <w:lang w:val="en-ZA"/>
        </w:rPr>
        <w:t>Access to Ticket/service request logging system</w:t>
      </w:r>
    </w:p>
    <w:p w14:paraId="724DE212" w14:textId="77777777" w:rsidR="00DA0204" w:rsidRPr="002F70FD" w:rsidRDefault="00DA0204" w:rsidP="00543F78">
      <w:pPr>
        <w:pStyle w:val="ListParagraph"/>
        <w:numPr>
          <w:ilvl w:val="1"/>
          <w:numId w:val="15"/>
        </w:numPr>
        <w:spacing w:line="276" w:lineRule="auto"/>
        <w:jc w:val="both"/>
        <w:rPr>
          <w:rFonts w:cs="Segoe UI"/>
          <w:lang w:val="en-ZA"/>
        </w:rPr>
      </w:pPr>
      <w:r w:rsidRPr="002F70FD">
        <w:rPr>
          <w:rFonts w:cs="Segoe UI"/>
          <w:lang w:val="en-ZA"/>
        </w:rPr>
        <w:t>Access to network and Wi-Fi</w:t>
      </w:r>
    </w:p>
    <w:p w14:paraId="30E6B8F6" w14:textId="77777777" w:rsidR="00DA0204" w:rsidRPr="002F70FD" w:rsidRDefault="00DA0204" w:rsidP="00543F78">
      <w:pPr>
        <w:pStyle w:val="ListParagraph"/>
        <w:numPr>
          <w:ilvl w:val="1"/>
          <w:numId w:val="15"/>
        </w:numPr>
        <w:spacing w:line="276" w:lineRule="auto"/>
        <w:jc w:val="both"/>
        <w:rPr>
          <w:rFonts w:cs="Segoe UI"/>
          <w:lang w:val="en-ZA"/>
        </w:rPr>
      </w:pPr>
      <w:r w:rsidRPr="002F70FD">
        <w:rPr>
          <w:rFonts w:cs="Segoe UI"/>
          <w:lang w:val="en-ZA"/>
        </w:rPr>
        <w:t>Access to the relevant workspaces/floors</w:t>
      </w:r>
    </w:p>
    <w:p w14:paraId="1E5288EA" w14:textId="77777777" w:rsidR="00DA0204" w:rsidRPr="002F70FD" w:rsidRDefault="00DA0204" w:rsidP="00543F78">
      <w:pPr>
        <w:pStyle w:val="ListParagraph"/>
        <w:numPr>
          <w:ilvl w:val="1"/>
          <w:numId w:val="15"/>
        </w:numPr>
        <w:spacing w:line="276" w:lineRule="auto"/>
        <w:jc w:val="both"/>
        <w:rPr>
          <w:rFonts w:cs="Segoe UI"/>
          <w:lang w:val="en-ZA"/>
        </w:rPr>
      </w:pPr>
      <w:r w:rsidRPr="002F70FD">
        <w:rPr>
          <w:rFonts w:cs="Segoe UI"/>
          <w:lang w:val="en-ZA"/>
        </w:rPr>
        <w:t xml:space="preserve">Dedicated seating area with the </w:t>
      </w:r>
      <w:proofErr w:type="spellStart"/>
      <w:r w:rsidRPr="002F70FD">
        <w:rPr>
          <w:rFonts w:cs="Segoe UI"/>
          <w:lang w:val="en-ZA"/>
        </w:rPr>
        <w:t>eGov</w:t>
      </w:r>
      <w:proofErr w:type="spellEnd"/>
      <w:r w:rsidRPr="002F70FD">
        <w:rPr>
          <w:rFonts w:cs="Segoe UI"/>
          <w:lang w:val="en-ZA"/>
        </w:rPr>
        <w:t xml:space="preserve"> support team(s)</w:t>
      </w:r>
    </w:p>
    <w:p w14:paraId="5F5B40CA" w14:textId="3D14EA2F" w:rsidR="00DA0204" w:rsidRPr="002F70FD" w:rsidRDefault="00DA0204" w:rsidP="00543F78">
      <w:pPr>
        <w:pStyle w:val="ListParagraph"/>
        <w:numPr>
          <w:ilvl w:val="1"/>
          <w:numId w:val="15"/>
        </w:numPr>
        <w:spacing w:line="276" w:lineRule="auto"/>
        <w:jc w:val="both"/>
        <w:rPr>
          <w:rFonts w:cs="Segoe UI"/>
          <w:lang w:val="en-ZA"/>
        </w:rPr>
      </w:pPr>
      <w:r w:rsidRPr="002F70FD">
        <w:rPr>
          <w:rFonts w:cs="Segoe UI"/>
          <w:lang w:val="en-ZA"/>
        </w:rPr>
        <w:t xml:space="preserve">Access to the </w:t>
      </w:r>
      <w:proofErr w:type="gramStart"/>
      <w:r w:rsidRPr="002F70FD">
        <w:rPr>
          <w:rFonts w:cs="Segoe UI"/>
          <w:lang w:val="en-ZA"/>
        </w:rPr>
        <w:t>current  call</w:t>
      </w:r>
      <w:proofErr w:type="gramEnd"/>
      <w:r w:rsidRPr="002F70FD">
        <w:rPr>
          <w:rFonts w:cs="Segoe UI"/>
          <w:lang w:val="en-ZA"/>
        </w:rPr>
        <w:t xml:space="preserve"> logging and tracking system.</w:t>
      </w:r>
    </w:p>
    <w:p w14:paraId="5D501E9A" w14:textId="77777777" w:rsidR="00DA0204" w:rsidRPr="002F70FD" w:rsidRDefault="00DA0204" w:rsidP="00E03E74">
      <w:pPr>
        <w:pStyle w:val="ListParagraph"/>
        <w:numPr>
          <w:ilvl w:val="0"/>
          <w:numId w:val="15"/>
        </w:numPr>
        <w:spacing w:line="276" w:lineRule="auto"/>
        <w:rPr>
          <w:rFonts w:cs="Segoe UI"/>
          <w:lang w:val="en-ZA"/>
        </w:rPr>
      </w:pPr>
      <w:r w:rsidRPr="002F70FD">
        <w:rPr>
          <w:rFonts w:cs="Segoe UI"/>
          <w:lang w:val="en-ZA"/>
        </w:rPr>
        <w:t>Remote / offsite access to Ticket/service request logging system</w:t>
      </w:r>
    </w:p>
    <w:p w14:paraId="65B2E0F8" w14:textId="77777777" w:rsidR="00DA0204" w:rsidRPr="002F70FD" w:rsidRDefault="00DA0204" w:rsidP="00543F78">
      <w:pPr>
        <w:pStyle w:val="ListParagraph"/>
        <w:numPr>
          <w:ilvl w:val="0"/>
          <w:numId w:val="15"/>
        </w:numPr>
        <w:spacing w:line="276" w:lineRule="auto"/>
        <w:rPr>
          <w:rFonts w:cs="Segoe UI"/>
          <w:lang w:val="en-ZA"/>
        </w:rPr>
      </w:pPr>
      <w:r w:rsidRPr="002F70FD">
        <w:rPr>
          <w:rFonts w:cs="Segoe UI"/>
          <w:lang w:val="en-ZA"/>
        </w:rPr>
        <w:t>In the event additional resources are required at a certain point during Hypercare phase, the project team will endeavour to scale the resource model in accordance to the requirement and where necessary change requests will be raised related to time &amp; cost impact.</w:t>
      </w:r>
    </w:p>
    <w:bookmarkEnd w:id="18"/>
    <w:p w14:paraId="3B1BB1C6" w14:textId="517BF603" w:rsidR="004230B2" w:rsidRPr="002F70FD" w:rsidRDefault="006A1028" w:rsidP="00C84DD9">
      <w:pPr>
        <w:pStyle w:val="Heading3"/>
        <w:rPr>
          <w:lang w:val="en-ZA"/>
        </w:rPr>
      </w:pPr>
      <w:r>
        <w:rPr>
          <w:lang w:val="en-ZA"/>
        </w:rPr>
        <w:t>Communication</w:t>
      </w:r>
      <w:r>
        <w:rPr>
          <w:lang w:val="en-ZA"/>
        </w:rPr>
        <w:tab/>
      </w:r>
    </w:p>
    <w:p w14:paraId="4A058B47" w14:textId="77777777" w:rsidR="003948FE" w:rsidRPr="00A367A0" w:rsidRDefault="003948FE" w:rsidP="003948FE">
      <w:pPr>
        <w:jc w:val="both"/>
        <w:rPr>
          <w:rFonts w:cs="Segoe UI"/>
        </w:rPr>
      </w:pPr>
      <w:bookmarkStart w:id="19" w:name="_Toc476168030"/>
      <w:bookmarkStart w:id="20" w:name="_Ref477932815"/>
      <w:r w:rsidRPr="00CE0048">
        <w:t xml:space="preserve">Keeping the </w:t>
      </w:r>
      <w:r w:rsidRPr="00A367A0">
        <w:rPr>
          <w:rFonts w:cs="Segoe UI"/>
        </w:rPr>
        <w:t xml:space="preserve">business users and the managers updated is key as part of the Hypercare process. The Hypercare Support team will establish a communication schedule together with the </w:t>
      </w:r>
      <w:proofErr w:type="spellStart"/>
      <w:r w:rsidRPr="00A367A0">
        <w:rPr>
          <w:rFonts w:cs="Segoe UI"/>
        </w:rPr>
        <w:t>eGov</w:t>
      </w:r>
      <w:proofErr w:type="spellEnd"/>
      <w:r w:rsidRPr="00A367A0">
        <w:rPr>
          <w:rFonts w:cs="Segoe UI"/>
        </w:rPr>
        <w:t xml:space="preserve"> Support teams. This communication schedule will include the creation and distribution of:</w:t>
      </w:r>
    </w:p>
    <w:p w14:paraId="51BD06E5" w14:textId="1CEC0D9E" w:rsidR="003948FE" w:rsidRPr="00A367A0" w:rsidRDefault="003948FE" w:rsidP="00543F78">
      <w:pPr>
        <w:pStyle w:val="ListParagraph"/>
        <w:numPr>
          <w:ilvl w:val="0"/>
          <w:numId w:val="15"/>
        </w:numPr>
        <w:spacing w:line="276" w:lineRule="auto"/>
        <w:jc w:val="both"/>
        <w:rPr>
          <w:rFonts w:cs="Segoe UI"/>
        </w:rPr>
      </w:pPr>
      <w:r w:rsidRPr="00A367A0">
        <w:rPr>
          <w:rFonts w:cs="Segoe UI"/>
        </w:rPr>
        <w:t xml:space="preserve">Monthly </w:t>
      </w:r>
      <w:r w:rsidR="008F598B">
        <w:rPr>
          <w:rFonts w:cs="Segoe UI"/>
        </w:rPr>
        <w:t>Tenant Service</w:t>
      </w:r>
      <w:r w:rsidRPr="00A367A0">
        <w:rPr>
          <w:rFonts w:cs="Segoe UI"/>
        </w:rPr>
        <w:t xml:space="preserve"> </w:t>
      </w:r>
      <w:r w:rsidR="003A0897">
        <w:rPr>
          <w:rFonts w:cs="Segoe UI"/>
        </w:rPr>
        <w:t xml:space="preserve">Health </w:t>
      </w:r>
      <w:r w:rsidR="005C5ED1">
        <w:rPr>
          <w:rFonts w:cs="Segoe UI"/>
        </w:rPr>
        <w:t xml:space="preserve">and Service </w:t>
      </w:r>
      <w:r w:rsidRPr="00A367A0">
        <w:rPr>
          <w:rFonts w:cs="Segoe UI"/>
        </w:rPr>
        <w:t>Reports</w:t>
      </w:r>
    </w:p>
    <w:p w14:paraId="2999A68B" w14:textId="77777777" w:rsidR="003948FE" w:rsidRPr="00A367A0" w:rsidRDefault="003948FE" w:rsidP="00543F78">
      <w:pPr>
        <w:pStyle w:val="ListParagraph"/>
        <w:numPr>
          <w:ilvl w:val="0"/>
          <w:numId w:val="15"/>
        </w:numPr>
        <w:spacing w:line="276" w:lineRule="auto"/>
        <w:jc w:val="both"/>
        <w:rPr>
          <w:rFonts w:cs="Segoe UI"/>
        </w:rPr>
      </w:pPr>
      <w:r w:rsidRPr="00A367A0">
        <w:rPr>
          <w:rFonts w:cs="Segoe UI"/>
        </w:rPr>
        <w:t>Handover report (at completion of Hypercare Phase)</w:t>
      </w:r>
    </w:p>
    <w:p w14:paraId="0696FE83" w14:textId="46D48B0E" w:rsidR="003948FE" w:rsidRPr="00A367A0" w:rsidRDefault="003948FE" w:rsidP="00543F78">
      <w:pPr>
        <w:pStyle w:val="ListParagraph"/>
        <w:numPr>
          <w:ilvl w:val="0"/>
          <w:numId w:val="15"/>
        </w:numPr>
        <w:spacing w:line="276" w:lineRule="auto"/>
        <w:jc w:val="both"/>
        <w:rPr>
          <w:rFonts w:cs="Segoe UI"/>
        </w:rPr>
      </w:pPr>
      <w:r w:rsidRPr="00A367A0">
        <w:rPr>
          <w:rFonts w:cs="Segoe UI"/>
        </w:rPr>
        <w:t xml:space="preserve">Escalation Management: any high severity service requests that are identified and need to be addressed will be communicated to the current Hypercare </w:t>
      </w:r>
      <w:r w:rsidR="00B134E8">
        <w:rPr>
          <w:rFonts w:cs="Segoe UI"/>
        </w:rPr>
        <w:t xml:space="preserve">Project </w:t>
      </w:r>
      <w:r w:rsidR="008A39F8" w:rsidRPr="008A39F8">
        <w:rPr>
          <w:rFonts w:cs="Segoe UI"/>
        </w:rPr>
        <w:t>Manager</w:t>
      </w:r>
      <w:r w:rsidRPr="00A367A0">
        <w:rPr>
          <w:rFonts w:cs="Segoe UI"/>
        </w:rPr>
        <w:t xml:space="preserve"> and </w:t>
      </w:r>
      <w:proofErr w:type="spellStart"/>
      <w:r w:rsidRPr="00A367A0">
        <w:rPr>
          <w:rFonts w:cs="Segoe UI"/>
        </w:rPr>
        <w:t>eGov</w:t>
      </w:r>
      <w:proofErr w:type="spellEnd"/>
      <w:r w:rsidRPr="00A367A0">
        <w:rPr>
          <w:rFonts w:cs="Segoe UI"/>
        </w:rPr>
        <w:t xml:space="preserve"> Hypercare Phase Lead, for appropriate visibility and escalation awareness. The </w:t>
      </w:r>
      <w:r>
        <w:rPr>
          <w:rFonts w:cs="Segoe UI"/>
        </w:rPr>
        <w:t>TER/s</w:t>
      </w:r>
      <w:r w:rsidRPr="00A367A0">
        <w:rPr>
          <w:rFonts w:cs="Segoe UI"/>
        </w:rPr>
        <w:t xml:space="preserve"> Hypercare Support Team lead will attempt to drive resolution of the identified issue(s) and report back to </w:t>
      </w:r>
      <w:proofErr w:type="spellStart"/>
      <w:r w:rsidRPr="00A367A0">
        <w:rPr>
          <w:rFonts w:cs="Segoe UI"/>
        </w:rPr>
        <w:t>eGov</w:t>
      </w:r>
      <w:proofErr w:type="spellEnd"/>
      <w:r w:rsidRPr="00A367A0">
        <w:rPr>
          <w:rFonts w:cs="Segoe UI"/>
        </w:rPr>
        <w:t xml:space="preserve"> Support Team(s) or continue to escalate further within the Hypercare phase and stakeholders where required.</w:t>
      </w:r>
    </w:p>
    <w:p w14:paraId="3B1BB1E7" w14:textId="688E6AFE" w:rsidR="00D812F8" w:rsidRDefault="003948FE" w:rsidP="00025617">
      <w:pPr>
        <w:rPr>
          <w:lang w:val="en-ZA"/>
        </w:rPr>
      </w:pPr>
      <w:proofErr w:type="spellStart"/>
      <w:r>
        <w:t>eGov</w:t>
      </w:r>
      <w:proofErr w:type="spellEnd"/>
      <w:r>
        <w:t xml:space="preserve"> team to identify the stakeholder</w:t>
      </w:r>
      <w:r w:rsidR="00763E29">
        <w:t>s</w:t>
      </w:r>
      <w:r>
        <w:t xml:space="preserve"> who will receive the monthly reports. </w:t>
      </w:r>
      <w:bookmarkEnd w:id="19"/>
      <w:bookmarkEnd w:id="20"/>
    </w:p>
    <w:p w14:paraId="14889FC8" w14:textId="75944585" w:rsidR="00130C83" w:rsidRDefault="00130C83" w:rsidP="00130C83">
      <w:pPr>
        <w:pStyle w:val="Heading3"/>
        <w:rPr>
          <w:lang w:val="en-ZA"/>
        </w:rPr>
      </w:pPr>
      <w:r>
        <w:rPr>
          <w:lang w:val="en-ZA"/>
        </w:rPr>
        <w:t>Assumptions</w:t>
      </w:r>
    </w:p>
    <w:p w14:paraId="258EEC23" w14:textId="5B37C580" w:rsidR="00317782" w:rsidRDefault="00F926F6" w:rsidP="00E854C2">
      <w:pPr>
        <w:pStyle w:val="ListParagraph"/>
        <w:numPr>
          <w:ilvl w:val="0"/>
          <w:numId w:val="15"/>
        </w:numPr>
        <w:spacing w:before="0" w:after="0" w:line="240" w:lineRule="auto"/>
        <w:rPr>
          <w:rFonts w:eastAsia="Times New Roman" w:cs="Segoe UI"/>
          <w:szCs w:val="20"/>
          <w:lang w:val="en-ZA" w:eastAsia="en-ZA"/>
        </w:rPr>
      </w:pPr>
      <w:r>
        <w:rPr>
          <w:rFonts w:eastAsia="Times New Roman" w:cs="Segoe UI"/>
          <w:szCs w:val="20"/>
          <w:lang w:val="en-ZA" w:eastAsia="en-ZA"/>
        </w:rPr>
        <w:t xml:space="preserve">The </w:t>
      </w:r>
      <w:proofErr w:type="spellStart"/>
      <w:r>
        <w:rPr>
          <w:rFonts w:eastAsia="Times New Roman" w:cs="Segoe UI"/>
          <w:szCs w:val="20"/>
          <w:lang w:val="en-ZA" w:eastAsia="en-ZA"/>
        </w:rPr>
        <w:t>Hypecare</w:t>
      </w:r>
      <w:proofErr w:type="spellEnd"/>
      <w:r>
        <w:rPr>
          <w:rFonts w:eastAsia="Times New Roman" w:cs="Segoe UI"/>
          <w:szCs w:val="20"/>
          <w:lang w:val="en-ZA" w:eastAsia="en-ZA"/>
        </w:rPr>
        <w:t xml:space="preserve"> team will not have Global Administration </w:t>
      </w:r>
      <w:r w:rsidR="00360F95">
        <w:rPr>
          <w:rFonts w:eastAsia="Times New Roman" w:cs="Segoe UI"/>
          <w:szCs w:val="20"/>
          <w:lang w:val="en-ZA" w:eastAsia="en-ZA"/>
        </w:rPr>
        <w:t xml:space="preserve">rights to the tenant, this </w:t>
      </w:r>
      <w:r w:rsidR="00FF38DF">
        <w:rPr>
          <w:rFonts w:eastAsia="Times New Roman" w:cs="Segoe UI"/>
          <w:szCs w:val="20"/>
          <w:lang w:val="en-ZA" w:eastAsia="en-ZA"/>
        </w:rPr>
        <w:t>role will be held by the customer staff</w:t>
      </w:r>
      <w:r w:rsidR="00F958B1">
        <w:rPr>
          <w:rFonts w:eastAsia="Times New Roman" w:cs="Segoe UI"/>
          <w:szCs w:val="20"/>
          <w:lang w:val="en-ZA" w:eastAsia="en-ZA"/>
        </w:rPr>
        <w:t xml:space="preserve"> only</w:t>
      </w:r>
      <w:r w:rsidR="00C756BE">
        <w:rPr>
          <w:rFonts w:eastAsia="Times New Roman" w:cs="Segoe UI"/>
          <w:szCs w:val="20"/>
          <w:lang w:val="en-ZA" w:eastAsia="en-ZA"/>
        </w:rPr>
        <w:t xml:space="preserve">. Whenever Global Admin is required to do a function </w:t>
      </w:r>
      <w:r w:rsidR="007F015B">
        <w:rPr>
          <w:rFonts w:eastAsia="Times New Roman" w:cs="Segoe UI"/>
          <w:szCs w:val="20"/>
          <w:lang w:val="en-ZA" w:eastAsia="en-ZA"/>
        </w:rPr>
        <w:t>the Hypercare team will assist the customer to do the required changes</w:t>
      </w:r>
      <w:r w:rsidR="00654492">
        <w:rPr>
          <w:rFonts w:eastAsia="Times New Roman" w:cs="Segoe UI"/>
          <w:szCs w:val="20"/>
          <w:lang w:val="en-ZA" w:eastAsia="en-ZA"/>
        </w:rPr>
        <w:t>.</w:t>
      </w:r>
    </w:p>
    <w:p w14:paraId="5BAE87F5" w14:textId="2907A698" w:rsidR="00E854C2" w:rsidRPr="00AA5B80" w:rsidRDefault="00B602EF" w:rsidP="00E854C2">
      <w:pPr>
        <w:pStyle w:val="ListParagraph"/>
        <w:numPr>
          <w:ilvl w:val="0"/>
          <w:numId w:val="15"/>
        </w:numPr>
        <w:spacing w:before="0" w:after="0" w:line="240" w:lineRule="auto"/>
        <w:rPr>
          <w:rFonts w:eastAsia="Times New Roman" w:cs="Segoe UI"/>
          <w:szCs w:val="20"/>
          <w:lang w:val="en-ZA" w:eastAsia="en-ZA"/>
        </w:rPr>
      </w:pPr>
      <w:r w:rsidRPr="00AA5B80">
        <w:rPr>
          <w:rFonts w:eastAsia="Times New Roman" w:cs="Segoe UI"/>
          <w:szCs w:val="20"/>
          <w:lang w:val="en-ZA" w:eastAsia="en-ZA"/>
        </w:rPr>
        <w:t xml:space="preserve">Only Exchange Online </w:t>
      </w:r>
      <w:r w:rsidR="0042025A" w:rsidRPr="00AA5B80">
        <w:rPr>
          <w:rFonts w:eastAsia="Times New Roman" w:cs="Segoe UI"/>
          <w:szCs w:val="20"/>
          <w:lang w:val="en-ZA" w:eastAsia="en-ZA"/>
        </w:rPr>
        <w:t>service-related</w:t>
      </w:r>
      <w:r w:rsidRPr="00AA5B80">
        <w:rPr>
          <w:rFonts w:eastAsia="Times New Roman" w:cs="Segoe UI"/>
          <w:szCs w:val="20"/>
          <w:lang w:val="en-ZA" w:eastAsia="en-ZA"/>
        </w:rPr>
        <w:t xml:space="preserve"> </w:t>
      </w:r>
      <w:r w:rsidR="0097267A" w:rsidRPr="00AA5B80">
        <w:rPr>
          <w:rFonts w:eastAsia="Times New Roman" w:cs="Segoe UI"/>
          <w:szCs w:val="20"/>
          <w:lang w:val="en-ZA" w:eastAsia="en-ZA"/>
        </w:rPr>
        <w:t xml:space="preserve">tickets </w:t>
      </w:r>
      <w:r w:rsidR="00BA13F6" w:rsidRPr="00AA5B80">
        <w:rPr>
          <w:rFonts w:eastAsia="Times New Roman" w:cs="Segoe UI"/>
          <w:szCs w:val="20"/>
          <w:lang w:val="en-ZA" w:eastAsia="en-ZA"/>
        </w:rPr>
        <w:t>are</w:t>
      </w:r>
      <w:r w:rsidR="0042025A" w:rsidRPr="00AA5B80">
        <w:rPr>
          <w:rFonts w:eastAsia="Times New Roman" w:cs="Segoe UI"/>
          <w:szCs w:val="20"/>
          <w:lang w:val="en-ZA" w:eastAsia="en-ZA"/>
        </w:rPr>
        <w:t xml:space="preserve"> in scope. All other </w:t>
      </w:r>
      <w:r w:rsidR="00B66D6A" w:rsidRPr="00AA5B80">
        <w:rPr>
          <w:rFonts w:eastAsia="Times New Roman" w:cs="Segoe UI"/>
          <w:szCs w:val="20"/>
          <w:lang w:val="en-ZA" w:eastAsia="en-ZA"/>
        </w:rPr>
        <w:t>systems that interface with Exchange Online is exclu</w:t>
      </w:r>
      <w:r w:rsidR="0081354F" w:rsidRPr="00AA5B80">
        <w:rPr>
          <w:rFonts w:eastAsia="Times New Roman" w:cs="Segoe UI"/>
          <w:szCs w:val="20"/>
          <w:lang w:val="en-ZA" w:eastAsia="en-ZA"/>
        </w:rPr>
        <w:t>ded</w:t>
      </w:r>
    </w:p>
    <w:p w14:paraId="69E4D53D" w14:textId="5AE2B262" w:rsidR="00E854C2" w:rsidRPr="00AA5B80" w:rsidRDefault="00E854C2" w:rsidP="00E854C2">
      <w:pPr>
        <w:pStyle w:val="ListParagraph"/>
        <w:numPr>
          <w:ilvl w:val="0"/>
          <w:numId w:val="15"/>
        </w:numPr>
        <w:spacing w:before="0" w:after="0" w:line="240" w:lineRule="auto"/>
        <w:rPr>
          <w:rFonts w:eastAsia="Times New Roman" w:cs="Segoe UI"/>
          <w:szCs w:val="20"/>
          <w:lang w:val="en-ZA" w:eastAsia="en-ZA"/>
        </w:rPr>
      </w:pPr>
      <w:r w:rsidRPr="00AA5B80">
        <w:rPr>
          <w:rFonts w:eastAsia="Times New Roman" w:cs="Segoe UI"/>
          <w:szCs w:val="20"/>
          <w:lang w:val="en-ZA" w:eastAsia="en-ZA"/>
        </w:rPr>
        <w:t xml:space="preserve">Support will focus only on issues that are specific to the </w:t>
      </w:r>
      <w:r w:rsidR="003C3302" w:rsidRPr="00AA5B80">
        <w:rPr>
          <w:rFonts w:eastAsia="Times New Roman" w:cs="Segoe UI"/>
          <w:szCs w:val="20"/>
          <w:lang w:val="en-ZA" w:eastAsia="en-ZA"/>
        </w:rPr>
        <w:t>Exchange Online services</w:t>
      </w:r>
      <w:r w:rsidRPr="00AA5B80">
        <w:rPr>
          <w:rFonts w:eastAsia="Times New Roman" w:cs="Segoe UI"/>
          <w:szCs w:val="20"/>
          <w:lang w:val="en-ZA" w:eastAsia="en-ZA"/>
        </w:rPr>
        <w:t xml:space="preserve">. </w:t>
      </w:r>
    </w:p>
    <w:p w14:paraId="0AD5660C" w14:textId="6F270BFC" w:rsidR="00E854C2" w:rsidRPr="00AA5B80" w:rsidRDefault="00805ED1" w:rsidP="00E854C2">
      <w:pPr>
        <w:pStyle w:val="ListParagraph"/>
        <w:numPr>
          <w:ilvl w:val="0"/>
          <w:numId w:val="15"/>
        </w:numPr>
        <w:spacing w:before="0" w:after="0" w:line="240" w:lineRule="auto"/>
        <w:rPr>
          <w:rFonts w:eastAsia="Times New Roman" w:cs="Segoe UI"/>
          <w:szCs w:val="20"/>
          <w:lang w:val="en-ZA" w:eastAsia="en-ZA"/>
        </w:rPr>
      </w:pPr>
      <w:r w:rsidRPr="00AA5B80">
        <w:rPr>
          <w:rFonts w:eastAsia="Times New Roman" w:cs="Segoe UI"/>
          <w:szCs w:val="20"/>
          <w:lang w:val="en-ZA" w:eastAsia="en-ZA"/>
        </w:rPr>
        <w:t xml:space="preserve">The </w:t>
      </w:r>
      <w:r w:rsidR="00943A5A" w:rsidRPr="00AA5B80">
        <w:rPr>
          <w:rFonts w:eastAsia="Times New Roman" w:cs="Segoe UI"/>
          <w:szCs w:val="20"/>
          <w:lang w:val="en-ZA" w:eastAsia="en-ZA"/>
        </w:rPr>
        <w:t xml:space="preserve">Post Migration </w:t>
      </w:r>
      <w:r w:rsidR="009332A5" w:rsidRPr="00AA5B80">
        <w:rPr>
          <w:rFonts w:eastAsia="Times New Roman" w:cs="Segoe UI"/>
          <w:szCs w:val="20"/>
          <w:lang w:val="en-ZA" w:eastAsia="en-ZA"/>
        </w:rPr>
        <w:t xml:space="preserve">Hypercare </w:t>
      </w:r>
      <w:r w:rsidRPr="00AA5B80">
        <w:rPr>
          <w:rFonts w:eastAsia="Times New Roman" w:cs="Segoe UI"/>
          <w:szCs w:val="20"/>
          <w:lang w:val="en-ZA" w:eastAsia="en-ZA"/>
        </w:rPr>
        <w:t xml:space="preserve">Team structure is based on </w:t>
      </w:r>
      <w:r w:rsidR="005666A9" w:rsidRPr="00AA5B80">
        <w:rPr>
          <w:rFonts w:eastAsia="Times New Roman" w:cs="Segoe UI"/>
          <w:szCs w:val="20"/>
          <w:lang w:val="en-ZA" w:eastAsia="en-ZA"/>
        </w:rPr>
        <w:t xml:space="preserve">supporting </w:t>
      </w:r>
      <w:r w:rsidR="00E00F86" w:rsidRPr="00AA5B80">
        <w:rPr>
          <w:rFonts w:eastAsia="Times New Roman" w:cs="Segoe UI"/>
          <w:szCs w:val="20"/>
          <w:lang w:val="en-ZA" w:eastAsia="en-ZA"/>
        </w:rPr>
        <w:t>a t</w:t>
      </w:r>
      <w:r w:rsidR="00E854C2" w:rsidRPr="00AA5B80">
        <w:rPr>
          <w:rFonts w:eastAsia="Times New Roman" w:cs="Segoe UI"/>
          <w:szCs w:val="20"/>
          <w:lang w:val="en-ZA" w:eastAsia="en-ZA"/>
        </w:rPr>
        <w:t xml:space="preserve">icket volume </w:t>
      </w:r>
      <w:r w:rsidR="00E00F86" w:rsidRPr="00AA5B80">
        <w:rPr>
          <w:rFonts w:eastAsia="Times New Roman" w:cs="Segoe UI"/>
          <w:szCs w:val="20"/>
          <w:lang w:val="en-ZA" w:eastAsia="en-ZA"/>
        </w:rPr>
        <w:t xml:space="preserve">of </w:t>
      </w:r>
      <w:r w:rsidR="007679E7">
        <w:rPr>
          <w:rFonts w:eastAsia="Times New Roman" w:cs="Segoe UI"/>
          <w:szCs w:val="20"/>
          <w:lang w:val="en-ZA" w:eastAsia="en-ZA"/>
        </w:rPr>
        <w:t>60</w:t>
      </w:r>
      <w:r w:rsidR="000B73BF" w:rsidRPr="00AA5B80">
        <w:rPr>
          <w:rFonts w:eastAsia="Times New Roman" w:cs="Segoe UI"/>
          <w:szCs w:val="20"/>
          <w:lang w:val="en-ZA" w:eastAsia="en-ZA"/>
        </w:rPr>
        <w:t xml:space="preserve"> </w:t>
      </w:r>
      <w:r w:rsidR="00E00F86" w:rsidRPr="00AA5B80">
        <w:rPr>
          <w:rFonts w:eastAsia="Times New Roman" w:cs="Segoe UI"/>
          <w:szCs w:val="20"/>
          <w:lang w:val="en-ZA" w:eastAsia="en-ZA"/>
        </w:rPr>
        <w:t xml:space="preserve">tickets per month. </w:t>
      </w:r>
      <w:r w:rsidR="00A42F1A" w:rsidRPr="00AA5B80">
        <w:rPr>
          <w:rFonts w:eastAsia="Times New Roman" w:cs="Segoe UI"/>
          <w:szCs w:val="20"/>
          <w:lang w:val="en-ZA" w:eastAsia="en-ZA"/>
        </w:rPr>
        <w:t xml:space="preserve">If </w:t>
      </w:r>
      <w:r w:rsidR="008F3D30" w:rsidRPr="00AA5B80">
        <w:rPr>
          <w:rFonts w:eastAsia="Times New Roman" w:cs="Segoe UI"/>
          <w:szCs w:val="20"/>
          <w:lang w:val="en-ZA" w:eastAsia="en-ZA"/>
        </w:rPr>
        <w:t xml:space="preserve">for two consecutive months, the ticket volume exceeds </w:t>
      </w:r>
      <w:r w:rsidR="007679E7">
        <w:rPr>
          <w:rFonts w:eastAsia="Times New Roman" w:cs="Segoe UI"/>
          <w:szCs w:val="20"/>
          <w:lang w:val="en-ZA" w:eastAsia="en-ZA"/>
        </w:rPr>
        <w:t>60</w:t>
      </w:r>
      <w:r w:rsidR="000B73BF" w:rsidRPr="00AA5B80">
        <w:rPr>
          <w:rFonts w:eastAsia="Times New Roman" w:cs="Segoe UI"/>
          <w:szCs w:val="20"/>
          <w:lang w:val="en-ZA" w:eastAsia="en-ZA"/>
        </w:rPr>
        <w:t xml:space="preserve"> </w:t>
      </w:r>
      <w:r w:rsidR="008F3D30" w:rsidRPr="00AA5B80">
        <w:rPr>
          <w:rFonts w:eastAsia="Times New Roman" w:cs="Segoe UI"/>
          <w:szCs w:val="20"/>
          <w:lang w:val="en-ZA" w:eastAsia="en-ZA"/>
        </w:rPr>
        <w:t>tickets</w:t>
      </w:r>
      <w:r w:rsidR="00D90F1B" w:rsidRPr="00AA5B80">
        <w:rPr>
          <w:rFonts w:eastAsia="Times New Roman" w:cs="Segoe UI"/>
          <w:szCs w:val="20"/>
          <w:lang w:val="en-ZA" w:eastAsia="en-ZA"/>
        </w:rPr>
        <w:t xml:space="preserve"> per month</w:t>
      </w:r>
      <w:r w:rsidR="008F3D30" w:rsidRPr="00AA5B80">
        <w:rPr>
          <w:rFonts w:eastAsia="Times New Roman" w:cs="Segoe UI"/>
          <w:szCs w:val="20"/>
          <w:lang w:val="en-ZA" w:eastAsia="en-ZA"/>
        </w:rPr>
        <w:t xml:space="preserve">, Microsoft reserves the right to </w:t>
      </w:r>
      <w:r w:rsidR="00D90F1B" w:rsidRPr="00AA5B80">
        <w:rPr>
          <w:rFonts w:eastAsia="Times New Roman" w:cs="Segoe UI"/>
          <w:szCs w:val="20"/>
          <w:lang w:val="en-ZA" w:eastAsia="en-ZA"/>
        </w:rPr>
        <w:t>invoke the Change Management process</w:t>
      </w:r>
      <w:r w:rsidR="00E854C2" w:rsidRPr="00AA5B80">
        <w:rPr>
          <w:rFonts w:eastAsia="Times New Roman" w:cs="Segoe UI"/>
          <w:szCs w:val="20"/>
          <w:lang w:val="en-ZA" w:eastAsia="en-ZA"/>
        </w:rPr>
        <w:t xml:space="preserve"> </w:t>
      </w:r>
    </w:p>
    <w:p w14:paraId="37B88884" w14:textId="48BAFA1A" w:rsidR="00E854C2" w:rsidRDefault="00E854C2" w:rsidP="00E854C2">
      <w:pPr>
        <w:pStyle w:val="ListParagraph"/>
        <w:numPr>
          <w:ilvl w:val="0"/>
          <w:numId w:val="15"/>
        </w:numPr>
        <w:spacing w:before="0" w:after="0" w:line="240" w:lineRule="auto"/>
        <w:rPr>
          <w:rFonts w:eastAsia="Times New Roman" w:cs="Segoe UI"/>
          <w:szCs w:val="20"/>
          <w:lang w:val="en-ZA" w:eastAsia="en-ZA"/>
        </w:rPr>
      </w:pPr>
      <w:r w:rsidRPr="00AA5B80">
        <w:rPr>
          <w:rFonts w:eastAsia="Times New Roman" w:cs="Segoe UI"/>
          <w:szCs w:val="20"/>
          <w:lang w:val="en-ZA" w:eastAsia="en-ZA"/>
        </w:rPr>
        <w:t>There is no resolution SLA for the Hyper</w:t>
      </w:r>
      <w:r w:rsidR="00943A5A" w:rsidRPr="00AA5B80">
        <w:rPr>
          <w:rFonts w:eastAsia="Times New Roman" w:cs="Segoe UI"/>
          <w:szCs w:val="20"/>
          <w:lang w:val="en-ZA" w:eastAsia="en-ZA"/>
        </w:rPr>
        <w:t>c</w:t>
      </w:r>
      <w:r w:rsidRPr="00AA5B80">
        <w:rPr>
          <w:rFonts w:eastAsia="Times New Roman" w:cs="Segoe UI"/>
          <w:szCs w:val="20"/>
          <w:lang w:val="en-ZA" w:eastAsia="en-ZA"/>
        </w:rPr>
        <w:t>are</w:t>
      </w:r>
    </w:p>
    <w:p w14:paraId="18BB502D" w14:textId="38FA8FD5" w:rsidR="001C4E1F" w:rsidRPr="00AA5B80" w:rsidRDefault="001C4E1F" w:rsidP="00E854C2">
      <w:pPr>
        <w:pStyle w:val="ListParagraph"/>
        <w:numPr>
          <w:ilvl w:val="0"/>
          <w:numId w:val="15"/>
        </w:numPr>
        <w:spacing w:before="0" w:after="0" w:line="240" w:lineRule="auto"/>
        <w:rPr>
          <w:rFonts w:eastAsia="Times New Roman" w:cs="Segoe UI"/>
          <w:szCs w:val="20"/>
          <w:lang w:val="en-ZA" w:eastAsia="en-ZA"/>
        </w:rPr>
      </w:pPr>
      <w:r>
        <w:rPr>
          <w:rFonts w:eastAsia="Times New Roman" w:cs="Segoe UI"/>
          <w:szCs w:val="20"/>
          <w:lang w:val="en-ZA" w:eastAsia="en-ZA"/>
        </w:rPr>
        <w:t xml:space="preserve"> has a functional ticketing system</w:t>
      </w:r>
    </w:p>
    <w:p w14:paraId="3B1BB238" w14:textId="77777777" w:rsidR="009D4EBC" w:rsidRDefault="004C2A6F" w:rsidP="00D73C21">
      <w:pPr>
        <w:pStyle w:val="Heading1"/>
        <w:rPr>
          <w:lang w:val="en-ZA"/>
        </w:rPr>
      </w:pPr>
      <w:bookmarkStart w:id="21" w:name="_Toc476167705"/>
      <w:bookmarkStart w:id="22" w:name="_Toc476168032"/>
      <w:bookmarkStart w:id="23" w:name="_Toc24894661"/>
      <w:r w:rsidRPr="002F70FD">
        <w:rPr>
          <w:lang w:val="en-ZA"/>
        </w:rPr>
        <w:lastRenderedPageBreak/>
        <w:t>Areas out of scope</w:t>
      </w:r>
      <w:bookmarkEnd w:id="21"/>
      <w:bookmarkEnd w:id="22"/>
      <w:bookmarkEnd w:id="23"/>
    </w:p>
    <w:p w14:paraId="5CD3831A" w14:textId="61CF0817" w:rsidR="00694322" w:rsidRPr="00D772A9" w:rsidRDefault="00694322" w:rsidP="00694322">
      <w:pPr>
        <w:jc w:val="both"/>
        <w:rPr>
          <w:rFonts w:eastAsia="Times New Roman" w:cs="Arial"/>
        </w:rPr>
      </w:pPr>
      <w:bookmarkStart w:id="24" w:name="_Hlk2158593"/>
      <w:r w:rsidRPr="00D772A9">
        <w:rPr>
          <w:rFonts w:eastAsia="Times New Roman" w:cs="Arial"/>
        </w:rPr>
        <w:t xml:space="preserve">Any area that is not explicitly listed in Section </w:t>
      </w:r>
      <w:r w:rsidR="00CF38D9">
        <w:rPr>
          <w:rFonts w:eastAsia="Times New Roman" w:cs="Arial"/>
        </w:rPr>
        <w:t>1</w:t>
      </w:r>
      <w:r w:rsidRPr="00D772A9">
        <w:rPr>
          <w:rFonts w:eastAsia="Times New Roman" w:cs="Arial"/>
        </w:rPr>
        <w:t xml:space="preserve"> as within scope is out of scope for this engagement. The areas that are out of scope for this engagement include, but are not limited to, the following:</w:t>
      </w:r>
    </w:p>
    <w:p w14:paraId="34137766" w14:textId="77777777" w:rsidR="00694322" w:rsidRPr="00AB7042" w:rsidRDefault="00694322" w:rsidP="00AB7042">
      <w:pPr>
        <w:pStyle w:val="Bulletlist"/>
      </w:pPr>
      <w:r w:rsidRPr="00AB7042">
        <w:t>Languages other than English for communications, knowledge reinforcement or reports.</w:t>
      </w:r>
    </w:p>
    <w:p w14:paraId="394E699D" w14:textId="496A612C" w:rsidR="00AB7042" w:rsidRDefault="00AB7042" w:rsidP="00AB7042">
      <w:pPr>
        <w:pStyle w:val="Bulletlist"/>
        <w:rPr>
          <w:lang w:val="en-ZA" w:eastAsia="en-ZA"/>
        </w:rPr>
      </w:pPr>
      <w:r w:rsidRPr="00AB7042">
        <w:rPr>
          <w:lang w:val="en-ZA" w:eastAsia="en-ZA"/>
        </w:rPr>
        <w:t xml:space="preserve">O365 Services </w:t>
      </w:r>
      <w:r>
        <w:rPr>
          <w:lang w:val="en-ZA" w:eastAsia="en-ZA"/>
        </w:rPr>
        <w:t>are limited to Exchange Online</w:t>
      </w:r>
    </w:p>
    <w:p w14:paraId="58AD114B" w14:textId="43BFC540" w:rsidR="00E171F5" w:rsidRPr="00E171F5" w:rsidRDefault="00E171F5" w:rsidP="00E171F5">
      <w:pPr>
        <w:pStyle w:val="Bulletlist"/>
        <w:rPr>
          <w:lang w:val="en-ZA" w:eastAsia="en-ZA"/>
        </w:rPr>
      </w:pPr>
      <w:r w:rsidRPr="00E171F5">
        <w:rPr>
          <w:lang w:val="en-ZA" w:eastAsia="en-ZA"/>
        </w:rPr>
        <w:t>Help desk augmentation and desk</w:t>
      </w:r>
      <w:r w:rsidR="005627D1">
        <w:rPr>
          <w:lang w:val="en-ZA" w:eastAsia="en-ZA"/>
        </w:rPr>
        <w:t>top</w:t>
      </w:r>
      <w:r w:rsidRPr="00E171F5">
        <w:rPr>
          <w:lang w:val="en-ZA" w:eastAsia="en-ZA"/>
        </w:rPr>
        <w:t xml:space="preserve"> support</w:t>
      </w:r>
    </w:p>
    <w:p w14:paraId="69D851C1" w14:textId="5F23DB94" w:rsidR="00694322" w:rsidRPr="00AB7042" w:rsidRDefault="00694322" w:rsidP="00AB7042">
      <w:pPr>
        <w:pStyle w:val="Bulletlist"/>
      </w:pPr>
      <w:r w:rsidRPr="00AB7042">
        <w:t>Execution of plans outside the scope of the Hypercare phase</w:t>
      </w:r>
      <w:r w:rsidR="00D36D04" w:rsidRPr="00AB7042">
        <w:t xml:space="preserve"> for </w:t>
      </w:r>
      <w:r w:rsidR="005755FA" w:rsidRPr="00AB7042">
        <w:t>Exchange Online</w:t>
      </w:r>
      <w:r w:rsidRPr="00AB7042">
        <w:t>.</w:t>
      </w:r>
    </w:p>
    <w:p w14:paraId="0D17D008" w14:textId="77777777" w:rsidR="00694322" w:rsidRPr="00AB7042" w:rsidRDefault="00694322" w:rsidP="00AB7042">
      <w:pPr>
        <w:pStyle w:val="Bulletlist"/>
      </w:pPr>
      <w:r w:rsidRPr="00AB7042">
        <w:t>Assuming responsibility for clearing governance measures and decision-making processes regarding recommendation approvals outside of the sponsorship of this engagement</w:t>
      </w:r>
      <w:bookmarkEnd w:id="24"/>
      <w:r w:rsidRPr="00AB7042">
        <w:t>.</w:t>
      </w:r>
    </w:p>
    <w:p w14:paraId="659476FB" w14:textId="4D6073B0" w:rsidR="00694322" w:rsidRPr="00AB7042" w:rsidRDefault="00694322" w:rsidP="00AB7042">
      <w:pPr>
        <w:pStyle w:val="Bulletlist"/>
      </w:pPr>
      <w:r w:rsidRPr="00AB7042">
        <w:t xml:space="preserve">Accredited training </w:t>
      </w:r>
      <w:r w:rsidR="00C751BF" w:rsidRPr="00AB7042">
        <w:t>for</w:t>
      </w:r>
      <w:r w:rsidRPr="00AB7042">
        <w:t xml:space="preserve"> </w:t>
      </w:r>
      <w:r w:rsidR="005855BC" w:rsidRPr="00AB7042">
        <w:t>Office 365 and any Office 365 workloads</w:t>
      </w:r>
      <w:r w:rsidRPr="00AB7042">
        <w:t>.</w:t>
      </w:r>
    </w:p>
    <w:p w14:paraId="0BA55E3E" w14:textId="11C80A4A" w:rsidR="00694322" w:rsidRPr="00AB7042" w:rsidRDefault="00694322" w:rsidP="00AB7042">
      <w:pPr>
        <w:pStyle w:val="Bulletlist"/>
      </w:pPr>
      <w:r w:rsidRPr="00AB7042">
        <w:t xml:space="preserve">Conducting formal training </w:t>
      </w:r>
      <w:r w:rsidR="00C751BF" w:rsidRPr="00AB7042">
        <w:t xml:space="preserve">for Office 365 and </w:t>
      </w:r>
      <w:r w:rsidR="005855BC" w:rsidRPr="00AB7042">
        <w:t>any Office 365 workloads</w:t>
      </w:r>
      <w:r w:rsidRPr="00AB7042">
        <w:t>.</w:t>
      </w:r>
    </w:p>
    <w:p w14:paraId="621D28F1" w14:textId="6EC35139" w:rsidR="00694322" w:rsidRPr="00AB7042" w:rsidRDefault="00694322" w:rsidP="00AB7042">
      <w:pPr>
        <w:pStyle w:val="Bulletlist"/>
      </w:pPr>
      <w:r w:rsidRPr="00AB7042">
        <w:t xml:space="preserve">Any activities identified / scheduled outside of the </w:t>
      </w:r>
      <w:r w:rsidR="0041187F" w:rsidRPr="00AB7042">
        <w:t xml:space="preserve">migration and </w:t>
      </w:r>
      <w:r w:rsidR="00E76464" w:rsidRPr="00AB7042">
        <w:t xml:space="preserve">post migration </w:t>
      </w:r>
      <w:r w:rsidR="008450C2" w:rsidRPr="00AB7042">
        <w:t xml:space="preserve">support </w:t>
      </w:r>
      <w:r w:rsidRPr="00AB7042">
        <w:t>of Hypercare phase.</w:t>
      </w:r>
    </w:p>
    <w:p w14:paraId="13B89D24" w14:textId="77777777" w:rsidR="00694322" w:rsidRPr="00AB7042" w:rsidRDefault="00694322" w:rsidP="00AB7042">
      <w:pPr>
        <w:pStyle w:val="Bulletlist"/>
      </w:pPr>
      <w:r w:rsidRPr="00AB7042">
        <w:t>Resolution of Level 1 cases/issues and requests.</w:t>
      </w:r>
    </w:p>
    <w:p w14:paraId="2C711DA9" w14:textId="77777777" w:rsidR="00694322" w:rsidRPr="00AB7042" w:rsidRDefault="00694322" w:rsidP="00AB7042">
      <w:pPr>
        <w:pStyle w:val="Bulletlist"/>
      </w:pPr>
      <w:r w:rsidRPr="00AB7042">
        <w:t>Dedicated/constant assessment/Triage of Level 1 cases for routing and reassignment.</w:t>
      </w:r>
    </w:p>
    <w:p w14:paraId="5D451670" w14:textId="30F30522" w:rsidR="00694322" w:rsidRPr="00AB7042" w:rsidRDefault="00694322" w:rsidP="00AB7042">
      <w:pPr>
        <w:pStyle w:val="Bulletlist"/>
      </w:pPr>
      <w:r w:rsidRPr="00AB7042">
        <w:t>Relocation of resources from the allocated site assigned for Hypercare Support Team.</w:t>
      </w:r>
    </w:p>
    <w:p w14:paraId="3E7AB655" w14:textId="77777777" w:rsidR="00694322" w:rsidRPr="00AB7042" w:rsidRDefault="00694322" w:rsidP="00AB7042">
      <w:pPr>
        <w:pStyle w:val="Bulletlist"/>
      </w:pPr>
      <w:r w:rsidRPr="00AB7042">
        <w:t>Microsoft Premier level support.</w:t>
      </w:r>
    </w:p>
    <w:p w14:paraId="563AF478" w14:textId="7F6CA0FD" w:rsidR="00AB039C" w:rsidRPr="00AB7042" w:rsidRDefault="00AB039C" w:rsidP="00AB7042">
      <w:pPr>
        <w:pStyle w:val="Bulletlist"/>
      </w:pPr>
      <w:r w:rsidRPr="00AB7042">
        <w:t xml:space="preserve">None of the Microsoft team will have Global Admin rights. It is the responsibility </w:t>
      </w:r>
      <w:proofErr w:type="gramStart"/>
      <w:r w:rsidRPr="00AB7042">
        <w:t>of  to</w:t>
      </w:r>
      <w:proofErr w:type="gramEnd"/>
      <w:r w:rsidRPr="00AB7042">
        <w:t xml:space="preserve"> administer the tenant</w:t>
      </w:r>
    </w:p>
    <w:p w14:paraId="3B1BB32A" w14:textId="77777777" w:rsidR="00364836" w:rsidRPr="002F70FD" w:rsidRDefault="00364836" w:rsidP="000248C7">
      <w:pPr>
        <w:pStyle w:val="Heading1"/>
        <w:rPr>
          <w:lang w:val="en-ZA"/>
        </w:rPr>
      </w:pPr>
      <w:bookmarkStart w:id="25" w:name="_Toc476167710"/>
      <w:bookmarkStart w:id="26" w:name="_Toc476168043"/>
      <w:bookmarkStart w:id="27" w:name="_Toc24894662"/>
      <w:r w:rsidRPr="002F70FD">
        <w:rPr>
          <w:lang w:val="en-ZA"/>
        </w:rPr>
        <w:t>Project governance</w:t>
      </w:r>
      <w:bookmarkEnd w:id="25"/>
      <w:bookmarkEnd w:id="26"/>
      <w:bookmarkEnd w:id="27"/>
    </w:p>
    <w:p w14:paraId="3B1BB32B" w14:textId="77777777" w:rsidR="00364836" w:rsidRPr="002F70FD" w:rsidRDefault="00364836" w:rsidP="00364836">
      <w:pPr>
        <w:rPr>
          <w:lang w:val="en-ZA"/>
        </w:rPr>
      </w:pPr>
      <w:r w:rsidRPr="002F70FD">
        <w:rPr>
          <w:lang w:val="en-ZA"/>
        </w:rPr>
        <w:t>The governance structure and processes the team will adhere to for the project are described in the following section</w:t>
      </w:r>
      <w:r w:rsidR="00D70772" w:rsidRPr="002F70FD">
        <w:rPr>
          <w:lang w:val="en-ZA"/>
        </w:rPr>
        <w:t>s</w:t>
      </w:r>
      <w:r w:rsidRPr="002F70FD">
        <w:rPr>
          <w:lang w:val="en-ZA"/>
        </w:rPr>
        <w:t>:</w:t>
      </w:r>
    </w:p>
    <w:p w14:paraId="3B1BB331" w14:textId="77777777" w:rsidR="00E54AE8" w:rsidRPr="002F70FD" w:rsidRDefault="00E54AE8" w:rsidP="000248C7">
      <w:pPr>
        <w:pStyle w:val="Heading2"/>
        <w:rPr>
          <w:lang w:val="en-ZA"/>
        </w:rPr>
      </w:pPr>
      <w:bookmarkStart w:id="28" w:name="_Toc476168045"/>
      <w:bookmarkStart w:id="29" w:name="_Toc24894663"/>
      <w:r w:rsidRPr="002F70FD">
        <w:rPr>
          <w:lang w:val="en-ZA"/>
        </w:rPr>
        <w:t>Risk and issue management</w:t>
      </w:r>
      <w:bookmarkEnd w:id="28"/>
      <w:bookmarkEnd w:id="29"/>
    </w:p>
    <w:p w14:paraId="3B1BB332" w14:textId="77777777" w:rsidR="00E54AE8" w:rsidRPr="002F70FD" w:rsidRDefault="00E54AE8" w:rsidP="00E54AE8">
      <w:pPr>
        <w:rPr>
          <w:lang w:val="en-ZA"/>
        </w:rPr>
      </w:pPr>
      <w:r w:rsidRPr="002F70FD">
        <w:rPr>
          <w:lang w:val="en-ZA"/>
        </w:rPr>
        <w:t xml:space="preserve">The following general procedure will be used to manage active project issues and </w:t>
      </w:r>
      <w:r w:rsidR="00043018" w:rsidRPr="002F70FD">
        <w:rPr>
          <w:lang w:val="en-ZA"/>
        </w:rPr>
        <w:t xml:space="preserve">risks </w:t>
      </w:r>
      <w:r w:rsidRPr="002F70FD">
        <w:rPr>
          <w:lang w:val="en-ZA"/>
        </w:rPr>
        <w:t>during the project:</w:t>
      </w:r>
    </w:p>
    <w:p w14:paraId="3B1BB333" w14:textId="77777777" w:rsidR="00E54AE8" w:rsidRPr="002F70FD" w:rsidRDefault="00E54AE8" w:rsidP="00E54AE8">
      <w:pPr>
        <w:pStyle w:val="Bulletlist"/>
        <w:rPr>
          <w:lang w:val="en-ZA"/>
        </w:rPr>
      </w:pPr>
      <w:r w:rsidRPr="002F70FD">
        <w:rPr>
          <w:b/>
          <w:lang w:val="en-ZA"/>
        </w:rPr>
        <w:t>Identify</w:t>
      </w:r>
      <w:r w:rsidR="006C6051" w:rsidRPr="002F70FD">
        <w:rPr>
          <w:lang w:val="en-ZA"/>
        </w:rPr>
        <w:t xml:space="preserve">: </w:t>
      </w:r>
      <w:r w:rsidR="00550DD8" w:rsidRPr="002F70FD">
        <w:rPr>
          <w:lang w:val="en-ZA"/>
        </w:rPr>
        <w:t xml:space="preserve">identify </w:t>
      </w:r>
      <w:r w:rsidRPr="002F70FD">
        <w:rPr>
          <w:lang w:val="en-ZA"/>
        </w:rPr>
        <w:t xml:space="preserve">and document project issues (current problems) and risks (potential problems that </w:t>
      </w:r>
      <w:r w:rsidR="001C00BA" w:rsidRPr="002F70FD">
        <w:rPr>
          <w:lang w:val="en-ZA"/>
        </w:rPr>
        <w:t>could</w:t>
      </w:r>
      <w:r w:rsidR="00160775" w:rsidRPr="002F70FD">
        <w:rPr>
          <w:lang w:val="en-ZA"/>
        </w:rPr>
        <w:t xml:space="preserve"> </w:t>
      </w:r>
      <w:r w:rsidR="006D6E88" w:rsidRPr="002F70FD">
        <w:rPr>
          <w:lang w:val="en-ZA"/>
        </w:rPr>
        <w:t>affect</w:t>
      </w:r>
      <w:r w:rsidRPr="002F70FD">
        <w:rPr>
          <w:lang w:val="en-ZA"/>
        </w:rPr>
        <w:t xml:space="preserve"> the project)</w:t>
      </w:r>
      <w:r w:rsidR="006D6E88" w:rsidRPr="002F70FD">
        <w:rPr>
          <w:lang w:val="en-ZA"/>
        </w:rPr>
        <w:t>.</w:t>
      </w:r>
    </w:p>
    <w:p w14:paraId="3B1BB334" w14:textId="77777777" w:rsidR="00E54AE8" w:rsidRPr="002F70FD" w:rsidRDefault="00E54AE8" w:rsidP="00E54AE8">
      <w:pPr>
        <w:pStyle w:val="Bulletlist"/>
        <w:rPr>
          <w:lang w:val="en-ZA"/>
        </w:rPr>
      </w:pPr>
      <w:proofErr w:type="spellStart"/>
      <w:r w:rsidRPr="002F70FD">
        <w:rPr>
          <w:b/>
          <w:lang w:val="en-ZA"/>
        </w:rPr>
        <w:t>Analyze</w:t>
      </w:r>
      <w:proofErr w:type="spellEnd"/>
      <w:r w:rsidRPr="002F70FD">
        <w:rPr>
          <w:b/>
          <w:lang w:val="en-ZA"/>
        </w:rPr>
        <w:t xml:space="preserve"> and </w:t>
      </w:r>
      <w:proofErr w:type="gramStart"/>
      <w:r w:rsidRPr="002F70FD">
        <w:rPr>
          <w:b/>
          <w:lang w:val="en-ZA"/>
        </w:rPr>
        <w:t>prioritize</w:t>
      </w:r>
      <w:r w:rsidR="006C6051" w:rsidRPr="002F70FD">
        <w:rPr>
          <w:lang w:val="en-ZA"/>
        </w:rPr>
        <w:t>:</w:t>
      </w:r>
      <w:proofErr w:type="gramEnd"/>
      <w:r w:rsidR="006C6051" w:rsidRPr="002F70FD">
        <w:rPr>
          <w:lang w:val="en-ZA"/>
        </w:rPr>
        <w:t xml:space="preserve"> </w:t>
      </w:r>
      <w:r w:rsidR="00160775" w:rsidRPr="002F70FD">
        <w:rPr>
          <w:lang w:val="en-ZA"/>
        </w:rPr>
        <w:t xml:space="preserve">assess </w:t>
      </w:r>
      <w:r w:rsidR="004F4BCE" w:rsidRPr="002F70FD">
        <w:rPr>
          <w:lang w:val="en-ZA"/>
        </w:rPr>
        <w:t xml:space="preserve">the </w:t>
      </w:r>
      <w:r w:rsidR="00160775" w:rsidRPr="002F70FD">
        <w:rPr>
          <w:lang w:val="en-ZA"/>
        </w:rPr>
        <w:t xml:space="preserve">potential </w:t>
      </w:r>
      <w:r w:rsidR="004F4BCE" w:rsidRPr="002F70FD">
        <w:rPr>
          <w:lang w:val="en-ZA"/>
        </w:rPr>
        <w:t xml:space="preserve">impact and determine the highest </w:t>
      </w:r>
      <w:r w:rsidR="006D6E88" w:rsidRPr="002F70FD">
        <w:rPr>
          <w:lang w:val="en-ZA"/>
        </w:rPr>
        <w:t>priority</w:t>
      </w:r>
      <w:r w:rsidR="004F4BCE" w:rsidRPr="002F70FD">
        <w:rPr>
          <w:lang w:val="en-ZA"/>
        </w:rPr>
        <w:t xml:space="preserve"> risks and </w:t>
      </w:r>
      <w:r w:rsidR="00160775" w:rsidRPr="002F70FD">
        <w:rPr>
          <w:lang w:val="en-ZA"/>
        </w:rPr>
        <w:t xml:space="preserve">problems </w:t>
      </w:r>
      <w:r w:rsidR="004F4BCE" w:rsidRPr="002F70FD">
        <w:rPr>
          <w:lang w:val="en-ZA"/>
        </w:rPr>
        <w:t xml:space="preserve">that will be </w:t>
      </w:r>
      <w:r w:rsidR="006D6E88" w:rsidRPr="002F70FD">
        <w:rPr>
          <w:lang w:val="en-ZA"/>
        </w:rPr>
        <w:t>actively managed.</w:t>
      </w:r>
    </w:p>
    <w:p w14:paraId="3B1BB335" w14:textId="77777777" w:rsidR="00E54AE8" w:rsidRPr="002F70FD" w:rsidRDefault="006C6051" w:rsidP="00E54AE8">
      <w:pPr>
        <w:pStyle w:val="Bulletlist"/>
        <w:rPr>
          <w:lang w:val="en-ZA"/>
        </w:rPr>
      </w:pPr>
      <w:r w:rsidRPr="002F70FD">
        <w:rPr>
          <w:b/>
          <w:lang w:val="en-ZA"/>
        </w:rPr>
        <w:t>Plan and schedule</w:t>
      </w:r>
      <w:r w:rsidRPr="002F70FD">
        <w:rPr>
          <w:lang w:val="en-ZA"/>
        </w:rPr>
        <w:t xml:space="preserve">: </w:t>
      </w:r>
      <w:r w:rsidR="00160775" w:rsidRPr="002F70FD">
        <w:rPr>
          <w:lang w:val="en-ZA"/>
        </w:rPr>
        <w:t xml:space="preserve">determine </w:t>
      </w:r>
      <w:r w:rsidR="00E54AE8" w:rsidRPr="002F70FD">
        <w:rPr>
          <w:lang w:val="en-ZA"/>
        </w:rPr>
        <w:t xml:space="preserve">the strategy for managing priority risks and </w:t>
      </w:r>
      <w:proofErr w:type="gramStart"/>
      <w:r w:rsidR="00E54AE8" w:rsidRPr="002F70FD">
        <w:rPr>
          <w:lang w:val="en-ZA"/>
        </w:rPr>
        <w:t xml:space="preserve">issues, </w:t>
      </w:r>
      <w:r w:rsidR="00160775" w:rsidRPr="002F70FD">
        <w:rPr>
          <w:lang w:val="en-ZA"/>
        </w:rPr>
        <w:t>and</w:t>
      </w:r>
      <w:proofErr w:type="gramEnd"/>
      <w:r w:rsidR="00160775" w:rsidRPr="002F70FD">
        <w:rPr>
          <w:lang w:val="en-ZA"/>
        </w:rPr>
        <w:t xml:space="preserve"> </w:t>
      </w:r>
      <w:r w:rsidR="00E54AE8" w:rsidRPr="002F70FD">
        <w:rPr>
          <w:lang w:val="en-ZA"/>
        </w:rPr>
        <w:t xml:space="preserve">identify </w:t>
      </w:r>
      <w:r w:rsidR="00160775" w:rsidRPr="002F70FD">
        <w:rPr>
          <w:lang w:val="en-ZA"/>
        </w:rPr>
        <w:t>a resource who can</w:t>
      </w:r>
      <w:r w:rsidR="00E54AE8" w:rsidRPr="002F70FD">
        <w:rPr>
          <w:lang w:val="en-ZA"/>
        </w:rPr>
        <w:t xml:space="preserve"> </w:t>
      </w:r>
      <w:r w:rsidR="00160775" w:rsidRPr="002F70FD">
        <w:rPr>
          <w:lang w:val="en-ZA"/>
        </w:rPr>
        <w:t xml:space="preserve">take responsibility for </w:t>
      </w:r>
      <w:r w:rsidR="00E54AE8" w:rsidRPr="002F70FD">
        <w:rPr>
          <w:lang w:val="en-ZA"/>
        </w:rPr>
        <w:t>mitigation and remediation.</w:t>
      </w:r>
    </w:p>
    <w:p w14:paraId="3B1BB336" w14:textId="77777777" w:rsidR="00E54AE8" w:rsidRPr="002F70FD" w:rsidRDefault="006C6051" w:rsidP="00E54AE8">
      <w:pPr>
        <w:pStyle w:val="Bulletlist"/>
        <w:rPr>
          <w:lang w:val="en-ZA"/>
        </w:rPr>
      </w:pPr>
      <w:r w:rsidRPr="002F70FD">
        <w:rPr>
          <w:b/>
          <w:lang w:val="en-ZA"/>
        </w:rPr>
        <w:t>Track and report</w:t>
      </w:r>
      <w:r w:rsidRPr="002F70FD">
        <w:rPr>
          <w:lang w:val="en-ZA"/>
        </w:rPr>
        <w:t xml:space="preserve">: </w:t>
      </w:r>
      <w:r w:rsidR="00160775" w:rsidRPr="002F70FD">
        <w:rPr>
          <w:lang w:val="en-ZA"/>
        </w:rPr>
        <w:t xml:space="preserve">monitor </w:t>
      </w:r>
      <w:r w:rsidR="00E54AE8" w:rsidRPr="002F70FD">
        <w:rPr>
          <w:lang w:val="en-ZA"/>
        </w:rPr>
        <w:t>and report</w:t>
      </w:r>
      <w:r w:rsidR="006D6E88" w:rsidRPr="002F70FD">
        <w:rPr>
          <w:lang w:val="en-ZA"/>
        </w:rPr>
        <w:t xml:space="preserve"> the status of risks and </w:t>
      </w:r>
      <w:r w:rsidR="00160775" w:rsidRPr="002F70FD">
        <w:rPr>
          <w:lang w:val="en-ZA"/>
        </w:rPr>
        <w:t>problems</w:t>
      </w:r>
      <w:r w:rsidR="006D6E88" w:rsidRPr="002F70FD">
        <w:rPr>
          <w:lang w:val="en-ZA"/>
        </w:rPr>
        <w:t>.</w:t>
      </w:r>
    </w:p>
    <w:p w14:paraId="3B1BB337" w14:textId="77777777" w:rsidR="00C4139D" w:rsidRPr="002F70FD" w:rsidRDefault="00C4139D" w:rsidP="00E54AE8">
      <w:pPr>
        <w:pStyle w:val="Bulletlist"/>
        <w:rPr>
          <w:lang w:val="en-ZA"/>
        </w:rPr>
      </w:pPr>
      <w:r w:rsidRPr="002F70FD">
        <w:rPr>
          <w:b/>
          <w:lang w:val="en-ZA"/>
        </w:rPr>
        <w:t>Escalate</w:t>
      </w:r>
      <w:r w:rsidR="006C6051" w:rsidRPr="002F70FD">
        <w:rPr>
          <w:lang w:val="en-ZA"/>
        </w:rPr>
        <w:t xml:space="preserve">: </w:t>
      </w:r>
      <w:r w:rsidR="00160775" w:rsidRPr="002F70FD">
        <w:rPr>
          <w:lang w:val="en-ZA"/>
        </w:rPr>
        <w:t xml:space="preserve">escalate to project sponsors the </w:t>
      </w:r>
      <w:r w:rsidR="004F4BCE" w:rsidRPr="002F70FD">
        <w:rPr>
          <w:lang w:val="en-ZA"/>
        </w:rPr>
        <w:t xml:space="preserve">high impact </w:t>
      </w:r>
      <w:r w:rsidR="00160775" w:rsidRPr="002F70FD">
        <w:rPr>
          <w:lang w:val="en-ZA"/>
        </w:rPr>
        <w:t xml:space="preserve">problems </w:t>
      </w:r>
      <w:r w:rsidR="004F4BCE" w:rsidRPr="002F70FD">
        <w:rPr>
          <w:lang w:val="en-ZA"/>
        </w:rPr>
        <w:t xml:space="preserve">and risks </w:t>
      </w:r>
      <w:r w:rsidR="00160775" w:rsidRPr="002F70FD">
        <w:rPr>
          <w:lang w:val="en-ZA"/>
        </w:rPr>
        <w:t xml:space="preserve">that </w:t>
      </w:r>
      <w:r w:rsidRPr="002F70FD">
        <w:rPr>
          <w:lang w:val="en-ZA"/>
        </w:rPr>
        <w:t xml:space="preserve">the team </w:t>
      </w:r>
      <w:r w:rsidR="00160775" w:rsidRPr="002F70FD">
        <w:rPr>
          <w:lang w:val="en-ZA"/>
        </w:rPr>
        <w:t xml:space="preserve">is </w:t>
      </w:r>
      <w:r w:rsidR="004F4BCE" w:rsidRPr="002F70FD">
        <w:rPr>
          <w:lang w:val="en-ZA"/>
        </w:rPr>
        <w:t>unable to resolve</w:t>
      </w:r>
      <w:r w:rsidRPr="002F70FD">
        <w:rPr>
          <w:lang w:val="en-ZA"/>
        </w:rPr>
        <w:t>.</w:t>
      </w:r>
    </w:p>
    <w:p w14:paraId="3B1BB338" w14:textId="77777777" w:rsidR="00E54AE8" w:rsidRPr="002F70FD" w:rsidRDefault="006C6051" w:rsidP="00E54AE8">
      <w:pPr>
        <w:pStyle w:val="Bulletlist"/>
        <w:rPr>
          <w:lang w:val="en-ZA"/>
        </w:rPr>
      </w:pPr>
      <w:r w:rsidRPr="002F70FD">
        <w:rPr>
          <w:b/>
          <w:lang w:val="en-ZA"/>
        </w:rPr>
        <w:t>Control</w:t>
      </w:r>
      <w:r w:rsidRPr="002F70FD">
        <w:rPr>
          <w:lang w:val="en-ZA"/>
        </w:rPr>
        <w:t xml:space="preserve">: </w:t>
      </w:r>
      <w:r w:rsidR="00160775" w:rsidRPr="002F70FD">
        <w:rPr>
          <w:lang w:val="en-ZA"/>
        </w:rPr>
        <w:t xml:space="preserve">review </w:t>
      </w:r>
      <w:r w:rsidR="00E54AE8" w:rsidRPr="002F70FD">
        <w:rPr>
          <w:lang w:val="en-ZA"/>
        </w:rPr>
        <w:t>the effectiveness of r</w:t>
      </w:r>
      <w:r w:rsidR="006D6E88" w:rsidRPr="002F70FD">
        <w:rPr>
          <w:lang w:val="en-ZA"/>
        </w:rPr>
        <w:t>isk and issue management action</w:t>
      </w:r>
      <w:r w:rsidR="004F4BCE" w:rsidRPr="002F70FD">
        <w:rPr>
          <w:lang w:val="en-ZA"/>
        </w:rPr>
        <w:t>s</w:t>
      </w:r>
      <w:r w:rsidR="006D6E88" w:rsidRPr="002F70FD">
        <w:rPr>
          <w:lang w:val="en-ZA"/>
        </w:rPr>
        <w:t>.</w:t>
      </w:r>
    </w:p>
    <w:p w14:paraId="3B1BB339" w14:textId="77777777" w:rsidR="0007565A" w:rsidRPr="002F70FD" w:rsidRDefault="0007565A" w:rsidP="00E54AE8">
      <w:pPr>
        <w:pStyle w:val="Bulletlist"/>
        <w:numPr>
          <w:ilvl w:val="0"/>
          <w:numId w:val="0"/>
        </w:numPr>
        <w:ind w:left="360" w:hanging="360"/>
        <w:rPr>
          <w:lang w:val="en-ZA"/>
        </w:rPr>
      </w:pPr>
    </w:p>
    <w:p w14:paraId="3B1BB33A" w14:textId="77777777" w:rsidR="00E54AE8" w:rsidRPr="002F70FD" w:rsidRDefault="00E54AE8" w:rsidP="00E54AE8">
      <w:pPr>
        <w:pStyle w:val="Bulletlist"/>
        <w:numPr>
          <w:ilvl w:val="0"/>
          <w:numId w:val="0"/>
        </w:numPr>
        <w:ind w:left="360" w:hanging="360"/>
        <w:rPr>
          <w:lang w:val="en-ZA"/>
        </w:rPr>
      </w:pPr>
      <w:r w:rsidRPr="002F70FD">
        <w:rPr>
          <w:lang w:val="en-ZA"/>
        </w:rPr>
        <w:t>Active issues and risks will be regularly monitored during the project.</w:t>
      </w:r>
    </w:p>
    <w:p w14:paraId="3B1BB33B" w14:textId="77777777" w:rsidR="002952F0" w:rsidRPr="002F70FD" w:rsidRDefault="002952F0" w:rsidP="00EB441E">
      <w:pPr>
        <w:pStyle w:val="Heading2"/>
        <w:rPr>
          <w:lang w:val="en-ZA"/>
        </w:rPr>
      </w:pPr>
      <w:bookmarkStart w:id="30" w:name="_Toc476168046"/>
      <w:bookmarkStart w:id="31" w:name="_Ref477866682"/>
      <w:bookmarkStart w:id="32" w:name="_Ref477932885"/>
      <w:bookmarkStart w:id="33" w:name="_Ref477934302"/>
      <w:bookmarkStart w:id="34" w:name="_Toc24894664"/>
      <w:r w:rsidRPr="002F70FD">
        <w:rPr>
          <w:lang w:val="en-ZA"/>
        </w:rPr>
        <w:lastRenderedPageBreak/>
        <w:t>Change management process</w:t>
      </w:r>
      <w:bookmarkEnd w:id="30"/>
      <w:bookmarkEnd w:id="31"/>
      <w:bookmarkEnd w:id="32"/>
      <w:bookmarkEnd w:id="33"/>
      <w:bookmarkEnd w:id="34"/>
    </w:p>
    <w:p w14:paraId="3B1BB33C" w14:textId="77777777" w:rsidR="003E1B4E" w:rsidRPr="002F70FD" w:rsidRDefault="003E1B4E" w:rsidP="003E1B4E">
      <w:pPr>
        <w:rPr>
          <w:lang w:val="en-ZA"/>
        </w:rPr>
      </w:pPr>
      <w:r w:rsidRPr="002F70FD">
        <w:rPr>
          <w:lang w:val="en-ZA"/>
        </w:rPr>
        <w:t>Dur</w:t>
      </w:r>
      <w:r w:rsidR="006D6E88" w:rsidRPr="002F70FD">
        <w:rPr>
          <w:lang w:val="en-ZA"/>
        </w:rPr>
        <w:t>i</w:t>
      </w:r>
      <w:r w:rsidR="004F4BCE" w:rsidRPr="002F70FD">
        <w:rPr>
          <w:lang w:val="en-ZA"/>
        </w:rPr>
        <w:t xml:space="preserve">ng the project, either party </w:t>
      </w:r>
      <w:proofErr w:type="gramStart"/>
      <w:r w:rsidR="00160775" w:rsidRPr="002F70FD">
        <w:rPr>
          <w:lang w:val="en-ZA"/>
        </w:rPr>
        <w:t>is able to</w:t>
      </w:r>
      <w:proofErr w:type="gramEnd"/>
      <w:r w:rsidR="00160775" w:rsidRPr="002F70FD">
        <w:rPr>
          <w:lang w:val="en-ZA"/>
        </w:rPr>
        <w:t xml:space="preserve"> </w:t>
      </w:r>
      <w:r w:rsidR="00884E0D" w:rsidRPr="002F70FD">
        <w:rPr>
          <w:lang w:val="en-ZA"/>
        </w:rPr>
        <w:t xml:space="preserve">request modifications to the </w:t>
      </w:r>
      <w:r w:rsidR="00140C9E" w:rsidRPr="002F70FD">
        <w:rPr>
          <w:lang w:val="en-ZA"/>
        </w:rPr>
        <w:t>S</w:t>
      </w:r>
      <w:r w:rsidR="00F97F79" w:rsidRPr="002F70FD">
        <w:rPr>
          <w:lang w:val="en-ZA"/>
        </w:rPr>
        <w:t>ervices described in this</w:t>
      </w:r>
      <w:r w:rsidRPr="002F70FD">
        <w:rPr>
          <w:lang w:val="en-ZA"/>
        </w:rPr>
        <w:t xml:space="preserve"> S</w:t>
      </w:r>
      <w:r w:rsidR="00E40CE7" w:rsidRPr="002F70FD">
        <w:rPr>
          <w:lang w:val="en-ZA"/>
        </w:rPr>
        <w:t>OW</w:t>
      </w:r>
      <w:r w:rsidRPr="002F70FD">
        <w:rPr>
          <w:lang w:val="en-ZA"/>
        </w:rPr>
        <w:t xml:space="preserve">. </w:t>
      </w:r>
      <w:r w:rsidR="004723A1" w:rsidRPr="002F70FD">
        <w:rPr>
          <w:lang w:val="en-ZA"/>
        </w:rPr>
        <w:t xml:space="preserve">These changes only take effect when the proposed change is agreed </w:t>
      </w:r>
      <w:r w:rsidR="00160775" w:rsidRPr="002F70FD">
        <w:rPr>
          <w:lang w:val="en-ZA"/>
        </w:rPr>
        <w:t xml:space="preserve">upon </w:t>
      </w:r>
      <w:r w:rsidR="004723A1" w:rsidRPr="002F70FD">
        <w:rPr>
          <w:lang w:val="en-ZA"/>
        </w:rPr>
        <w:t>by both parties.</w:t>
      </w:r>
      <w:r w:rsidR="00140C9E" w:rsidRPr="002F70FD">
        <w:rPr>
          <w:lang w:val="en-ZA"/>
        </w:rPr>
        <w:t xml:space="preserve"> The change management process steps are:</w:t>
      </w:r>
    </w:p>
    <w:p w14:paraId="3B1BB33D" w14:textId="77777777" w:rsidR="003E1B4E" w:rsidRPr="002F70FD" w:rsidRDefault="00246AC9" w:rsidP="004723A1">
      <w:pPr>
        <w:pStyle w:val="Bulletlist"/>
        <w:rPr>
          <w:lang w:val="en-ZA"/>
        </w:rPr>
      </w:pPr>
      <w:r w:rsidRPr="002F70FD">
        <w:rPr>
          <w:b/>
          <w:lang w:val="en-ZA"/>
        </w:rPr>
        <w:t xml:space="preserve">The change </w:t>
      </w:r>
      <w:r w:rsidR="0025535A" w:rsidRPr="002F70FD">
        <w:rPr>
          <w:b/>
          <w:lang w:val="en-ZA"/>
        </w:rPr>
        <w:t>is documented</w:t>
      </w:r>
      <w:r w:rsidR="006C6051" w:rsidRPr="002F70FD">
        <w:rPr>
          <w:lang w:val="en-ZA"/>
        </w:rPr>
        <w:t xml:space="preserve">: </w:t>
      </w:r>
      <w:r w:rsidRPr="002F70FD">
        <w:rPr>
          <w:lang w:val="en-ZA"/>
        </w:rPr>
        <w:t xml:space="preserve">all </w:t>
      </w:r>
      <w:r w:rsidR="003E1B4E" w:rsidRPr="002F70FD">
        <w:rPr>
          <w:lang w:val="en-ZA"/>
        </w:rPr>
        <w:t>change requests will be documented</w:t>
      </w:r>
      <w:r w:rsidR="004723A1" w:rsidRPr="002F70FD">
        <w:rPr>
          <w:lang w:val="en-ZA"/>
        </w:rPr>
        <w:t xml:space="preserve"> by Microsoft </w:t>
      </w:r>
      <w:r w:rsidR="003E1B4E" w:rsidRPr="002F70FD">
        <w:rPr>
          <w:lang w:val="en-ZA"/>
        </w:rPr>
        <w:t xml:space="preserve">in a Microsoft </w:t>
      </w:r>
      <w:r w:rsidRPr="002F70FD">
        <w:rPr>
          <w:lang w:val="en-ZA"/>
        </w:rPr>
        <w:t xml:space="preserve">change request form </w:t>
      </w:r>
      <w:r w:rsidR="003E1B4E" w:rsidRPr="002F70FD">
        <w:rPr>
          <w:lang w:val="en-ZA"/>
        </w:rPr>
        <w:t xml:space="preserve">and submitted to the </w:t>
      </w:r>
      <w:r w:rsidR="00140C9E" w:rsidRPr="002F70FD">
        <w:rPr>
          <w:lang w:val="en-ZA"/>
        </w:rPr>
        <w:t>C</w:t>
      </w:r>
      <w:r w:rsidR="003E1B4E" w:rsidRPr="002F70FD">
        <w:rPr>
          <w:lang w:val="en-ZA"/>
        </w:rPr>
        <w:t xml:space="preserve">ustomer. The </w:t>
      </w:r>
      <w:r w:rsidRPr="002F70FD">
        <w:rPr>
          <w:lang w:val="en-ZA"/>
        </w:rPr>
        <w:t xml:space="preserve">change request form </w:t>
      </w:r>
      <w:r w:rsidR="003E1B4E" w:rsidRPr="002F70FD">
        <w:rPr>
          <w:lang w:val="en-ZA"/>
        </w:rPr>
        <w:t>includes</w:t>
      </w:r>
      <w:r w:rsidRPr="002F70FD">
        <w:rPr>
          <w:lang w:val="en-ZA"/>
        </w:rPr>
        <w:t>:</w:t>
      </w:r>
    </w:p>
    <w:p w14:paraId="3B1BB33E" w14:textId="77777777" w:rsidR="003E1B4E" w:rsidRPr="002F70FD" w:rsidRDefault="00246AC9" w:rsidP="00543F78">
      <w:pPr>
        <w:pStyle w:val="Bulletlist"/>
        <w:numPr>
          <w:ilvl w:val="1"/>
          <w:numId w:val="5"/>
        </w:numPr>
        <w:rPr>
          <w:lang w:val="en-ZA"/>
        </w:rPr>
      </w:pPr>
      <w:r w:rsidRPr="002F70FD">
        <w:rPr>
          <w:lang w:val="en-ZA"/>
        </w:rPr>
        <w:t xml:space="preserve">A description </w:t>
      </w:r>
      <w:r w:rsidR="003E1B4E" w:rsidRPr="002F70FD">
        <w:rPr>
          <w:lang w:val="en-ZA"/>
        </w:rPr>
        <w:t>of the change</w:t>
      </w:r>
      <w:r w:rsidRPr="002F70FD">
        <w:rPr>
          <w:lang w:val="en-ZA"/>
        </w:rPr>
        <w:t>.</w:t>
      </w:r>
    </w:p>
    <w:p w14:paraId="3B1BB33F" w14:textId="77777777" w:rsidR="003E1B4E" w:rsidRPr="002F70FD" w:rsidRDefault="00246AC9" w:rsidP="00543F78">
      <w:pPr>
        <w:pStyle w:val="Bulletlist"/>
        <w:numPr>
          <w:ilvl w:val="1"/>
          <w:numId w:val="5"/>
        </w:numPr>
        <w:rPr>
          <w:lang w:val="en-ZA"/>
        </w:rPr>
      </w:pPr>
      <w:r w:rsidRPr="002F70FD">
        <w:rPr>
          <w:lang w:val="en-ZA"/>
        </w:rPr>
        <w:t xml:space="preserve">The estimated effect </w:t>
      </w:r>
      <w:r w:rsidR="003E1B4E" w:rsidRPr="002F70FD">
        <w:rPr>
          <w:lang w:val="en-ZA"/>
        </w:rPr>
        <w:t xml:space="preserve">of </w:t>
      </w:r>
      <w:r w:rsidRPr="002F70FD">
        <w:rPr>
          <w:lang w:val="en-ZA"/>
        </w:rPr>
        <w:t xml:space="preserve">implementing the change. </w:t>
      </w:r>
    </w:p>
    <w:p w14:paraId="3B1BB340" w14:textId="77777777" w:rsidR="004723A1" w:rsidRPr="002F70FD" w:rsidRDefault="00246AC9" w:rsidP="004723A1">
      <w:pPr>
        <w:pStyle w:val="Bulletlist"/>
        <w:rPr>
          <w:lang w:val="en-ZA"/>
        </w:rPr>
      </w:pPr>
      <w:r w:rsidRPr="002F70FD">
        <w:rPr>
          <w:b/>
          <w:lang w:val="en-ZA"/>
        </w:rPr>
        <w:t>The c</w:t>
      </w:r>
      <w:r w:rsidR="0025535A" w:rsidRPr="002F70FD">
        <w:rPr>
          <w:b/>
          <w:lang w:val="en-ZA"/>
        </w:rPr>
        <w:t xml:space="preserve">hange </w:t>
      </w:r>
      <w:r w:rsidR="00112EB1" w:rsidRPr="002F70FD">
        <w:rPr>
          <w:b/>
          <w:lang w:val="en-ZA"/>
        </w:rPr>
        <w:t>is submitted</w:t>
      </w:r>
      <w:r w:rsidR="006C6051" w:rsidRPr="002F70FD">
        <w:rPr>
          <w:lang w:val="en-ZA"/>
        </w:rPr>
        <w:t xml:space="preserve">: </w:t>
      </w:r>
      <w:r w:rsidRPr="002F70FD">
        <w:rPr>
          <w:lang w:val="en-ZA"/>
        </w:rPr>
        <w:t xml:space="preserve">the change request form will be </w:t>
      </w:r>
      <w:r w:rsidR="004723A1" w:rsidRPr="002F70FD">
        <w:rPr>
          <w:lang w:val="en-ZA"/>
        </w:rPr>
        <w:t xml:space="preserve">provided to the </w:t>
      </w:r>
      <w:r w:rsidR="00140C9E" w:rsidRPr="002F70FD">
        <w:rPr>
          <w:lang w:val="en-ZA"/>
        </w:rPr>
        <w:t>C</w:t>
      </w:r>
      <w:r w:rsidR="004723A1" w:rsidRPr="002F70FD">
        <w:rPr>
          <w:lang w:val="en-ZA"/>
        </w:rPr>
        <w:t>ustomer</w:t>
      </w:r>
      <w:r w:rsidR="00A26C0D" w:rsidRPr="002F70FD">
        <w:rPr>
          <w:lang w:val="en-ZA"/>
        </w:rPr>
        <w:t>.</w:t>
      </w:r>
    </w:p>
    <w:p w14:paraId="3B1BB341" w14:textId="77777777" w:rsidR="004723A1" w:rsidRPr="002F70FD" w:rsidRDefault="00246AC9" w:rsidP="004723A1">
      <w:pPr>
        <w:pStyle w:val="Bulletlist"/>
        <w:rPr>
          <w:lang w:val="en-ZA"/>
        </w:rPr>
      </w:pPr>
      <w:r w:rsidRPr="002F70FD">
        <w:rPr>
          <w:b/>
          <w:lang w:val="en-ZA"/>
        </w:rPr>
        <w:t>The c</w:t>
      </w:r>
      <w:r w:rsidR="0025535A" w:rsidRPr="002F70FD">
        <w:rPr>
          <w:b/>
          <w:lang w:val="en-ZA"/>
        </w:rPr>
        <w:t>hange is accepted or rejected</w:t>
      </w:r>
      <w:r w:rsidR="006C6051" w:rsidRPr="002F70FD">
        <w:rPr>
          <w:lang w:val="en-ZA"/>
        </w:rPr>
        <w:t xml:space="preserve">: </w:t>
      </w:r>
      <w:proofErr w:type="gramStart"/>
      <w:r w:rsidRPr="002F70FD">
        <w:rPr>
          <w:lang w:val="en-ZA"/>
        </w:rPr>
        <w:t>the</w:t>
      </w:r>
      <w:proofErr w:type="gramEnd"/>
      <w:r w:rsidRPr="002F70FD">
        <w:rPr>
          <w:lang w:val="en-ZA"/>
        </w:rPr>
        <w:t xml:space="preserve"> </w:t>
      </w:r>
      <w:r w:rsidR="00140C9E" w:rsidRPr="002F70FD">
        <w:rPr>
          <w:lang w:val="en-ZA"/>
        </w:rPr>
        <w:t>C</w:t>
      </w:r>
      <w:r w:rsidR="00C4139D" w:rsidRPr="002F70FD">
        <w:rPr>
          <w:lang w:val="en-ZA"/>
        </w:rPr>
        <w:t>ustomer has three</w:t>
      </w:r>
      <w:r w:rsidR="004723A1" w:rsidRPr="002F70FD">
        <w:rPr>
          <w:lang w:val="en-ZA"/>
        </w:rPr>
        <w:t xml:space="preserve"> business days to confirm </w:t>
      </w:r>
      <w:r w:rsidRPr="002F70FD">
        <w:rPr>
          <w:lang w:val="en-ZA"/>
        </w:rPr>
        <w:t xml:space="preserve">the following </w:t>
      </w:r>
      <w:r w:rsidR="004723A1" w:rsidRPr="002F70FD">
        <w:rPr>
          <w:lang w:val="en-ZA"/>
        </w:rPr>
        <w:t>to Microsoft</w:t>
      </w:r>
      <w:r w:rsidR="00A26C0D" w:rsidRPr="002F70FD">
        <w:rPr>
          <w:lang w:val="en-ZA"/>
        </w:rPr>
        <w:t>:</w:t>
      </w:r>
    </w:p>
    <w:p w14:paraId="3B1BB342" w14:textId="77777777" w:rsidR="004723A1" w:rsidRPr="002F70FD" w:rsidRDefault="004723A1" w:rsidP="00543F78">
      <w:pPr>
        <w:pStyle w:val="Bulletlist"/>
        <w:numPr>
          <w:ilvl w:val="1"/>
          <w:numId w:val="5"/>
        </w:numPr>
        <w:rPr>
          <w:lang w:val="en-ZA"/>
        </w:rPr>
      </w:pPr>
      <w:r w:rsidRPr="002F70FD">
        <w:rPr>
          <w:lang w:val="en-ZA"/>
        </w:rPr>
        <w:t>Acceptance</w:t>
      </w:r>
      <w:r w:rsidR="00515713" w:rsidRPr="002F70FD">
        <w:rPr>
          <w:lang w:val="en-ZA"/>
        </w:rPr>
        <w:t>—</w:t>
      </w:r>
      <w:r w:rsidR="00246AC9" w:rsidRPr="002F70FD">
        <w:rPr>
          <w:lang w:val="en-ZA"/>
        </w:rPr>
        <w:t xml:space="preserve">the </w:t>
      </w:r>
      <w:r w:rsidR="00140C9E" w:rsidRPr="002F70FD">
        <w:rPr>
          <w:lang w:val="en-ZA"/>
        </w:rPr>
        <w:t>C</w:t>
      </w:r>
      <w:r w:rsidRPr="002F70FD">
        <w:rPr>
          <w:lang w:val="en-ZA"/>
        </w:rPr>
        <w:t xml:space="preserve">ustomer </w:t>
      </w:r>
      <w:r w:rsidR="0025535A" w:rsidRPr="002F70FD">
        <w:rPr>
          <w:lang w:val="en-ZA"/>
        </w:rPr>
        <w:t>must</w:t>
      </w:r>
      <w:r w:rsidRPr="002F70FD">
        <w:rPr>
          <w:lang w:val="en-ZA"/>
        </w:rPr>
        <w:t xml:space="preserve"> sign and return </w:t>
      </w:r>
      <w:r w:rsidR="00ED7049" w:rsidRPr="002F70FD">
        <w:rPr>
          <w:lang w:val="en-ZA"/>
        </w:rPr>
        <w:t xml:space="preserve">change request </w:t>
      </w:r>
      <w:r w:rsidR="00246AC9" w:rsidRPr="002F70FD">
        <w:rPr>
          <w:lang w:val="en-ZA"/>
        </w:rPr>
        <w:t>form.</w:t>
      </w:r>
    </w:p>
    <w:p w14:paraId="3B1BB343" w14:textId="77777777" w:rsidR="004723A1" w:rsidRPr="002F70FD" w:rsidRDefault="004723A1" w:rsidP="00543F78">
      <w:pPr>
        <w:pStyle w:val="Bulletlist"/>
        <w:numPr>
          <w:ilvl w:val="1"/>
          <w:numId w:val="5"/>
        </w:numPr>
        <w:rPr>
          <w:lang w:val="en-ZA"/>
        </w:rPr>
      </w:pPr>
      <w:r w:rsidRPr="002F70FD">
        <w:rPr>
          <w:lang w:val="en-ZA"/>
        </w:rPr>
        <w:t>Rejection</w:t>
      </w:r>
      <w:r w:rsidR="00246AC9" w:rsidRPr="002F70FD">
        <w:rPr>
          <w:lang w:val="en-ZA"/>
        </w:rPr>
        <w:t>—i</w:t>
      </w:r>
      <w:r w:rsidR="00112EB1" w:rsidRPr="002F70FD">
        <w:rPr>
          <w:lang w:val="en-ZA"/>
        </w:rPr>
        <w:t xml:space="preserve">f the </w:t>
      </w:r>
      <w:r w:rsidR="00140C9E" w:rsidRPr="002F70FD">
        <w:rPr>
          <w:lang w:val="en-ZA"/>
        </w:rPr>
        <w:t>C</w:t>
      </w:r>
      <w:r w:rsidR="0025535A" w:rsidRPr="002F70FD">
        <w:rPr>
          <w:lang w:val="en-ZA"/>
        </w:rPr>
        <w:t xml:space="preserve">ustomer does not want to </w:t>
      </w:r>
      <w:r w:rsidR="00043018" w:rsidRPr="002F70FD">
        <w:rPr>
          <w:lang w:val="en-ZA"/>
        </w:rPr>
        <w:t xml:space="preserve">proceed </w:t>
      </w:r>
      <w:r w:rsidR="0025535A" w:rsidRPr="002F70FD">
        <w:rPr>
          <w:lang w:val="en-ZA"/>
        </w:rPr>
        <w:t xml:space="preserve">with the change or does not provide an approval within </w:t>
      </w:r>
      <w:r w:rsidR="00C4139D" w:rsidRPr="002F70FD">
        <w:rPr>
          <w:lang w:val="en-ZA"/>
        </w:rPr>
        <w:t>three</w:t>
      </w:r>
      <w:r w:rsidR="0025535A" w:rsidRPr="002F70FD">
        <w:rPr>
          <w:lang w:val="en-ZA"/>
        </w:rPr>
        <w:t xml:space="preserve"> business days, no changes will be performed.</w:t>
      </w:r>
    </w:p>
    <w:p w14:paraId="3B1BB347" w14:textId="77777777" w:rsidR="0025535A" w:rsidRPr="002F70FD" w:rsidRDefault="0025535A" w:rsidP="009744C0">
      <w:pPr>
        <w:pStyle w:val="Heading2"/>
        <w:rPr>
          <w:lang w:val="en-ZA"/>
        </w:rPr>
      </w:pPr>
      <w:bookmarkStart w:id="35" w:name="_Toc476168047"/>
      <w:bookmarkStart w:id="36" w:name="_Toc24894665"/>
      <w:r w:rsidRPr="002F70FD">
        <w:rPr>
          <w:lang w:val="en-ZA"/>
        </w:rPr>
        <w:t>Executive steering committee</w:t>
      </w:r>
      <w:bookmarkEnd w:id="35"/>
      <w:bookmarkEnd w:id="36"/>
    </w:p>
    <w:p w14:paraId="3B1BB349" w14:textId="77777777" w:rsidR="0099108B" w:rsidRPr="002F70FD" w:rsidRDefault="0099108B" w:rsidP="0099108B">
      <w:pPr>
        <w:rPr>
          <w:lang w:val="en-ZA"/>
        </w:rPr>
      </w:pPr>
      <w:r w:rsidRPr="002F70FD">
        <w:rPr>
          <w:lang w:val="en-ZA"/>
        </w:rPr>
        <w:t xml:space="preserve">The executive steering committee provides overall senior management oversight and strategic direction for the project. </w:t>
      </w:r>
      <w:r w:rsidR="0019440A" w:rsidRPr="002F70FD">
        <w:rPr>
          <w:lang w:val="en-ZA"/>
        </w:rPr>
        <w:t xml:space="preserve">The executive steering committee for the project will meet </w:t>
      </w:r>
      <w:r w:rsidR="00D70772" w:rsidRPr="002F70FD">
        <w:rPr>
          <w:lang w:val="en-ZA"/>
        </w:rPr>
        <w:t xml:space="preserve">per </w:t>
      </w:r>
      <w:r w:rsidR="0019440A" w:rsidRPr="002F70FD">
        <w:rPr>
          <w:lang w:val="en-ZA"/>
        </w:rPr>
        <w:t xml:space="preserve">the frequency defined in the communication plan and </w:t>
      </w:r>
      <w:r w:rsidR="00246AC9" w:rsidRPr="002F70FD">
        <w:rPr>
          <w:lang w:val="en-ZA"/>
        </w:rPr>
        <w:t xml:space="preserve">will </w:t>
      </w:r>
      <w:r w:rsidR="0019440A" w:rsidRPr="002F70FD">
        <w:rPr>
          <w:lang w:val="en-ZA"/>
        </w:rPr>
        <w:t>include the roles</w:t>
      </w:r>
      <w:r w:rsidR="00246AC9" w:rsidRPr="002F70FD">
        <w:rPr>
          <w:lang w:val="en-ZA"/>
        </w:rPr>
        <w:t xml:space="preserve"> listed in the following table. </w:t>
      </w:r>
      <w:r w:rsidR="00AB4D70" w:rsidRPr="002F70FD">
        <w:rPr>
          <w:lang w:val="en-ZA"/>
        </w:rPr>
        <w:t>The responsibilities for the committee include:</w:t>
      </w:r>
    </w:p>
    <w:p w14:paraId="3B1BB34A" w14:textId="77777777" w:rsidR="00AB4D70" w:rsidRPr="002F70FD" w:rsidRDefault="00AB4D70" w:rsidP="00AB4D70">
      <w:pPr>
        <w:pStyle w:val="Bulletlist"/>
        <w:rPr>
          <w:lang w:val="en-ZA"/>
        </w:rPr>
      </w:pPr>
      <w:r w:rsidRPr="002F70FD">
        <w:rPr>
          <w:lang w:val="en-ZA"/>
        </w:rPr>
        <w:t xml:space="preserve">Making decisions </w:t>
      </w:r>
      <w:r w:rsidR="00C30D22" w:rsidRPr="002F70FD">
        <w:rPr>
          <w:lang w:val="en-ZA"/>
        </w:rPr>
        <w:t xml:space="preserve">about </w:t>
      </w:r>
      <w:r w:rsidRPr="002F70FD">
        <w:rPr>
          <w:lang w:val="en-ZA"/>
        </w:rPr>
        <w:t>project strategic direction</w:t>
      </w:r>
      <w:r w:rsidR="00246AC9" w:rsidRPr="002F70FD">
        <w:rPr>
          <w:lang w:val="en-ZA"/>
        </w:rPr>
        <w:t>.</w:t>
      </w:r>
    </w:p>
    <w:p w14:paraId="3B1BB34B" w14:textId="77777777" w:rsidR="00AB4D70" w:rsidRPr="002F70FD" w:rsidRDefault="00AB4D70" w:rsidP="00AB4D70">
      <w:pPr>
        <w:pStyle w:val="Bulletlist"/>
        <w:rPr>
          <w:lang w:val="en-ZA"/>
        </w:rPr>
      </w:pPr>
      <w:r w:rsidRPr="002F70FD">
        <w:rPr>
          <w:lang w:val="en-ZA"/>
        </w:rPr>
        <w:t>Serving as a final arbiter of project issues</w:t>
      </w:r>
      <w:r w:rsidR="00246AC9" w:rsidRPr="002F70FD">
        <w:rPr>
          <w:lang w:val="en-ZA"/>
        </w:rPr>
        <w:t>.</w:t>
      </w:r>
    </w:p>
    <w:p w14:paraId="3B1BB34C" w14:textId="77777777" w:rsidR="00AB4D70" w:rsidRPr="002F70FD" w:rsidRDefault="00AB4D70" w:rsidP="00AB4D70">
      <w:pPr>
        <w:pStyle w:val="Bulletlist"/>
        <w:rPr>
          <w:lang w:val="en-ZA"/>
        </w:rPr>
      </w:pPr>
      <w:r w:rsidRPr="002F70FD">
        <w:rPr>
          <w:lang w:val="en-ZA"/>
        </w:rPr>
        <w:t>Approving significant change requests</w:t>
      </w:r>
      <w:r w:rsidR="00246AC9" w:rsidRPr="002F70FD">
        <w:rPr>
          <w:lang w:val="en-ZA"/>
        </w:rPr>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rsidRPr="002F70FD" w14:paraId="3B1BB34F" w14:textId="77777777" w:rsidTr="008C6736">
        <w:trPr>
          <w:trHeight w:val="360"/>
          <w:tblHeader/>
        </w:trPr>
        <w:tc>
          <w:tcPr>
            <w:tcW w:w="6482" w:type="dxa"/>
            <w:shd w:val="clear" w:color="auto" w:fill="008272"/>
          </w:tcPr>
          <w:p w14:paraId="3B1BB34D" w14:textId="77777777" w:rsidR="00AB4D70" w:rsidRPr="002F70FD" w:rsidRDefault="00AB4D70" w:rsidP="00D91A3C">
            <w:pPr>
              <w:pStyle w:val="Table-Header"/>
              <w:rPr>
                <w:lang w:val="en-ZA"/>
              </w:rPr>
            </w:pPr>
            <w:r w:rsidRPr="002F70FD">
              <w:rPr>
                <w:lang w:val="en-ZA"/>
              </w:rPr>
              <w:t>Role</w:t>
            </w:r>
          </w:p>
        </w:tc>
        <w:tc>
          <w:tcPr>
            <w:tcW w:w="2889" w:type="dxa"/>
            <w:gridSpan w:val="2"/>
            <w:shd w:val="clear" w:color="auto" w:fill="008272"/>
          </w:tcPr>
          <w:p w14:paraId="3B1BB34E" w14:textId="77777777" w:rsidR="00AB4D70" w:rsidRPr="002F70FD" w:rsidRDefault="00AB4D70" w:rsidP="00D91A3C">
            <w:pPr>
              <w:pStyle w:val="Table-Header"/>
              <w:rPr>
                <w:lang w:val="en-ZA"/>
              </w:rPr>
            </w:pPr>
            <w:r w:rsidRPr="002F70FD">
              <w:rPr>
                <w:lang w:val="en-ZA"/>
              </w:rPr>
              <w:t>Organization</w:t>
            </w:r>
          </w:p>
        </w:tc>
      </w:tr>
      <w:tr w:rsidR="00AB4D70" w:rsidRPr="002F70FD" w14:paraId="3B1BB352" w14:textId="77777777" w:rsidTr="00B44F57">
        <w:trPr>
          <w:gridAfter w:val="1"/>
          <w:wAfter w:w="19" w:type="dxa"/>
          <w:trHeight w:val="432"/>
        </w:trPr>
        <w:tc>
          <w:tcPr>
            <w:tcW w:w="6482" w:type="dxa"/>
            <w:shd w:val="clear" w:color="auto" w:fill="auto"/>
          </w:tcPr>
          <w:p w14:paraId="3B1BB350" w14:textId="77777777" w:rsidR="00AB4D70" w:rsidRPr="002F70FD" w:rsidRDefault="00AB4D70" w:rsidP="0013452E">
            <w:pPr>
              <w:pStyle w:val="TableText"/>
              <w:rPr>
                <w:lang w:val="en-ZA"/>
              </w:rPr>
            </w:pPr>
            <w:r w:rsidRPr="002F70FD">
              <w:rPr>
                <w:lang w:val="en-ZA"/>
              </w:rPr>
              <w:t>Project sponsor</w:t>
            </w:r>
          </w:p>
        </w:tc>
        <w:tc>
          <w:tcPr>
            <w:tcW w:w="2870" w:type="dxa"/>
            <w:shd w:val="clear" w:color="auto" w:fill="FFFFFF" w:themeFill="background1"/>
          </w:tcPr>
          <w:p w14:paraId="3B1BB351" w14:textId="77777777" w:rsidR="00AB4D70" w:rsidRPr="002F70FD" w:rsidRDefault="00AB4D70" w:rsidP="0013452E">
            <w:pPr>
              <w:pStyle w:val="TableText"/>
              <w:rPr>
                <w:szCs w:val="18"/>
                <w:lang w:val="en-ZA"/>
              </w:rPr>
            </w:pPr>
            <w:r w:rsidRPr="002F70FD">
              <w:rPr>
                <w:szCs w:val="18"/>
                <w:lang w:val="en-ZA"/>
              </w:rPr>
              <w:t>Customer</w:t>
            </w:r>
          </w:p>
        </w:tc>
      </w:tr>
      <w:tr w:rsidR="00CC757C" w:rsidRPr="002F70FD" w14:paraId="402C9EEC" w14:textId="77777777" w:rsidTr="00B44F57">
        <w:trPr>
          <w:gridAfter w:val="1"/>
          <w:wAfter w:w="19" w:type="dxa"/>
          <w:trHeight w:val="432"/>
        </w:trPr>
        <w:tc>
          <w:tcPr>
            <w:tcW w:w="6482" w:type="dxa"/>
            <w:shd w:val="clear" w:color="auto" w:fill="auto"/>
          </w:tcPr>
          <w:p w14:paraId="108A18CC" w14:textId="2BDC2563" w:rsidR="00CC757C" w:rsidRPr="002F70FD" w:rsidRDefault="00DD6D7C" w:rsidP="00ED6694">
            <w:pPr>
              <w:pStyle w:val="TableText"/>
              <w:rPr>
                <w:szCs w:val="18"/>
                <w:lang w:val="en-ZA"/>
              </w:rPr>
            </w:pPr>
            <w:r>
              <w:rPr>
                <w:szCs w:val="18"/>
                <w:lang w:val="en-ZA"/>
              </w:rPr>
              <w:t>Project manager</w:t>
            </w:r>
          </w:p>
        </w:tc>
        <w:tc>
          <w:tcPr>
            <w:tcW w:w="2870" w:type="dxa"/>
            <w:shd w:val="clear" w:color="auto" w:fill="FFFFFF" w:themeFill="background1"/>
          </w:tcPr>
          <w:p w14:paraId="1CE60A7A" w14:textId="65DCF350" w:rsidR="00CC757C" w:rsidRPr="002F70FD" w:rsidRDefault="00DD6D7C" w:rsidP="00ED6694">
            <w:pPr>
              <w:pStyle w:val="TableText"/>
              <w:rPr>
                <w:szCs w:val="18"/>
                <w:lang w:val="en-ZA"/>
              </w:rPr>
            </w:pPr>
            <w:r>
              <w:rPr>
                <w:szCs w:val="18"/>
                <w:lang w:val="en-ZA"/>
              </w:rPr>
              <w:t>Customer</w:t>
            </w:r>
          </w:p>
        </w:tc>
      </w:tr>
      <w:tr w:rsidR="00DD6D7C" w:rsidRPr="002F70FD" w14:paraId="136329FC" w14:textId="77777777" w:rsidTr="00B44F57">
        <w:trPr>
          <w:gridAfter w:val="1"/>
          <w:wAfter w:w="19" w:type="dxa"/>
          <w:trHeight w:val="432"/>
        </w:trPr>
        <w:tc>
          <w:tcPr>
            <w:tcW w:w="6482" w:type="dxa"/>
            <w:shd w:val="clear" w:color="auto" w:fill="auto"/>
          </w:tcPr>
          <w:p w14:paraId="71503FC9" w14:textId="2BAF3410" w:rsidR="00DD6D7C" w:rsidRDefault="00DD6D7C" w:rsidP="00ED6694">
            <w:pPr>
              <w:pStyle w:val="TableText"/>
              <w:rPr>
                <w:szCs w:val="18"/>
                <w:lang w:val="en-ZA"/>
              </w:rPr>
            </w:pPr>
            <w:r>
              <w:rPr>
                <w:szCs w:val="18"/>
                <w:lang w:val="en-ZA"/>
              </w:rPr>
              <w:t>Project manager</w:t>
            </w:r>
          </w:p>
        </w:tc>
        <w:tc>
          <w:tcPr>
            <w:tcW w:w="2870" w:type="dxa"/>
            <w:shd w:val="clear" w:color="auto" w:fill="FFFFFF" w:themeFill="background1"/>
          </w:tcPr>
          <w:p w14:paraId="2EABE454" w14:textId="07F6D07B" w:rsidR="00DD6D7C" w:rsidRDefault="00664F72" w:rsidP="00ED6694">
            <w:pPr>
              <w:pStyle w:val="TableText"/>
              <w:rPr>
                <w:szCs w:val="18"/>
                <w:lang w:val="en-ZA"/>
              </w:rPr>
            </w:pPr>
            <w:r>
              <w:rPr>
                <w:szCs w:val="18"/>
                <w:lang w:val="en-ZA"/>
              </w:rPr>
              <w:t>Microsoft</w:t>
            </w:r>
          </w:p>
        </w:tc>
      </w:tr>
      <w:tr w:rsidR="00ED6694" w:rsidRPr="002F70FD" w14:paraId="5E47BC55" w14:textId="77777777" w:rsidTr="00B44F57">
        <w:trPr>
          <w:gridAfter w:val="1"/>
          <w:wAfter w:w="19" w:type="dxa"/>
          <w:trHeight w:val="432"/>
        </w:trPr>
        <w:tc>
          <w:tcPr>
            <w:tcW w:w="6482" w:type="dxa"/>
            <w:shd w:val="clear" w:color="auto" w:fill="auto"/>
          </w:tcPr>
          <w:p w14:paraId="1AE76721" w14:textId="750C796B" w:rsidR="00ED6694" w:rsidRPr="002F70FD" w:rsidRDefault="00ED6694" w:rsidP="00ED6694">
            <w:pPr>
              <w:pStyle w:val="TableText"/>
              <w:rPr>
                <w:szCs w:val="18"/>
                <w:lang w:val="en-ZA"/>
              </w:rPr>
            </w:pPr>
            <w:r w:rsidRPr="002F70FD">
              <w:rPr>
                <w:szCs w:val="18"/>
                <w:lang w:val="en-ZA"/>
              </w:rPr>
              <w:t>Delivery manager</w:t>
            </w:r>
          </w:p>
        </w:tc>
        <w:tc>
          <w:tcPr>
            <w:tcW w:w="2870" w:type="dxa"/>
            <w:shd w:val="clear" w:color="auto" w:fill="FFFFFF" w:themeFill="background1"/>
          </w:tcPr>
          <w:p w14:paraId="3A6C0D51" w14:textId="7A9AE75E" w:rsidR="00ED6694" w:rsidRPr="002F70FD" w:rsidRDefault="00ED6694" w:rsidP="00ED6694">
            <w:pPr>
              <w:pStyle w:val="TableText"/>
              <w:rPr>
                <w:szCs w:val="18"/>
                <w:lang w:val="en-ZA"/>
              </w:rPr>
            </w:pPr>
            <w:r w:rsidRPr="002F70FD">
              <w:rPr>
                <w:szCs w:val="18"/>
                <w:lang w:val="en-ZA"/>
              </w:rPr>
              <w:t>Microsoft</w:t>
            </w:r>
          </w:p>
        </w:tc>
      </w:tr>
      <w:tr w:rsidR="005A1D45" w:rsidRPr="002F70FD" w14:paraId="33E891AD" w14:textId="77777777" w:rsidTr="00B44F57">
        <w:trPr>
          <w:gridAfter w:val="1"/>
          <w:wAfter w:w="19" w:type="dxa"/>
          <w:trHeight w:val="432"/>
        </w:trPr>
        <w:tc>
          <w:tcPr>
            <w:tcW w:w="6482" w:type="dxa"/>
            <w:shd w:val="clear" w:color="auto" w:fill="auto"/>
          </w:tcPr>
          <w:p w14:paraId="2B2718BC" w14:textId="48E79DD8" w:rsidR="005A1D45" w:rsidRDefault="00100FCE" w:rsidP="00ED6694">
            <w:pPr>
              <w:pStyle w:val="TableText"/>
              <w:rPr>
                <w:szCs w:val="18"/>
                <w:lang w:val="en-ZA"/>
              </w:rPr>
            </w:pPr>
            <w:r>
              <w:rPr>
                <w:szCs w:val="18"/>
                <w:lang w:val="en-ZA"/>
              </w:rPr>
              <w:t xml:space="preserve">TER/s Hypercare </w:t>
            </w:r>
            <w:r w:rsidR="00D84946">
              <w:rPr>
                <w:szCs w:val="18"/>
                <w:lang w:val="en-ZA"/>
              </w:rPr>
              <w:t>Lead</w:t>
            </w:r>
          </w:p>
        </w:tc>
        <w:tc>
          <w:tcPr>
            <w:tcW w:w="2870" w:type="dxa"/>
            <w:shd w:val="clear" w:color="auto" w:fill="FFFFFF" w:themeFill="background1"/>
          </w:tcPr>
          <w:p w14:paraId="15ECAE54" w14:textId="099C71F2" w:rsidR="005A1D45" w:rsidRDefault="009D4D36" w:rsidP="00ED6694">
            <w:pPr>
              <w:pStyle w:val="TableText"/>
              <w:rPr>
                <w:szCs w:val="18"/>
                <w:lang w:val="en-ZA"/>
              </w:rPr>
            </w:pPr>
            <w:r>
              <w:rPr>
                <w:szCs w:val="18"/>
                <w:lang w:val="en-ZA"/>
              </w:rPr>
              <w:t>TER partner</w:t>
            </w:r>
          </w:p>
        </w:tc>
      </w:tr>
      <w:tr w:rsidR="009D4D36" w:rsidRPr="002F70FD" w14:paraId="222D8671" w14:textId="77777777" w:rsidTr="00B44F57">
        <w:trPr>
          <w:gridAfter w:val="1"/>
          <w:wAfter w:w="19" w:type="dxa"/>
          <w:trHeight w:val="432"/>
        </w:trPr>
        <w:tc>
          <w:tcPr>
            <w:tcW w:w="6482" w:type="dxa"/>
            <w:shd w:val="clear" w:color="auto" w:fill="auto"/>
          </w:tcPr>
          <w:p w14:paraId="2BAF06D6" w14:textId="05752C97" w:rsidR="009D4D36" w:rsidRDefault="009528DA" w:rsidP="00ED6694">
            <w:pPr>
              <w:pStyle w:val="TableText"/>
              <w:rPr>
                <w:szCs w:val="18"/>
                <w:lang w:val="en-ZA"/>
              </w:rPr>
            </w:pPr>
            <w:r>
              <w:rPr>
                <w:szCs w:val="18"/>
                <w:lang w:val="en-ZA"/>
              </w:rPr>
              <w:t>Technical Account Manager</w:t>
            </w:r>
          </w:p>
        </w:tc>
        <w:tc>
          <w:tcPr>
            <w:tcW w:w="2870" w:type="dxa"/>
            <w:shd w:val="clear" w:color="auto" w:fill="FFFFFF" w:themeFill="background1"/>
          </w:tcPr>
          <w:p w14:paraId="74A612D6" w14:textId="5EA1759C" w:rsidR="009D4D36" w:rsidRDefault="009528DA" w:rsidP="00ED6694">
            <w:pPr>
              <w:pStyle w:val="TableText"/>
              <w:rPr>
                <w:szCs w:val="18"/>
                <w:lang w:val="en-ZA"/>
              </w:rPr>
            </w:pPr>
            <w:r>
              <w:rPr>
                <w:szCs w:val="18"/>
                <w:lang w:val="en-ZA"/>
              </w:rPr>
              <w:t>Microsoft</w:t>
            </w:r>
          </w:p>
        </w:tc>
      </w:tr>
    </w:tbl>
    <w:p w14:paraId="3B1BB356" w14:textId="77777777" w:rsidR="00892C8C" w:rsidRPr="002F70FD" w:rsidRDefault="00892C8C" w:rsidP="00892C8C">
      <w:pPr>
        <w:pStyle w:val="Heading3"/>
        <w:rPr>
          <w:lang w:val="en-ZA"/>
        </w:rPr>
      </w:pPr>
      <w:bookmarkStart w:id="37" w:name="_Toc476168048"/>
      <w:r w:rsidRPr="002F70FD">
        <w:rPr>
          <w:lang w:val="en-ZA"/>
        </w:rPr>
        <w:t>Escalation path</w:t>
      </w:r>
      <w:bookmarkEnd w:id="37"/>
    </w:p>
    <w:p w14:paraId="3B1BB358" w14:textId="6D508574" w:rsidR="00892C8C" w:rsidRPr="002F70FD" w:rsidRDefault="00892C8C" w:rsidP="00892C8C">
      <w:pPr>
        <w:rPr>
          <w:lang w:val="en-ZA"/>
        </w:rPr>
      </w:pPr>
      <w:r w:rsidRPr="002F70FD">
        <w:rPr>
          <w:lang w:val="en-ZA"/>
        </w:rPr>
        <w:t xml:space="preserve">The Microsoft </w:t>
      </w:r>
      <w:r w:rsidR="008A39F8" w:rsidRPr="008A39F8">
        <w:rPr>
          <w:lang w:val="en-ZA"/>
        </w:rPr>
        <w:t>Account Delivery Manager</w:t>
      </w:r>
      <w:r w:rsidR="00246AC9" w:rsidRPr="002F70FD">
        <w:rPr>
          <w:lang w:val="en-ZA"/>
        </w:rPr>
        <w:t xml:space="preserve"> </w:t>
      </w:r>
      <w:r w:rsidRPr="002F70FD">
        <w:rPr>
          <w:lang w:val="en-ZA"/>
        </w:rPr>
        <w:t xml:space="preserve">will work closely with the </w:t>
      </w:r>
      <w:r w:rsidR="00A26C0D" w:rsidRPr="002F70FD">
        <w:rPr>
          <w:lang w:val="en-ZA"/>
        </w:rPr>
        <w:t>c</w:t>
      </w:r>
      <w:r w:rsidRPr="002F70FD">
        <w:rPr>
          <w:lang w:val="en-ZA"/>
        </w:rPr>
        <w:t xml:space="preserve">ustomer </w:t>
      </w:r>
      <w:r w:rsidR="00A26C0D" w:rsidRPr="002F70FD">
        <w:rPr>
          <w:lang w:val="en-ZA"/>
        </w:rPr>
        <w:t>project manager</w:t>
      </w:r>
      <w:r w:rsidRPr="002F70FD">
        <w:rPr>
          <w:lang w:val="en-ZA"/>
        </w:rPr>
        <w:t xml:space="preserve">, </w:t>
      </w:r>
      <w:r w:rsidR="00A26C0D" w:rsidRPr="002F70FD">
        <w:rPr>
          <w:lang w:val="en-ZA"/>
        </w:rPr>
        <w:t>sponsor</w:t>
      </w:r>
      <w:r w:rsidRPr="002F70FD">
        <w:rPr>
          <w:lang w:val="en-ZA"/>
        </w:rPr>
        <w:t xml:space="preserve">, and other designees to manage </w:t>
      </w:r>
      <w:r w:rsidR="0072174A" w:rsidRPr="002F70FD">
        <w:rPr>
          <w:lang w:val="en-ZA"/>
        </w:rPr>
        <w:t>p</w:t>
      </w:r>
      <w:r w:rsidRPr="002F70FD">
        <w:rPr>
          <w:lang w:val="en-ZA"/>
        </w:rPr>
        <w:t xml:space="preserve">roject issues, risks, and </w:t>
      </w:r>
      <w:r w:rsidR="00A26C0D" w:rsidRPr="002F70FD">
        <w:rPr>
          <w:lang w:val="en-ZA"/>
        </w:rPr>
        <w:t>c</w:t>
      </w:r>
      <w:r w:rsidRPr="002F70FD">
        <w:rPr>
          <w:lang w:val="en-ZA"/>
        </w:rPr>
        <w:t xml:space="preserve">hange </w:t>
      </w:r>
      <w:r w:rsidR="00A26C0D" w:rsidRPr="002F70FD">
        <w:rPr>
          <w:lang w:val="en-ZA"/>
        </w:rPr>
        <w:t>r</w:t>
      </w:r>
      <w:r w:rsidRPr="002F70FD">
        <w:rPr>
          <w:lang w:val="en-ZA"/>
        </w:rPr>
        <w:t xml:space="preserve">equests as described </w:t>
      </w:r>
      <w:r w:rsidR="00246AC9" w:rsidRPr="002F70FD">
        <w:rPr>
          <w:lang w:val="en-ZA"/>
        </w:rPr>
        <w:t>previously</w:t>
      </w:r>
      <w:r w:rsidRPr="002F70FD">
        <w:rPr>
          <w:lang w:val="en-ZA"/>
        </w:rPr>
        <w:t xml:space="preserve">. </w:t>
      </w:r>
      <w:r w:rsidR="00335083" w:rsidRPr="002F70FD">
        <w:rPr>
          <w:lang w:val="en-ZA"/>
        </w:rPr>
        <w:t xml:space="preserve">The </w:t>
      </w:r>
      <w:r w:rsidR="00A26C0D" w:rsidRPr="002F70FD">
        <w:rPr>
          <w:lang w:val="en-ZA"/>
        </w:rPr>
        <w:t>c</w:t>
      </w:r>
      <w:r w:rsidR="00335083" w:rsidRPr="002F70FD">
        <w:rPr>
          <w:lang w:val="en-ZA"/>
        </w:rPr>
        <w:t xml:space="preserve">ustomer will </w:t>
      </w:r>
      <w:r w:rsidR="00E40CE7" w:rsidRPr="002F70FD">
        <w:rPr>
          <w:lang w:val="en-ZA"/>
        </w:rPr>
        <w:t xml:space="preserve">provide </w:t>
      </w:r>
      <w:r w:rsidR="00335083" w:rsidRPr="002F70FD">
        <w:rPr>
          <w:lang w:val="en-ZA"/>
        </w:rPr>
        <w:t xml:space="preserve">reasonable access to the </w:t>
      </w:r>
      <w:r w:rsidR="005055CC" w:rsidRPr="002F70FD">
        <w:rPr>
          <w:lang w:val="en-ZA"/>
        </w:rPr>
        <w:t xml:space="preserve">sponsor or </w:t>
      </w:r>
      <w:r w:rsidR="00335083" w:rsidRPr="002F70FD">
        <w:rPr>
          <w:lang w:val="en-ZA"/>
        </w:rPr>
        <w:t>sponsors</w:t>
      </w:r>
      <w:r w:rsidR="00E40CE7" w:rsidRPr="002F70FD">
        <w:rPr>
          <w:lang w:val="en-ZA"/>
        </w:rPr>
        <w:t xml:space="preserve"> </w:t>
      </w:r>
      <w:proofErr w:type="gramStart"/>
      <w:r w:rsidR="00E40CE7" w:rsidRPr="002F70FD">
        <w:rPr>
          <w:lang w:val="en-ZA"/>
        </w:rPr>
        <w:t>in order</w:t>
      </w:r>
      <w:r w:rsidR="00335083" w:rsidRPr="002F70FD">
        <w:rPr>
          <w:lang w:val="en-ZA"/>
        </w:rPr>
        <w:t xml:space="preserve"> </w:t>
      </w:r>
      <w:r w:rsidRPr="002F70FD">
        <w:rPr>
          <w:lang w:val="en-ZA"/>
        </w:rPr>
        <w:t>to</w:t>
      </w:r>
      <w:proofErr w:type="gramEnd"/>
      <w:r w:rsidRPr="002F70FD">
        <w:rPr>
          <w:lang w:val="en-ZA"/>
        </w:rPr>
        <w:t xml:space="preserve"> expedite resolution.</w:t>
      </w:r>
      <w:r w:rsidR="00335083" w:rsidRPr="002F70FD">
        <w:rPr>
          <w:lang w:val="en-ZA"/>
        </w:rPr>
        <w:t xml:space="preserve"> The standard escalation path</w:t>
      </w:r>
      <w:r w:rsidRPr="002F70FD">
        <w:rPr>
          <w:lang w:val="en-ZA"/>
        </w:rPr>
        <w:t xml:space="preserve"> for review</w:t>
      </w:r>
      <w:r w:rsidR="005055CC" w:rsidRPr="002F70FD">
        <w:rPr>
          <w:lang w:val="en-ZA"/>
        </w:rPr>
        <w:t>,</w:t>
      </w:r>
      <w:r w:rsidRPr="002F70FD">
        <w:rPr>
          <w:lang w:val="en-ZA"/>
        </w:rPr>
        <w:t xml:space="preserve"> approval</w:t>
      </w:r>
      <w:r w:rsidR="005055CC" w:rsidRPr="002F70FD">
        <w:rPr>
          <w:lang w:val="en-ZA"/>
        </w:rPr>
        <w:t>,</w:t>
      </w:r>
      <w:r w:rsidRPr="002F70FD">
        <w:rPr>
          <w:lang w:val="en-ZA"/>
        </w:rPr>
        <w:t xml:space="preserve"> or dispute resolution is as follows:</w:t>
      </w:r>
    </w:p>
    <w:p w14:paraId="3B1BB359" w14:textId="77777777" w:rsidR="00892C8C" w:rsidRDefault="00892C8C" w:rsidP="00892C8C">
      <w:pPr>
        <w:pStyle w:val="Bulletlist"/>
        <w:rPr>
          <w:lang w:val="en-ZA"/>
        </w:rPr>
      </w:pPr>
      <w:r w:rsidRPr="002F70FD">
        <w:rPr>
          <w:lang w:val="en-ZA"/>
        </w:rPr>
        <w:lastRenderedPageBreak/>
        <w:t xml:space="preserve">Project </w:t>
      </w:r>
      <w:r w:rsidR="006C6051" w:rsidRPr="002F70FD">
        <w:rPr>
          <w:lang w:val="en-ZA"/>
        </w:rPr>
        <w:t>t</w:t>
      </w:r>
      <w:r w:rsidRPr="002F70FD">
        <w:rPr>
          <w:lang w:val="en-ZA"/>
        </w:rPr>
        <w:t xml:space="preserve">eam member (Microsoft or </w:t>
      </w:r>
      <w:r w:rsidR="00112EB1" w:rsidRPr="002F70FD">
        <w:rPr>
          <w:lang w:val="en-ZA"/>
        </w:rPr>
        <w:t xml:space="preserve">the </w:t>
      </w:r>
      <w:r w:rsidR="00140C9E" w:rsidRPr="002F70FD">
        <w:rPr>
          <w:lang w:val="en-ZA"/>
        </w:rPr>
        <w:t>C</w:t>
      </w:r>
      <w:r w:rsidRPr="002F70FD">
        <w:rPr>
          <w:lang w:val="en-ZA"/>
        </w:rPr>
        <w:t>ustomer)</w:t>
      </w:r>
    </w:p>
    <w:p w14:paraId="160CB5F4" w14:textId="77A33CEC" w:rsidR="00664F72" w:rsidRPr="002F70FD" w:rsidRDefault="00425D8E" w:rsidP="00892C8C">
      <w:pPr>
        <w:pStyle w:val="Bulletlist"/>
        <w:rPr>
          <w:lang w:val="en-ZA"/>
        </w:rPr>
      </w:pPr>
      <w:r>
        <w:rPr>
          <w:lang w:val="en-ZA"/>
        </w:rPr>
        <w:t>Project manager (Microsoft or Customer)</w:t>
      </w:r>
    </w:p>
    <w:p w14:paraId="3B1BB35B" w14:textId="77777777" w:rsidR="00892C8C" w:rsidRPr="002F70FD" w:rsidRDefault="00892C8C" w:rsidP="00892C8C">
      <w:pPr>
        <w:pStyle w:val="Bulletlist"/>
        <w:rPr>
          <w:lang w:val="en-ZA"/>
        </w:rPr>
      </w:pPr>
      <w:r w:rsidRPr="002F70FD">
        <w:rPr>
          <w:lang w:val="en-ZA"/>
        </w:rPr>
        <w:t xml:space="preserve">Microsoft </w:t>
      </w:r>
      <w:r w:rsidR="006C6051" w:rsidRPr="002F70FD">
        <w:rPr>
          <w:lang w:val="en-ZA"/>
        </w:rPr>
        <w:t>delivery manager</w:t>
      </w:r>
    </w:p>
    <w:p w14:paraId="3B1BB35C" w14:textId="77777777" w:rsidR="00892C8C" w:rsidRPr="002F70FD" w:rsidRDefault="00892C8C" w:rsidP="00892C8C">
      <w:pPr>
        <w:pStyle w:val="Bulletlist"/>
        <w:rPr>
          <w:lang w:val="en-ZA"/>
        </w:rPr>
      </w:pPr>
      <w:r w:rsidRPr="002F70FD">
        <w:rPr>
          <w:lang w:val="en-ZA"/>
        </w:rPr>
        <w:t xml:space="preserve">Microsoft and </w:t>
      </w:r>
      <w:r w:rsidR="00112EB1" w:rsidRPr="002F70FD">
        <w:rPr>
          <w:lang w:val="en-ZA"/>
        </w:rPr>
        <w:t xml:space="preserve">the </w:t>
      </w:r>
      <w:r w:rsidR="00140C9E" w:rsidRPr="002F70FD">
        <w:rPr>
          <w:lang w:val="en-ZA"/>
        </w:rPr>
        <w:t>C</w:t>
      </w:r>
      <w:r w:rsidRPr="002F70FD">
        <w:rPr>
          <w:lang w:val="en-ZA"/>
        </w:rPr>
        <w:t xml:space="preserve">ustomer </w:t>
      </w:r>
      <w:r w:rsidR="006C6051" w:rsidRPr="002F70FD">
        <w:rPr>
          <w:lang w:val="en-ZA"/>
        </w:rPr>
        <w:t>project sponsor</w:t>
      </w:r>
    </w:p>
    <w:p w14:paraId="3B1BB35D" w14:textId="77777777" w:rsidR="000C591B" w:rsidRPr="000F65DE" w:rsidRDefault="000C591B" w:rsidP="000C591B">
      <w:pPr>
        <w:pStyle w:val="Bulletlist"/>
        <w:rPr>
          <w:lang w:val="en-ZA"/>
        </w:rPr>
      </w:pPr>
      <w:r w:rsidRPr="000F65DE">
        <w:rPr>
          <w:lang w:val="en-ZA"/>
        </w:rPr>
        <w:t>Executive steering committee</w:t>
      </w:r>
    </w:p>
    <w:p w14:paraId="3B1BB35E" w14:textId="77777777" w:rsidR="00AB4D70" w:rsidRPr="002F70FD" w:rsidRDefault="00AB4D70" w:rsidP="00C84DD9">
      <w:pPr>
        <w:pStyle w:val="Heading2"/>
        <w:rPr>
          <w:lang w:val="en-ZA"/>
        </w:rPr>
      </w:pPr>
      <w:bookmarkStart w:id="38" w:name="_Toc476167711"/>
      <w:bookmarkStart w:id="39" w:name="_Toc476168049"/>
      <w:bookmarkStart w:id="40" w:name="_Toc24894666"/>
      <w:r w:rsidRPr="002F70FD">
        <w:rPr>
          <w:lang w:val="en-ZA"/>
        </w:rPr>
        <w:t>Project completion</w:t>
      </w:r>
      <w:bookmarkEnd w:id="38"/>
      <w:bookmarkEnd w:id="39"/>
      <w:bookmarkEnd w:id="40"/>
    </w:p>
    <w:p w14:paraId="3B1BB36D" w14:textId="67D7953E" w:rsidR="00152B24" w:rsidRDefault="00152B24" w:rsidP="00AC1B81">
      <w:pPr>
        <w:pStyle w:val="Optional"/>
        <w:rPr>
          <w:color w:val="auto"/>
          <w:lang w:val="en-ZA"/>
        </w:rPr>
      </w:pPr>
      <w:r w:rsidRPr="00D42E72">
        <w:rPr>
          <w:color w:val="auto"/>
          <w:lang w:val="en-ZA"/>
        </w:rPr>
        <w:t>The project will be considered complete when the following condition</w:t>
      </w:r>
      <w:r w:rsidR="00E93E55">
        <w:rPr>
          <w:color w:val="auto"/>
          <w:lang w:val="en-ZA"/>
        </w:rPr>
        <w:t>s</w:t>
      </w:r>
      <w:r w:rsidRPr="00D42E72">
        <w:rPr>
          <w:color w:val="auto"/>
          <w:lang w:val="en-ZA"/>
        </w:rPr>
        <w:t xml:space="preserve"> </w:t>
      </w:r>
      <w:r w:rsidR="00E93E55">
        <w:rPr>
          <w:color w:val="auto"/>
          <w:lang w:val="en-ZA"/>
        </w:rPr>
        <w:t>are</w:t>
      </w:r>
      <w:r w:rsidR="00AD3CAD" w:rsidRPr="00D42E72">
        <w:rPr>
          <w:color w:val="auto"/>
          <w:lang w:val="en-ZA"/>
        </w:rPr>
        <w:t xml:space="preserve"> </w:t>
      </w:r>
      <w:r w:rsidRPr="00D42E72">
        <w:rPr>
          <w:color w:val="auto"/>
          <w:lang w:val="en-ZA"/>
        </w:rPr>
        <w:t>met:</w:t>
      </w:r>
    </w:p>
    <w:p w14:paraId="38820047" w14:textId="77777777" w:rsidR="00E93E55" w:rsidRPr="0079189D" w:rsidRDefault="00E93E55" w:rsidP="00543F78">
      <w:pPr>
        <w:pStyle w:val="ListParagraph"/>
        <w:numPr>
          <w:ilvl w:val="0"/>
          <w:numId w:val="19"/>
        </w:numPr>
        <w:spacing w:before="100" w:beforeAutospacing="1" w:after="100" w:afterAutospacing="1" w:line="240" w:lineRule="auto"/>
        <w:jc w:val="both"/>
      </w:pPr>
      <w:r w:rsidRPr="0079189D">
        <w:t xml:space="preserve">All reports stipulated within the Hypercare SOW have been submitted as required during the duration of the Hypercare Phase until the end </w:t>
      </w:r>
      <w:r>
        <w:t>of the contract.</w:t>
      </w:r>
    </w:p>
    <w:p w14:paraId="6E516A00" w14:textId="77777777" w:rsidR="00E93E55" w:rsidRPr="0079189D" w:rsidRDefault="00E93E55" w:rsidP="00543F78">
      <w:pPr>
        <w:pStyle w:val="ListParagraph"/>
        <w:numPr>
          <w:ilvl w:val="0"/>
          <w:numId w:val="19"/>
        </w:numPr>
        <w:spacing w:before="100" w:beforeAutospacing="1" w:after="100" w:afterAutospacing="1" w:line="240" w:lineRule="auto"/>
      </w:pPr>
      <w:r w:rsidRPr="0079189D">
        <w:t xml:space="preserve">All reports consolidated into a monthly sign-off document for signature by </w:t>
      </w:r>
      <w:proofErr w:type="spellStart"/>
      <w:r w:rsidRPr="0079189D">
        <w:t>eGov</w:t>
      </w:r>
      <w:proofErr w:type="spellEnd"/>
      <w:r w:rsidRPr="0079189D">
        <w:t xml:space="preserve"> project team, all-inclusive sign-off at end of the Hypercare Phase will be obtained</w:t>
      </w:r>
    </w:p>
    <w:p w14:paraId="670BA347" w14:textId="77777777" w:rsidR="00E93E55" w:rsidRPr="0079189D" w:rsidRDefault="00E93E55" w:rsidP="00543F78">
      <w:pPr>
        <w:pStyle w:val="ListParagraph"/>
        <w:numPr>
          <w:ilvl w:val="0"/>
          <w:numId w:val="19"/>
        </w:numPr>
        <w:spacing w:before="100" w:beforeAutospacing="1" w:after="100" w:afterAutospacing="1" w:line="240" w:lineRule="auto"/>
        <w:jc w:val="both"/>
      </w:pPr>
      <w:r w:rsidRPr="0079189D">
        <w:t>The contracted duration of the Hypercare phase is consumed; or</w:t>
      </w:r>
    </w:p>
    <w:p w14:paraId="4483C292" w14:textId="77777777" w:rsidR="00E93E55" w:rsidRPr="0079189D" w:rsidRDefault="00E93E55" w:rsidP="00543F78">
      <w:pPr>
        <w:pStyle w:val="ListParagraph"/>
        <w:numPr>
          <w:ilvl w:val="0"/>
          <w:numId w:val="19"/>
        </w:numPr>
        <w:spacing w:before="100" w:beforeAutospacing="1" w:after="100" w:afterAutospacing="1" w:line="240" w:lineRule="auto"/>
        <w:jc w:val="both"/>
      </w:pPr>
      <w:r w:rsidRPr="0079189D">
        <w:t>The Hypercare Support Phase has been terminated</w:t>
      </w:r>
    </w:p>
    <w:p w14:paraId="3B1BB370" w14:textId="77777777" w:rsidR="00152B24" w:rsidRPr="002F70FD" w:rsidRDefault="00152B24" w:rsidP="00C84DD9">
      <w:pPr>
        <w:pStyle w:val="Heading1"/>
        <w:rPr>
          <w:lang w:val="en-ZA"/>
        </w:rPr>
      </w:pPr>
      <w:bookmarkStart w:id="41" w:name="_Toc476167712"/>
      <w:bookmarkStart w:id="42" w:name="_Toc476168050"/>
      <w:bookmarkStart w:id="43" w:name="_Toc24894667"/>
      <w:r w:rsidRPr="002F70FD">
        <w:rPr>
          <w:lang w:val="en-ZA"/>
        </w:rPr>
        <w:t>Project organization</w:t>
      </w:r>
      <w:bookmarkEnd w:id="41"/>
      <w:bookmarkEnd w:id="42"/>
      <w:bookmarkEnd w:id="43"/>
    </w:p>
    <w:p w14:paraId="3B1BB372" w14:textId="77777777" w:rsidR="00C84DD9" w:rsidRPr="002F70FD" w:rsidRDefault="00C84DD9" w:rsidP="005C66A2">
      <w:pPr>
        <w:pStyle w:val="Heading2"/>
        <w:rPr>
          <w:lang w:val="en-ZA"/>
        </w:rPr>
      </w:pPr>
      <w:bookmarkStart w:id="44" w:name="_Toc476167713"/>
      <w:bookmarkStart w:id="45" w:name="_Toc476168051"/>
      <w:bookmarkStart w:id="46" w:name="_Toc24894668"/>
      <w:r w:rsidRPr="002F70FD">
        <w:rPr>
          <w:lang w:val="en-ZA"/>
        </w:rPr>
        <w:t>Project roles and responsibilities</w:t>
      </w:r>
      <w:bookmarkEnd w:id="44"/>
      <w:bookmarkEnd w:id="45"/>
      <w:bookmarkEnd w:id="46"/>
    </w:p>
    <w:p w14:paraId="3B1BB374" w14:textId="77777777" w:rsidR="00C84DD9" w:rsidRPr="002F70FD" w:rsidRDefault="00C84DD9" w:rsidP="00C84DD9">
      <w:pPr>
        <w:rPr>
          <w:lang w:val="en-ZA"/>
        </w:rPr>
      </w:pPr>
      <w:r w:rsidRPr="002F70FD">
        <w:rPr>
          <w:lang w:val="en-ZA"/>
        </w:rPr>
        <w:t>The key project roles and the responsibilities are as follows</w:t>
      </w:r>
      <w:r w:rsidR="00AD3CAD" w:rsidRPr="002F70FD">
        <w:rPr>
          <w:lang w:val="en-ZA"/>
        </w:rPr>
        <w:t>.</w:t>
      </w:r>
    </w:p>
    <w:p w14:paraId="3B1BB375" w14:textId="77777777" w:rsidR="0013452E" w:rsidRPr="002F70FD" w:rsidRDefault="0013452E" w:rsidP="0013452E">
      <w:pPr>
        <w:pStyle w:val="Heading4"/>
        <w:rPr>
          <w:lang w:val="en-ZA"/>
        </w:rPr>
      </w:pPr>
      <w:r w:rsidRPr="002F70FD">
        <w:rPr>
          <w:lang w:val="en-ZA"/>
        </w:rPr>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rsidRPr="002F70FD" w14:paraId="3B1BB378" w14:textId="77777777" w:rsidTr="008C6736">
        <w:trPr>
          <w:trHeight w:val="360"/>
          <w:tblHeader/>
        </w:trPr>
        <w:tc>
          <w:tcPr>
            <w:tcW w:w="2157" w:type="dxa"/>
            <w:shd w:val="clear" w:color="auto" w:fill="008272"/>
          </w:tcPr>
          <w:p w14:paraId="3B1BB376" w14:textId="77777777" w:rsidR="0013452E" w:rsidRPr="002F70FD" w:rsidRDefault="0013452E" w:rsidP="00031658">
            <w:pPr>
              <w:pStyle w:val="Table-Header"/>
              <w:rPr>
                <w:lang w:val="en-ZA"/>
              </w:rPr>
            </w:pPr>
            <w:r w:rsidRPr="002F70FD">
              <w:rPr>
                <w:lang w:val="en-ZA"/>
              </w:rPr>
              <w:t>Role</w:t>
            </w:r>
          </w:p>
        </w:tc>
        <w:tc>
          <w:tcPr>
            <w:tcW w:w="7200" w:type="dxa"/>
            <w:shd w:val="clear" w:color="auto" w:fill="008272"/>
          </w:tcPr>
          <w:p w14:paraId="3B1BB377" w14:textId="77777777" w:rsidR="0013452E" w:rsidRPr="002F70FD" w:rsidRDefault="0013452E" w:rsidP="00031658">
            <w:pPr>
              <w:pStyle w:val="Table-Header"/>
              <w:rPr>
                <w:lang w:val="en-ZA"/>
              </w:rPr>
            </w:pPr>
            <w:r w:rsidRPr="002F70FD">
              <w:rPr>
                <w:lang w:val="en-ZA"/>
              </w:rPr>
              <w:t>Responsibilities</w:t>
            </w:r>
          </w:p>
        </w:tc>
      </w:tr>
      <w:tr w:rsidR="0013452E" w:rsidRPr="002F70FD" w14:paraId="3B1BB37D" w14:textId="77777777" w:rsidTr="0013452E">
        <w:trPr>
          <w:trHeight w:val="432"/>
        </w:trPr>
        <w:tc>
          <w:tcPr>
            <w:tcW w:w="2157" w:type="dxa"/>
            <w:shd w:val="clear" w:color="auto" w:fill="auto"/>
          </w:tcPr>
          <w:p w14:paraId="3B1BB379" w14:textId="77777777" w:rsidR="0013452E" w:rsidRPr="002F70FD" w:rsidRDefault="0013452E" w:rsidP="0013452E">
            <w:pPr>
              <w:pStyle w:val="TableText"/>
              <w:rPr>
                <w:lang w:val="en-ZA"/>
              </w:rPr>
            </w:pPr>
            <w:r w:rsidRPr="002F70FD">
              <w:rPr>
                <w:lang w:val="en-ZA"/>
              </w:rPr>
              <w:t>Project sponsor</w:t>
            </w:r>
          </w:p>
        </w:tc>
        <w:tc>
          <w:tcPr>
            <w:tcW w:w="7200" w:type="dxa"/>
            <w:shd w:val="clear" w:color="auto" w:fill="FFFFFF" w:themeFill="background1"/>
          </w:tcPr>
          <w:p w14:paraId="16129F6C" w14:textId="77777777" w:rsidR="008202F7" w:rsidRPr="00E66EC4" w:rsidRDefault="008202F7" w:rsidP="008202F7">
            <w:pPr>
              <w:pStyle w:val="Bulletlist"/>
            </w:pPr>
            <w:r w:rsidRPr="00E66EC4">
              <w:t>Makes top level project decisions and resolves escalations</w:t>
            </w:r>
          </w:p>
          <w:p w14:paraId="637AA2B6" w14:textId="77777777" w:rsidR="008202F7" w:rsidRPr="00E66EC4" w:rsidRDefault="008202F7" w:rsidP="008202F7">
            <w:pPr>
              <w:pStyle w:val="Bulletlist"/>
            </w:pPr>
            <w:r w:rsidRPr="00E66EC4">
              <w:t>Owns the program at the top organizational level</w:t>
            </w:r>
          </w:p>
          <w:p w14:paraId="72C10DF6" w14:textId="77777777" w:rsidR="008202F7" w:rsidRPr="00E66EC4" w:rsidRDefault="008202F7" w:rsidP="008202F7">
            <w:pPr>
              <w:pStyle w:val="Bulletlist"/>
            </w:pPr>
            <w:r w:rsidRPr="00E66EC4">
              <w:t>Ensures executive stakeholders in the organization are informed with regards to the key business benefits</w:t>
            </w:r>
          </w:p>
          <w:p w14:paraId="3B1BB37C" w14:textId="73417B25" w:rsidR="0013452E" w:rsidRPr="002F70FD" w:rsidRDefault="008202F7" w:rsidP="008202F7">
            <w:pPr>
              <w:pStyle w:val="Bulletlist"/>
              <w:rPr>
                <w:szCs w:val="18"/>
                <w:lang w:val="en-ZA"/>
              </w:rPr>
            </w:pPr>
            <w:r w:rsidRPr="00E66EC4">
              <w:t>Provides the vision and strategy at organization level</w:t>
            </w:r>
          </w:p>
        </w:tc>
      </w:tr>
      <w:tr w:rsidR="0013452E" w:rsidRPr="002F70FD" w14:paraId="3B1BB385" w14:textId="77777777" w:rsidTr="0013452E">
        <w:trPr>
          <w:trHeight w:val="432"/>
        </w:trPr>
        <w:tc>
          <w:tcPr>
            <w:tcW w:w="2157" w:type="dxa"/>
            <w:shd w:val="clear" w:color="auto" w:fill="auto"/>
          </w:tcPr>
          <w:p w14:paraId="3B1BB37E" w14:textId="77777777" w:rsidR="0013452E" w:rsidRPr="002F70FD" w:rsidRDefault="0013452E" w:rsidP="0013452E">
            <w:pPr>
              <w:pStyle w:val="TableText"/>
              <w:rPr>
                <w:szCs w:val="18"/>
                <w:lang w:val="en-ZA"/>
              </w:rPr>
            </w:pPr>
            <w:r w:rsidRPr="002F70FD">
              <w:rPr>
                <w:szCs w:val="18"/>
                <w:lang w:val="en-ZA"/>
              </w:rPr>
              <w:t>Project manager</w:t>
            </w:r>
          </w:p>
        </w:tc>
        <w:tc>
          <w:tcPr>
            <w:tcW w:w="7200" w:type="dxa"/>
            <w:shd w:val="clear" w:color="auto" w:fill="FFFFFF" w:themeFill="background1"/>
          </w:tcPr>
          <w:p w14:paraId="098AAF50" w14:textId="77777777" w:rsidR="003F25C8" w:rsidRPr="00E66EC4" w:rsidRDefault="003F25C8" w:rsidP="00670E06">
            <w:pPr>
              <w:pStyle w:val="Bulletlist"/>
            </w:pPr>
            <w:r w:rsidRPr="00E66EC4">
              <w:t xml:space="preserve">Makes key project decisions, assists in escalating unresolved issues to the Executive Steering Committee, and clears project roadblocks </w:t>
            </w:r>
          </w:p>
          <w:p w14:paraId="68C6105C" w14:textId="77777777" w:rsidR="0013452E" w:rsidRPr="00670E06" w:rsidRDefault="003F25C8" w:rsidP="00670E06">
            <w:pPr>
              <w:pStyle w:val="Bulletlist"/>
              <w:rPr>
                <w:lang w:val="en-ZA"/>
              </w:rPr>
            </w:pPr>
            <w:r w:rsidRPr="00E66EC4">
              <w:t>Responsible of supporting Project Manager.</w:t>
            </w:r>
          </w:p>
          <w:p w14:paraId="78BD329F" w14:textId="77777777" w:rsidR="00670E06" w:rsidRPr="00E66EC4" w:rsidRDefault="00670E06" w:rsidP="00670E06">
            <w:pPr>
              <w:pStyle w:val="Bulletlist"/>
            </w:pPr>
            <w:r w:rsidRPr="00E66EC4">
              <w:t xml:space="preserve">Primary point of contact for Microsoft and </w:t>
            </w:r>
            <w:r>
              <w:t xml:space="preserve">TER Partner/s </w:t>
            </w:r>
            <w:r w:rsidRPr="00E66EC4">
              <w:t>Hypercare teams</w:t>
            </w:r>
          </w:p>
          <w:p w14:paraId="0D4C0828" w14:textId="77777777" w:rsidR="00670E06" w:rsidRPr="00E66EC4" w:rsidRDefault="00670E06" w:rsidP="00670E06">
            <w:pPr>
              <w:pStyle w:val="Bulletlist"/>
            </w:pPr>
            <w:r w:rsidRPr="00E66EC4">
              <w:t>Responsible for managing and coordinating this phase of the project</w:t>
            </w:r>
          </w:p>
          <w:p w14:paraId="3B1BB384" w14:textId="38E1ACE4" w:rsidR="00670E06" w:rsidRPr="002F70FD" w:rsidRDefault="00670E06" w:rsidP="00670E06">
            <w:pPr>
              <w:pStyle w:val="Bulletlist"/>
              <w:rPr>
                <w:lang w:val="en-ZA"/>
              </w:rPr>
            </w:pPr>
            <w:r w:rsidRPr="00E66EC4">
              <w:t>Responsible for customer resource allocation, risk management, project priorities, and communication to executive management</w:t>
            </w:r>
          </w:p>
        </w:tc>
      </w:tr>
      <w:tr w:rsidR="0013452E" w:rsidRPr="002F70FD" w14:paraId="3B1BB38A" w14:textId="77777777" w:rsidTr="0013452E">
        <w:trPr>
          <w:trHeight w:val="432"/>
        </w:trPr>
        <w:tc>
          <w:tcPr>
            <w:tcW w:w="2157" w:type="dxa"/>
            <w:shd w:val="clear" w:color="auto" w:fill="auto"/>
          </w:tcPr>
          <w:p w14:paraId="3B1BB386" w14:textId="6D539A5E" w:rsidR="0013452E" w:rsidRPr="002F70FD" w:rsidRDefault="002306BE" w:rsidP="0013452E">
            <w:pPr>
              <w:pStyle w:val="TableText"/>
              <w:rPr>
                <w:szCs w:val="18"/>
                <w:lang w:val="en-ZA"/>
              </w:rPr>
            </w:pPr>
            <w:r w:rsidRPr="002306BE">
              <w:rPr>
                <w:szCs w:val="18"/>
                <w:lang w:val="en-ZA"/>
              </w:rPr>
              <w:t>Customer Support and Operations Leads</w:t>
            </w:r>
          </w:p>
        </w:tc>
        <w:tc>
          <w:tcPr>
            <w:tcW w:w="7200" w:type="dxa"/>
            <w:shd w:val="clear" w:color="auto" w:fill="FFFFFF" w:themeFill="background1"/>
          </w:tcPr>
          <w:p w14:paraId="5ED2E672" w14:textId="77777777" w:rsidR="003E4426" w:rsidRPr="00E66EC4" w:rsidRDefault="003E4426" w:rsidP="003E4426">
            <w:pPr>
              <w:pStyle w:val="Bulletlist"/>
            </w:pPr>
            <w:r w:rsidRPr="00E66EC4">
              <w:t xml:space="preserve">Primary point of contact for Microsoft and </w:t>
            </w:r>
            <w:r>
              <w:t xml:space="preserve">TER Partner/s </w:t>
            </w:r>
            <w:r w:rsidRPr="00E66EC4">
              <w:t>Hypercare teams</w:t>
            </w:r>
          </w:p>
          <w:p w14:paraId="5BDF80A0" w14:textId="77777777" w:rsidR="003E4426" w:rsidRPr="00E66EC4" w:rsidRDefault="003E4426" w:rsidP="003E4426">
            <w:pPr>
              <w:pStyle w:val="Bulletlist"/>
            </w:pPr>
            <w:r w:rsidRPr="00E66EC4">
              <w:t xml:space="preserve">Responsible for managing and coordinating knowledge reinforcement, issue management and resolution </w:t>
            </w:r>
          </w:p>
          <w:p w14:paraId="3B1BB389" w14:textId="28565278" w:rsidR="0013452E" w:rsidRPr="002F70FD" w:rsidRDefault="003E4426" w:rsidP="003E4426">
            <w:pPr>
              <w:pStyle w:val="Bulletlist"/>
              <w:rPr>
                <w:szCs w:val="18"/>
                <w:lang w:val="en-ZA"/>
              </w:rPr>
            </w:pPr>
            <w:r w:rsidRPr="00E66EC4">
              <w:t>Responsible for customer resource allocation, risk management, and communication to business unit leads</w:t>
            </w:r>
          </w:p>
        </w:tc>
      </w:tr>
      <w:tr w:rsidR="0013452E" w:rsidRPr="002F70FD" w14:paraId="3B1BB38E" w14:textId="77777777" w:rsidTr="0013452E">
        <w:trPr>
          <w:trHeight w:val="432"/>
        </w:trPr>
        <w:tc>
          <w:tcPr>
            <w:tcW w:w="2157" w:type="dxa"/>
            <w:shd w:val="clear" w:color="auto" w:fill="auto"/>
          </w:tcPr>
          <w:p w14:paraId="3B1BB38B" w14:textId="7FEB98DE" w:rsidR="0013452E" w:rsidRPr="002F70FD" w:rsidRDefault="00231472" w:rsidP="0013452E">
            <w:pPr>
              <w:pStyle w:val="TableText"/>
              <w:rPr>
                <w:szCs w:val="18"/>
                <w:lang w:val="en-ZA"/>
              </w:rPr>
            </w:pPr>
            <w:r w:rsidRPr="00231472">
              <w:rPr>
                <w:szCs w:val="18"/>
                <w:lang w:val="en-ZA"/>
              </w:rPr>
              <w:lastRenderedPageBreak/>
              <w:t>BU leads</w:t>
            </w:r>
          </w:p>
        </w:tc>
        <w:tc>
          <w:tcPr>
            <w:tcW w:w="7200" w:type="dxa"/>
            <w:shd w:val="clear" w:color="auto" w:fill="FFFFFF" w:themeFill="background1"/>
          </w:tcPr>
          <w:p w14:paraId="3B1BB38D" w14:textId="6C3F4C2A" w:rsidR="0013452E" w:rsidRPr="002F70FD" w:rsidRDefault="004F12D6" w:rsidP="004F12D6">
            <w:pPr>
              <w:pStyle w:val="TableBullet1"/>
              <w:rPr>
                <w:szCs w:val="18"/>
                <w:lang w:val="en-ZA"/>
              </w:rPr>
            </w:pPr>
            <w:r w:rsidRPr="004F12D6">
              <w:rPr>
                <w:lang w:val="en-ZA"/>
              </w:rPr>
              <w:t>Members of the customer organization who lead business units that are directly or indirectly affected by the change</w:t>
            </w:r>
          </w:p>
        </w:tc>
      </w:tr>
    </w:tbl>
    <w:p w14:paraId="3B1BB38F" w14:textId="77777777" w:rsidR="00C84DD9" w:rsidRPr="002F70FD" w:rsidRDefault="0013452E" w:rsidP="0013452E">
      <w:pPr>
        <w:pStyle w:val="Heading4"/>
        <w:rPr>
          <w:lang w:val="en-ZA"/>
        </w:rPr>
      </w:pPr>
      <w:r w:rsidRPr="002F70FD">
        <w:rPr>
          <w:lang w:val="en-ZA"/>
        </w:rPr>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rsidRPr="002F70FD" w14:paraId="3B1BB392" w14:textId="77777777" w:rsidTr="008C6736">
        <w:trPr>
          <w:trHeight w:val="360"/>
          <w:tblHeader/>
        </w:trPr>
        <w:tc>
          <w:tcPr>
            <w:tcW w:w="2174" w:type="dxa"/>
            <w:shd w:val="clear" w:color="auto" w:fill="008272"/>
            <w:vAlign w:val="center"/>
          </w:tcPr>
          <w:p w14:paraId="3B1BB390" w14:textId="77777777" w:rsidR="0013452E" w:rsidRPr="002F70FD" w:rsidRDefault="0013452E" w:rsidP="00031658">
            <w:pPr>
              <w:pStyle w:val="Table-Header"/>
              <w:rPr>
                <w:lang w:val="en-ZA"/>
              </w:rPr>
            </w:pPr>
            <w:r w:rsidRPr="002F70FD">
              <w:rPr>
                <w:lang w:val="en-ZA"/>
              </w:rPr>
              <w:t>Role</w:t>
            </w:r>
          </w:p>
        </w:tc>
        <w:tc>
          <w:tcPr>
            <w:tcW w:w="7186" w:type="dxa"/>
            <w:gridSpan w:val="2"/>
            <w:shd w:val="clear" w:color="auto" w:fill="008272"/>
            <w:vAlign w:val="center"/>
          </w:tcPr>
          <w:p w14:paraId="3B1BB391" w14:textId="77777777" w:rsidR="0013452E" w:rsidRPr="002F70FD" w:rsidRDefault="0013452E" w:rsidP="00031658">
            <w:pPr>
              <w:pStyle w:val="Table-Header"/>
              <w:rPr>
                <w:lang w:val="en-ZA"/>
              </w:rPr>
            </w:pPr>
            <w:r w:rsidRPr="002F70FD">
              <w:rPr>
                <w:lang w:val="en-ZA"/>
              </w:rPr>
              <w:t>Responsibilities</w:t>
            </w:r>
          </w:p>
        </w:tc>
      </w:tr>
      <w:tr w:rsidR="0013452E" w:rsidRPr="002F70FD" w14:paraId="3B1BB396" w14:textId="77777777" w:rsidTr="0013452E">
        <w:trPr>
          <w:gridAfter w:val="1"/>
          <w:wAfter w:w="23" w:type="dxa"/>
          <w:trHeight w:val="441"/>
        </w:trPr>
        <w:tc>
          <w:tcPr>
            <w:tcW w:w="2174" w:type="dxa"/>
            <w:shd w:val="clear" w:color="auto" w:fill="auto"/>
            <w:vAlign w:val="center"/>
          </w:tcPr>
          <w:p w14:paraId="3B1BB393" w14:textId="77777777" w:rsidR="0013452E" w:rsidRPr="002F70FD" w:rsidRDefault="0013452E" w:rsidP="0013452E">
            <w:pPr>
              <w:pStyle w:val="TableText"/>
              <w:rPr>
                <w:lang w:val="en-ZA"/>
              </w:rPr>
            </w:pPr>
            <w:r w:rsidRPr="002F70FD">
              <w:rPr>
                <w:lang w:val="en-ZA"/>
              </w:rPr>
              <w:t>Delivery manager</w:t>
            </w:r>
          </w:p>
        </w:tc>
        <w:tc>
          <w:tcPr>
            <w:tcW w:w="7163" w:type="dxa"/>
            <w:shd w:val="clear" w:color="auto" w:fill="FFFFFF" w:themeFill="background1"/>
            <w:vAlign w:val="center"/>
          </w:tcPr>
          <w:p w14:paraId="3B1BB395" w14:textId="77777777" w:rsidR="0013452E" w:rsidRPr="002F70FD" w:rsidRDefault="0013452E" w:rsidP="0013452E">
            <w:pPr>
              <w:pStyle w:val="TableBullet1"/>
              <w:rPr>
                <w:lang w:val="en-ZA"/>
              </w:rPr>
            </w:pPr>
            <w:r w:rsidRPr="002F70FD">
              <w:rPr>
                <w:lang w:val="en-ZA"/>
              </w:rPr>
              <w:t>Serve as a single point of contact for escalations, billing issues, personnel matters, and contract extensions.</w:t>
            </w:r>
          </w:p>
        </w:tc>
      </w:tr>
      <w:tr w:rsidR="00D11C49" w:rsidRPr="002F70FD" w14:paraId="1CF04BB4" w14:textId="77777777" w:rsidTr="0013452E">
        <w:trPr>
          <w:gridAfter w:val="1"/>
          <w:wAfter w:w="23" w:type="dxa"/>
          <w:trHeight w:val="441"/>
        </w:trPr>
        <w:tc>
          <w:tcPr>
            <w:tcW w:w="2174" w:type="dxa"/>
            <w:shd w:val="clear" w:color="auto" w:fill="auto"/>
            <w:vAlign w:val="center"/>
          </w:tcPr>
          <w:p w14:paraId="50C9BE06" w14:textId="34B18106" w:rsidR="00D11C49" w:rsidRPr="002F70FD" w:rsidRDefault="00D11C49" w:rsidP="0013452E">
            <w:pPr>
              <w:pStyle w:val="TableText"/>
              <w:rPr>
                <w:lang w:val="en-ZA"/>
              </w:rPr>
            </w:pPr>
            <w:r>
              <w:rPr>
                <w:lang w:val="en-ZA"/>
              </w:rPr>
              <w:t>Project manager</w:t>
            </w:r>
          </w:p>
        </w:tc>
        <w:tc>
          <w:tcPr>
            <w:tcW w:w="7163" w:type="dxa"/>
            <w:shd w:val="clear" w:color="auto" w:fill="FFFFFF" w:themeFill="background1"/>
            <w:vAlign w:val="center"/>
          </w:tcPr>
          <w:p w14:paraId="2F7E474C" w14:textId="77777777" w:rsidR="007776D9" w:rsidRPr="002F70FD" w:rsidRDefault="007776D9" w:rsidP="007776D9">
            <w:pPr>
              <w:pStyle w:val="TableBullet1"/>
              <w:rPr>
                <w:lang w:val="en-ZA"/>
              </w:rPr>
            </w:pPr>
            <w:r w:rsidRPr="002F70FD">
              <w:rPr>
                <w:lang w:val="en-ZA"/>
              </w:rPr>
              <w:t>Manage and coordinate the overall Microsoft</w:t>
            </w:r>
            <w:r>
              <w:rPr>
                <w:lang w:val="en-ZA"/>
              </w:rPr>
              <w:t xml:space="preserve"> Hypercare</w:t>
            </w:r>
            <w:r w:rsidRPr="002F70FD">
              <w:rPr>
                <w:lang w:val="en-ZA"/>
              </w:rPr>
              <w:t xml:space="preserve"> project.</w:t>
            </w:r>
          </w:p>
          <w:p w14:paraId="668BD17B" w14:textId="694A429E" w:rsidR="00D11C49" w:rsidRPr="002F70FD" w:rsidRDefault="007776D9" w:rsidP="0013452E">
            <w:pPr>
              <w:pStyle w:val="TableBullet1"/>
              <w:rPr>
                <w:lang w:val="en-ZA"/>
              </w:rPr>
            </w:pPr>
            <w:r>
              <w:rPr>
                <w:lang w:val="en-ZA"/>
              </w:rPr>
              <w:t xml:space="preserve">Co-ordinate </w:t>
            </w:r>
            <w:r w:rsidR="00AB35E8">
              <w:rPr>
                <w:lang w:val="en-ZA"/>
              </w:rPr>
              <w:t>activities with Hypercare team</w:t>
            </w:r>
          </w:p>
        </w:tc>
      </w:tr>
      <w:tr w:rsidR="009D2C35" w:rsidRPr="002F70FD" w14:paraId="6E31EFAA" w14:textId="77777777" w:rsidTr="00FE3FA6">
        <w:trPr>
          <w:gridAfter w:val="1"/>
          <w:wAfter w:w="23" w:type="dxa"/>
          <w:trHeight w:val="441"/>
        </w:trPr>
        <w:tc>
          <w:tcPr>
            <w:tcW w:w="2174" w:type="dxa"/>
            <w:shd w:val="clear" w:color="auto" w:fill="auto"/>
          </w:tcPr>
          <w:p w14:paraId="2D0DFF75" w14:textId="02ACE791" w:rsidR="009D2C35" w:rsidRPr="009D2C35" w:rsidRDefault="009D2C35" w:rsidP="009D2C35">
            <w:pPr>
              <w:rPr>
                <w:rFonts w:cs="Segoe UI"/>
                <w:szCs w:val="20"/>
              </w:rPr>
            </w:pPr>
            <w:r w:rsidRPr="009D2C35">
              <w:rPr>
                <w:rFonts w:cs="Segoe UI"/>
                <w:szCs w:val="20"/>
              </w:rPr>
              <w:t>Hypercare Team Lead &amp; Support Resource</w:t>
            </w:r>
          </w:p>
        </w:tc>
        <w:tc>
          <w:tcPr>
            <w:tcW w:w="7163" w:type="dxa"/>
            <w:shd w:val="clear" w:color="auto" w:fill="FFFFFF" w:themeFill="background1"/>
          </w:tcPr>
          <w:p w14:paraId="38097296" w14:textId="77777777" w:rsidR="009D2C35" w:rsidRPr="009D2C35" w:rsidRDefault="009D2C35" w:rsidP="009D2C35">
            <w:pPr>
              <w:pStyle w:val="TableBullet1"/>
            </w:pPr>
            <w:r w:rsidRPr="009D2C35">
              <w:t>Subject Matter Experts for technologies</w:t>
            </w:r>
          </w:p>
          <w:p w14:paraId="0D0E0712" w14:textId="0F920A05" w:rsidR="009D2C35" w:rsidRPr="009D2C35" w:rsidRDefault="009D2C35" w:rsidP="009D2C35">
            <w:pPr>
              <w:pStyle w:val="TableBullet1"/>
              <w:rPr>
                <w:lang w:val="en-ZA"/>
              </w:rPr>
            </w:pPr>
            <w:r w:rsidRPr="009D2C35">
              <w:t>Supports outcome activities as per plan and scope of work</w:t>
            </w:r>
          </w:p>
        </w:tc>
      </w:tr>
      <w:tr w:rsidR="00C67F92" w:rsidRPr="002F70FD" w14:paraId="3B1BB39F" w14:textId="77777777" w:rsidTr="00FE3FA6">
        <w:trPr>
          <w:gridAfter w:val="1"/>
          <w:wAfter w:w="23" w:type="dxa"/>
          <w:trHeight w:val="441"/>
        </w:trPr>
        <w:tc>
          <w:tcPr>
            <w:tcW w:w="2174" w:type="dxa"/>
            <w:shd w:val="clear" w:color="auto" w:fill="auto"/>
          </w:tcPr>
          <w:p w14:paraId="3B1BB39C" w14:textId="44D9A6AA" w:rsidR="00C67F92" w:rsidRPr="00C67F92" w:rsidRDefault="00C67F92" w:rsidP="00C67F92">
            <w:pPr>
              <w:rPr>
                <w:szCs w:val="20"/>
              </w:rPr>
            </w:pPr>
            <w:r w:rsidRPr="00C67F92">
              <w:rPr>
                <w:szCs w:val="20"/>
              </w:rPr>
              <w:t>Level 3 Senior Consultant</w:t>
            </w:r>
          </w:p>
        </w:tc>
        <w:tc>
          <w:tcPr>
            <w:tcW w:w="7163" w:type="dxa"/>
            <w:shd w:val="clear" w:color="auto" w:fill="FFFFFF" w:themeFill="background1"/>
          </w:tcPr>
          <w:p w14:paraId="3B1BB39E" w14:textId="241A4BD5" w:rsidR="00C67F92" w:rsidRPr="00C67F92" w:rsidRDefault="00C67F92" w:rsidP="00C67F92">
            <w:pPr>
              <w:pStyle w:val="TableBullet1"/>
              <w:rPr>
                <w:lang w:val="en-ZA"/>
              </w:rPr>
            </w:pPr>
            <w:r w:rsidRPr="00C67F92">
              <w:t>Handle and assist with technical resolution of escalations from Hypercare Team</w:t>
            </w:r>
          </w:p>
        </w:tc>
      </w:tr>
    </w:tbl>
    <w:p w14:paraId="3B1BB3A0" w14:textId="19530C22" w:rsidR="0089268B" w:rsidRPr="002F70FD" w:rsidRDefault="0089268B" w:rsidP="0089268B">
      <w:pPr>
        <w:pStyle w:val="Heading1"/>
        <w:rPr>
          <w:lang w:val="en-ZA"/>
        </w:rPr>
      </w:pPr>
      <w:bookmarkStart w:id="47" w:name="_Toc24894669"/>
      <w:bookmarkStart w:id="48" w:name="_Toc476167714"/>
      <w:bookmarkStart w:id="49" w:name="_Toc476168052"/>
      <w:r w:rsidRPr="002F70FD">
        <w:rPr>
          <w:lang w:val="en-ZA"/>
        </w:rPr>
        <w:t>Customer responsibilities</w:t>
      </w:r>
      <w:bookmarkEnd w:id="47"/>
      <w:r w:rsidRPr="002F70FD">
        <w:rPr>
          <w:lang w:val="en-ZA"/>
        </w:rPr>
        <w:t xml:space="preserve"> </w:t>
      </w:r>
      <w:bookmarkEnd w:id="48"/>
      <w:bookmarkEnd w:id="49"/>
    </w:p>
    <w:p w14:paraId="4030F3F5" w14:textId="77777777" w:rsidR="008945C5" w:rsidRPr="00A367A0" w:rsidRDefault="008945C5" w:rsidP="008945C5">
      <w:pPr>
        <w:rPr>
          <w:rFonts w:cs="Segoe UI"/>
        </w:rPr>
      </w:pPr>
      <w:bookmarkStart w:id="50" w:name="_Toc476167716"/>
      <w:bookmarkStart w:id="51" w:name="_Toc476168054"/>
      <w:r w:rsidRPr="00A367A0">
        <w:rPr>
          <w:rFonts w:cs="Segoe UI"/>
        </w:rPr>
        <w:t>Delivery of the Hypercare Phase scope of work depends upon, among other things, the following:</w:t>
      </w:r>
    </w:p>
    <w:p w14:paraId="310BDB97" w14:textId="77777777" w:rsidR="008945C5" w:rsidRPr="00A367A0" w:rsidRDefault="008945C5" w:rsidP="008945C5">
      <w:pPr>
        <w:pStyle w:val="Bulletlist"/>
      </w:pPr>
      <w:proofErr w:type="spellStart"/>
      <w:r w:rsidRPr="00A367A0">
        <w:t>eGov</w:t>
      </w:r>
      <w:proofErr w:type="spellEnd"/>
      <w:r w:rsidRPr="00A367A0">
        <w:t xml:space="preserve"> Support Team and </w:t>
      </w:r>
      <w:proofErr w:type="spellStart"/>
      <w:r w:rsidRPr="00A367A0">
        <w:t>eGov</w:t>
      </w:r>
      <w:proofErr w:type="spellEnd"/>
      <w:r w:rsidRPr="00A367A0">
        <w:t xml:space="preserve"> management team involvement in areas included in the scope of the Hypercare phase</w:t>
      </w:r>
    </w:p>
    <w:p w14:paraId="2EF404AD" w14:textId="77777777" w:rsidR="008945C5" w:rsidRPr="00A367A0" w:rsidRDefault="008945C5" w:rsidP="008945C5">
      <w:pPr>
        <w:pStyle w:val="Bulletlist"/>
      </w:pPr>
      <w:r w:rsidRPr="00A367A0">
        <w:t xml:space="preserve">Ability of </w:t>
      </w:r>
      <w:proofErr w:type="spellStart"/>
      <w:r w:rsidRPr="00A367A0">
        <w:t>eGov</w:t>
      </w:r>
      <w:proofErr w:type="spellEnd"/>
      <w:r w:rsidRPr="00A367A0">
        <w:t xml:space="preserve"> Support and Operations team to provide accurate, complete timely information as needed during the Hypercare phase</w:t>
      </w:r>
    </w:p>
    <w:p w14:paraId="62642C00" w14:textId="77777777" w:rsidR="008945C5" w:rsidRPr="00A367A0" w:rsidRDefault="008945C5" w:rsidP="008945C5">
      <w:pPr>
        <w:pStyle w:val="Bulletlist"/>
      </w:pPr>
      <w:r w:rsidRPr="00A367A0">
        <w:t>Allocation of Hypercare Support Team to Incident logging system</w:t>
      </w:r>
    </w:p>
    <w:p w14:paraId="37F8DCF5" w14:textId="77777777" w:rsidR="008945C5" w:rsidRPr="00A367A0" w:rsidRDefault="008945C5" w:rsidP="008945C5">
      <w:pPr>
        <w:pStyle w:val="Bulletlist"/>
      </w:pPr>
      <w:r w:rsidRPr="00A367A0">
        <w:t xml:space="preserve">Overview and walkthrough to be provided to Hypercare support team of the Service Request / Incident logging system by </w:t>
      </w:r>
      <w:proofErr w:type="spellStart"/>
      <w:r w:rsidRPr="00A367A0">
        <w:t>eGov</w:t>
      </w:r>
      <w:proofErr w:type="spellEnd"/>
      <w:r w:rsidRPr="00A367A0">
        <w:t xml:space="preserve"> Support Team</w:t>
      </w:r>
    </w:p>
    <w:p w14:paraId="61417E7D" w14:textId="77777777" w:rsidR="008945C5" w:rsidRPr="00A367A0" w:rsidRDefault="008945C5" w:rsidP="008945C5">
      <w:pPr>
        <w:pStyle w:val="Bulletlist"/>
      </w:pPr>
      <w:r w:rsidRPr="00A367A0">
        <w:t>Gradual improvement and timely assessment and resolution of service requests / incidents at L1 Support level</w:t>
      </w:r>
    </w:p>
    <w:p w14:paraId="289E794C" w14:textId="77777777" w:rsidR="008945C5" w:rsidRPr="00A367A0" w:rsidRDefault="008945C5" w:rsidP="008945C5">
      <w:pPr>
        <w:pStyle w:val="Bulletlist"/>
      </w:pPr>
      <w:r w:rsidRPr="00A367A0">
        <w:t xml:space="preserve">Gradual / Improved </w:t>
      </w:r>
      <w:proofErr w:type="spellStart"/>
      <w:r w:rsidRPr="00A367A0">
        <w:t>eGov</w:t>
      </w:r>
      <w:proofErr w:type="spellEnd"/>
      <w:r w:rsidRPr="00A367A0">
        <w:t xml:space="preserve"> support of deployed system from during Hypercare phase </w:t>
      </w:r>
    </w:p>
    <w:p w14:paraId="62A0240F" w14:textId="0568F61C" w:rsidR="008945C5" w:rsidRDefault="008945C5" w:rsidP="008945C5">
      <w:pPr>
        <w:pStyle w:val="Bulletlist"/>
      </w:pPr>
      <w:r w:rsidRPr="00A367A0">
        <w:t>’s completion of site readiness &amp; pre-requisite activities prior to Hypercare Phase commencement.</w:t>
      </w:r>
    </w:p>
    <w:p w14:paraId="09ED15CA" w14:textId="26B64EBD" w:rsidR="00AB039C" w:rsidRPr="00AB039C" w:rsidRDefault="00AB039C" w:rsidP="00AB039C">
      <w:pPr>
        <w:pStyle w:val="Bulletlist"/>
        <w:rPr>
          <w:lang w:val="en-ZA"/>
        </w:rPr>
      </w:pPr>
      <w:r>
        <w:rPr>
          <w:lang w:val="en-ZA"/>
        </w:rPr>
        <w:t xml:space="preserve">It is the responsibility </w:t>
      </w:r>
      <w:proofErr w:type="gramStart"/>
      <w:r>
        <w:rPr>
          <w:lang w:val="en-ZA"/>
        </w:rPr>
        <w:t>of  to</w:t>
      </w:r>
      <w:proofErr w:type="gramEnd"/>
      <w:r>
        <w:rPr>
          <w:lang w:val="en-ZA"/>
        </w:rPr>
        <w:t xml:space="preserve"> administer the tenant</w:t>
      </w:r>
    </w:p>
    <w:p w14:paraId="34945048" w14:textId="77777777" w:rsidR="008945C5" w:rsidRPr="00A367A0" w:rsidRDefault="008945C5" w:rsidP="008945C5">
      <w:pPr>
        <w:rPr>
          <w:rFonts w:cs="Segoe UI"/>
        </w:rPr>
      </w:pPr>
      <w:r w:rsidRPr="00A367A0">
        <w:rPr>
          <w:rFonts w:cs="Segoe UI"/>
        </w:rPr>
        <w:t>In addition to any Customer activities identified elsewhere in this SOW, Customer will perform or provide the following:</w:t>
      </w:r>
    </w:p>
    <w:p w14:paraId="38D8A529" w14:textId="48393736" w:rsidR="008945C5" w:rsidRPr="00A367A0" w:rsidRDefault="008945C5" w:rsidP="0020225A">
      <w:pPr>
        <w:pStyle w:val="Bulletlist"/>
      </w:pPr>
      <w:r w:rsidRPr="00A367A0">
        <w:t xml:space="preserve">Work with the Hypercare Support team lead &amp; </w:t>
      </w:r>
      <w:r w:rsidR="008A39F8">
        <w:t>Account Delivery Manager</w:t>
      </w:r>
      <w:r w:rsidRPr="00A367A0">
        <w:t xml:space="preserve"> to manage any/all resourcing issues and/or escalations</w:t>
      </w:r>
    </w:p>
    <w:p w14:paraId="6A44E8EA" w14:textId="77777777" w:rsidR="008945C5" w:rsidRPr="00A367A0" w:rsidRDefault="008945C5" w:rsidP="0020225A">
      <w:pPr>
        <w:pStyle w:val="Bulletlist"/>
      </w:pPr>
      <w:r w:rsidRPr="00A367A0">
        <w:t xml:space="preserve">Make key day-to-day decisions and provide a single point of contact in the </w:t>
      </w:r>
      <w:proofErr w:type="spellStart"/>
      <w:r w:rsidRPr="00A367A0">
        <w:t>eGov</w:t>
      </w:r>
      <w:proofErr w:type="spellEnd"/>
      <w:r w:rsidRPr="00A367A0">
        <w:t xml:space="preserve"> Support Team</w:t>
      </w:r>
    </w:p>
    <w:p w14:paraId="70A83CBC" w14:textId="3AF775D6" w:rsidR="008945C5" w:rsidRPr="00A367A0" w:rsidRDefault="008945C5" w:rsidP="0020225A">
      <w:pPr>
        <w:pStyle w:val="Bulletlist"/>
      </w:pPr>
      <w:r w:rsidRPr="00A367A0">
        <w:t xml:space="preserve">Provide personnel who are knowledgeable about </w:t>
      </w:r>
      <w:proofErr w:type="gramStart"/>
      <w:r w:rsidRPr="00A367A0">
        <w:t xml:space="preserve">the </w:t>
      </w:r>
      <w:r w:rsidR="005855BC">
        <w:t xml:space="preserve"> </w:t>
      </w:r>
      <w:r w:rsidRPr="00A367A0">
        <w:t>environments</w:t>
      </w:r>
      <w:proofErr w:type="gramEnd"/>
    </w:p>
    <w:p w14:paraId="012EEF70" w14:textId="77777777" w:rsidR="008945C5" w:rsidRPr="00A367A0" w:rsidRDefault="008945C5" w:rsidP="0020225A">
      <w:pPr>
        <w:pStyle w:val="Bulletlist"/>
      </w:pPr>
      <w:r w:rsidRPr="00A367A0">
        <w:t>Provide business user representatives, where necessary, to ensure successful delivery &amp; completion of the Hypercare phase</w:t>
      </w:r>
    </w:p>
    <w:p w14:paraId="00A447F9" w14:textId="77777777" w:rsidR="008945C5" w:rsidRPr="00A367A0" w:rsidRDefault="008945C5" w:rsidP="0020225A">
      <w:pPr>
        <w:pStyle w:val="Bulletlist"/>
      </w:pPr>
      <w:r w:rsidRPr="00A367A0">
        <w:t xml:space="preserve">Provide access to all necessary Customer work sites, systems </w:t>
      </w:r>
      <w:proofErr w:type="gramStart"/>
      <w:r w:rsidRPr="00A367A0">
        <w:t>logon</w:t>
      </w:r>
      <w:proofErr w:type="gramEnd"/>
      <w:r w:rsidRPr="00A367A0">
        <w:t xml:space="preserve"> and passwords</w:t>
      </w:r>
    </w:p>
    <w:p w14:paraId="3969DC59" w14:textId="77777777" w:rsidR="008945C5" w:rsidRPr="00A367A0" w:rsidRDefault="008945C5" w:rsidP="0020225A">
      <w:pPr>
        <w:pStyle w:val="Bulletlist"/>
      </w:pPr>
      <w:r w:rsidRPr="00A367A0">
        <w:lastRenderedPageBreak/>
        <w:t>Provide access to other materials and resources as needed, and as advised in advance</w:t>
      </w:r>
    </w:p>
    <w:p w14:paraId="2D370CD9" w14:textId="77777777" w:rsidR="008945C5" w:rsidRDefault="008945C5" w:rsidP="0020225A">
      <w:pPr>
        <w:pStyle w:val="Bulletlist"/>
      </w:pPr>
      <w:r w:rsidRPr="00A367A0">
        <w:t>Provide access with proper licenses to all necessary tools and third-party products required for the Hypercare Support Team to complete its assigned tasks</w:t>
      </w:r>
    </w:p>
    <w:p w14:paraId="0F4FF489" w14:textId="77777777" w:rsidR="00D55450" w:rsidRDefault="00D55450" w:rsidP="00D55450">
      <w:pPr>
        <w:pStyle w:val="Bulletlist"/>
        <w:numPr>
          <w:ilvl w:val="0"/>
          <w:numId w:val="0"/>
        </w:numPr>
        <w:ind w:left="360" w:hanging="360"/>
      </w:pPr>
    </w:p>
    <w:p w14:paraId="7C42F4BB" w14:textId="77777777" w:rsidR="00D55450" w:rsidRDefault="00D55450" w:rsidP="00D55450">
      <w:pPr>
        <w:pStyle w:val="Bulletlist"/>
        <w:numPr>
          <w:ilvl w:val="0"/>
          <w:numId w:val="0"/>
        </w:numPr>
        <w:ind w:left="360" w:hanging="360"/>
      </w:pPr>
    </w:p>
    <w:p w14:paraId="4C279519" w14:textId="51AD8E5F" w:rsidR="00D55450" w:rsidRPr="00A367A0" w:rsidRDefault="00D55450" w:rsidP="00D55450">
      <w:pPr>
        <w:pStyle w:val="Bulletlist"/>
        <w:numPr>
          <w:ilvl w:val="0"/>
          <w:numId w:val="0"/>
        </w:numPr>
        <w:ind w:left="360" w:hanging="360"/>
      </w:pPr>
    </w:p>
    <w:bookmarkEnd w:id="50"/>
    <w:bookmarkEnd w:id="51"/>
    <w:p w14:paraId="6A55D7C6" w14:textId="77777777" w:rsidR="004238EC" w:rsidRPr="004238EC" w:rsidRDefault="004238EC" w:rsidP="004238EC">
      <w:pPr>
        <w:rPr>
          <w:lang w:val="en-ZA"/>
        </w:rPr>
      </w:pPr>
    </w:p>
    <w:sectPr w:rsidR="004238EC" w:rsidRPr="004238EC" w:rsidSect="00812548">
      <w:footerReference w:type="default" r:id="rId9"/>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CCFF1" w14:textId="77777777" w:rsidR="00795B67" w:rsidRDefault="00795B67" w:rsidP="000D404A">
      <w:pPr>
        <w:spacing w:after="0" w:line="240" w:lineRule="auto"/>
      </w:pPr>
      <w:r>
        <w:separator/>
      </w:r>
    </w:p>
    <w:p w14:paraId="07A24585" w14:textId="77777777" w:rsidR="00795B67" w:rsidRDefault="00795B67"/>
  </w:endnote>
  <w:endnote w:type="continuationSeparator" w:id="0">
    <w:p w14:paraId="11A165D0" w14:textId="77777777" w:rsidR="00795B67" w:rsidRDefault="00795B67" w:rsidP="000D404A">
      <w:pPr>
        <w:spacing w:after="0" w:line="240" w:lineRule="auto"/>
      </w:pPr>
      <w:r>
        <w:continuationSeparator/>
      </w:r>
    </w:p>
    <w:p w14:paraId="77CB9907" w14:textId="77777777" w:rsidR="00795B67" w:rsidRDefault="00795B67"/>
  </w:endnote>
  <w:endnote w:type="continuationNotice" w:id="1">
    <w:p w14:paraId="0877A9C2" w14:textId="77777777" w:rsidR="00795B67" w:rsidRDefault="00795B67">
      <w:pPr>
        <w:spacing w:after="0" w:line="240" w:lineRule="auto"/>
      </w:pPr>
    </w:p>
    <w:p w14:paraId="71B833DE" w14:textId="77777777" w:rsidR="00795B67" w:rsidRDefault="00795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Calibr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Segoe UI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BB3E8" w14:textId="2662EE06" w:rsidR="00D61DE6" w:rsidRPr="00D62FEA" w:rsidRDefault="00D61DE6" w:rsidP="00D62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BB3ED" w14:textId="77777777" w:rsidR="00D61DE6" w:rsidRPr="00D62FEA" w:rsidRDefault="00D61DE6" w:rsidP="00D6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46B3D" w14:textId="77777777" w:rsidR="00795B67" w:rsidRDefault="00795B67" w:rsidP="000D404A">
      <w:pPr>
        <w:spacing w:after="0" w:line="240" w:lineRule="auto"/>
      </w:pPr>
      <w:r>
        <w:separator/>
      </w:r>
    </w:p>
    <w:p w14:paraId="6DD2CEE9" w14:textId="77777777" w:rsidR="00795B67" w:rsidRDefault="00795B67"/>
  </w:footnote>
  <w:footnote w:type="continuationSeparator" w:id="0">
    <w:p w14:paraId="24D74E95" w14:textId="77777777" w:rsidR="00795B67" w:rsidRDefault="00795B67" w:rsidP="000D404A">
      <w:pPr>
        <w:spacing w:after="0" w:line="240" w:lineRule="auto"/>
      </w:pPr>
      <w:r>
        <w:continuationSeparator/>
      </w:r>
    </w:p>
    <w:p w14:paraId="72EE6638" w14:textId="77777777" w:rsidR="00795B67" w:rsidRDefault="00795B67"/>
  </w:footnote>
  <w:footnote w:type="continuationNotice" w:id="1">
    <w:p w14:paraId="755E0C12" w14:textId="77777777" w:rsidR="00795B67" w:rsidRDefault="00795B67">
      <w:pPr>
        <w:spacing w:after="0" w:line="240" w:lineRule="auto"/>
      </w:pPr>
    </w:p>
    <w:p w14:paraId="34020ED1" w14:textId="77777777" w:rsidR="00795B67" w:rsidRDefault="00795B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A6D1DFC"/>
    <w:multiLevelType w:val="hybridMultilevel"/>
    <w:tmpl w:val="9EC2E9E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1CB62B9E"/>
    <w:multiLevelType w:val="hybridMultilevel"/>
    <w:tmpl w:val="A3A43D1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5F6FB7"/>
    <w:multiLevelType w:val="hybridMultilevel"/>
    <w:tmpl w:val="3D6A7438"/>
    <w:lvl w:ilvl="0" w:tplc="2C090005">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22D03D4E"/>
    <w:multiLevelType w:val="hybridMultilevel"/>
    <w:tmpl w:val="21FE6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15:restartNumberingAfterBreak="0">
    <w:nsid w:val="38901CB9"/>
    <w:multiLevelType w:val="multilevel"/>
    <w:tmpl w:val="0409001F"/>
    <w:numStyleLink w:val="Style1"/>
  </w:abstractNum>
  <w:abstractNum w:abstractNumId="7" w15:restartNumberingAfterBreak="0">
    <w:nsid w:val="3B0D1D90"/>
    <w:multiLevelType w:val="hybridMultilevel"/>
    <w:tmpl w:val="BBD200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242417"/>
    <w:multiLevelType w:val="hybridMultilevel"/>
    <w:tmpl w:val="7390DBF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3FA27143"/>
    <w:multiLevelType w:val="hybridMultilevel"/>
    <w:tmpl w:val="DE2825C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DF2118"/>
    <w:multiLevelType w:val="hybridMultilevel"/>
    <w:tmpl w:val="7D1C2F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3" w15:restartNumberingAfterBreak="0">
    <w:nsid w:val="4E44454D"/>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530121"/>
    <w:multiLevelType w:val="multilevel"/>
    <w:tmpl w:val="1C09001F"/>
    <w:styleLink w:val="TableBullets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EC3E4B"/>
    <w:multiLevelType w:val="hybridMultilevel"/>
    <w:tmpl w:val="F516CE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5B594081"/>
    <w:multiLevelType w:val="hybridMultilevel"/>
    <w:tmpl w:val="C06EBCFA"/>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75916"/>
    <w:multiLevelType w:val="multilevel"/>
    <w:tmpl w:val="1C09001F"/>
    <w:numStyleLink w:val="TableBullets1"/>
  </w:abstractNum>
  <w:abstractNum w:abstractNumId="21" w15:restartNumberingAfterBreak="0">
    <w:nsid w:val="68444D78"/>
    <w:multiLevelType w:val="hybridMultilevel"/>
    <w:tmpl w:val="568CA67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2"/>
  </w:num>
  <w:num w:numId="2">
    <w:abstractNumId w:val="18"/>
  </w:num>
  <w:num w:numId="3">
    <w:abstractNumId w:val="6"/>
  </w:num>
  <w:num w:numId="4">
    <w:abstractNumId w:val="5"/>
  </w:num>
  <w:num w:numId="5">
    <w:abstractNumId w:val="2"/>
  </w:num>
  <w:num w:numId="6">
    <w:abstractNumId w:val="0"/>
  </w:num>
  <w:num w:numId="7">
    <w:abstractNumId w:val="16"/>
  </w:num>
  <w:num w:numId="8">
    <w:abstractNumId w:val="19"/>
  </w:num>
  <w:num w:numId="9">
    <w:abstractNumId w:val="4"/>
  </w:num>
  <w:num w:numId="10">
    <w:abstractNumId w:val="3"/>
  </w:num>
  <w:num w:numId="11">
    <w:abstractNumId w:val="8"/>
  </w:num>
  <w:num w:numId="12">
    <w:abstractNumId w:val="15"/>
  </w:num>
  <w:num w:numId="13">
    <w:abstractNumId w:val="1"/>
  </w:num>
  <w:num w:numId="14">
    <w:abstractNumId w:val="7"/>
  </w:num>
  <w:num w:numId="15">
    <w:abstractNumId w:val="21"/>
  </w:num>
  <w:num w:numId="16">
    <w:abstractNumId w:val="20"/>
  </w:num>
  <w:num w:numId="17">
    <w:abstractNumId w:val="14"/>
  </w:num>
  <w:num w:numId="18">
    <w:abstractNumId w:val="10"/>
  </w:num>
  <w:num w:numId="19">
    <w:abstractNumId w:val="17"/>
  </w:num>
  <w:num w:numId="20">
    <w:abstractNumId w:val="9"/>
  </w:num>
  <w:num w:numId="21">
    <w:abstractNumId w:val="13"/>
  </w:num>
  <w:num w:numId="2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0AC6"/>
    <w:rsid w:val="00001922"/>
    <w:rsid w:val="00001AA5"/>
    <w:rsid w:val="000044F5"/>
    <w:rsid w:val="000050BA"/>
    <w:rsid w:val="00006950"/>
    <w:rsid w:val="00007020"/>
    <w:rsid w:val="00007F08"/>
    <w:rsid w:val="00013ABD"/>
    <w:rsid w:val="00013C06"/>
    <w:rsid w:val="000149FA"/>
    <w:rsid w:val="00014BA3"/>
    <w:rsid w:val="000163EF"/>
    <w:rsid w:val="00016776"/>
    <w:rsid w:val="0001741F"/>
    <w:rsid w:val="00017EE6"/>
    <w:rsid w:val="00020A9D"/>
    <w:rsid w:val="00021CAB"/>
    <w:rsid w:val="000248C7"/>
    <w:rsid w:val="00024E87"/>
    <w:rsid w:val="000251D3"/>
    <w:rsid w:val="0002542C"/>
    <w:rsid w:val="00025617"/>
    <w:rsid w:val="00031658"/>
    <w:rsid w:val="0003395C"/>
    <w:rsid w:val="00034943"/>
    <w:rsid w:val="000352F9"/>
    <w:rsid w:val="00036CDA"/>
    <w:rsid w:val="000374A4"/>
    <w:rsid w:val="000417FD"/>
    <w:rsid w:val="00041BAB"/>
    <w:rsid w:val="00041DE1"/>
    <w:rsid w:val="00043018"/>
    <w:rsid w:val="00043803"/>
    <w:rsid w:val="0004420C"/>
    <w:rsid w:val="000468D5"/>
    <w:rsid w:val="00047EED"/>
    <w:rsid w:val="0005205F"/>
    <w:rsid w:val="00057271"/>
    <w:rsid w:val="00060281"/>
    <w:rsid w:val="000618C7"/>
    <w:rsid w:val="00062796"/>
    <w:rsid w:val="00062D61"/>
    <w:rsid w:val="000639A1"/>
    <w:rsid w:val="00064ED7"/>
    <w:rsid w:val="00067C64"/>
    <w:rsid w:val="00072506"/>
    <w:rsid w:val="000730ED"/>
    <w:rsid w:val="00073CDE"/>
    <w:rsid w:val="0007565A"/>
    <w:rsid w:val="000819CF"/>
    <w:rsid w:val="00081C60"/>
    <w:rsid w:val="000839DD"/>
    <w:rsid w:val="0008505C"/>
    <w:rsid w:val="0008641F"/>
    <w:rsid w:val="0008672F"/>
    <w:rsid w:val="00087713"/>
    <w:rsid w:val="0009058B"/>
    <w:rsid w:val="00092649"/>
    <w:rsid w:val="000926FA"/>
    <w:rsid w:val="00094884"/>
    <w:rsid w:val="000A3544"/>
    <w:rsid w:val="000A5694"/>
    <w:rsid w:val="000A6144"/>
    <w:rsid w:val="000A6BD9"/>
    <w:rsid w:val="000A79F4"/>
    <w:rsid w:val="000B25F2"/>
    <w:rsid w:val="000B3436"/>
    <w:rsid w:val="000B476E"/>
    <w:rsid w:val="000B5A2B"/>
    <w:rsid w:val="000B5C7F"/>
    <w:rsid w:val="000B62A5"/>
    <w:rsid w:val="000B73BF"/>
    <w:rsid w:val="000C1BB1"/>
    <w:rsid w:val="000C21C3"/>
    <w:rsid w:val="000C27BE"/>
    <w:rsid w:val="000C3FCD"/>
    <w:rsid w:val="000C4A75"/>
    <w:rsid w:val="000C591B"/>
    <w:rsid w:val="000D03E9"/>
    <w:rsid w:val="000D2F17"/>
    <w:rsid w:val="000D3AD5"/>
    <w:rsid w:val="000D404A"/>
    <w:rsid w:val="000D4BE4"/>
    <w:rsid w:val="000D4E93"/>
    <w:rsid w:val="000D761C"/>
    <w:rsid w:val="000E0521"/>
    <w:rsid w:val="000E06B0"/>
    <w:rsid w:val="000E21C9"/>
    <w:rsid w:val="000E68DC"/>
    <w:rsid w:val="000E68EB"/>
    <w:rsid w:val="000E73E3"/>
    <w:rsid w:val="000E7924"/>
    <w:rsid w:val="000F051E"/>
    <w:rsid w:val="000F164C"/>
    <w:rsid w:val="000F1748"/>
    <w:rsid w:val="000F1A67"/>
    <w:rsid w:val="000F1B24"/>
    <w:rsid w:val="000F230A"/>
    <w:rsid w:val="000F2688"/>
    <w:rsid w:val="000F38CE"/>
    <w:rsid w:val="000F5A4B"/>
    <w:rsid w:val="000F65DE"/>
    <w:rsid w:val="000F6B41"/>
    <w:rsid w:val="00100A82"/>
    <w:rsid w:val="00100FCE"/>
    <w:rsid w:val="00104009"/>
    <w:rsid w:val="00104AB3"/>
    <w:rsid w:val="00104E74"/>
    <w:rsid w:val="00104F35"/>
    <w:rsid w:val="00107A71"/>
    <w:rsid w:val="00107E85"/>
    <w:rsid w:val="001109CA"/>
    <w:rsid w:val="00110CAA"/>
    <w:rsid w:val="00111EBA"/>
    <w:rsid w:val="00112EB1"/>
    <w:rsid w:val="001146EB"/>
    <w:rsid w:val="00115347"/>
    <w:rsid w:val="001154C4"/>
    <w:rsid w:val="00117AE2"/>
    <w:rsid w:val="0012088D"/>
    <w:rsid w:val="00121029"/>
    <w:rsid w:val="001223BA"/>
    <w:rsid w:val="00122DAB"/>
    <w:rsid w:val="00124716"/>
    <w:rsid w:val="00127B5B"/>
    <w:rsid w:val="00130C83"/>
    <w:rsid w:val="00131718"/>
    <w:rsid w:val="00133FC0"/>
    <w:rsid w:val="00134115"/>
    <w:rsid w:val="0013452E"/>
    <w:rsid w:val="00137A1A"/>
    <w:rsid w:val="00137F0F"/>
    <w:rsid w:val="00140C9E"/>
    <w:rsid w:val="00140F8B"/>
    <w:rsid w:val="00146A9C"/>
    <w:rsid w:val="00147509"/>
    <w:rsid w:val="00150981"/>
    <w:rsid w:val="0015119E"/>
    <w:rsid w:val="00151DD2"/>
    <w:rsid w:val="00152B24"/>
    <w:rsid w:val="00160775"/>
    <w:rsid w:val="001646DA"/>
    <w:rsid w:val="00167F49"/>
    <w:rsid w:val="00172AE4"/>
    <w:rsid w:val="00172F0C"/>
    <w:rsid w:val="00173661"/>
    <w:rsid w:val="0017674D"/>
    <w:rsid w:val="00180BA1"/>
    <w:rsid w:val="00180E26"/>
    <w:rsid w:val="00181485"/>
    <w:rsid w:val="001820B5"/>
    <w:rsid w:val="00182C8C"/>
    <w:rsid w:val="001834E0"/>
    <w:rsid w:val="00183788"/>
    <w:rsid w:val="00186870"/>
    <w:rsid w:val="00187294"/>
    <w:rsid w:val="00190796"/>
    <w:rsid w:val="00191055"/>
    <w:rsid w:val="001912C7"/>
    <w:rsid w:val="00192C6C"/>
    <w:rsid w:val="0019440A"/>
    <w:rsid w:val="00195FC0"/>
    <w:rsid w:val="001967E6"/>
    <w:rsid w:val="00197AAA"/>
    <w:rsid w:val="001A12A0"/>
    <w:rsid w:val="001A1D0A"/>
    <w:rsid w:val="001A48D0"/>
    <w:rsid w:val="001A504A"/>
    <w:rsid w:val="001A5A64"/>
    <w:rsid w:val="001B0DB3"/>
    <w:rsid w:val="001B1F89"/>
    <w:rsid w:val="001B7C82"/>
    <w:rsid w:val="001C00BA"/>
    <w:rsid w:val="001C0C18"/>
    <w:rsid w:val="001C2FD8"/>
    <w:rsid w:val="001C308F"/>
    <w:rsid w:val="001C4CD2"/>
    <w:rsid w:val="001C4E1F"/>
    <w:rsid w:val="001C5050"/>
    <w:rsid w:val="001C6077"/>
    <w:rsid w:val="001D175A"/>
    <w:rsid w:val="001D31C8"/>
    <w:rsid w:val="001D37A0"/>
    <w:rsid w:val="001D42F5"/>
    <w:rsid w:val="001D47B2"/>
    <w:rsid w:val="001D6B7F"/>
    <w:rsid w:val="001D714E"/>
    <w:rsid w:val="001E20E3"/>
    <w:rsid w:val="001E2B48"/>
    <w:rsid w:val="001F561F"/>
    <w:rsid w:val="001F5AFD"/>
    <w:rsid w:val="001F6AAE"/>
    <w:rsid w:val="0020098C"/>
    <w:rsid w:val="002019DC"/>
    <w:rsid w:val="0020225A"/>
    <w:rsid w:val="00202F45"/>
    <w:rsid w:val="00203434"/>
    <w:rsid w:val="0020647D"/>
    <w:rsid w:val="002068B2"/>
    <w:rsid w:val="00207450"/>
    <w:rsid w:val="002109C3"/>
    <w:rsid w:val="00210EF0"/>
    <w:rsid w:val="00213542"/>
    <w:rsid w:val="002146FC"/>
    <w:rsid w:val="00214FF6"/>
    <w:rsid w:val="00216273"/>
    <w:rsid w:val="0021649A"/>
    <w:rsid w:val="00217E33"/>
    <w:rsid w:val="002208A1"/>
    <w:rsid w:val="00224329"/>
    <w:rsid w:val="00224E95"/>
    <w:rsid w:val="00227900"/>
    <w:rsid w:val="00230503"/>
    <w:rsid w:val="002306BE"/>
    <w:rsid w:val="00230B93"/>
    <w:rsid w:val="00231472"/>
    <w:rsid w:val="00232419"/>
    <w:rsid w:val="0023246C"/>
    <w:rsid w:val="00233843"/>
    <w:rsid w:val="002338D4"/>
    <w:rsid w:val="00234B59"/>
    <w:rsid w:val="002367F0"/>
    <w:rsid w:val="00236B5C"/>
    <w:rsid w:val="00240478"/>
    <w:rsid w:val="00241661"/>
    <w:rsid w:val="002420ED"/>
    <w:rsid w:val="00243F9A"/>
    <w:rsid w:val="00244B75"/>
    <w:rsid w:val="00245311"/>
    <w:rsid w:val="002455C5"/>
    <w:rsid w:val="00246AC9"/>
    <w:rsid w:val="002504D8"/>
    <w:rsid w:val="00250CA8"/>
    <w:rsid w:val="00251613"/>
    <w:rsid w:val="0025535A"/>
    <w:rsid w:val="0025590D"/>
    <w:rsid w:val="00256B88"/>
    <w:rsid w:val="00260B3B"/>
    <w:rsid w:val="00262BD0"/>
    <w:rsid w:val="00264511"/>
    <w:rsid w:val="002664EE"/>
    <w:rsid w:val="00266CF0"/>
    <w:rsid w:val="00267D79"/>
    <w:rsid w:val="00267ED0"/>
    <w:rsid w:val="0027191D"/>
    <w:rsid w:val="00271A0B"/>
    <w:rsid w:val="0027325B"/>
    <w:rsid w:val="00273C56"/>
    <w:rsid w:val="0027421F"/>
    <w:rsid w:val="0027741D"/>
    <w:rsid w:val="00277730"/>
    <w:rsid w:val="00277FE9"/>
    <w:rsid w:val="0028103B"/>
    <w:rsid w:val="00283CF0"/>
    <w:rsid w:val="00285CBE"/>
    <w:rsid w:val="0029185F"/>
    <w:rsid w:val="00292F2E"/>
    <w:rsid w:val="00292FE1"/>
    <w:rsid w:val="0029336F"/>
    <w:rsid w:val="002952F0"/>
    <w:rsid w:val="002967F9"/>
    <w:rsid w:val="00297396"/>
    <w:rsid w:val="002A4AE8"/>
    <w:rsid w:val="002A54E4"/>
    <w:rsid w:val="002A5634"/>
    <w:rsid w:val="002A5AD1"/>
    <w:rsid w:val="002A6216"/>
    <w:rsid w:val="002A7BB3"/>
    <w:rsid w:val="002B0A51"/>
    <w:rsid w:val="002B1792"/>
    <w:rsid w:val="002B3289"/>
    <w:rsid w:val="002B535B"/>
    <w:rsid w:val="002C0C04"/>
    <w:rsid w:val="002C4FA5"/>
    <w:rsid w:val="002C6D99"/>
    <w:rsid w:val="002D25D3"/>
    <w:rsid w:val="002D307C"/>
    <w:rsid w:val="002D48AC"/>
    <w:rsid w:val="002D4C6D"/>
    <w:rsid w:val="002D6091"/>
    <w:rsid w:val="002E0950"/>
    <w:rsid w:val="002E16FC"/>
    <w:rsid w:val="002E1E13"/>
    <w:rsid w:val="002E234B"/>
    <w:rsid w:val="002E3D1B"/>
    <w:rsid w:val="002E555E"/>
    <w:rsid w:val="002E55AA"/>
    <w:rsid w:val="002E57A0"/>
    <w:rsid w:val="002E59DC"/>
    <w:rsid w:val="002E69CA"/>
    <w:rsid w:val="002E6D86"/>
    <w:rsid w:val="002E7ACB"/>
    <w:rsid w:val="002F0F0F"/>
    <w:rsid w:val="002F1155"/>
    <w:rsid w:val="002F11C0"/>
    <w:rsid w:val="002F167C"/>
    <w:rsid w:val="002F23B9"/>
    <w:rsid w:val="002F269E"/>
    <w:rsid w:val="002F70FD"/>
    <w:rsid w:val="0030054A"/>
    <w:rsid w:val="00300CF1"/>
    <w:rsid w:val="0030297C"/>
    <w:rsid w:val="0030327F"/>
    <w:rsid w:val="00306450"/>
    <w:rsid w:val="00306465"/>
    <w:rsid w:val="0030702A"/>
    <w:rsid w:val="00307A4C"/>
    <w:rsid w:val="003103B1"/>
    <w:rsid w:val="00311B84"/>
    <w:rsid w:val="0031234C"/>
    <w:rsid w:val="0031303E"/>
    <w:rsid w:val="003140CD"/>
    <w:rsid w:val="00314265"/>
    <w:rsid w:val="00314BFF"/>
    <w:rsid w:val="00315C2F"/>
    <w:rsid w:val="00315E98"/>
    <w:rsid w:val="00317039"/>
    <w:rsid w:val="00317174"/>
    <w:rsid w:val="0031773E"/>
    <w:rsid w:val="00317782"/>
    <w:rsid w:val="00317BB3"/>
    <w:rsid w:val="00320CE9"/>
    <w:rsid w:val="0032686E"/>
    <w:rsid w:val="00326C25"/>
    <w:rsid w:val="0032778B"/>
    <w:rsid w:val="00330823"/>
    <w:rsid w:val="00330C1C"/>
    <w:rsid w:val="003313E4"/>
    <w:rsid w:val="00333B64"/>
    <w:rsid w:val="00335083"/>
    <w:rsid w:val="003400ED"/>
    <w:rsid w:val="003403CB"/>
    <w:rsid w:val="00340A70"/>
    <w:rsid w:val="003424CE"/>
    <w:rsid w:val="00345F21"/>
    <w:rsid w:val="003461A6"/>
    <w:rsid w:val="00351B2F"/>
    <w:rsid w:val="00352346"/>
    <w:rsid w:val="00355F40"/>
    <w:rsid w:val="003604E6"/>
    <w:rsid w:val="00360F95"/>
    <w:rsid w:val="00361B79"/>
    <w:rsid w:val="00364836"/>
    <w:rsid w:val="00366940"/>
    <w:rsid w:val="0036776F"/>
    <w:rsid w:val="00367BA6"/>
    <w:rsid w:val="00371AF2"/>
    <w:rsid w:val="003720AA"/>
    <w:rsid w:val="00372D8E"/>
    <w:rsid w:val="00376083"/>
    <w:rsid w:val="00380605"/>
    <w:rsid w:val="00380A0B"/>
    <w:rsid w:val="00383D84"/>
    <w:rsid w:val="003840B4"/>
    <w:rsid w:val="003845B4"/>
    <w:rsid w:val="003845C1"/>
    <w:rsid w:val="00384A87"/>
    <w:rsid w:val="00385726"/>
    <w:rsid w:val="003862AA"/>
    <w:rsid w:val="00390A88"/>
    <w:rsid w:val="003925C9"/>
    <w:rsid w:val="003948FE"/>
    <w:rsid w:val="00394BAF"/>
    <w:rsid w:val="003968C9"/>
    <w:rsid w:val="00396A19"/>
    <w:rsid w:val="00396E53"/>
    <w:rsid w:val="00397E85"/>
    <w:rsid w:val="003A0897"/>
    <w:rsid w:val="003A08F8"/>
    <w:rsid w:val="003A1152"/>
    <w:rsid w:val="003A18DC"/>
    <w:rsid w:val="003A227F"/>
    <w:rsid w:val="003A2942"/>
    <w:rsid w:val="003A2B39"/>
    <w:rsid w:val="003A58A8"/>
    <w:rsid w:val="003B1D40"/>
    <w:rsid w:val="003B1F29"/>
    <w:rsid w:val="003B3321"/>
    <w:rsid w:val="003B7D9E"/>
    <w:rsid w:val="003C08C8"/>
    <w:rsid w:val="003C132D"/>
    <w:rsid w:val="003C1EDE"/>
    <w:rsid w:val="003C20C8"/>
    <w:rsid w:val="003C2E1F"/>
    <w:rsid w:val="003C3302"/>
    <w:rsid w:val="003C5286"/>
    <w:rsid w:val="003C61D5"/>
    <w:rsid w:val="003C72CF"/>
    <w:rsid w:val="003C73DF"/>
    <w:rsid w:val="003C745A"/>
    <w:rsid w:val="003C7FAC"/>
    <w:rsid w:val="003D075F"/>
    <w:rsid w:val="003D0CB5"/>
    <w:rsid w:val="003D1356"/>
    <w:rsid w:val="003D158B"/>
    <w:rsid w:val="003D2CBA"/>
    <w:rsid w:val="003D326B"/>
    <w:rsid w:val="003D344C"/>
    <w:rsid w:val="003D6E88"/>
    <w:rsid w:val="003D7759"/>
    <w:rsid w:val="003E0AF9"/>
    <w:rsid w:val="003E129C"/>
    <w:rsid w:val="003E1A17"/>
    <w:rsid w:val="003E1B4E"/>
    <w:rsid w:val="003E1C68"/>
    <w:rsid w:val="003E260B"/>
    <w:rsid w:val="003E2B6C"/>
    <w:rsid w:val="003E4426"/>
    <w:rsid w:val="003E55C6"/>
    <w:rsid w:val="003E6197"/>
    <w:rsid w:val="003E6C5F"/>
    <w:rsid w:val="003E7B6A"/>
    <w:rsid w:val="003F02E8"/>
    <w:rsid w:val="003F25C8"/>
    <w:rsid w:val="003F55E0"/>
    <w:rsid w:val="003F6207"/>
    <w:rsid w:val="003F779C"/>
    <w:rsid w:val="003F7AA8"/>
    <w:rsid w:val="004005BF"/>
    <w:rsid w:val="0040341A"/>
    <w:rsid w:val="00405342"/>
    <w:rsid w:val="0040599B"/>
    <w:rsid w:val="004059D6"/>
    <w:rsid w:val="00405F6A"/>
    <w:rsid w:val="00407A8B"/>
    <w:rsid w:val="00410DC2"/>
    <w:rsid w:val="0041187F"/>
    <w:rsid w:val="00412536"/>
    <w:rsid w:val="00413B06"/>
    <w:rsid w:val="00413EDB"/>
    <w:rsid w:val="004141E5"/>
    <w:rsid w:val="004146B5"/>
    <w:rsid w:val="00415C71"/>
    <w:rsid w:val="004171D2"/>
    <w:rsid w:val="00420211"/>
    <w:rsid w:val="0042025A"/>
    <w:rsid w:val="0042094D"/>
    <w:rsid w:val="0042235A"/>
    <w:rsid w:val="004230B2"/>
    <w:rsid w:val="004238EC"/>
    <w:rsid w:val="00425828"/>
    <w:rsid w:val="00425D8E"/>
    <w:rsid w:val="00432441"/>
    <w:rsid w:val="00432528"/>
    <w:rsid w:val="00432DB2"/>
    <w:rsid w:val="0043613E"/>
    <w:rsid w:val="00436978"/>
    <w:rsid w:val="00436B90"/>
    <w:rsid w:val="004370A7"/>
    <w:rsid w:val="00441CE7"/>
    <w:rsid w:val="0044457A"/>
    <w:rsid w:val="004446A6"/>
    <w:rsid w:val="00444CCA"/>
    <w:rsid w:val="00444EC7"/>
    <w:rsid w:val="004457AB"/>
    <w:rsid w:val="00445BE8"/>
    <w:rsid w:val="00446BAE"/>
    <w:rsid w:val="00447682"/>
    <w:rsid w:val="004505A8"/>
    <w:rsid w:val="00450829"/>
    <w:rsid w:val="0045125A"/>
    <w:rsid w:val="00451FFD"/>
    <w:rsid w:val="00452159"/>
    <w:rsid w:val="004526B5"/>
    <w:rsid w:val="00453357"/>
    <w:rsid w:val="0045347E"/>
    <w:rsid w:val="00454AB1"/>
    <w:rsid w:val="00455F61"/>
    <w:rsid w:val="00456C6E"/>
    <w:rsid w:val="00461145"/>
    <w:rsid w:val="00462282"/>
    <w:rsid w:val="00463375"/>
    <w:rsid w:val="00465AA1"/>
    <w:rsid w:val="00466CBE"/>
    <w:rsid w:val="00470601"/>
    <w:rsid w:val="00470DCE"/>
    <w:rsid w:val="00471420"/>
    <w:rsid w:val="004723A1"/>
    <w:rsid w:val="00472F64"/>
    <w:rsid w:val="004737C4"/>
    <w:rsid w:val="004742D1"/>
    <w:rsid w:val="00474631"/>
    <w:rsid w:val="00475083"/>
    <w:rsid w:val="004806DB"/>
    <w:rsid w:val="00485751"/>
    <w:rsid w:val="00490745"/>
    <w:rsid w:val="0049279F"/>
    <w:rsid w:val="004944C2"/>
    <w:rsid w:val="00496696"/>
    <w:rsid w:val="004969CF"/>
    <w:rsid w:val="0049797A"/>
    <w:rsid w:val="004A4F8D"/>
    <w:rsid w:val="004A6D96"/>
    <w:rsid w:val="004A7369"/>
    <w:rsid w:val="004A767A"/>
    <w:rsid w:val="004B0557"/>
    <w:rsid w:val="004B1433"/>
    <w:rsid w:val="004B7D15"/>
    <w:rsid w:val="004C02F5"/>
    <w:rsid w:val="004C2A6F"/>
    <w:rsid w:val="004C33EB"/>
    <w:rsid w:val="004C4DC3"/>
    <w:rsid w:val="004C536F"/>
    <w:rsid w:val="004C70C4"/>
    <w:rsid w:val="004C7222"/>
    <w:rsid w:val="004C75F0"/>
    <w:rsid w:val="004D03A1"/>
    <w:rsid w:val="004D04B9"/>
    <w:rsid w:val="004D092D"/>
    <w:rsid w:val="004D153A"/>
    <w:rsid w:val="004D27CB"/>
    <w:rsid w:val="004D3444"/>
    <w:rsid w:val="004D39BE"/>
    <w:rsid w:val="004D3FC7"/>
    <w:rsid w:val="004D4E74"/>
    <w:rsid w:val="004D5577"/>
    <w:rsid w:val="004D5911"/>
    <w:rsid w:val="004D5D6A"/>
    <w:rsid w:val="004E5105"/>
    <w:rsid w:val="004F09B9"/>
    <w:rsid w:val="004F12D6"/>
    <w:rsid w:val="004F4BCE"/>
    <w:rsid w:val="004F6151"/>
    <w:rsid w:val="00502B50"/>
    <w:rsid w:val="005055CC"/>
    <w:rsid w:val="00507494"/>
    <w:rsid w:val="00507953"/>
    <w:rsid w:val="00507CF2"/>
    <w:rsid w:val="00514BD1"/>
    <w:rsid w:val="005152A6"/>
    <w:rsid w:val="0051565E"/>
    <w:rsid w:val="00515681"/>
    <w:rsid w:val="00515713"/>
    <w:rsid w:val="005164D3"/>
    <w:rsid w:val="00521682"/>
    <w:rsid w:val="00522256"/>
    <w:rsid w:val="00523D66"/>
    <w:rsid w:val="0052546A"/>
    <w:rsid w:val="00525EBE"/>
    <w:rsid w:val="0053124B"/>
    <w:rsid w:val="005354B1"/>
    <w:rsid w:val="005354EE"/>
    <w:rsid w:val="00540CCD"/>
    <w:rsid w:val="005411FE"/>
    <w:rsid w:val="00542EC0"/>
    <w:rsid w:val="005439A6"/>
    <w:rsid w:val="00543B8B"/>
    <w:rsid w:val="00543F78"/>
    <w:rsid w:val="00544EC4"/>
    <w:rsid w:val="00550C05"/>
    <w:rsid w:val="00550DD8"/>
    <w:rsid w:val="0055339D"/>
    <w:rsid w:val="00553FDB"/>
    <w:rsid w:val="00556B3D"/>
    <w:rsid w:val="00561C3E"/>
    <w:rsid w:val="005627D1"/>
    <w:rsid w:val="00563AAE"/>
    <w:rsid w:val="00565011"/>
    <w:rsid w:val="005662A3"/>
    <w:rsid w:val="005663DE"/>
    <w:rsid w:val="005666A9"/>
    <w:rsid w:val="00567F8C"/>
    <w:rsid w:val="00570B4F"/>
    <w:rsid w:val="00572D85"/>
    <w:rsid w:val="00572EAB"/>
    <w:rsid w:val="005730DB"/>
    <w:rsid w:val="005734FD"/>
    <w:rsid w:val="005755FA"/>
    <w:rsid w:val="0058051C"/>
    <w:rsid w:val="005855BC"/>
    <w:rsid w:val="00585932"/>
    <w:rsid w:val="00585C68"/>
    <w:rsid w:val="005874F7"/>
    <w:rsid w:val="00592C6D"/>
    <w:rsid w:val="0059335F"/>
    <w:rsid w:val="00594027"/>
    <w:rsid w:val="00596AA8"/>
    <w:rsid w:val="005973B0"/>
    <w:rsid w:val="005975FA"/>
    <w:rsid w:val="005A0FA4"/>
    <w:rsid w:val="005A17F4"/>
    <w:rsid w:val="005A1C5E"/>
    <w:rsid w:val="005A1D45"/>
    <w:rsid w:val="005A28D3"/>
    <w:rsid w:val="005A60B4"/>
    <w:rsid w:val="005A60F0"/>
    <w:rsid w:val="005A7F9F"/>
    <w:rsid w:val="005B0F3A"/>
    <w:rsid w:val="005B2E7C"/>
    <w:rsid w:val="005B3238"/>
    <w:rsid w:val="005B58AE"/>
    <w:rsid w:val="005B750D"/>
    <w:rsid w:val="005B7A04"/>
    <w:rsid w:val="005C124A"/>
    <w:rsid w:val="005C14DF"/>
    <w:rsid w:val="005C34DC"/>
    <w:rsid w:val="005C38D2"/>
    <w:rsid w:val="005C59F1"/>
    <w:rsid w:val="005C5ED1"/>
    <w:rsid w:val="005C66A2"/>
    <w:rsid w:val="005D19D2"/>
    <w:rsid w:val="005D1CB2"/>
    <w:rsid w:val="005D2C77"/>
    <w:rsid w:val="005D7CEF"/>
    <w:rsid w:val="005E0201"/>
    <w:rsid w:val="005E0864"/>
    <w:rsid w:val="005E2689"/>
    <w:rsid w:val="005E3472"/>
    <w:rsid w:val="005E4166"/>
    <w:rsid w:val="005E4CEF"/>
    <w:rsid w:val="005E5250"/>
    <w:rsid w:val="005E7CAE"/>
    <w:rsid w:val="005F11B8"/>
    <w:rsid w:val="005F2BC2"/>
    <w:rsid w:val="005F4A62"/>
    <w:rsid w:val="005F76AD"/>
    <w:rsid w:val="0060052B"/>
    <w:rsid w:val="00601C8C"/>
    <w:rsid w:val="00603269"/>
    <w:rsid w:val="00604B6B"/>
    <w:rsid w:val="00605E33"/>
    <w:rsid w:val="00606B74"/>
    <w:rsid w:val="00613815"/>
    <w:rsid w:val="006148FE"/>
    <w:rsid w:val="00614A44"/>
    <w:rsid w:val="00615E96"/>
    <w:rsid w:val="006170AC"/>
    <w:rsid w:val="00617AAB"/>
    <w:rsid w:val="00620252"/>
    <w:rsid w:val="0062046D"/>
    <w:rsid w:val="0062057F"/>
    <w:rsid w:val="006209A1"/>
    <w:rsid w:val="00622E17"/>
    <w:rsid w:val="00623BDA"/>
    <w:rsid w:val="0063055A"/>
    <w:rsid w:val="00631ECD"/>
    <w:rsid w:val="00632B25"/>
    <w:rsid w:val="00632D2B"/>
    <w:rsid w:val="00632F42"/>
    <w:rsid w:val="006338A3"/>
    <w:rsid w:val="00634704"/>
    <w:rsid w:val="00634A93"/>
    <w:rsid w:val="00636244"/>
    <w:rsid w:val="00636570"/>
    <w:rsid w:val="00636B13"/>
    <w:rsid w:val="00636DC6"/>
    <w:rsid w:val="00637BF8"/>
    <w:rsid w:val="00643932"/>
    <w:rsid w:val="006473C4"/>
    <w:rsid w:val="00651C48"/>
    <w:rsid w:val="0065271E"/>
    <w:rsid w:val="00653C65"/>
    <w:rsid w:val="00653C6D"/>
    <w:rsid w:val="0065416B"/>
    <w:rsid w:val="00654492"/>
    <w:rsid w:val="00655F07"/>
    <w:rsid w:val="00655FAC"/>
    <w:rsid w:val="00660DAD"/>
    <w:rsid w:val="00661ECC"/>
    <w:rsid w:val="00664F72"/>
    <w:rsid w:val="0066513F"/>
    <w:rsid w:val="00665531"/>
    <w:rsid w:val="00666831"/>
    <w:rsid w:val="00666DA4"/>
    <w:rsid w:val="006679AB"/>
    <w:rsid w:val="00667E45"/>
    <w:rsid w:val="00670749"/>
    <w:rsid w:val="00670E06"/>
    <w:rsid w:val="006714EE"/>
    <w:rsid w:val="006778D7"/>
    <w:rsid w:val="006778E7"/>
    <w:rsid w:val="0068384F"/>
    <w:rsid w:val="0068444A"/>
    <w:rsid w:val="006844AB"/>
    <w:rsid w:val="0068468C"/>
    <w:rsid w:val="00684BBF"/>
    <w:rsid w:val="00685025"/>
    <w:rsid w:val="00686ED3"/>
    <w:rsid w:val="00691A4E"/>
    <w:rsid w:val="00694322"/>
    <w:rsid w:val="006964B5"/>
    <w:rsid w:val="006965B5"/>
    <w:rsid w:val="00697ACE"/>
    <w:rsid w:val="006A1028"/>
    <w:rsid w:val="006A1967"/>
    <w:rsid w:val="006A19F3"/>
    <w:rsid w:val="006A2E93"/>
    <w:rsid w:val="006B1712"/>
    <w:rsid w:val="006B18CC"/>
    <w:rsid w:val="006B2053"/>
    <w:rsid w:val="006B3A70"/>
    <w:rsid w:val="006B41D9"/>
    <w:rsid w:val="006C0011"/>
    <w:rsid w:val="006C0F6A"/>
    <w:rsid w:val="006C6051"/>
    <w:rsid w:val="006C6C2D"/>
    <w:rsid w:val="006C7E31"/>
    <w:rsid w:val="006D205C"/>
    <w:rsid w:val="006D5EB8"/>
    <w:rsid w:val="006D6710"/>
    <w:rsid w:val="006D6E88"/>
    <w:rsid w:val="006D7F29"/>
    <w:rsid w:val="006E07A0"/>
    <w:rsid w:val="006E140C"/>
    <w:rsid w:val="006E19B0"/>
    <w:rsid w:val="006E1E37"/>
    <w:rsid w:val="006E3D8A"/>
    <w:rsid w:val="006E7700"/>
    <w:rsid w:val="006E7E71"/>
    <w:rsid w:val="006F0E0E"/>
    <w:rsid w:val="006F44B6"/>
    <w:rsid w:val="006F7251"/>
    <w:rsid w:val="00700625"/>
    <w:rsid w:val="007019F5"/>
    <w:rsid w:val="00702C0E"/>
    <w:rsid w:val="00703DCE"/>
    <w:rsid w:val="00705B6A"/>
    <w:rsid w:val="007077C2"/>
    <w:rsid w:val="007104D0"/>
    <w:rsid w:val="007107A4"/>
    <w:rsid w:val="00711CDF"/>
    <w:rsid w:val="007127AA"/>
    <w:rsid w:val="00712F4A"/>
    <w:rsid w:val="00713406"/>
    <w:rsid w:val="00713547"/>
    <w:rsid w:val="00717F2C"/>
    <w:rsid w:val="0072174A"/>
    <w:rsid w:val="00727058"/>
    <w:rsid w:val="007306AC"/>
    <w:rsid w:val="00731AE4"/>
    <w:rsid w:val="007339A0"/>
    <w:rsid w:val="00737D61"/>
    <w:rsid w:val="00740866"/>
    <w:rsid w:val="007408BA"/>
    <w:rsid w:val="00744954"/>
    <w:rsid w:val="00745BE7"/>
    <w:rsid w:val="00751038"/>
    <w:rsid w:val="00752D42"/>
    <w:rsid w:val="007542A4"/>
    <w:rsid w:val="00755826"/>
    <w:rsid w:val="0075685F"/>
    <w:rsid w:val="00760487"/>
    <w:rsid w:val="00760E83"/>
    <w:rsid w:val="00760FC1"/>
    <w:rsid w:val="007617D4"/>
    <w:rsid w:val="007628DA"/>
    <w:rsid w:val="00763E29"/>
    <w:rsid w:val="0076645E"/>
    <w:rsid w:val="007679E7"/>
    <w:rsid w:val="00767A14"/>
    <w:rsid w:val="007716EE"/>
    <w:rsid w:val="00772DD8"/>
    <w:rsid w:val="00773666"/>
    <w:rsid w:val="00774D67"/>
    <w:rsid w:val="00777494"/>
    <w:rsid w:val="007776D9"/>
    <w:rsid w:val="00781059"/>
    <w:rsid w:val="007828C9"/>
    <w:rsid w:val="00784570"/>
    <w:rsid w:val="00785557"/>
    <w:rsid w:val="00787114"/>
    <w:rsid w:val="00792830"/>
    <w:rsid w:val="00793305"/>
    <w:rsid w:val="00794F98"/>
    <w:rsid w:val="007952F7"/>
    <w:rsid w:val="00795B67"/>
    <w:rsid w:val="00797C95"/>
    <w:rsid w:val="007A20C5"/>
    <w:rsid w:val="007A383C"/>
    <w:rsid w:val="007A3880"/>
    <w:rsid w:val="007A4F07"/>
    <w:rsid w:val="007A7F5D"/>
    <w:rsid w:val="007B3542"/>
    <w:rsid w:val="007C27D7"/>
    <w:rsid w:val="007C32D0"/>
    <w:rsid w:val="007C366E"/>
    <w:rsid w:val="007C3931"/>
    <w:rsid w:val="007C3D5E"/>
    <w:rsid w:val="007C41A5"/>
    <w:rsid w:val="007C42CA"/>
    <w:rsid w:val="007D149B"/>
    <w:rsid w:val="007D2A16"/>
    <w:rsid w:val="007D3787"/>
    <w:rsid w:val="007D4496"/>
    <w:rsid w:val="007D55E3"/>
    <w:rsid w:val="007D713D"/>
    <w:rsid w:val="007D7140"/>
    <w:rsid w:val="007E1C98"/>
    <w:rsid w:val="007E3049"/>
    <w:rsid w:val="007E7458"/>
    <w:rsid w:val="007E765B"/>
    <w:rsid w:val="007E7F79"/>
    <w:rsid w:val="007F015B"/>
    <w:rsid w:val="007F03DB"/>
    <w:rsid w:val="007F148A"/>
    <w:rsid w:val="007F25F8"/>
    <w:rsid w:val="007F2DE1"/>
    <w:rsid w:val="007F3384"/>
    <w:rsid w:val="007F38FF"/>
    <w:rsid w:val="007F4B19"/>
    <w:rsid w:val="007F63BD"/>
    <w:rsid w:val="007F6A2B"/>
    <w:rsid w:val="007F6A54"/>
    <w:rsid w:val="007F7420"/>
    <w:rsid w:val="008010C1"/>
    <w:rsid w:val="0080133B"/>
    <w:rsid w:val="00801CC4"/>
    <w:rsid w:val="0080528D"/>
    <w:rsid w:val="008056B6"/>
    <w:rsid w:val="00805ED1"/>
    <w:rsid w:val="008065C7"/>
    <w:rsid w:val="00807668"/>
    <w:rsid w:val="00807E46"/>
    <w:rsid w:val="00811F1B"/>
    <w:rsid w:val="00812548"/>
    <w:rsid w:val="008128FA"/>
    <w:rsid w:val="0081354F"/>
    <w:rsid w:val="008202F7"/>
    <w:rsid w:val="00822117"/>
    <w:rsid w:val="00824980"/>
    <w:rsid w:val="00825603"/>
    <w:rsid w:val="008258CC"/>
    <w:rsid w:val="00826D2C"/>
    <w:rsid w:val="00827219"/>
    <w:rsid w:val="00834CC4"/>
    <w:rsid w:val="00835927"/>
    <w:rsid w:val="0083628A"/>
    <w:rsid w:val="008364C2"/>
    <w:rsid w:val="00836B6D"/>
    <w:rsid w:val="00840E9D"/>
    <w:rsid w:val="00840F43"/>
    <w:rsid w:val="00841066"/>
    <w:rsid w:val="00841CFA"/>
    <w:rsid w:val="00843775"/>
    <w:rsid w:val="00843A58"/>
    <w:rsid w:val="008444E6"/>
    <w:rsid w:val="008450C2"/>
    <w:rsid w:val="00846CB9"/>
    <w:rsid w:val="00854F42"/>
    <w:rsid w:val="008553F7"/>
    <w:rsid w:val="00855B36"/>
    <w:rsid w:val="00855E33"/>
    <w:rsid w:val="00857739"/>
    <w:rsid w:val="00862210"/>
    <w:rsid w:val="00862FD0"/>
    <w:rsid w:val="00863400"/>
    <w:rsid w:val="00865317"/>
    <w:rsid w:val="008708A6"/>
    <w:rsid w:val="008708C7"/>
    <w:rsid w:val="00872F10"/>
    <w:rsid w:val="00876DAE"/>
    <w:rsid w:val="008803B7"/>
    <w:rsid w:val="00880C6C"/>
    <w:rsid w:val="008815BD"/>
    <w:rsid w:val="00883524"/>
    <w:rsid w:val="008849B7"/>
    <w:rsid w:val="00884CE7"/>
    <w:rsid w:val="00884E0D"/>
    <w:rsid w:val="00884FB5"/>
    <w:rsid w:val="00890E64"/>
    <w:rsid w:val="0089268B"/>
    <w:rsid w:val="00892C8C"/>
    <w:rsid w:val="00892DBF"/>
    <w:rsid w:val="00892EE4"/>
    <w:rsid w:val="008945C5"/>
    <w:rsid w:val="00895AD2"/>
    <w:rsid w:val="00896AE8"/>
    <w:rsid w:val="00896C58"/>
    <w:rsid w:val="008A1D80"/>
    <w:rsid w:val="008A1F73"/>
    <w:rsid w:val="008A368A"/>
    <w:rsid w:val="008A39F8"/>
    <w:rsid w:val="008A520E"/>
    <w:rsid w:val="008A5F86"/>
    <w:rsid w:val="008A654C"/>
    <w:rsid w:val="008A704F"/>
    <w:rsid w:val="008B1C21"/>
    <w:rsid w:val="008B1E0D"/>
    <w:rsid w:val="008B279A"/>
    <w:rsid w:val="008B7631"/>
    <w:rsid w:val="008B7DF3"/>
    <w:rsid w:val="008C1B10"/>
    <w:rsid w:val="008C1B57"/>
    <w:rsid w:val="008C411B"/>
    <w:rsid w:val="008C6736"/>
    <w:rsid w:val="008C6916"/>
    <w:rsid w:val="008C6B1A"/>
    <w:rsid w:val="008C6C06"/>
    <w:rsid w:val="008C75DA"/>
    <w:rsid w:val="008D0914"/>
    <w:rsid w:val="008D151D"/>
    <w:rsid w:val="008D1D06"/>
    <w:rsid w:val="008D216F"/>
    <w:rsid w:val="008D2374"/>
    <w:rsid w:val="008D2EF9"/>
    <w:rsid w:val="008D41E3"/>
    <w:rsid w:val="008D5465"/>
    <w:rsid w:val="008D5EA5"/>
    <w:rsid w:val="008D686C"/>
    <w:rsid w:val="008E2356"/>
    <w:rsid w:val="008E304D"/>
    <w:rsid w:val="008E32B0"/>
    <w:rsid w:val="008E4CE7"/>
    <w:rsid w:val="008E6137"/>
    <w:rsid w:val="008E6B79"/>
    <w:rsid w:val="008E75E5"/>
    <w:rsid w:val="008F05A6"/>
    <w:rsid w:val="008F05AA"/>
    <w:rsid w:val="008F346A"/>
    <w:rsid w:val="008F3D30"/>
    <w:rsid w:val="008F3D52"/>
    <w:rsid w:val="008F598B"/>
    <w:rsid w:val="008F59D7"/>
    <w:rsid w:val="008F6487"/>
    <w:rsid w:val="008F6717"/>
    <w:rsid w:val="008F7DA4"/>
    <w:rsid w:val="008F7FBF"/>
    <w:rsid w:val="00900634"/>
    <w:rsid w:val="009010C3"/>
    <w:rsid w:val="0090148D"/>
    <w:rsid w:val="009048A1"/>
    <w:rsid w:val="00906158"/>
    <w:rsid w:val="00906975"/>
    <w:rsid w:val="00906E97"/>
    <w:rsid w:val="00906FE5"/>
    <w:rsid w:val="009123A0"/>
    <w:rsid w:val="00913AD0"/>
    <w:rsid w:val="009140ED"/>
    <w:rsid w:val="00915512"/>
    <w:rsid w:val="009177EC"/>
    <w:rsid w:val="0091791A"/>
    <w:rsid w:val="00917BC7"/>
    <w:rsid w:val="00917E02"/>
    <w:rsid w:val="00922416"/>
    <w:rsid w:val="00924069"/>
    <w:rsid w:val="00924229"/>
    <w:rsid w:val="00924CAF"/>
    <w:rsid w:val="00925615"/>
    <w:rsid w:val="00926157"/>
    <w:rsid w:val="00926639"/>
    <w:rsid w:val="00930597"/>
    <w:rsid w:val="009332A5"/>
    <w:rsid w:val="00935FE4"/>
    <w:rsid w:val="00936214"/>
    <w:rsid w:val="009414A5"/>
    <w:rsid w:val="0094255C"/>
    <w:rsid w:val="00942632"/>
    <w:rsid w:val="00942AC5"/>
    <w:rsid w:val="009432C9"/>
    <w:rsid w:val="00943A5A"/>
    <w:rsid w:val="0094588A"/>
    <w:rsid w:val="00946E33"/>
    <w:rsid w:val="009475CF"/>
    <w:rsid w:val="00947D02"/>
    <w:rsid w:val="0095140F"/>
    <w:rsid w:val="009528DA"/>
    <w:rsid w:val="00955A47"/>
    <w:rsid w:val="00957EA8"/>
    <w:rsid w:val="0096002F"/>
    <w:rsid w:val="009601DF"/>
    <w:rsid w:val="0096077C"/>
    <w:rsid w:val="009620C6"/>
    <w:rsid w:val="00963014"/>
    <w:rsid w:val="009635E2"/>
    <w:rsid w:val="00964AA2"/>
    <w:rsid w:val="00965488"/>
    <w:rsid w:val="00965CAD"/>
    <w:rsid w:val="00966495"/>
    <w:rsid w:val="00966679"/>
    <w:rsid w:val="00970624"/>
    <w:rsid w:val="00971FF6"/>
    <w:rsid w:val="00972567"/>
    <w:rsid w:val="0097267A"/>
    <w:rsid w:val="009743D8"/>
    <w:rsid w:val="009744C0"/>
    <w:rsid w:val="00982354"/>
    <w:rsid w:val="009837F6"/>
    <w:rsid w:val="009839C6"/>
    <w:rsid w:val="00983F79"/>
    <w:rsid w:val="00984564"/>
    <w:rsid w:val="00985763"/>
    <w:rsid w:val="0099108B"/>
    <w:rsid w:val="00991E0E"/>
    <w:rsid w:val="00992713"/>
    <w:rsid w:val="009935AC"/>
    <w:rsid w:val="00995ADE"/>
    <w:rsid w:val="009A1974"/>
    <w:rsid w:val="009A250D"/>
    <w:rsid w:val="009A5E8D"/>
    <w:rsid w:val="009A6AD2"/>
    <w:rsid w:val="009B1142"/>
    <w:rsid w:val="009B1ABA"/>
    <w:rsid w:val="009B2F5B"/>
    <w:rsid w:val="009B45B2"/>
    <w:rsid w:val="009B511D"/>
    <w:rsid w:val="009B545D"/>
    <w:rsid w:val="009B5F60"/>
    <w:rsid w:val="009B78F8"/>
    <w:rsid w:val="009C0600"/>
    <w:rsid w:val="009C33C7"/>
    <w:rsid w:val="009C572C"/>
    <w:rsid w:val="009D0EAC"/>
    <w:rsid w:val="009D2921"/>
    <w:rsid w:val="009D2C35"/>
    <w:rsid w:val="009D47FE"/>
    <w:rsid w:val="009D4D36"/>
    <w:rsid w:val="009D4EBC"/>
    <w:rsid w:val="009D5128"/>
    <w:rsid w:val="009D5795"/>
    <w:rsid w:val="009E16E6"/>
    <w:rsid w:val="009E2A86"/>
    <w:rsid w:val="009E316D"/>
    <w:rsid w:val="009E38DC"/>
    <w:rsid w:val="009E5679"/>
    <w:rsid w:val="009E61CB"/>
    <w:rsid w:val="009E6DBA"/>
    <w:rsid w:val="009E719B"/>
    <w:rsid w:val="009E776A"/>
    <w:rsid w:val="00A03BE9"/>
    <w:rsid w:val="00A03EDF"/>
    <w:rsid w:val="00A04BBC"/>
    <w:rsid w:val="00A04E44"/>
    <w:rsid w:val="00A059E4"/>
    <w:rsid w:val="00A05F52"/>
    <w:rsid w:val="00A06506"/>
    <w:rsid w:val="00A10603"/>
    <w:rsid w:val="00A11459"/>
    <w:rsid w:val="00A11E61"/>
    <w:rsid w:val="00A12026"/>
    <w:rsid w:val="00A12437"/>
    <w:rsid w:val="00A1743A"/>
    <w:rsid w:val="00A20E44"/>
    <w:rsid w:val="00A213E3"/>
    <w:rsid w:val="00A21A18"/>
    <w:rsid w:val="00A22B37"/>
    <w:rsid w:val="00A22F39"/>
    <w:rsid w:val="00A259B9"/>
    <w:rsid w:val="00A26C0D"/>
    <w:rsid w:val="00A30653"/>
    <w:rsid w:val="00A308DA"/>
    <w:rsid w:val="00A3287A"/>
    <w:rsid w:val="00A328AB"/>
    <w:rsid w:val="00A33244"/>
    <w:rsid w:val="00A33BF8"/>
    <w:rsid w:val="00A35A6A"/>
    <w:rsid w:val="00A36641"/>
    <w:rsid w:val="00A40E94"/>
    <w:rsid w:val="00A41B40"/>
    <w:rsid w:val="00A42F1A"/>
    <w:rsid w:val="00A447A3"/>
    <w:rsid w:val="00A44F37"/>
    <w:rsid w:val="00A477EC"/>
    <w:rsid w:val="00A52317"/>
    <w:rsid w:val="00A55521"/>
    <w:rsid w:val="00A62301"/>
    <w:rsid w:val="00A62CC2"/>
    <w:rsid w:val="00A63906"/>
    <w:rsid w:val="00A64EC1"/>
    <w:rsid w:val="00A66151"/>
    <w:rsid w:val="00A66A95"/>
    <w:rsid w:val="00A6780F"/>
    <w:rsid w:val="00A67A54"/>
    <w:rsid w:val="00A720DE"/>
    <w:rsid w:val="00A768C7"/>
    <w:rsid w:val="00A77526"/>
    <w:rsid w:val="00A7785C"/>
    <w:rsid w:val="00A77DF2"/>
    <w:rsid w:val="00A77E42"/>
    <w:rsid w:val="00A808C2"/>
    <w:rsid w:val="00A80EF6"/>
    <w:rsid w:val="00A81032"/>
    <w:rsid w:val="00A8149E"/>
    <w:rsid w:val="00A82EF5"/>
    <w:rsid w:val="00A8497D"/>
    <w:rsid w:val="00A86A5C"/>
    <w:rsid w:val="00A90871"/>
    <w:rsid w:val="00A92C29"/>
    <w:rsid w:val="00A96647"/>
    <w:rsid w:val="00A97289"/>
    <w:rsid w:val="00AA3D60"/>
    <w:rsid w:val="00AA41A2"/>
    <w:rsid w:val="00AA5B80"/>
    <w:rsid w:val="00AA772C"/>
    <w:rsid w:val="00AB039C"/>
    <w:rsid w:val="00AB189B"/>
    <w:rsid w:val="00AB35E8"/>
    <w:rsid w:val="00AB4D70"/>
    <w:rsid w:val="00AB5A00"/>
    <w:rsid w:val="00AB6532"/>
    <w:rsid w:val="00AB6A86"/>
    <w:rsid w:val="00AB7042"/>
    <w:rsid w:val="00AC07B0"/>
    <w:rsid w:val="00AC0E33"/>
    <w:rsid w:val="00AC1B81"/>
    <w:rsid w:val="00AC2C70"/>
    <w:rsid w:val="00AC4079"/>
    <w:rsid w:val="00AC53BC"/>
    <w:rsid w:val="00AC542D"/>
    <w:rsid w:val="00AC5849"/>
    <w:rsid w:val="00AC6BF1"/>
    <w:rsid w:val="00AD370E"/>
    <w:rsid w:val="00AD3CAD"/>
    <w:rsid w:val="00AD6192"/>
    <w:rsid w:val="00AD6919"/>
    <w:rsid w:val="00AD6C74"/>
    <w:rsid w:val="00AD733D"/>
    <w:rsid w:val="00AD77F5"/>
    <w:rsid w:val="00AD7B0F"/>
    <w:rsid w:val="00AD7B88"/>
    <w:rsid w:val="00AE12ED"/>
    <w:rsid w:val="00AE308B"/>
    <w:rsid w:val="00AE32FC"/>
    <w:rsid w:val="00AE4FFC"/>
    <w:rsid w:val="00AE61D2"/>
    <w:rsid w:val="00AF0F24"/>
    <w:rsid w:val="00AF128C"/>
    <w:rsid w:val="00AF28DD"/>
    <w:rsid w:val="00B00499"/>
    <w:rsid w:val="00B02923"/>
    <w:rsid w:val="00B02EB8"/>
    <w:rsid w:val="00B035DD"/>
    <w:rsid w:val="00B113BB"/>
    <w:rsid w:val="00B11421"/>
    <w:rsid w:val="00B12BFF"/>
    <w:rsid w:val="00B132CB"/>
    <w:rsid w:val="00B134E8"/>
    <w:rsid w:val="00B16DB4"/>
    <w:rsid w:val="00B22695"/>
    <w:rsid w:val="00B230B1"/>
    <w:rsid w:val="00B231A6"/>
    <w:rsid w:val="00B241EC"/>
    <w:rsid w:val="00B2471A"/>
    <w:rsid w:val="00B25094"/>
    <w:rsid w:val="00B2525A"/>
    <w:rsid w:val="00B2770C"/>
    <w:rsid w:val="00B30A89"/>
    <w:rsid w:val="00B32843"/>
    <w:rsid w:val="00B3360D"/>
    <w:rsid w:val="00B3377F"/>
    <w:rsid w:val="00B34898"/>
    <w:rsid w:val="00B34CD6"/>
    <w:rsid w:val="00B3512B"/>
    <w:rsid w:val="00B36439"/>
    <w:rsid w:val="00B4049F"/>
    <w:rsid w:val="00B40F77"/>
    <w:rsid w:val="00B41D5B"/>
    <w:rsid w:val="00B43E14"/>
    <w:rsid w:val="00B44F57"/>
    <w:rsid w:val="00B451B6"/>
    <w:rsid w:val="00B46E7E"/>
    <w:rsid w:val="00B5324B"/>
    <w:rsid w:val="00B53BDF"/>
    <w:rsid w:val="00B5507E"/>
    <w:rsid w:val="00B577BD"/>
    <w:rsid w:val="00B57BAC"/>
    <w:rsid w:val="00B602EF"/>
    <w:rsid w:val="00B603BF"/>
    <w:rsid w:val="00B62DBA"/>
    <w:rsid w:val="00B6372C"/>
    <w:rsid w:val="00B6379D"/>
    <w:rsid w:val="00B649E2"/>
    <w:rsid w:val="00B66D6A"/>
    <w:rsid w:val="00B70E39"/>
    <w:rsid w:val="00B71A01"/>
    <w:rsid w:val="00B763D6"/>
    <w:rsid w:val="00B76F06"/>
    <w:rsid w:val="00B81C31"/>
    <w:rsid w:val="00B8210A"/>
    <w:rsid w:val="00B85036"/>
    <w:rsid w:val="00B86361"/>
    <w:rsid w:val="00B91F9E"/>
    <w:rsid w:val="00B93343"/>
    <w:rsid w:val="00B9386A"/>
    <w:rsid w:val="00B95D2C"/>
    <w:rsid w:val="00B974D2"/>
    <w:rsid w:val="00BA13F6"/>
    <w:rsid w:val="00BA309C"/>
    <w:rsid w:val="00BA4767"/>
    <w:rsid w:val="00BA4873"/>
    <w:rsid w:val="00BA4E63"/>
    <w:rsid w:val="00BA6C42"/>
    <w:rsid w:val="00BA7637"/>
    <w:rsid w:val="00BA78C8"/>
    <w:rsid w:val="00BB0E7F"/>
    <w:rsid w:val="00BB19E5"/>
    <w:rsid w:val="00BB2091"/>
    <w:rsid w:val="00BB29DD"/>
    <w:rsid w:val="00BB41C6"/>
    <w:rsid w:val="00BB4A4F"/>
    <w:rsid w:val="00BB5FBE"/>
    <w:rsid w:val="00BB669A"/>
    <w:rsid w:val="00BC2626"/>
    <w:rsid w:val="00BC30AA"/>
    <w:rsid w:val="00BC4E85"/>
    <w:rsid w:val="00BC7E27"/>
    <w:rsid w:val="00BD02F3"/>
    <w:rsid w:val="00BD0449"/>
    <w:rsid w:val="00BD047F"/>
    <w:rsid w:val="00BD19BD"/>
    <w:rsid w:val="00BD2CE8"/>
    <w:rsid w:val="00BD3C0A"/>
    <w:rsid w:val="00BD48BA"/>
    <w:rsid w:val="00BD4DCD"/>
    <w:rsid w:val="00BD593A"/>
    <w:rsid w:val="00BD7957"/>
    <w:rsid w:val="00BE40E6"/>
    <w:rsid w:val="00BE4720"/>
    <w:rsid w:val="00BE7980"/>
    <w:rsid w:val="00BF1F5C"/>
    <w:rsid w:val="00BF32DE"/>
    <w:rsid w:val="00BF6229"/>
    <w:rsid w:val="00BF6B7D"/>
    <w:rsid w:val="00C00181"/>
    <w:rsid w:val="00C01880"/>
    <w:rsid w:val="00C03C00"/>
    <w:rsid w:val="00C04388"/>
    <w:rsid w:val="00C04668"/>
    <w:rsid w:val="00C04925"/>
    <w:rsid w:val="00C04D63"/>
    <w:rsid w:val="00C058FF"/>
    <w:rsid w:val="00C06CDA"/>
    <w:rsid w:val="00C158F4"/>
    <w:rsid w:val="00C17EF0"/>
    <w:rsid w:val="00C2132E"/>
    <w:rsid w:val="00C21CF4"/>
    <w:rsid w:val="00C23090"/>
    <w:rsid w:val="00C23371"/>
    <w:rsid w:val="00C26B12"/>
    <w:rsid w:val="00C27229"/>
    <w:rsid w:val="00C30D22"/>
    <w:rsid w:val="00C313CC"/>
    <w:rsid w:val="00C3174D"/>
    <w:rsid w:val="00C33554"/>
    <w:rsid w:val="00C35540"/>
    <w:rsid w:val="00C36BCE"/>
    <w:rsid w:val="00C40353"/>
    <w:rsid w:val="00C4139D"/>
    <w:rsid w:val="00C416FE"/>
    <w:rsid w:val="00C44D16"/>
    <w:rsid w:val="00C453F5"/>
    <w:rsid w:val="00C455FB"/>
    <w:rsid w:val="00C46A7F"/>
    <w:rsid w:val="00C50685"/>
    <w:rsid w:val="00C529CE"/>
    <w:rsid w:val="00C5390A"/>
    <w:rsid w:val="00C53F61"/>
    <w:rsid w:val="00C54811"/>
    <w:rsid w:val="00C564C6"/>
    <w:rsid w:val="00C567B6"/>
    <w:rsid w:val="00C61655"/>
    <w:rsid w:val="00C61831"/>
    <w:rsid w:val="00C62FD2"/>
    <w:rsid w:val="00C639FF"/>
    <w:rsid w:val="00C64820"/>
    <w:rsid w:val="00C648CD"/>
    <w:rsid w:val="00C65598"/>
    <w:rsid w:val="00C666C6"/>
    <w:rsid w:val="00C67F92"/>
    <w:rsid w:val="00C70025"/>
    <w:rsid w:val="00C71005"/>
    <w:rsid w:val="00C7208A"/>
    <w:rsid w:val="00C751BF"/>
    <w:rsid w:val="00C756BE"/>
    <w:rsid w:val="00C75DFF"/>
    <w:rsid w:val="00C76EA2"/>
    <w:rsid w:val="00C77023"/>
    <w:rsid w:val="00C80382"/>
    <w:rsid w:val="00C81329"/>
    <w:rsid w:val="00C84BF3"/>
    <w:rsid w:val="00C84DD9"/>
    <w:rsid w:val="00C86572"/>
    <w:rsid w:val="00C9086A"/>
    <w:rsid w:val="00C91FF1"/>
    <w:rsid w:val="00C9356E"/>
    <w:rsid w:val="00C946DF"/>
    <w:rsid w:val="00C94C9E"/>
    <w:rsid w:val="00C96D03"/>
    <w:rsid w:val="00CA3684"/>
    <w:rsid w:val="00CA39E4"/>
    <w:rsid w:val="00CA693D"/>
    <w:rsid w:val="00CA7D28"/>
    <w:rsid w:val="00CB369B"/>
    <w:rsid w:val="00CB385F"/>
    <w:rsid w:val="00CB5378"/>
    <w:rsid w:val="00CB6EE9"/>
    <w:rsid w:val="00CB7754"/>
    <w:rsid w:val="00CB7FE3"/>
    <w:rsid w:val="00CC09D9"/>
    <w:rsid w:val="00CC33C1"/>
    <w:rsid w:val="00CC3EAC"/>
    <w:rsid w:val="00CC693C"/>
    <w:rsid w:val="00CC73D1"/>
    <w:rsid w:val="00CC757C"/>
    <w:rsid w:val="00CC783C"/>
    <w:rsid w:val="00CD318F"/>
    <w:rsid w:val="00CD4EE8"/>
    <w:rsid w:val="00CD6A9C"/>
    <w:rsid w:val="00CD6BD2"/>
    <w:rsid w:val="00CE1F8C"/>
    <w:rsid w:val="00CE3E90"/>
    <w:rsid w:val="00CE43BF"/>
    <w:rsid w:val="00CE5743"/>
    <w:rsid w:val="00CE5B67"/>
    <w:rsid w:val="00CE6773"/>
    <w:rsid w:val="00CE740A"/>
    <w:rsid w:val="00CF0749"/>
    <w:rsid w:val="00CF0756"/>
    <w:rsid w:val="00CF38D9"/>
    <w:rsid w:val="00CF3D84"/>
    <w:rsid w:val="00CF5E06"/>
    <w:rsid w:val="00CF7AE9"/>
    <w:rsid w:val="00D00410"/>
    <w:rsid w:val="00D014F0"/>
    <w:rsid w:val="00D01E9C"/>
    <w:rsid w:val="00D0227D"/>
    <w:rsid w:val="00D022E5"/>
    <w:rsid w:val="00D03CF1"/>
    <w:rsid w:val="00D04CA6"/>
    <w:rsid w:val="00D06028"/>
    <w:rsid w:val="00D106D0"/>
    <w:rsid w:val="00D11C49"/>
    <w:rsid w:val="00D142D6"/>
    <w:rsid w:val="00D14840"/>
    <w:rsid w:val="00D1511F"/>
    <w:rsid w:val="00D152DF"/>
    <w:rsid w:val="00D17C12"/>
    <w:rsid w:val="00D218A5"/>
    <w:rsid w:val="00D21F33"/>
    <w:rsid w:val="00D21FFD"/>
    <w:rsid w:val="00D22347"/>
    <w:rsid w:val="00D2555E"/>
    <w:rsid w:val="00D274FF"/>
    <w:rsid w:val="00D30344"/>
    <w:rsid w:val="00D307F0"/>
    <w:rsid w:val="00D30E59"/>
    <w:rsid w:val="00D32EBC"/>
    <w:rsid w:val="00D33D1D"/>
    <w:rsid w:val="00D3480E"/>
    <w:rsid w:val="00D3601C"/>
    <w:rsid w:val="00D36D04"/>
    <w:rsid w:val="00D406C1"/>
    <w:rsid w:val="00D406F8"/>
    <w:rsid w:val="00D40ACE"/>
    <w:rsid w:val="00D428CE"/>
    <w:rsid w:val="00D429F9"/>
    <w:rsid w:val="00D42E72"/>
    <w:rsid w:val="00D44A6B"/>
    <w:rsid w:val="00D4583D"/>
    <w:rsid w:val="00D47771"/>
    <w:rsid w:val="00D479B7"/>
    <w:rsid w:val="00D51689"/>
    <w:rsid w:val="00D520B1"/>
    <w:rsid w:val="00D52941"/>
    <w:rsid w:val="00D55450"/>
    <w:rsid w:val="00D57EEC"/>
    <w:rsid w:val="00D61DE6"/>
    <w:rsid w:val="00D6284E"/>
    <w:rsid w:val="00D62ABC"/>
    <w:rsid w:val="00D62C4A"/>
    <w:rsid w:val="00D62C7D"/>
    <w:rsid w:val="00D62FE4"/>
    <w:rsid w:val="00D62FEA"/>
    <w:rsid w:val="00D64B55"/>
    <w:rsid w:val="00D66AA8"/>
    <w:rsid w:val="00D67903"/>
    <w:rsid w:val="00D70772"/>
    <w:rsid w:val="00D72845"/>
    <w:rsid w:val="00D73C21"/>
    <w:rsid w:val="00D73D51"/>
    <w:rsid w:val="00D743DB"/>
    <w:rsid w:val="00D74F5D"/>
    <w:rsid w:val="00D7584D"/>
    <w:rsid w:val="00D7716E"/>
    <w:rsid w:val="00D775EA"/>
    <w:rsid w:val="00D77863"/>
    <w:rsid w:val="00D812F8"/>
    <w:rsid w:val="00D83D8E"/>
    <w:rsid w:val="00D8456D"/>
    <w:rsid w:val="00D84946"/>
    <w:rsid w:val="00D84B57"/>
    <w:rsid w:val="00D85C04"/>
    <w:rsid w:val="00D864E8"/>
    <w:rsid w:val="00D87341"/>
    <w:rsid w:val="00D8752C"/>
    <w:rsid w:val="00D90F1B"/>
    <w:rsid w:val="00D91A3C"/>
    <w:rsid w:val="00D934F7"/>
    <w:rsid w:val="00D94234"/>
    <w:rsid w:val="00D96925"/>
    <w:rsid w:val="00DA0204"/>
    <w:rsid w:val="00DA0C62"/>
    <w:rsid w:val="00DA1525"/>
    <w:rsid w:val="00DA2664"/>
    <w:rsid w:val="00DA2D97"/>
    <w:rsid w:val="00DA3253"/>
    <w:rsid w:val="00DA39AB"/>
    <w:rsid w:val="00DA551D"/>
    <w:rsid w:val="00DA5DF2"/>
    <w:rsid w:val="00DA7A79"/>
    <w:rsid w:val="00DA7FE6"/>
    <w:rsid w:val="00DB09E6"/>
    <w:rsid w:val="00DB1C9C"/>
    <w:rsid w:val="00DB23A1"/>
    <w:rsid w:val="00DB3CDA"/>
    <w:rsid w:val="00DB42D0"/>
    <w:rsid w:val="00DB7080"/>
    <w:rsid w:val="00DB7341"/>
    <w:rsid w:val="00DC319F"/>
    <w:rsid w:val="00DC3BC7"/>
    <w:rsid w:val="00DC3FC5"/>
    <w:rsid w:val="00DD0AE1"/>
    <w:rsid w:val="00DD0FE8"/>
    <w:rsid w:val="00DD2103"/>
    <w:rsid w:val="00DD2CAB"/>
    <w:rsid w:val="00DD2CBA"/>
    <w:rsid w:val="00DD414A"/>
    <w:rsid w:val="00DD417E"/>
    <w:rsid w:val="00DD6D7C"/>
    <w:rsid w:val="00DE0128"/>
    <w:rsid w:val="00DE1F95"/>
    <w:rsid w:val="00DE5589"/>
    <w:rsid w:val="00DE5CE2"/>
    <w:rsid w:val="00DE6299"/>
    <w:rsid w:val="00DE6D2F"/>
    <w:rsid w:val="00DF1628"/>
    <w:rsid w:val="00DF3586"/>
    <w:rsid w:val="00DF7148"/>
    <w:rsid w:val="00DF7C73"/>
    <w:rsid w:val="00E00F86"/>
    <w:rsid w:val="00E03C55"/>
    <w:rsid w:val="00E03E74"/>
    <w:rsid w:val="00E06254"/>
    <w:rsid w:val="00E10022"/>
    <w:rsid w:val="00E104BE"/>
    <w:rsid w:val="00E11F7D"/>
    <w:rsid w:val="00E12905"/>
    <w:rsid w:val="00E12D6D"/>
    <w:rsid w:val="00E14351"/>
    <w:rsid w:val="00E143C7"/>
    <w:rsid w:val="00E153EE"/>
    <w:rsid w:val="00E171F5"/>
    <w:rsid w:val="00E1732C"/>
    <w:rsid w:val="00E21934"/>
    <w:rsid w:val="00E2535B"/>
    <w:rsid w:val="00E25BBF"/>
    <w:rsid w:val="00E30463"/>
    <w:rsid w:val="00E30A2F"/>
    <w:rsid w:val="00E32794"/>
    <w:rsid w:val="00E341DF"/>
    <w:rsid w:val="00E345D8"/>
    <w:rsid w:val="00E34747"/>
    <w:rsid w:val="00E36665"/>
    <w:rsid w:val="00E40CE7"/>
    <w:rsid w:val="00E41454"/>
    <w:rsid w:val="00E420C8"/>
    <w:rsid w:val="00E42249"/>
    <w:rsid w:val="00E42317"/>
    <w:rsid w:val="00E42FEC"/>
    <w:rsid w:val="00E464E2"/>
    <w:rsid w:val="00E479AD"/>
    <w:rsid w:val="00E51042"/>
    <w:rsid w:val="00E5323B"/>
    <w:rsid w:val="00E53AAE"/>
    <w:rsid w:val="00E53BBA"/>
    <w:rsid w:val="00E54029"/>
    <w:rsid w:val="00E54AE8"/>
    <w:rsid w:val="00E60B78"/>
    <w:rsid w:val="00E618D7"/>
    <w:rsid w:val="00E62228"/>
    <w:rsid w:val="00E62921"/>
    <w:rsid w:val="00E6391E"/>
    <w:rsid w:val="00E66A2F"/>
    <w:rsid w:val="00E67C2C"/>
    <w:rsid w:val="00E67F67"/>
    <w:rsid w:val="00E703C5"/>
    <w:rsid w:val="00E70643"/>
    <w:rsid w:val="00E71469"/>
    <w:rsid w:val="00E72A8D"/>
    <w:rsid w:val="00E73322"/>
    <w:rsid w:val="00E74957"/>
    <w:rsid w:val="00E75058"/>
    <w:rsid w:val="00E75E52"/>
    <w:rsid w:val="00E76464"/>
    <w:rsid w:val="00E765BC"/>
    <w:rsid w:val="00E76DA2"/>
    <w:rsid w:val="00E779D7"/>
    <w:rsid w:val="00E80A93"/>
    <w:rsid w:val="00E81896"/>
    <w:rsid w:val="00E83C9D"/>
    <w:rsid w:val="00E84455"/>
    <w:rsid w:val="00E8475E"/>
    <w:rsid w:val="00E84BB5"/>
    <w:rsid w:val="00E84BE6"/>
    <w:rsid w:val="00E854C2"/>
    <w:rsid w:val="00E86F65"/>
    <w:rsid w:val="00E877E1"/>
    <w:rsid w:val="00E909A1"/>
    <w:rsid w:val="00E915AA"/>
    <w:rsid w:val="00E91F4E"/>
    <w:rsid w:val="00E925B1"/>
    <w:rsid w:val="00E9316B"/>
    <w:rsid w:val="00E936C2"/>
    <w:rsid w:val="00E939E2"/>
    <w:rsid w:val="00E93D08"/>
    <w:rsid w:val="00E93E55"/>
    <w:rsid w:val="00E940DC"/>
    <w:rsid w:val="00E952FF"/>
    <w:rsid w:val="00E95DD6"/>
    <w:rsid w:val="00E965E9"/>
    <w:rsid w:val="00E96B22"/>
    <w:rsid w:val="00EA0C33"/>
    <w:rsid w:val="00EA0D78"/>
    <w:rsid w:val="00EA25BD"/>
    <w:rsid w:val="00EA26FD"/>
    <w:rsid w:val="00EA2F1F"/>
    <w:rsid w:val="00EA40DB"/>
    <w:rsid w:val="00EA4941"/>
    <w:rsid w:val="00EA5684"/>
    <w:rsid w:val="00EA5F30"/>
    <w:rsid w:val="00EA779F"/>
    <w:rsid w:val="00EB1614"/>
    <w:rsid w:val="00EB1665"/>
    <w:rsid w:val="00EB3719"/>
    <w:rsid w:val="00EB41E7"/>
    <w:rsid w:val="00EB441E"/>
    <w:rsid w:val="00EB665F"/>
    <w:rsid w:val="00EB666E"/>
    <w:rsid w:val="00EC4E39"/>
    <w:rsid w:val="00EC6EFA"/>
    <w:rsid w:val="00EC7993"/>
    <w:rsid w:val="00ED024D"/>
    <w:rsid w:val="00ED1063"/>
    <w:rsid w:val="00ED1AFE"/>
    <w:rsid w:val="00ED325E"/>
    <w:rsid w:val="00ED3E96"/>
    <w:rsid w:val="00ED467B"/>
    <w:rsid w:val="00ED6694"/>
    <w:rsid w:val="00ED6D7E"/>
    <w:rsid w:val="00ED6F49"/>
    <w:rsid w:val="00ED7049"/>
    <w:rsid w:val="00ED7FC4"/>
    <w:rsid w:val="00EE1A49"/>
    <w:rsid w:val="00EE2FED"/>
    <w:rsid w:val="00EE332C"/>
    <w:rsid w:val="00EE3370"/>
    <w:rsid w:val="00EE3729"/>
    <w:rsid w:val="00EE438D"/>
    <w:rsid w:val="00EE5CA3"/>
    <w:rsid w:val="00EE621A"/>
    <w:rsid w:val="00EF0756"/>
    <w:rsid w:val="00EF21FB"/>
    <w:rsid w:val="00EF3F7E"/>
    <w:rsid w:val="00EF4206"/>
    <w:rsid w:val="00EF4391"/>
    <w:rsid w:val="00EF5899"/>
    <w:rsid w:val="00F00A80"/>
    <w:rsid w:val="00F07221"/>
    <w:rsid w:val="00F072B0"/>
    <w:rsid w:val="00F10BB5"/>
    <w:rsid w:val="00F1130E"/>
    <w:rsid w:val="00F14ED9"/>
    <w:rsid w:val="00F15185"/>
    <w:rsid w:val="00F1643D"/>
    <w:rsid w:val="00F164AD"/>
    <w:rsid w:val="00F177FA"/>
    <w:rsid w:val="00F2177A"/>
    <w:rsid w:val="00F21D6F"/>
    <w:rsid w:val="00F23183"/>
    <w:rsid w:val="00F2379F"/>
    <w:rsid w:val="00F25B08"/>
    <w:rsid w:val="00F2642D"/>
    <w:rsid w:val="00F324EC"/>
    <w:rsid w:val="00F32B2E"/>
    <w:rsid w:val="00F34D06"/>
    <w:rsid w:val="00F359C3"/>
    <w:rsid w:val="00F35D91"/>
    <w:rsid w:val="00F35F0A"/>
    <w:rsid w:val="00F37420"/>
    <w:rsid w:val="00F37E75"/>
    <w:rsid w:val="00F41BDB"/>
    <w:rsid w:val="00F445FA"/>
    <w:rsid w:val="00F46ACE"/>
    <w:rsid w:val="00F51023"/>
    <w:rsid w:val="00F53A69"/>
    <w:rsid w:val="00F56EE8"/>
    <w:rsid w:val="00F61942"/>
    <w:rsid w:val="00F66677"/>
    <w:rsid w:val="00F67EAD"/>
    <w:rsid w:val="00F70415"/>
    <w:rsid w:val="00F713A6"/>
    <w:rsid w:val="00F71881"/>
    <w:rsid w:val="00F71F27"/>
    <w:rsid w:val="00F723D4"/>
    <w:rsid w:val="00F72688"/>
    <w:rsid w:val="00F743B8"/>
    <w:rsid w:val="00F758BD"/>
    <w:rsid w:val="00F765DF"/>
    <w:rsid w:val="00F80C4C"/>
    <w:rsid w:val="00F8308B"/>
    <w:rsid w:val="00F83F75"/>
    <w:rsid w:val="00F84548"/>
    <w:rsid w:val="00F8528E"/>
    <w:rsid w:val="00F86C2E"/>
    <w:rsid w:val="00F92484"/>
    <w:rsid w:val="00F926B8"/>
    <w:rsid w:val="00F926F6"/>
    <w:rsid w:val="00F945E9"/>
    <w:rsid w:val="00F947E6"/>
    <w:rsid w:val="00F9554E"/>
    <w:rsid w:val="00F956AA"/>
    <w:rsid w:val="00F958B1"/>
    <w:rsid w:val="00F97F79"/>
    <w:rsid w:val="00FA0946"/>
    <w:rsid w:val="00FA1355"/>
    <w:rsid w:val="00FA1B4F"/>
    <w:rsid w:val="00FA1D7A"/>
    <w:rsid w:val="00FA3D21"/>
    <w:rsid w:val="00FA4B88"/>
    <w:rsid w:val="00FA6D7D"/>
    <w:rsid w:val="00FB01F4"/>
    <w:rsid w:val="00FB1839"/>
    <w:rsid w:val="00FB1E52"/>
    <w:rsid w:val="00FB1F78"/>
    <w:rsid w:val="00FB2B65"/>
    <w:rsid w:val="00FB5587"/>
    <w:rsid w:val="00FB7148"/>
    <w:rsid w:val="00FC3537"/>
    <w:rsid w:val="00FC51D8"/>
    <w:rsid w:val="00FD1DA5"/>
    <w:rsid w:val="00FD3FAD"/>
    <w:rsid w:val="00FD5233"/>
    <w:rsid w:val="00FE01EB"/>
    <w:rsid w:val="00FE039C"/>
    <w:rsid w:val="00FE0592"/>
    <w:rsid w:val="00FE1706"/>
    <w:rsid w:val="00FE1CFB"/>
    <w:rsid w:val="00FE23ED"/>
    <w:rsid w:val="00FE3FA6"/>
    <w:rsid w:val="00FE663F"/>
    <w:rsid w:val="00FE739B"/>
    <w:rsid w:val="00FF0411"/>
    <w:rsid w:val="00FF119E"/>
    <w:rsid w:val="00FF16CA"/>
    <w:rsid w:val="00FF38DF"/>
    <w:rsid w:val="00FF4E50"/>
    <w:rsid w:val="00FF5C96"/>
    <w:rsid w:val="00FF649F"/>
    <w:rsid w:val="00FF6A47"/>
    <w:rsid w:val="00FF6B9B"/>
    <w:rsid w:val="00FF6E96"/>
    <w:rsid w:val="00FF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1BB1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Num Bullet 1,Bulletted,Table Number Paragraph,Bullet List,FooterText,numbered,Paragraphe de liste1,Bulletr List Paragraph,列出段落,列出段落1,Listeafsnit1"/>
    <w:basedOn w:val="Normal"/>
    <w:link w:val="ListParagraphChar"/>
    <w:uiPriority w:val="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uiPriority w:val="99"/>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Bullet Number Char,List Paragraph1 Char,lp1 Char,lp11 Char,List Paragraph11 Char,Bullet 1 Char,Use Case List Paragraph Char,Num Bullet 1 Char,Bulletted Char,Table Number Paragraph Char,Bullet List Char,FooterText Char,numbered Char"/>
    <w:basedOn w:val="DefaultParagraphFont"/>
    <w:link w:val="ListParagraph"/>
    <w:uiPriority w:val="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paragraph" w:styleId="NoSpacing">
    <w:name w:val="No Spacing"/>
    <w:uiPriority w:val="1"/>
    <w:qFormat/>
    <w:rsid w:val="00AA3D60"/>
    <w:pPr>
      <w:spacing w:after="0" w:line="240" w:lineRule="auto"/>
    </w:pPr>
    <w:rPr>
      <w:lang w:val="en-ZA"/>
    </w:rPr>
  </w:style>
  <w:style w:type="character" w:styleId="UnresolvedMention">
    <w:name w:val="Unresolved Mention"/>
    <w:basedOn w:val="DefaultParagraphFont"/>
    <w:uiPriority w:val="99"/>
    <w:unhideWhenUsed/>
    <w:rsid w:val="00540CCD"/>
    <w:rPr>
      <w:color w:val="605E5C"/>
      <w:shd w:val="clear" w:color="auto" w:fill="E1DFDD"/>
    </w:rPr>
  </w:style>
  <w:style w:type="numbering" w:customStyle="1" w:styleId="TableBullets1">
    <w:name w:val="Table Bullets1"/>
    <w:uiPriority w:val="99"/>
    <w:rsid w:val="00694322"/>
    <w:pPr>
      <w:numPr>
        <w:numId w:val="17"/>
      </w:numPr>
    </w:pPr>
  </w:style>
  <w:style w:type="paragraph" w:customStyle="1" w:styleId="Heading5Numbered">
    <w:name w:val="Heading 5 (Numbered)"/>
    <w:basedOn w:val="Normal"/>
    <w:next w:val="Normal"/>
    <w:uiPriority w:val="99"/>
    <w:semiHidden/>
    <w:rsid w:val="008202F7"/>
    <w:pPr>
      <w:keepNext/>
      <w:keepLines/>
      <w:framePr w:wrap="around" w:vAnchor="text" w:hAnchor="text" w:y="1"/>
      <w:numPr>
        <w:numId w:val="18"/>
      </w:numPr>
      <w:tabs>
        <w:tab w:val="left" w:pos="2160"/>
      </w:tabs>
      <w:spacing w:before="240" w:after="240" w:line="240" w:lineRule="auto"/>
      <w:outlineLvl w:val="4"/>
    </w:pPr>
    <w:rPr>
      <w:color w:val="008AC8"/>
      <w:spacing w:val="10"/>
      <w:sz w:val="24"/>
      <w:szCs w:val="20"/>
      <w:lang w:val="en-GB"/>
    </w:rPr>
  </w:style>
  <w:style w:type="table" w:styleId="TableGridLight">
    <w:name w:val="Grid Table Light"/>
    <w:basedOn w:val="TableNormal"/>
    <w:uiPriority w:val="40"/>
    <w:rsid w:val="00820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Heading1">
    <w:name w:val="Num Heading 1"/>
    <w:basedOn w:val="Heading1"/>
    <w:next w:val="Normal"/>
    <w:semiHidden/>
    <w:rsid w:val="003F25C8"/>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78339651">
      <w:bodyDiv w:val="1"/>
      <w:marLeft w:val="0"/>
      <w:marRight w:val="0"/>
      <w:marTop w:val="0"/>
      <w:marBottom w:val="0"/>
      <w:divBdr>
        <w:top w:val="none" w:sz="0" w:space="0" w:color="auto"/>
        <w:left w:val="none" w:sz="0" w:space="0" w:color="auto"/>
        <w:bottom w:val="none" w:sz="0" w:space="0" w:color="auto"/>
        <w:right w:val="none" w:sz="0" w:space="0" w:color="auto"/>
      </w:divBdr>
      <w:divsChild>
        <w:div w:id="1806505155">
          <w:marLeft w:val="0"/>
          <w:marRight w:val="0"/>
          <w:marTop w:val="0"/>
          <w:marBottom w:val="0"/>
          <w:divBdr>
            <w:top w:val="none" w:sz="0" w:space="0" w:color="auto"/>
            <w:left w:val="none" w:sz="0" w:space="0" w:color="auto"/>
            <w:bottom w:val="none" w:sz="0" w:space="0" w:color="auto"/>
            <w:right w:val="none" w:sz="0" w:space="0" w:color="auto"/>
          </w:divBdr>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05884229">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9744677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77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385FC2-7170-4935-8898-656A8A01DF91}">
  <ds:schemaRefs>
    <ds:schemaRef ds:uri="http://schemas.openxmlformats.org/officeDocument/2006/bibliography"/>
  </ds:schemaRefs>
</ds:datastoreItem>
</file>

<file path=customXml/itemProps2.xml><?xml version="1.0" encoding="utf-8"?>
<ds:datastoreItem xmlns:ds="http://schemas.openxmlformats.org/officeDocument/2006/customXml" ds:itemID="{FC39E7BA-CCCE-476C-AA0C-695990DAA417}"/>
</file>

<file path=customXml/itemProps3.xml><?xml version="1.0" encoding="utf-8"?>
<ds:datastoreItem xmlns:ds="http://schemas.openxmlformats.org/officeDocument/2006/customXml" ds:itemID="{D84C2144-BCFD-4CD8-A3BD-F528F27C0046}"/>
</file>

<file path=customXml/itemProps4.xml><?xml version="1.0" encoding="utf-8"?>
<ds:datastoreItem xmlns:ds="http://schemas.openxmlformats.org/officeDocument/2006/customXml" ds:itemID="{3615ACE3-C640-4546-8E12-5B60430F7412}"/>
</file>

<file path=docProps/app.xml><?xml version="1.0" encoding="utf-8"?>
<Properties xmlns="http://schemas.openxmlformats.org/officeDocument/2006/extended-properties" xmlns:vt="http://schemas.openxmlformats.org/officeDocument/2006/docPropsVTypes">
  <Template>Normal</Template>
  <TotalTime>0</TotalTime>
  <Pages>13</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23706</CharactersWithSpaces>
  <SharedDoc>false</SharedDoc>
  <HLinks>
    <vt:vector size="90" baseType="variant">
      <vt:variant>
        <vt:i4>1441845</vt:i4>
      </vt:variant>
      <vt:variant>
        <vt:i4>89</vt:i4>
      </vt:variant>
      <vt:variant>
        <vt:i4>0</vt:i4>
      </vt:variant>
      <vt:variant>
        <vt:i4>5</vt:i4>
      </vt:variant>
      <vt:variant>
        <vt:lpwstr/>
      </vt:variant>
      <vt:variant>
        <vt:lpwstr>_Toc22761316</vt:lpwstr>
      </vt:variant>
      <vt:variant>
        <vt:i4>1376309</vt:i4>
      </vt:variant>
      <vt:variant>
        <vt:i4>83</vt:i4>
      </vt:variant>
      <vt:variant>
        <vt:i4>0</vt:i4>
      </vt:variant>
      <vt:variant>
        <vt:i4>5</vt:i4>
      </vt:variant>
      <vt:variant>
        <vt:lpwstr/>
      </vt:variant>
      <vt:variant>
        <vt:lpwstr>_Toc22761315</vt:lpwstr>
      </vt:variant>
      <vt:variant>
        <vt:i4>1310773</vt:i4>
      </vt:variant>
      <vt:variant>
        <vt:i4>77</vt:i4>
      </vt:variant>
      <vt:variant>
        <vt:i4>0</vt:i4>
      </vt:variant>
      <vt:variant>
        <vt:i4>5</vt:i4>
      </vt:variant>
      <vt:variant>
        <vt:lpwstr/>
      </vt:variant>
      <vt:variant>
        <vt:lpwstr>_Toc22761314</vt:lpwstr>
      </vt:variant>
      <vt:variant>
        <vt:i4>1245237</vt:i4>
      </vt:variant>
      <vt:variant>
        <vt:i4>71</vt:i4>
      </vt:variant>
      <vt:variant>
        <vt:i4>0</vt:i4>
      </vt:variant>
      <vt:variant>
        <vt:i4>5</vt:i4>
      </vt:variant>
      <vt:variant>
        <vt:lpwstr/>
      </vt:variant>
      <vt:variant>
        <vt:lpwstr>_Toc22761313</vt:lpwstr>
      </vt:variant>
      <vt:variant>
        <vt:i4>1179701</vt:i4>
      </vt:variant>
      <vt:variant>
        <vt:i4>65</vt:i4>
      </vt:variant>
      <vt:variant>
        <vt:i4>0</vt:i4>
      </vt:variant>
      <vt:variant>
        <vt:i4>5</vt:i4>
      </vt:variant>
      <vt:variant>
        <vt:lpwstr/>
      </vt:variant>
      <vt:variant>
        <vt:lpwstr>_Toc22761312</vt:lpwstr>
      </vt:variant>
      <vt:variant>
        <vt:i4>1114165</vt:i4>
      </vt:variant>
      <vt:variant>
        <vt:i4>59</vt:i4>
      </vt:variant>
      <vt:variant>
        <vt:i4>0</vt:i4>
      </vt:variant>
      <vt:variant>
        <vt:i4>5</vt:i4>
      </vt:variant>
      <vt:variant>
        <vt:lpwstr/>
      </vt:variant>
      <vt:variant>
        <vt:lpwstr>_Toc22761311</vt:lpwstr>
      </vt:variant>
      <vt:variant>
        <vt:i4>1048629</vt:i4>
      </vt:variant>
      <vt:variant>
        <vt:i4>53</vt:i4>
      </vt:variant>
      <vt:variant>
        <vt:i4>0</vt:i4>
      </vt:variant>
      <vt:variant>
        <vt:i4>5</vt:i4>
      </vt:variant>
      <vt:variant>
        <vt:lpwstr/>
      </vt:variant>
      <vt:variant>
        <vt:lpwstr>_Toc22761310</vt:lpwstr>
      </vt:variant>
      <vt:variant>
        <vt:i4>1638452</vt:i4>
      </vt:variant>
      <vt:variant>
        <vt:i4>47</vt:i4>
      </vt:variant>
      <vt:variant>
        <vt:i4>0</vt:i4>
      </vt:variant>
      <vt:variant>
        <vt:i4>5</vt:i4>
      </vt:variant>
      <vt:variant>
        <vt:lpwstr/>
      </vt:variant>
      <vt:variant>
        <vt:lpwstr>_Toc22761309</vt:lpwstr>
      </vt:variant>
      <vt:variant>
        <vt:i4>1572916</vt:i4>
      </vt:variant>
      <vt:variant>
        <vt:i4>41</vt:i4>
      </vt:variant>
      <vt:variant>
        <vt:i4>0</vt:i4>
      </vt:variant>
      <vt:variant>
        <vt:i4>5</vt:i4>
      </vt:variant>
      <vt:variant>
        <vt:lpwstr/>
      </vt:variant>
      <vt:variant>
        <vt:lpwstr>_Toc22761308</vt:lpwstr>
      </vt:variant>
      <vt:variant>
        <vt:i4>1507380</vt:i4>
      </vt:variant>
      <vt:variant>
        <vt:i4>35</vt:i4>
      </vt:variant>
      <vt:variant>
        <vt:i4>0</vt:i4>
      </vt:variant>
      <vt:variant>
        <vt:i4>5</vt:i4>
      </vt:variant>
      <vt:variant>
        <vt:lpwstr/>
      </vt:variant>
      <vt:variant>
        <vt:lpwstr>_Toc22761307</vt:lpwstr>
      </vt:variant>
      <vt:variant>
        <vt:i4>1441844</vt:i4>
      </vt:variant>
      <vt:variant>
        <vt:i4>29</vt:i4>
      </vt:variant>
      <vt:variant>
        <vt:i4>0</vt:i4>
      </vt:variant>
      <vt:variant>
        <vt:i4>5</vt:i4>
      </vt:variant>
      <vt:variant>
        <vt:lpwstr/>
      </vt:variant>
      <vt:variant>
        <vt:lpwstr>_Toc22761306</vt:lpwstr>
      </vt:variant>
      <vt:variant>
        <vt:i4>1376308</vt:i4>
      </vt:variant>
      <vt:variant>
        <vt:i4>23</vt:i4>
      </vt:variant>
      <vt:variant>
        <vt:i4>0</vt:i4>
      </vt:variant>
      <vt:variant>
        <vt:i4>5</vt:i4>
      </vt:variant>
      <vt:variant>
        <vt:lpwstr/>
      </vt:variant>
      <vt:variant>
        <vt:lpwstr>_Toc22761305</vt:lpwstr>
      </vt:variant>
      <vt:variant>
        <vt:i4>1310772</vt:i4>
      </vt:variant>
      <vt:variant>
        <vt:i4>17</vt:i4>
      </vt:variant>
      <vt:variant>
        <vt:i4>0</vt:i4>
      </vt:variant>
      <vt:variant>
        <vt:i4>5</vt:i4>
      </vt:variant>
      <vt:variant>
        <vt:lpwstr/>
      </vt:variant>
      <vt:variant>
        <vt:lpwstr>_Toc22761304</vt:lpwstr>
      </vt:variant>
      <vt:variant>
        <vt:i4>1245236</vt:i4>
      </vt:variant>
      <vt:variant>
        <vt:i4>11</vt:i4>
      </vt:variant>
      <vt:variant>
        <vt:i4>0</vt:i4>
      </vt:variant>
      <vt:variant>
        <vt:i4>5</vt:i4>
      </vt:variant>
      <vt:variant>
        <vt:lpwstr/>
      </vt:variant>
      <vt:variant>
        <vt:lpwstr>_Toc22761303</vt:lpwstr>
      </vt:variant>
      <vt:variant>
        <vt:i4>1179700</vt:i4>
      </vt:variant>
      <vt:variant>
        <vt:i4>5</vt:i4>
      </vt:variant>
      <vt:variant>
        <vt:i4>0</vt:i4>
      </vt:variant>
      <vt:variant>
        <vt:i4>5</vt:i4>
      </vt:variant>
      <vt:variant>
        <vt:lpwstr/>
      </vt:variant>
      <vt:variant>
        <vt:lpwstr>_Toc22761302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2020-06-22T17:26:00Z</dcterms:created>
  <dcterms:modified xsi:type="dcterms:W3CDTF">2020-06-22T17:26:00Z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2020-02-10T13:42:23.8461265Z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ActionId">
    <vt:lpwstr>67a985dc-95c5-46d4-bfc2-e44f57804cbc</vt:lpwstr>
  </property>
  <property fmtid="{D5CDD505-2E9C-101B-9397-08002B2CF9AE}" pid="11" name="MSIP_Label_f42aa342-8706-4288-bd11-ebb85995028c_Owner">
    <vt:lpwstr>elsde@microsoft.com</vt:lpwstr>
  </property>
</Properties>
</file>