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9F87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548BBBDC" w14:textId="77777777" w:rsidR="00A059E4" w:rsidRDefault="00A059E4" w:rsidP="003E260B"/>
    <w:p w14:paraId="0FB2BB25" w14:textId="77777777" w:rsidR="00A059E4" w:rsidRDefault="00A059E4" w:rsidP="003E260B"/>
    <w:p w14:paraId="56C23FAD" w14:textId="77777777" w:rsidR="00A059E4" w:rsidRDefault="00A059E4" w:rsidP="003E260B"/>
    <w:p w14:paraId="7511A364" w14:textId="77777777" w:rsidR="00A059E4" w:rsidRDefault="00A059E4" w:rsidP="003E260B"/>
    <w:p w14:paraId="40B62179" w14:textId="77777777" w:rsidR="00717F2C" w:rsidRDefault="008E6137" w:rsidP="003E260B">
      <w:r w:rsidRPr="008E6137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77CE0" wp14:editId="4E2E9AF4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0E9C" w14:textId="77777777" w:rsidR="00CC57C3" w:rsidRDefault="00CC57C3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42AA72C1" w14:textId="77777777" w:rsidR="00CC57C3" w:rsidRPr="0052546A" w:rsidRDefault="00CC57C3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77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6A510E9C" w14:textId="77777777" w:rsidR="00CC57C3" w:rsidRDefault="00CC57C3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42AA72C1" w14:textId="77777777" w:rsidR="00CC57C3" w:rsidRPr="0052546A" w:rsidRDefault="00CC57C3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EF966" w14:textId="77777777" w:rsidR="00A86A5C" w:rsidRDefault="00A86A5C" w:rsidP="003E260B"/>
    <w:p w14:paraId="73227ABE" w14:textId="4FD7FC0A" w:rsidR="0043613E" w:rsidRDefault="0043613E" w:rsidP="00C62FD2">
      <w:pPr>
        <w:pStyle w:val="Instructional"/>
      </w:pPr>
    </w:p>
    <w:p w14:paraId="6F999D4A" w14:textId="29AA9726" w:rsidR="00624BAA" w:rsidRDefault="00624BAA" w:rsidP="00CF7AE9">
      <w:pPr>
        <w:rPr>
          <w:rFonts w:ascii="Segoe UI Semibold" w:hAnsi="Segoe UI Semibold" w:cs="Segoe UI Semibold"/>
          <w:color w:val="008272"/>
          <w:sz w:val="32"/>
        </w:rPr>
      </w:pPr>
      <w:bookmarkStart w:id="2" w:name="OLE_LINK1"/>
      <w:bookmarkStart w:id="3" w:name="OLE_LINK2"/>
    </w:p>
    <w:p w14:paraId="11E0E8A5" w14:textId="77777777" w:rsidR="00624BAA" w:rsidRPr="00B1555B" w:rsidRDefault="00624BAA" w:rsidP="00624BAA">
      <w:pPr>
        <w:rPr>
          <w:rFonts w:ascii="Segoe UI Semibold" w:hAnsi="Segoe UI Semibold" w:cs="Segoe UI Semibold"/>
          <w:color w:val="008272"/>
          <w:sz w:val="32"/>
        </w:rPr>
      </w:pPr>
      <w:r w:rsidRPr="00B1555B">
        <w:rPr>
          <w:rFonts w:ascii="Segoe UI Semibold" w:hAnsi="Segoe UI Semibold" w:cs="Segoe UI Semibold" w:hint="eastAsia"/>
          <w:color w:val="008272"/>
          <w:sz w:val="32"/>
        </w:rPr>
        <w:t>M</w:t>
      </w:r>
      <w:r w:rsidRPr="00B1555B">
        <w:rPr>
          <w:rFonts w:ascii="Segoe UI Semibold" w:hAnsi="Segoe UI Semibold" w:cs="Segoe UI Semibold"/>
          <w:color w:val="008272"/>
          <w:sz w:val="32"/>
        </w:rPr>
        <w:t>365 Onboarding Phase I-2</w:t>
      </w:r>
    </w:p>
    <w:p w14:paraId="7C49CC1E" w14:textId="77777777" w:rsidR="00624BAA" w:rsidRDefault="00624BAA" w:rsidP="00624BAA">
      <w:pPr>
        <w:rPr>
          <w:rFonts w:ascii="Segoe UI Semibold" w:hAnsi="Segoe UI Semibold" w:cs="Segoe UI Semibold"/>
          <w:color w:val="008272"/>
          <w:sz w:val="32"/>
        </w:rPr>
      </w:pPr>
      <w:r w:rsidRPr="00671D5A">
        <w:rPr>
          <w:rFonts w:ascii="Segoe UI Semibold" w:hAnsi="Segoe UI Semibold" w:cs="Segoe UI Semibold"/>
          <w:color w:val="008272"/>
          <w:sz w:val="32"/>
        </w:rPr>
        <w:t xml:space="preserve">T&amp;M support for </w:t>
      </w:r>
      <w:r w:rsidRPr="00E74FF0">
        <w:rPr>
          <w:rFonts w:ascii="Segoe UI Semibold" w:hAnsi="Segoe UI Semibold" w:cs="Segoe UI Semibold"/>
          <w:color w:val="008272"/>
          <w:sz w:val="32"/>
        </w:rPr>
        <w:t>Azure Information Protection</w:t>
      </w:r>
      <w:r w:rsidRPr="00671D5A">
        <w:rPr>
          <w:rFonts w:ascii="Segoe UI Semibold" w:hAnsi="Segoe UI Semibold" w:cs="Segoe UI Semibold"/>
          <w:color w:val="008272"/>
          <w:sz w:val="32"/>
        </w:rPr>
        <w:t xml:space="preserve"> </w:t>
      </w:r>
      <w:r>
        <w:rPr>
          <w:rFonts w:ascii="Segoe UI Semibold" w:hAnsi="Segoe UI Semibold" w:cs="Segoe UI Semibold"/>
          <w:color w:val="008272"/>
          <w:sz w:val="32"/>
          <w:lang w:eastAsia="zh-TW"/>
        </w:rPr>
        <w:t xml:space="preserve">Customization </w:t>
      </w:r>
      <w:r>
        <w:rPr>
          <w:rFonts w:ascii="Segoe UI Semibold" w:hAnsi="Segoe UI Semibold" w:cs="Segoe UI Semibold"/>
          <w:color w:val="008272"/>
          <w:sz w:val="32"/>
        </w:rPr>
        <w:t>support</w:t>
      </w:r>
    </w:p>
    <w:p w14:paraId="563CBDC6" w14:textId="77777777" w:rsidR="00624BAA" w:rsidRPr="00CF7AE9" w:rsidRDefault="00624BAA" w:rsidP="00CF7AE9">
      <w:pPr>
        <w:rPr>
          <w:rFonts w:ascii="Segoe UI Semibold" w:hAnsi="Segoe UI Semibold" w:cs="Segoe UI Semibold"/>
          <w:color w:val="008272"/>
          <w:sz w:val="32"/>
        </w:rPr>
      </w:pPr>
    </w:p>
    <w:bookmarkEnd w:id="2"/>
    <w:bookmarkEnd w:id="3"/>
    <w:p w14:paraId="01FDF949" w14:textId="77777777" w:rsidR="0043613E" w:rsidRDefault="0043613E" w:rsidP="003E260B"/>
    <w:p w14:paraId="07511C12" w14:textId="77777777" w:rsidR="00717F2C" w:rsidRDefault="00717F2C" w:rsidP="003E260B">
      <w:r>
        <w:t>Prepared for</w:t>
      </w:r>
    </w:p>
    <w:p w14:paraId="7678DC28" w14:textId="77777777" w:rsidR="00671D5A" w:rsidRDefault="00671D5A" w:rsidP="003E260B"/>
    <w:p w14:paraId="4EAFDCA3" w14:textId="0FEA3B3A" w:rsidR="00717F2C" w:rsidRDefault="00717F2C" w:rsidP="003E260B">
      <w:r>
        <w:t>Date:</w:t>
      </w:r>
      <w:r w:rsidR="00C5542A">
        <w:t xml:space="preserve"> March 19,2020 </w:t>
      </w:r>
    </w:p>
    <w:p w14:paraId="4BB04136" w14:textId="4AEB2F9F" w:rsidR="00717F2C" w:rsidRPr="00A8149E" w:rsidRDefault="00717F2C" w:rsidP="003E260B">
      <w:pPr>
        <w:rPr>
          <w:rStyle w:val="InstructionalChar"/>
          <w:lang w:eastAsia="zh-TW"/>
        </w:rPr>
      </w:pPr>
      <w:r>
        <w:t>Version</w:t>
      </w:r>
      <w:r w:rsidR="00FE01EB" w:rsidRPr="00A8149E">
        <w:rPr>
          <w:rStyle w:val="InstructionalChar"/>
        </w:rPr>
        <w:t xml:space="preserve">: </w:t>
      </w:r>
      <w:r w:rsidR="00671D5A">
        <w:rPr>
          <w:rStyle w:val="InstructionalChar"/>
          <w:rFonts w:hint="eastAsia"/>
          <w:lang w:eastAsia="zh-TW"/>
        </w:rPr>
        <w:t>1</w:t>
      </w:r>
      <w:r w:rsidR="00671D5A">
        <w:rPr>
          <w:rStyle w:val="InstructionalChar"/>
          <w:lang w:eastAsia="zh-TW"/>
        </w:rPr>
        <w:t>.0</w:t>
      </w:r>
    </w:p>
    <w:p w14:paraId="17AF6966" w14:textId="77777777" w:rsidR="007F148A" w:rsidRDefault="007F148A" w:rsidP="003E260B">
      <w:pPr>
        <w:sectPr w:rsidR="007F148A" w:rsidSect="00AC2C7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rFonts w:eastAsia="PMingLiU"/>
          <w:b/>
          <w:bCs/>
          <w:noProof/>
        </w:rPr>
      </w:sdtEndPr>
      <w:sdtContent>
        <w:p w14:paraId="3F6B1F0F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6CF69617" w14:textId="08852299" w:rsidR="00311C49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965550" w:history="1">
            <w:r w:rsidR="00311C49" w:rsidRPr="00CD1670">
              <w:rPr>
                <w:rStyle w:val="Hyperlink"/>
                <w:noProof/>
              </w:rPr>
              <w:t>Introduction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_Toc38965550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1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4AE8DE33" w14:textId="6FB0471D" w:rsidR="00311C49" w:rsidRDefault="00F93CF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1" w:history="1">
            <w:r w:rsidR="00311C49" w:rsidRPr="00CD1670">
              <w:rPr>
                <w:rStyle w:val="Hyperlink"/>
                <w:noProof/>
              </w:rPr>
              <w:t>1.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</w:t>
            </w:r>
            <w:r w:rsidR="00311C49" w:rsidRPr="00CD1670">
              <w:rPr>
                <w:rStyle w:val="Hyperlink"/>
                <w:rFonts w:ascii="PMingLiU" w:hAnsi="PMingLiU"/>
                <w:noProof/>
                <w:lang w:eastAsia="zh-TW"/>
              </w:rPr>
              <w:t xml:space="preserve"> </w:t>
            </w:r>
            <w:r w:rsidR="00311C49" w:rsidRPr="00CD1670">
              <w:rPr>
                <w:rStyle w:val="Hyperlink"/>
                <w:noProof/>
              </w:rPr>
              <w:t>Project objectives and scope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_Toc38965551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1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62A12F74" w14:textId="1BF05349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2" w:history="1">
            <w:r w:rsidR="00311C49" w:rsidRPr="00CD1670">
              <w:rPr>
                <w:rStyle w:val="Hyperlink"/>
                <w:noProof/>
              </w:rPr>
              <w:t>1.1.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Objectives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_Toc38965552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1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5CA668AE" w14:textId="36ACAFFA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3" w:history="1">
            <w:r w:rsidR="00311C49" w:rsidRPr="00CD1670">
              <w:rPr>
                <w:rStyle w:val="Hyperlink"/>
                <w:noProof/>
              </w:rPr>
              <w:t>1.2.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Areas in scope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_Toc38965553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1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770AB87E" w14:textId="3344B1D3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4" w:history="1">
            <w:r w:rsidR="00311C49" w:rsidRPr="00CD1670">
              <w:rPr>
                <w:rStyle w:val="Hyperlink"/>
                <w:noProof/>
              </w:rPr>
              <w:t>1.3.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Areas out of scope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_Toc38965554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2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7154BF71" w14:textId="6ACDD71C" w:rsidR="00311C49" w:rsidRDefault="00F93CF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5" w:history="1">
            <w:r w:rsidR="00311C49" w:rsidRPr="00CD1670">
              <w:rPr>
                <w:rStyle w:val="Hyperlink"/>
                <w:noProof/>
              </w:rPr>
              <w:t>2.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Project approach, timeline, and deliverable acceptance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_Toc38965555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3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5B41540D" w14:textId="78F12567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6" w:history="1">
            <w:r w:rsidR="00311C49" w:rsidRPr="00CD1670">
              <w:rPr>
                <w:rStyle w:val="Hyperlink"/>
                <w:noProof/>
              </w:rPr>
              <w:t>2.1.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Approach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_Toc38965556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3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74425641" w14:textId="7AA02408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7" w:history="1">
            <w:r w:rsidR="00311C49" w:rsidRPr="00CD1670">
              <w:rPr>
                <w:rStyle w:val="Hyperlink"/>
                <w:noProof/>
              </w:rPr>
              <w:t>2.2.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Timeline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_Toc38965557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4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2FF3EC28" w14:textId="2DC9D590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8" w:history="1">
            <w:r w:rsidR="00311C49" w:rsidRPr="00CD1670">
              <w:rPr>
                <w:rStyle w:val="Hyperlink"/>
                <w:noProof/>
              </w:rPr>
              <w:t>2.3.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Deliverables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_Toc38965558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4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3BB78DC7" w14:textId="189A5AE6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59" w:history="1">
            <w:r w:rsidR="00311C49" w:rsidRPr="00CD1670">
              <w:rPr>
                <w:rStyle w:val="Hyperlink"/>
                <w:noProof/>
              </w:rPr>
              <w:t>2.4.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 governance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_Toc38965559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4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0BC6DD91" w14:textId="56F000B3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0" w:history="1">
            <w:r w:rsidR="00311C49" w:rsidRPr="00CD1670">
              <w:rPr>
                <w:rStyle w:val="Hyperlink"/>
                <w:noProof/>
              </w:rPr>
              <w:t>2.5.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 completion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_Toc38965560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5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672EC815" w14:textId="6C36B13E" w:rsidR="00311C49" w:rsidRDefault="00F93CF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1" w:history="1">
            <w:r w:rsidR="00311C49" w:rsidRPr="00CD1670">
              <w:rPr>
                <w:rStyle w:val="Hyperlink"/>
                <w:noProof/>
              </w:rPr>
              <w:t>3.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 organization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_Toc38965561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6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08BEC79E" w14:textId="28E29B8F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2" w:history="1">
            <w:r w:rsidR="00311C49" w:rsidRPr="00CD1670">
              <w:rPr>
                <w:rStyle w:val="Hyperlink"/>
                <w:noProof/>
              </w:rPr>
              <w:t>3.1.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 roles and responsibilities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_Toc38965562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6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19FCA0CA" w14:textId="650895B4" w:rsidR="00311C49" w:rsidRDefault="00F93CF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3" w:history="1">
            <w:r w:rsidR="00311C49" w:rsidRPr="00CD1670">
              <w:rPr>
                <w:rStyle w:val="Hyperlink"/>
                <w:noProof/>
              </w:rPr>
              <w:t>4.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Customer responsibilities and engagement assumptions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_Toc38965563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7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0BB11531" w14:textId="74E263E5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4" w:history="1">
            <w:r w:rsidR="00311C49" w:rsidRPr="00CD1670">
              <w:rPr>
                <w:rStyle w:val="Hyperlink"/>
                <w:noProof/>
              </w:rPr>
              <w:t>4.1.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Customer responsibilities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_Toc38965564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7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2386A7EF" w14:textId="45F574C9" w:rsidR="00311C49" w:rsidRDefault="00F93CF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8965565" w:history="1">
            <w:r w:rsidR="00311C49" w:rsidRPr="00CD1670">
              <w:rPr>
                <w:rStyle w:val="Hyperlink"/>
                <w:noProof/>
              </w:rPr>
              <w:t>4.2.</w:t>
            </w:r>
            <w:r w:rsidR="00311C49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311C49" w:rsidRPr="00CD1670">
              <w:rPr>
                <w:rStyle w:val="Hyperlink"/>
                <w:noProof/>
              </w:rPr>
              <w:t>Engagement assumptions</w:t>
            </w:r>
            <w:r w:rsidR="00311C49">
              <w:rPr>
                <w:noProof/>
                <w:webHidden/>
              </w:rPr>
              <w:tab/>
            </w:r>
            <w:r w:rsidR="00311C49">
              <w:rPr>
                <w:noProof/>
                <w:webHidden/>
              </w:rPr>
              <w:fldChar w:fldCharType="begin"/>
            </w:r>
            <w:r w:rsidR="00311C49">
              <w:rPr>
                <w:noProof/>
                <w:webHidden/>
              </w:rPr>
              <w:instrText xml:space="preserve"> PAGEREF _Toc38965565 \h </w:instrText>
            </w:r>
            <w:r w:rsidR="00311C49">
              <w:rPr>
                <w:noProof/>
                <w:webHidden/>
              </w:rPr>
            </w:r>
            <w:r w:rsidR="00311C49">
              <w:rPr>
                <w:noProof/>
                <w:webHidden/>
              </w:rPr>
              <w:fldChar w:fldCharType="separate"/>
            </w:r>
            <w:r w:rsidR="00311C49">
              <w:rPr>
                <w:noProof/>
                <w:webHidden/>
              </w:rPr>
              <w:t>7</w:t>
            </w:r>
            <w:r w:rsidR="00311C49">
              <w:rPr>
                <w:noProof/>
                <w:webHidden/>
              </w:rPr>
              <w:fldChar w:fldCharType="end"/>
            </w:r>
          </w:hyperlink>
        </w:p>
        <w:p w14:paraId="4ABB6E53" w14:textId="6661B155" w:rsidR="00C23371" w:rsidRDefault="00EF21FB">
          <w:r>
            <w:fldChar w:fldCharType="end"/>
          </w:r>
        </w:p>
      </w:sdtContent>
    </w:sdt>
    <w:p w14:paraId="1384526D" w14:textId="77777777" w:rsidR="00C81329" w:rsidRDefault="00C81329"/>
    <w:p w14:paraId="565AE521" w14:textId="77777777" w:rsidR="007E7F79" w:rsidRDefault="007E7F79">
      <w:pPr>
        <w:rPr>
          <w:highlight w:val="yellow"/>
        </w:rPr>
        <w:sectPr w:rsidR="007E7F79" w:rsidSect="00525EBE">
          <w:footerReference w:type="first" r:id="rId17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5AB3FC" w14:textId="3CE2463F" w:rsidR="00C81329" w:rsidRPr="00C81329" w:rsidRDefault="00C81329" w:rsidP="004737C4">
      <w:pPr>
        <w:pStyle w:val="Heading1nonumbers"/>
      </w:pPr>
      <w:bookmarkStart w:id="4" w:name="_Toc476167701"/>
      <w:bookmarkStart w:id="5" w:name="_Toc476168021"/>
      <w:bookmarkStart w:id="6" w:name="_Toc38965550"/>
      <w:r w:rsidRPr="00C81329">
        <w:lastRenderedPageBreak/>
        <w:t>Introduction</w:t>
      </w:r>
      <w:bookmarkEnd w:id="4"/>
      <w:bookmarkEnd w:id="5"/>
      <w:bookmarkEnd w:id="6"/>
    </w:p>
    <w:p w14:paraId="18375A7A" w14:textId="09C23878" w:rsidR="00C81329" w:rsidRPr="005C14DF" w:rsidRDefault="00956926" w:rsidP="00C84DD9">
      <w:pPr>
        <w:pStyle w:val="Heading1"/>
      </w:pPr>
      <w:bookmarkStart w:id="7" w:name="_Toc476167702"/>
      <w:bookmarkStart w:id="8" w:name="_Toc476168022"/>
      <w:bookmarkStart w:id="9" w:name="_Ref477786305"/>
      <w:bookmarkStart w:id="10" w:name="_Toc38877007"/>
      <w:bookmarkStart w:id="11" w:name="_Toc38965551"/>
      <w:r>
        <w:t>Engagement</w:t>
      </w:r>
      <w:r w:rsidR="00D0061B">
        <w:rPr>
          <w:rFonts w:ascii="PMingLiU" w:eastAsia="PMingLiU" w:hAnsi="PMingLiU" w:hint="eastAsia"/>
          <w:lang w:eastAsia="zh-TW"/>
        </w:rPr>
        <w:t xml:space="preserve"> </w:t>
      </w:r>
      <w:r w:rsidR="00864A42" w:rsidRPr="00E876DD">
        <w:t>Project</w:t>
      </w:r>
      <w:r w:rsidR="002519A5" w:rsidRPr="005C14DF">
        <w:t xml:space="preserve">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  <w:bookmarkEnd w:id="11"/>
    </w:p>
    <w:p w14:paraId="1E96A7F4" w14:textId="77777777" w:rsidR="005A1C5E" w:rsidRDefault="005A1C5E" w:rsidP="00C84DD9">
      <w:pPr>
        <w:pStyle w:val="Heading2"/>
      </w:pPr>
      <w:bookmarkStart w:id="12" w:name="_Toc476167703"/>
      <w:bookmarkStart w:id="13" w:name="_Toc476168023"/>
      <w:bookmarkStart w:id="14" w:name="_Toc38877008"/>
      <w:bookmarkStart w:id="15" w:name="_Toc38965552"/>
      <w:r>
        <w:t>Objectives</w:t>
      </w:r>
      <w:bookmarkEnd w:id="12"/>
      <w:bookmarkEnd w:id="13"/>
      <w:bookmarkEnd w:id="14"/>
      <w:bookmarkEnd w:id="15"/>
    </w:p>
    <w:p w14:paraId="105525AD" w14:textId="0D137334" w:rsidR="00671D5A" w:rsidRPr="00990E9B" w:rsidRDefault="005A1C5E" w:rsidP="00671D5A">
      <w:r>
        <w:t xml:space="preserve">The objective of </w:t>
      </w:r>
      <w:r w:rsidR="000F5FBF">
        <w:t>this engagement</w:t>
      </w:r>
      <w:r w:rsidR="002519A5">
        <w:t xml:space="preserve"> </w:t>
      </w:r>
      <w:r w:rsidR="00A25FBE">
        <w:t>is</w:t>
      </w:r>
      <w:r w:rsidR="00884E0D">
        <w:t xml:space="preserve"> </w:t>
      </w:r>
      <w:r w:rsidR="00D55F6D">
        <w:t xml:space="preserve">to provide resources </w:t>
      </w:r>
      <w:r w:rsidR="00884E0D">
        <w:t>to</w:t>
      </w:r>
      <w:r w:rsidR="00D55F6D">
        <w:t xml:space="preserve"> assist the customer with</w:t>
      </w:r>
      <w:r>
        <w:t xml:space="preserve"> </w:t>
      </w:r>
      <w:r w:rsidR="00671D5A">
        <w:t xml:space="preserve">DevOps, Scrum, </w:t>
      </w:r>
      <w:r w:rsidR="00671D5A" w:rsidRPr="003B46FE">
        <w:t>Microservices</w:t>
      </w:r>
      <w:r w:rsidR="00671D5A">
        <w:t xml:space="preserve"> design, </w:t>
      </w:r>
      <w:r w:rsidR="00671D5A" w:rsidRPr="00726804">
        <w:t xml:space="preserve">Hybrid </w:t>
      </w:r>
      <w:r w:rsidR="00671D5A" w:rsidRPr="009803BC">
        <w:t>infrastructure</w:t>
      </w:r>
      <w:r w:rsidR="00671D5A">
        <w:t>, S</w:t>
      </w:r>
      <w:r w:rsidR="00671D5A" w:rsidRPr="009803BC">
        <w:t xml:space="preserve">ecurity </w:t>
      </w:r>
      <w:r w:rsidR="00671D5A">
        <w:t xml:space="preserve">and </w:t>
      </w:r>
      <w:r w:rsidR="00671D5A" w:rsidRPr="00726804">
        <w:t>Software Center</w:t>
      </w:r>
      <w:r w:rsidR="00671D5A">
        <w:t xml:space="preserve"> deploying </w:t>
      </w:r>
      <w:r w:rsidR="00671D5A" w:rsidRPr="009803BC">
        <w:t xml:space="preserve">for </w:t>
      </w:r>
      <w:r w:rsidR="00671D5A" w:rsidRPr="009803BC">
        <w:rPr>
          <w:rStyle w:val="InstructionalChar"/>
        </w:rPr>
        <w:t>[</w:t>
      </w:r>
      <w:r w:rsidR="00D0061B" w:rsidRPr="00FF41A3">
        <w:rPr>
          <w:szCs w:val="20"/>
          <w:lang w:eastAsia="zh-TW"/>
        </w:rPr>
        <w:t xml:space="preserve">M365 Onboarding Phase I-2 T&amp;M support for Azure Information Protection Customization support </w:t>
      </w:r>
      <w:r w:rsidR="00671D5A" w:rsidRPr="009803BC">
        <w:rPr>
          <w:rStyle w:val="InstructionalChar"/>
        </w:rPr>
        <w:t>].</w:t>
      </w:r>
    </w:p>
    <w:p w14:paraId="4BF327C2" w14:textId="77777777" w:rsidR="00671D5A" w:rsidRPr="0001741F" w:rsidRDefault="00671D5A" w:rsidP="00D8456D">
      <w:pPr>
        <w:rPr>
          <w:rStyle w:val="InstructionalChar"/>
        </w:rPr>
      </w:pPr>
    </w:p>
    <w:p w14:paraId="26325A93" w14:textId="3073BFC1" w:rsidR="00D8456D" w:rsidRDefault="004C2A6F" w:rsidP="00C84DD9">
      <w:pPr>
        <w:pStyle w:val="Heading2"/>
      </w:pPr>
      <w:bookmarkStart w:id="16" w:name="_Toc476167704"/>
      <w:bookmarkStart w:id="17" w:name="_Toc476168024"/>
      <w:bookmarkStart w:id="18" w:name="_Ref477786310"/>
      <w:bookmarkStart w:id="19" w:name="_Toc38877009"/>
      <w:bookmarkStart w:id="20" w:name="_Toc38965553"/>
      <w:r>
        <w:t xml:space="preserve">Areas </w:t>
      </w:r>
      <w:r w:rsidR="00D8456D" w:rsidRPr="005C14DF">
        <w:t>in scope</w:t>
      </w:r>
      <w:bookmarkEnd w:id="16"/>
      <w:bookmarkEnd w:id="17"/>
      <w:bookmarkEnd w:id="18"/>
      <w:bookmarkEnd w:id="19"/>
      <w:bookmarkEnd w:id="20"/>
    </w:p>
    <w:p w14:paraId="0AC926A9" w14:textId="77777777" w:rsidR="00864A42" w:rsidRDefault="00864A42" w:rsidP="00864A42">
      <w:r>
        <w:t xml:space="preserve">This section outlines the work and activities required to accomplish the objectives set forth in this Statement of Work.  </w:t>
      </w:r>
    </w:p>
    <w:p w14:paraId="63901EE9" w14:textId="77777777" w:rsidR="00864A42" w:rsidRPr="00864A42" w:rsidRDefault="00864A42" w:rsidP="00E876DD"/>
    <w:p w14:paraId="74C990C4" w14:textId="1FBBD59C" w:rsidR="00390A88" w:rsidRDefault="00390A88" w:rsidP="00C84DD9">
      <w:pPr>
        <w:pStyle w:val="Heading3"/>
      </w:pPr>
      <w:bookmarkStart w:id="21" w:name="_Toc476168025"/>
      <w:r>
        <w:t xml:space="preserve">General </w:t>
      </w:r>
      <w:r w:rsidR="00367FFC" w:rsidRPr="00E876DD">
        <w:t xml:space="preserve">project </w:t>
      </w:r>
      <w:r>
        <w:t>scope</w:t>
      </w:r>
      <w:bookmarkEnd w:id="21"/>
    </w:p>
    <w:p w14:paraId="706C1510" w14:textId="045F561F" w:rsidR="005A1C5E" w:rsidRPr="002F15F4" w:rsidRDefault="005A1C5E" w:rsidP="00E618D7">
      <w:pPr>
        <w:rPr>
          <w:color w:val="00B0F0"/>
        </w:rPr>
      </w:pPr>
      <w:r w:rsidRPr="002F15F4">
        <w:rPr>
          <w:color w:val="00B0F0"/>
        </w:rPr>
        <w:t xml:space="preserve">Microsoft will </w:t>
      </w:r>
      <w:r w:rsidR="00D55F6D" w:rsidRPr="002F15F4">
        <w:rPr>
          <w:color w:val="00B0F0"/>
        </w:rPr>
        <w:t xml:space="preserve">assist the customer </w:t>
      </w:r>
      <w:r w:rsidR="00DC2ECB" w:rsidRPr="002F15F4">
        <w:rPr>
          <w:color w:val="00B0F0"/>
        </w:rPr>
        <w:t xml:space="preserve">as directed by the Customer Project Manager </w:t>
      </w:r>
      <w:r w:rsidR="00D55F6D" w:rsidRPr="002F15F4">
        <w:rPr>
          <w:color w:val="00B0F0"/>
        </w:rPr>
        <w:t>with the following areas</w:t>
      </w:r>
      <w:r w:rsidR="00BE40E6" w:rsidRPr="002F15F4">
        <w:rPr>
          <w:color w:val="00B0F0"/>
        </w:rPr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41"/>
        <w:gridCol w:w="4405"/>
        <w:gridCol w:w="3413"/>
      </w:tblGrid>
      <w:tr w:rsidR="00864A42" w14:paraId="51EE1340" w14:textId="172A587B" w:rsidTr="00E876DD">
        <w:trPr>
          <w:trHeight w:val="360"/>
          <w:tblHeader/>
        </w:trPr>
        <w:tc>
          <w:tcPr>
            <w:tcW w:w="1541" w:type="dxa"/>
            <w:shd w:val="clear" w:color="auto" w:fill="008272"/>
          </w:tcPr>
          <w:p w14:paraId="7D70FCE5" w14:textId="77777777" w:rsidR="00864A42" w:rsidRPr="00057271" w:rsidRDefault="00864A42" w:rsidP="00057271">
            <w:pPr>
              <w:pStyle w:val="Table-Header"/>
            </w:pPr>
            <w:r w:rsidRPr="00057271">
              <w:t>Area</w:t>
            </w:r>
          </w:p>
        </w:tc>
        <w:tc>
          <w:tcPr>
            <w:tcW w:w="4405" w:type="dxa"/>
            <w:shd w:val="clear" w:color="auto" w:fill="008272"/>
          </w:tcPr>
          <w:p w14:paraId="72A2E795" w14:textId="77777777" w:rsidR="00864A42" w:rsidRPr="00057271" w:rsidRDefault="00864A42" w:rsidP="00057271">
            <w:pPr>
              <w:pStyle w:val="Table-Header"/>
            </w:pPr>
            <w:r w:rsidRPr="00057271">
              <w:t xml:space="preserve">Description </w:t>
            </w:r>
          </w:p>
        </w:tc>
        <w:tc>
          <w:tcPr>
            <w:tcW w:w="3413" w:type="dxa"/>
            <w:shd w:val="clear" w:color="auto" w:fill="008272"/>
          </w:tcPr>
          <w:p w14:paraId="4E911AC2" w14:textId="3CB3AAE8" w:rsidR="00864A42" w:rsidRPr="00057271" w:rsidRDefault="00864A42" w:rsidP="00057271">
            <w:pPr>
              <w:pStyle w:val="Table-Header"/>
            </w:pPr>
            <w:r>
              <w:t>Assumptions</w:t>
            </w:r>
          </w:p>
        </w:tc>
      </w:tr>
      <w:tr w:rsidR="00864A42" w14:paraId="686F3697" w14:textId="2FBC6788" w:rsidTr="00E876DD">
        <w:trPr>
          <w:trHeight w:val="432"/>
        </w:trPr>
        <w:tc>
          <w:tcPr>
            <w:tcW w:w="1541" w:type="dxa"/>
            <w:shd w:val="clear" w:color="auto" w:fill="auto"/>
          </w:tcPr>
          <w:p w14:paraId="35655BFC" w14:textId="29357C3C" w:rsidR="00864A42" w:rsidRPr="00117AE2" w:rsidRDefault="00864A42" w:rsidP="00864A42">
            <w:pPr>
              <w:pStyle w:val="TableText"/>
            </w:pPr>
            <w:r>
              <w:t xml:space="preserve">1. </w:t>
            </w:r>
            <w:r w:rsidRPr="002E6C22">
              <w:t>Software Center Plan</w:t>
            </w:r>
          </w:p>
        </w:tc>
        <w:tc>
          <w:tcPr>
            <w:tcW w:w="4405" w:type="dxa"/>
            <w:shd w:val="clear" w:color="auto" w:fill="FFFFFF" w:themeFill="background1"/>
          </w:tcPr>
          <w:p w14:paraId="2D5F0EC3" w14:textId="75AF56C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1.1 Manual packaging and deploying</w:t>
            </w:r>
          </w:p>
          <w:p w14:paraId="32C61CC4" w14:textId="1F44257E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1.2 Auto packaging and deploying</w:t>
            </w:r>
          </w:p>
          <w:p w14:paraId="0C86B54E" w14:textId="754A6171" w:rsidR="00864A4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1.3 SCCM Development</w:t>
            </w:r>
          </w:p>
        </w:tc>
        <w:tc>
          <w:tcPr>
            <w:tcW w:w="3413" w:type="dxa"/>
            <w:shd w:val="clear" w:color="auto" w:fill="FFFFFF" w:themeFill="background1"/>
          </w:tcPr>
          <w:p w14:paraId="69DCAB30" w14:textId="61838689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>
              <w:t xml:space="preserve">1. </w:t>
            </w:r>
            <w:r w:rsidRPr="002E6C22">
              <w:t>Software Center Plan</w:t>
            </w:r>
          </w:p>
        </w:tc>
      </w:tr>
      <w:tr w:rsidR="00864A42" w:rsidRPr="005F3BAF" w14:paraId="7B1EA04A" w14:textId="51A04806" w:rsidTr="00E876DD">
        <w:trPr>
          <w:trHeight w:val="432"/>
        </w:trPr>
        <w:tc>
          <w:tcPr>
            <w:tcW w:w="1541" w:type="dxa"/>
            <w:shd w:val="clear" w:color="auto" w:fill="auto"/>
          </w:tcPr>
          <w:p w14:paraId="0D8E39AB" w14:textId="41C52E9D" w:rsidR="00864A42" w:rsidRPr="005F3BAF" w:rsidRDefault="00864A42" w:rsidP="00864A42">
            <w:pPr>
              <w:pStyle w:val="TableText"/>
            </w:pPr>
            <w:r>
              <w:t xml:space="preserve">2. </w:t>
            </w:r>
            <w:r w:rsidRPr="002E6C22">
              <w:t>DevOps / Scrum</w:t>
            </w:r>
          </w:p>
        </w:tc>
        <w:tc>
          <w:tcPr>
            <w:tcW w:w="4405" w:type="dxa"/>
            <w:shd w:val="clear" w:color="auto" w:fill="FFFFFF" w:themeFill="background1"/>
          </w:tcPr>
          <w:p w14:paraId="2F381641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2.1 DevOp Assessment​</w:t>
            </w:r>
          </w:p>
          <w:p w14:paraId="15BA97EE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2.2 On-boarding/Enablement (Scrum Master Shadowing)​</w:t>
            </w:r>
          </w:p>
          <w:p w14:paraId="3263308C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2.3 CI/CD Integration with on-prem application Server</w:t>
            </w:r>
          </w:p>
          <w:p w14:paraId="224A2F59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2.4 Application Development best practice</w:t>
            </w:r>
          </w:p>
          <w:p w14:paraId="2446FD6F" w14:textId="13071D8F" w:rsidR="00864A42" w:rsidRPr="005F3BAF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2.5 Test Automation</w:t>
            </w:r>
          </w:p>
        </w:tc>
        <w:tc>
          <w:tcPr>
            <w:tcW w:w="3413" w:type="dxa"/>
            <w:shd w:val="clear" w:color="auto" w:fill="FFFFFF" w:themeFill="background1"/>
          </w:tcPr>
          <w:p w14:paraId="0CF7E420" w14:textId="0DCD32D4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>
              <w:t xml:space="preserve">2. </w:t>
            </w:r>
            <w:r w:rsidRPr="002E6C22">
              <w:t>DevOps / Scrum</w:t>
            </w:r>
          </w:p>
        </w:tc>
      </w:tr>
      <w:tr w:rsidR="00864A42" w:rsidRPr="005F3BAF" w14:paraId="6FBF2A6A" w14:textId="1CF76037" w:rsidTr="00E876DD">
        <w:trPr>
          <w:trHeight w:val="432"/>
        </w:trPr>
        <w:tc>
          <w:tcPr>
            <w:tcW w:w="1541" w:type="dxa"/>
            <w:shd w:val="clear" w:color="auto" w:fill="auto"/>
          </w:tcPr>
          <w:p w14:paraId="051384D3" w14:textId="180DD0DA" w:rsidR="00864A42" w:rsidRPr="005F3BAF" w:rsidRDefault="00864A42" w:rsidP="00864A42">
            <w:pPr>
              <w:pStyle w:val="TableText"/>
            </w:pPr>
            <w:r>
              <w:t xml:space="preserve">3. </w:t>
            </w:r>
            <w:r w:rsidRPr="002E6C22">
              <w:t>Others</w:t>
            </w:r>
          </w:p>
        </w:tc>
        <w:tc>
          <w:tcPr>
            <w:tcW w:w="4405" w:type="dxa"/>
            <w:shd w:val="clear" w:color="auto" w:fill="FFFFFF" w:themeFill="background1"/>
          </w:tcPr>
          <w:p w14:paraId="40A7B858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3.1 Cloud Native Solution Architecture Design</w:t>
            </w:r>
          </w:p>
          <w:p w14:paraId="7D57E10E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3.2 Hybrid Cloud Integration</w:t>
            </w:r>
          </w:p>
          <w:p w14:paraId="2F61D52A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3.3 Security Development Lifecycle</w:t>
            </w:r>
          </w:p>
          <w:p w14:paraId="573B887E" w14:textId="77777777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3.4 Microservices Transformation</w:t>
            </w:r>
          </w:p>
          <w:p w14:paraId="1A5E92A8" w14:textId="77777777" w:rsidR="00864A4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3.5 Design Pattern Adoption</w:t>
            </w:r>
          </w:p>
          <w:p w14:paraId="674F715F" w14:textId="77777777" w:rsidR="00864A42" w:rsidRPr="0064237A" w:rsidRDefault="00864A42" w:rsidP="00864A42">
            <w:r w:rsidRPr="0064237A">
              <w:lastRenderedPageBreak/>
              <w:t>3.6 Azure Information Protection API/SDK advisory</w:t>
            </w:r>
          </w:p>
          <w:p w14:paraId="58DB4A53" w14:textId="6DBD2FA3" w:rsidR="00864A42" w:rsidRPr="005F3BAF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 w:rsidRPr="0064237A">
              <w:t>3.7 Microsoft Teams API advisory</w:t>
            </w:r>
          </w:p>
        </w:tc>
        <w:tc>
          <w:tcPr>
            <w:tcW w:w="3413" w:type="dxa"/>
            <w:shd w:val="clear" w:color="auto" w:fill="FFFFFF" w:themeFill="background1"/>
          </w:tcPr>
          <w:p w14:paraId="5932E77C" w14:textId="1423A890" w:rsidR="00864A42" w:rsidRPr="002E6C22" w:rsidRDefault="00864A42" w:rsidP="00864A42">
            <w:pPr>
              <w:pStyle w:val="TableText"/>
              <w:rPr>
                <w:rFonts w:ascii="Segoe UI Semilight" w:hAnsi="Segoe UI Semilight"/>
              </w:rPr>
            </w:pPr>
            <w:r>
              <w:lastRenderedPageBreak/>
              <w:t xml:space="preserve">3. </w:t>
            </w:r>
            <w:r w:rsidRPr="002E6C22">
              <w:t>Others</w:t>
            </w:r>
          </w:p>
        </w:tc>
      </w:tr>
    </w:tbl>
    <w:p w14:paraId="60F84060" w14:textId="77777777" w:rsidR="009D4EBC" w:rsidRDefault="004C2A6F" w:rsidP="00C84DD9">
      <w:pPr>
        <w:pStyle w:val="Heading2"/>
      </w:pPr>
      <w:bookmarkStart w:id="22" w:name="_Toc476167705"/>
      <w:bookmarkStart w:id="23" w:name="_Toc476168032"/>
      <w:bookmarkStart w:id="24" w:name="_Toc38877010"/>
      <w:bookmarkStart w:id="25" w:name="_Toc38965554"/>
      <w:r>
        <w:t>Areas out of scope</w:t>
      </w:r>
      <w:bookmarkEnd w:id="22"/>
      <w:bookmarkEnd w:id="23"/>
      <w:bookmarkEnd w:id="24"/>
      <w:bookmarkEnd w:id="25"/>
    </w:p>
    <w:p w14:paraId="2AEB3576" w14:textId="4384E5D3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48013E">
        <w:t xml:space="preserve">Areas </w:t>
      </w:r>
      <w:r w:rsidR="0048013E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956926">
        <w:t>engagement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</w:t>
      </w:r>
      <w:r w:rsidR="00956926">
        <w:t>engagement</w:t>
      </w:r>
      <w:r w:rsidR="00F177FA">
        <w:t xml:space="preserve"> </w:t>
      </w:r>
      <w:r w:rsidR="00EA1D28">
        <w:t xml:space="preserve">include, but </w:t>
      </w:r>
      <w:r w:rsidR="00B4049F">
        <w:t>are</w:t>
      </w:r>
      <w:r w:rsidR="00EA1D28">
        <w:t xml:space="preserve"> not limited to the items</w:t>
      </w:r>
      <w:r w:rsidR="00B4049F">
        <w:t xml:space="preserve">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 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40"/>
        <w:gridCol w:w="19"/>
      </w:tblGrid>
      <w:tr w:rsidR="004C2A6F" w14:paraId="0AB85C25" w14:textId="77777777" w:rsidTr="008C6736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1C6EC211" w14:textId="77777777" w:rsidR="004C2A6F" w:rsidRPr="00E40CE7" w:rsidRDefault="004C2A6F" w:rsidP="00B44F57">
            <w:pPr>
              <w:pStyle w:val="Table-Header"/>
            </w:pPr>
            <w:r w:rsidRPr="00E40CE7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6017C39E" w14:textId="77777777" w:rsidR="004C2A6F" w:rsidRPr="00E40CE7" w:rsidRDefault="004C2A6F" w:rsidP="00B44F57">
            <w:pPr>
              <w:pStyle w:val="Table-Header"/>
            </w:pPr>
            <w:r w:rsidRPr="00E40CE7">
              <w:t>Description</w:t>
            </w:r>
          </w:p>
        </w:tc>
      </w:tr>
      <w:tr w:rsidR="0048013E" w:rsidRPr="005F3BAF" w14:paraId="4DF3914E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E86AE19" w14:textId="28C4F401" w:rsidR="0048013E" w:rsidRPr="00D0227D" w:rsidRDefault="0048013E" w:rsidP="0048013E">
            <w:pPr>
              <w:pStyle w:val="TableText"/>
              <w:rPr>
                <w:rFonts w:cs="Segoe UI"/>
              </w:rPr>
            </w:pPr>
            <w:r w:rsidRPr="009803BC">
              <w:t>Product licenses and subscriptions</w:t>
            </w:r>
          </w:p>
        </w:tc>
        <w:tc>
          <w:tcPr>
            <w:tcW w:w="6740" w:type="dxa"/>
            <w:shd w:val="clear" w:color="auto" w:fill="FFFFFF" w:themeFill="background1"/>
          </w:tcPr>
          <w:p w14:paraId="1FD1C808" w14:textId="4EAD0914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Product licenses (Microsoft or non-Microsoft) and cloud service subscriptions are not included. </w:t>
            </w:r>
          </w:p>
        </w:tc>
      </w:tr>
      <w:tr w:rsidR="0048013E" w:rsidRPr="005F3BAF" w14:paraId="1691CB6D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41A323C" w14:textId="06252803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Hardware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4C05D38E" w14:textId="7ACEF307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Microsoft will not provide hardware for this project.</w:t>
            </w:r>
          </w:p>
        </w:tc>
      </w:tr>
      <w:tr w:rsidR="0048013E" w:rsidRPr="005F3BAF" w14:paraId="7D5ED5E9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7235CA18" w14:textId="070C8247" w:rsidR="0048013E" w:rsidRDefault="0048013E" w:rsidP="0048013E">
            <w:pPr>
              <w:pStyle w:val="TableText"/>
            </w:pPr>
            <w:r w:rsidRPr="009803BC">
              <w:t>Integration with third-party software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1496EF16" w14:textId="2F05362F" w:rsidR="0048013E" w:rsidRDefault="0048013E" w:rsidP="0048013E">
            <w:pPr>
              <w:pStyle w:val="TableText"/>
            </w:pPr>
            <w:r w:rsidRPr="009803BC">
              <w:t>Microsoft will not be responsible for integration with third-party software.</w:t>
            </w:r>
          </w:p>
        </w:tc>
      </w:tr>
      <w:tr w:rsidR="0048013E" w:rsidRPr="005F3BAF" w14:paraId="0E138146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3A415151" w14:textId="71EF6B6C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Detailed </w:t>
            </w:r>
            <w:r>
              <w:t>d</w:t>
            </w:r>
            <w:r w:rsidRPr="009803BC">
              <w:t>esign</w:t>
            </w:r>
          </w:p>
        </w:tc>
        <w:tc>
          <w:tcPr>
            <w:tcW w:w="6740" w:type="dxa"/>
            <w:shd w:val="clear" w:color="auto" w:fill="FFFFFF" w:themeFill="background1"/>
          </w:tcPr>
          <w:p w14:paraId="76D96C0F" w14:textId="5144E321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No detailed design of the </w:t>
            </w:r>
            <w:r>
              <w:t>S</w:t>
            </w:r>
            <w:r w:rsidRPr="009803BC">
              <w:t>olution will be created.</w:t>
            </w:r>
          </w:p>
        </w:tc>
      </w:tr>
      <w:tr w:rsidR="0048013E" w:rsidRPr="005F3BAF" w14:paraId="67B670D9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D531DCB" w14:textId="1E0D9E32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Development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18AAB38A" w14:textId="7CB2F6BC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No development of the </w:t>
            </w:r>
            <w:r>
              <w:t>S</w:t>
            </w:r>
            <w:r w:rsidRPr="009803BC">
              <w:t>olution will be performed.</w:t>
            </w:r>
          </w:p>
        </w:tc>
      </w:tr>
      <w:tr w:rsidR="0048013E" w:rsidRPr="005F3BAF" w14:paraId="51D59CF3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D142C1E" w14:textId="24E6E30B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Testing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69ED5B54" w14:textId="5F786073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Testing, definition</w:t>
            </w:r>
            <w:r>
              <w:t>,</w:t>
            </w:r>
            <w:r w:rsidRPr="009803BC">
              <w:t xml:space="preserve"> or creation of test plans is not in scope.</w:t>
            </w:r>
          </w:p>
        </w:tc>
      </w:tr>
      <w:tr w:rsidR="0048013E" w14:paraId="5DB779A8" w14:textId="77777777" w:rsidTr="003B0369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78BD2CE8" w14:textId="65000D1D" w:rsidR="0048013E" w:rsidRDefault="0048013E" w:rsidP="0048013E">
            <w:r w:rsidRPr="009803BC">
              <w:t>Data migration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0C70C80E" w14:textId="0B3AE794" w:rsidR="0048013E" w:rsidRDefault="0048013E" w:rsidP="0048013E">
            <w:r w:rsidRPr="009803BC">
              <w:t>Data migration activities are not in scope for this project.</w:t>
            </w:r>
          </w:p>
        </w:tc>
      </w:tr>
      <w:tr w:rsidR="0048013E" w:rsidRPr="00D0227D" w14:paraId="30EB33BF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0AF304A6" w14:textId="4D9E596A" w:rsidR="0048013E" w:rsidRPr="00D0227D" w:rsidRDefault="0048013E" w:rsidP="0048013E">
            <w:pPr>
              <w:pStyle w:val="Optional"/>
              <w:rPr>
                <w:rFonts w:cs="Segoe UI"/>
                <w:szCs w:val="18"/>
              </w:rPr>
            </w:pPr>
            <w:r w:rsidRPr="009803BC">
              <w:rPr>
                <w:color w:val="auto"/>
              </w:rPr>
              <w:t>System integration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0D989079" w14:textId="7AE83911" w:rsidR="0048013E" w:rsidRPr="00BF5706" w:rsidRDefault="0048013E" w:rsidP="0048013E">
            <w:pPr>
              <w:pStyle w:val="Optional"/>
            </w:pPr>
            <w:r w:rsidRPr="009803BC">
              <w:rPr>
                <w:color w:val="auto"/>
              </w:rPr>
              <w:t>System integration and interfaces are not in scope for this project.</w:t>
            </w:r>
          </w:p>
        </w:tc>
      </w:tr>
      <w:tr w:rsidR="0048013E" w14:paraId="29B2B462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A2CEC4B" w14:textId="36B6C636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Product bugs and upgrades</w:t>
            </w:r>
          </w:p>
        </w:tc>
        <w:tc>
          <w:tcPr>
            <w:tcW w:w="6740" w:type="dxa"/>
            <w:shd w:val="clear" w:color="auto" w:fill="FFFFFF" w:themeFill="background1"/>
          </w:tcPr>
          <w:p w14:paraId="6CFC64C4" w14:textId="2D1B3E15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Product upgrades, bugs, and design change requests for Microsoft products are not in scope for this project.</w:t>
            </w:r>
          </w:p>
        </w:tc>
      </w:tr>
      <w:tr w:rsidR="0048013E" w14:paraId="3B53B45E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794BD93" w14:textId="1773CF78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Source code review</w:t>
            </w:r>
          </w:p>
        </w:tc>
        <w:tc>
          <w:tcPr>
            <w:tcW w:w="6740" w:type="dxa"/>
            <w:shd w:val="clear" w:color="auto" w:fill="FFFFFF" w:themeFill="background1"/>
          </w:tcPr>
          <w:p w14:paraId="00398FF1" w14:textId="5F84EBF9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48013E" w14:paraId="5A2E56CA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249B42B" w14:textId="693FE28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Process reengineering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30918880" w14:textId="5F63517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Designing functional business components of the Solution is not included.</w:t>
            </w:r>
          </w:p>
        </w:tc>
      </w:tr>
      <w:tr w:rsidR="0048013E" w14:paraId="7B3F69D7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3E6D3A1" w14:textId="3B9A850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Organizational change management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69519EA1" w14:textId="2D5F14E3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Designing—or redesigning—the Customer’s functional organization is not included.</w:t>
            </w:r>
          </w:p>
        </w:tc>
      </w:tr>
    </w:tbl>
    <w:p w14:paraId="47BECCC6" w14:textId="26E97B3F" w:rsidR="00942632" w:rsidRDefault="00864A42" w:rsidP="00C84DD9">
      <w:pPr>
        <w:pStyle w:val="Heading1"/>
      </w:pPr>
      <w:bookmarkStart w:id="26" w:name="_Toc476167706"/>
      <w:bookmarkStart w:id="27" w:name="_Toc476168033"/>
      <w:bookmarkStart w:id="28" w:name="_Toc38877011"/>
      <w:bookmarkStart w:id="29" w:name="_Toc38965555"/>
      <w:r>
        <w:lastRenderedPageBreak/>
        <w:t xml:space="preserve">Project </w:t>
      </w:r>
      <w:r w:rsidR="00942632">
        <w:t>approach, timeline</w:t>
      </w:r>
      <w:r w:rsidR="006209A1">
        <w:t>,</w:t>
      </w:r>
      <w:r w:rsidR="00942632">
        <w:t xml:space="preserve"> and deliverable acceptance</w:t>
      </w:r>
      <w:bookmarkEnd w:id="26"/>
      <w:bookmarkEnd w:id="27"/>
      <w:bookmarkEnd w:id="28"/>
      <w:bookmarkEnd w:id="29"/>
    </w:p>
    <w:p w14:paraId="365796EC" w14:textId="6A963743" w:rsidR="00864A42" w:rsidRDefault="00942632" w:rsidP="00864A42">
      <w:pPr>
        <w:pStyle w:val="Heading2"/>
      </w:pPr>
      <w:bookmarkStart w:id="30" w:name="_Toc476167707"/>
      <w:bookmarkStart w:id="31" w:name="_Toc476168034"/>
      <w:bookmarkStart w:id="32" w:name="_Ref477870375"/>
      <w:bookmarkStart w:id="33" w:name="_Ref477873467"/>
      <w:bookmarkStart w:id="34" w:name="_Ref477936654"/>
      <w:bookmarkStart w:id="35" w:name="_Ref477936937"/>
      <w:bookmarkStart w:id="36" w:name="_Toc38877012"/>
      <w:bookmarkStart w:id="37" w:name="_Toc38965556"/>
      <w:r>
        <w:t>Approach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AC3F32D" w14:textId="2A5AE439" w:rsidR="00864A42" w:rsidRDefault="00864A42" w:rsidP="00864A42">
      <w:r>
        <w:t>Microsoft will employ a three-phase approach to delivering this engagement: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97"/>
        <w:gridCol w:w="3955"/>
        <w:gridCol w:w="9"/>
        <w:gridCol w:w="3150"/>
        <w:gridCol w:w="10"/>
      </w:tblGrid>
      <w:tr w:rsidR="00864A42" w14:paraId="32DC7BD5" w14:textId="77777777" w:rsidTr="00020CD2">
        <w:trPr>
          <w:trHeight w:val="360"/>
          <w:tblHeader/>
        </w:trPr>
        <w:tc>
          <w:tcPr>
            <w:tcW w:w="2116" w:type="dxa"/>
            <w:shd w:val="clear" w:color="auto" w:fill="008272"/>
          </w:tcPr>
          <w:p w14:paraId="176D9FD6" w14:textId="77777777" w:rsidR="00864A42" w:rsidRPr="00031658" w:rsidRDefault="00864A42" w:rsidP="00020CD2">
            <w:pPr>
              <w:pStyle w:val="Table-Header"/>
            </w:pPr>
            <w:r>
              <w:t>Phase</w:t>
            </w:r>
          </w:p>
        </w:tc>
        <w:tc>
          <w:tcPr>
            <w:tcW w:w="4035" w:type="dxa"/>
            <w:gridSpan w:val="2"/>
            <w:shd w:val="clear" w:color="auto" w:fill="008272"/>
          </w:tcPr>
          <w:p w14:paraId="63999AA6" w14:textId="3C587182" w:rsidR="00864A42" w:rsidRPr="00E876DD" w:rsidRDefault="00864A42" w:rsidP="00E876DD">
            <w:pPr>
              <w:pStyle w:val="Table-Header"/>
            </w:pPr>
            <w:r>
              <w:t xml:space="preserve">Key </w:t>
            </w:r>
            <w:r w:rsidRPr="00E876DD">
              <w:t>Microsoft activities</w:t>
            </w:r>
          </w:p>
        </w:tc>
        <w:tc>
          <w:tcPr>
            <w:tcW w:w="3208" w:type="dxa"/>
            <w:gridSpan w:val="2"/>
            <w:shd w:val="clear" w:color="auto" w:fill="008272"/>
          </w:tcPr>
          <w:p w14:paraId="780A0130" w14:textId="7C5CB432" w:rsidR="00864A42" w:rsidRPr="00E876DD" w:rsidRDefault="00864A42" w:rsidP="00E876DD">
            <w:pPr>
              <w:pStyle w:val="Table-Header"/>
            </w:pPr>
            <w:r>
              <w:t>Key Customer activities</w:t>
            </w:r>
          </w:p>
        </w:tc>
      </w:tr>
      <w:tr w:rsidR="00864A42" w14:paraId="6B1E32B2" w14:textId="77777777" w:rsidTr="00020CD2">
        <w:trPr>
          <w:gridAfter w:val="1"/>
          <w:wAfter w:w="10" w:type="dxa"/>
          <w:trHeight w:val="422"/>
        </w:trPr>
        <w:tc>
          <w:tcPr>
            <w:tcW w:w="2116" w:type="dxa"/>
            <w:shd w:val="clear" w:color="auto" w:fill="auto"/>
          </w:tcPr>
          <w:p w14:paraId="4F877BB6" w14:textId="228B25D5" w:rsidR="00864A42" w:rsidRPr="001D4958" w:rsidRDefault="00864A42" w:rsidP="00E876DD">
            <w:pPr>
              <w:pStyle w:val="TableText"/>
            </w:pPr>
            <w:r w:rsidRPr="006E074A">
              <w:t>Initiation</w:t>
            </w:r>
          </w:p>
        </w:tc>
        <w:tc>
          <w:tcPr>
            <w:tcW w:w="4026" w:type="dxa"/>
            <w:shd w:val="clear" w:color="auto" w:fill="FFFFFF" w:themeFill="background1"/>
          </w:tcPr>
          <w:p w14:paraId="751DCF7D" w14:textId="322638C2" w:rsidR="00864A42" w:rsidRDefault="00864A42" w:rsidP="00020CD2">
            <w:pPr>
              <w:pStyle w:val="TableBullet1"/>
            </w:pPr>
            <w:r>
              <w:t>Conduct</w:t>
            </w:r>
            <w:r w:rsidRPr="00624BAA">
              <w:t xml:space="preserve"> a detailed walk-through of the SOW</w:t>
            </w:r>
            <w:r w:rsidRPr="001D4958">
              <w:t xml:space="preserve"> with the </w:t>
            </w:r>
            <w:r>
              <w:t>Customer to agree on an initial project schedule and approach.</w:t>
            </w:r>
          </w:p>
          <w:p w14:paraId="13ADF12A" w14:textId="77777777" w:rsidR="00864A42" w:rsidRPr="001D4958" w:rsidRDefault="00864A42" w:rsidP="00E876DD">
            <w:pPr>
              <w:pStyle w:val="TableBullet1"/>
            </w:pPr>
            <w:r>
              <w:t>Host workshops to review the target application and understand its components and plan for DevOps.</w:t>
            </w:r>
          </w:p>
        </w:tc>
        <w:tc>
          <w:tcPr>
            <w:tcW w:w="3207" w:type="dxa"/>
            <w:gridSpan w:val="2"/>
            <w:shd w:val="clear" w:color="auto" w:fill="FFFFFF" w:themeFill="background1"/>
          </w:tcPr>
          <w:p w14:paraId="13098A63" w14:textId="77777777" w:rsidR="00864A42" w:rsidRDefault="00864A42" w:rsidP="00020CD2">
            <w:pPr>
              <w:pStyle w:val="TableBullet1"/>
            </w:pPr>
            <w:r>
              <w:t>Participate in pre-initiation and kickoff activities.</w:t>
            </w:r>
          </w:p>
          <w:p w14:paraId="700EBF4B" w14:textId="77777777" w:rsidR="00864A42" w:rsidRDefault="00864A42" w:rsidP="00020CD2">
            <w:pPr>
              <w:pStyle w:val="TableBullet1"/>
            </w:pPr>
            <w:r>
              <w:t>Provide Microsoft with the source code, documentation, and a demonstration of target application.</w:t>
            </w:r>
          </w:p>
          <w:p w14:paraId="00CD9D75" w14:textId="77777777" w:rsidR="00864A42" w:rsidRDefault="00864A42" w:rsidP="00020CD2">
            <w:pPr>
              <w:pStyle w:val="TableBullet1"/>
            </w:pPr>
            <w:r>
              <w:t>Participate in workshops.</w:t>
            </w:r>
          </w:p>
        </w:tc>
      </w:tr>
      <w:tr w:rsidR="00864A42" w14:paraId="390FD77C" w14:textId="77777777" w:rsidTr="00020CD2">
        <w:trPr>
          <w:gridAfter w:val="1"/>
          <w:wAfter w:w="10" w:type="dxa"/>
          <w:trHeight w:val="422"/>
        </w:trPr>
        <w:tc>
          <w:tcPr>
            <w:tcW w:w="2116" w:type="dxa"/>
            <w:shd w:val="clear" w:color="auto" w:fill="auto"/>
          </w:tcPr>
          <w:p w14:paraId="008BC26B" w14:textId="77777777" w:rsidR="00864A42" w:rsidRPr="006E074A" w:rsidRDefault="00864A42" w:rsidP="00020CD2">
            <w:pPr>
              <w:pStyle w:val="TableText"/>
            </w:pPr>
            <w:r w:rsidRPr="006E074A">
              <w:t>Implementation</w:t>
            </w:r>
          </w:p>
        </w:tc>
        <w:tc>
          <w:tcPr>
            <w:tcW w:w="4026" w:type="dxa"/>
            <w:shd w:val="clear" w:color="auto" w:fill="FFFFFF" w:themeFill="background1"/>
          </w:tcPr>
          <w:p w14:paraId="0CAE232B" w14:textId="77777777" w:rsidR="00864A42" w:rsidRDefault="00864A42" w:rsidP="00020CD2">
            <w:pPr>
              <w:pStyle w:val="TableBullet1"/>
            </w:pPr>
            <w:r>
              <w:t>Host branching workshops.</w:t>
            </w:r>
          </w:p>
          <w:p w14:paraId="0F87E71E" w14:textId="77777777" w:rsidR="00864A42" w:rsidRDefault="00864A42" w:rsidP="00020CD2">
            <w:pPr>
              <w:pStyle w:val="TableBullet1"/>
            </w:pPr>
            <w:r>
              <w:t>Conduct application Service dependency mapping workshops.</w:t>
            </w:r>
          </w:p>
          <w:p w14:paraId="6BBA153E" w14:textId="77777777" w:rsidR="00864A42" w:rsidRDefault="00864A42" w:rsidP="00020CD2">
            <w:pPr>
              <w:pStyle w:val="TableBullet1"/>
            </w:pPr>
            <w:r>
              <w:t>Conduct development and operations process evaluation and develop recommendations roadmap</w:t>
            </w:r>
          </w:p>
          <w:p w14:paraId="5CCDDB94" w14:textId="77777777" w:rsidR="00864A42" w:rsidRPr="00D0227D" w:rsidRDefault="00864A42" w:rsidP="00020CD2">
            <w:pPr>
              <w:pStyle w:val="TableBullet1"/>
            </w:pPr>
            <w:r>
              <w:t>Add automated tests and static code analysis to build process.</w:t>
            </w:r>
          </w:p>
        </w:tc>
        <w:tc>
          <w:tcPr>
            <w:tcW w:w="3207" w:type="dxa"/>
            <w:gridSpan w:val="2"/>
            <w:shd w:val="clear" w:color="auto" w:fill="FFFFFF" w:themeFill="background1"/>
          </w:tcPr>
          <w:p w14:paraId="606D9C26" w14:textId="77777777" w:rsidR="00864A42" w:rsidRDefault="00864A42" w:rsidP="00020CD2">
            <w:pPr>
              <w:pStyle w:val="TableBullet1"/>
            </w:pPr>
            <w:r>
              <w:t>Regression test and remediate the target application.</w:t>
            </w:r>
          </w:p>
          <w:p w14:paraId="680C4068" w14:textId="77777777" w:rsidR="00864A42" w:rsidRDefault="00864A42" w:rsidP="00020CD2">
            <w:pPr>
              <w:pStyle w:val="TableBullet1"/>
            </w:pPr>
            <w:r>
              <w:t>Perform any remediation to the target application build-up A</w:t>
            </w:r>
            <w:r w:rsidRPr="0064237A">
              <w:t>pplication Development best practice</w:t>
            </w:r>
            <w:r>
              <w:t>.</w:t>
            </w:r>
          </w:p>
        </w:tc>
      </w:tr>
      <w:tr w:rsidR="00864A42" w14:paraId="35C6B118" w14:textId="77777777" w:rsidTr="00020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422"/>
        </w:trPr>
        <w:tc>
          <w:tcPr>
            <w:tcW w:w="2116" w:type="dxa"/>
          </w:tcPr>
          <w:p w14:paraId="2FCA73A2" w14:textId="77777777" w:rsidR="00864A42" w:rsidRPr="006E074A" w:rsidRDefault="00864A42" w:rsidP="00020CD2">
            <w:pPr>
              <w:pStyle w:val="TableText"/>
            </w:pPr>
            <w:r w:rsidRPr="006E074A">
              <w:t>Consolidation</w:t>
            </w:r>
          </w:p>
        </w:tc>
        <w:tc>
          <w:tcPr>
            <w:tcW w:w="4026" w:type="dxa"/>
          </w:tcPr>
          <w:p w14:paraId="04C2E18D" w14:textId="77777777" w:rsidR="00864A42" w:rsidRDefault="00864A42" w:rsidP="00020CD2">
            <w:pPr>
              <w:pStyle w:val="TableBullet1"/>
            </w:pPr>
            <w:r>
              <w:t>Host workshops.</w:t>
            </w:r>
          </w:p>
          <w:p w14:paraId="43538D94" w14:textId="77777777" w:rsidR="00864A42" w:rsidRDefault="00864A42" w:rsidP="00020CD2">
            <w:pPr>
              <w:pStyle w:val="TableBullet1"/>
            </w:pPr>
            <w:r>
              <w:t>Demonstrate capabilities.</w:t>
            </w:r>
          </w:p>
          <w:p w14:paraId="776B38CF" w14:textId="77777777" w:rsidR="00864A42" w:rsidRDefault="00864A42" w:rsidP="00020CD2">
            <w:pPr>
              <w:pStyle w:val="TableBullet1"/>
            </w:pPr>
            <w:r>
              <w:t>Host a closeout meeting.</w:t>
            </w:r>
          </w:p>
        </w:tc>
        <w:tc>
          <w:tcPr>
            <w:tcW w:w="3207" w:type="dxa"/>
            <w:gridSpan w:val="2"/>
          </w:tcPr>
          <w:p w14:paraId="676F596E" w14:textId="77777777" w:rsidR="00864A42" w:rsidRDefault="00864A42" w:rsidP="00020CD2">
            <w:pPr>
              <w:pStyle w:val="TableBullet1"/>
            </w:pPr>
            <w:r>
              <w:t>Participate in workshops.</w:t>
            </w:r>
          </w:p>
        </w:tc>
      </w:tr>
    </w:tbl>
    <w:p w14:paraId="607F8624" w14:textId="77777777" w:rsidR="00864A42" w:rsidRDefault="00864A42" w:rsidP="00864A42"/>
    <w:p w14:paraId="1477FA17" w14:textId="77777777" w:rsidR="00864A42" w:rsidRDefault="00864A42" w:rsidP="00864A42"/>
    <w:p w14:paraId="4A909928" w14:textId="15FA068F" w:rsidR="00864A42" w:rsidRDefault="00864A42" w:rsidP="00864A42"/>
    <w:p w14:paraId="33DA4E27" w14:textId="77777777" w:rsidR="00864A42" w:rsidRPr="00864A42" w:rsidRDefault="00864A42" w:rsidP="00E876DD"/>
    <w:p w14:paraId="3376D089" w14:textId="77777777" w:rsidR="009B1142" w:rsidRDefault="00C416FE" w:rsidP="00C84DD9">
      <w:pPr>
        <w:pStyle w:val="Heading2"/>
      </w:pPr>
      <w:bookmarkStart w:id="38" w:name="_Toc476167708"/>
      <w:bookmarkStart w:id="39" w:name="_Toc476168041"/>
      <w:bookmarkStart w:id="40" w:name="_Toc38877013"/>
      <w:bookmarkStart w:id="41" w:name="_Toc38965557"/>
      <w:r>
        <w:t>Timeline</w:t>
      </w:r>
      <w:bookmarkEnd w:id="38"/>
      <w:bookmarkEnd w:id="39"/>
      <w:bookmarkEnd w:id="40"/>
      <w:bookmarkEnd w:id="41"/>
    </w:p>
    <w:p w14:paraId="78FE8A85" w14:textId="77777777" w:rsidR="00890CD0" w:rsidRPr="009803BC" w:rsidRDefault="00890CD0" w:rsidP="00890CD0">
      <w:r w:rsidRPr="009803BC">
        <w:t xml:space="preserve">This engagement will be time-boxed to </w:t>
      </w:r>
      <w:r>
        <w:rPr>
          <w:rStyle w:val="InstructionalChar"/>
          <w:rFonts w:hint="eastAsia"/>
          <w:lang w:eastAsia="zh-TW"/>
        </w:rPr>
        <w:t>1</w:t>
      </w:r>
      <w:r>
        <w:rPr>
          <w:rStyle w:val="InstructionalChar"/>
          <w:lang w:eastAsia="zh-TW"/>
        </w:rPr>
        <w:t>2 months</w:t>
      </w:r>
      <w:r w:rsidRPr="009803BC">
        <w:t xml:space="preserve"> in duration. All dates and durations are relative to the project start date and are estimates only.</w:t>
      </w:r>
    </w:p>
    <w:p w14:paraId="386477C9" w14:textId="71D7CD38" w:rsidR="00232B84" w:rsidRDefault="00BF5706" w:rsidP="00232B84">
      <w:r>
        <w:t xml:space="preserve">We will provide the resources for the </w:t>
      </w:r>
      <w:r w:rsidR="00232B84">
        <w:t>period of performance (term)</w:t>
      </w:r>
      <w:r>
        <w:t xml:space="preserve"> </w:t>
      </w:r>
      <w:r w:rsidR="00D216D5">
        <w:t xml:space="preserve">up to the extent of the funding for the </w:t>
      </w:r>
      <w:r>
        <w:t xml:space="preserve">hours </w:t>
      </w:r>
      <w:r w:rsidR="00D216D5">
        <w:t xml:space="preserve">of services </w:t>
      </w:r>
      <w:r>
        <w:t>specified in the work order.</w:t>
      </w:r>
      <w:r w:rsidR="00232B84">
        <w:t xml:space="preserve">  </w:t>
      </w:r>
      <w:r w:rsidR="00232B84" w:rsidRPr="00066E75">
        <w:t>Should</w:t>
      </w:r>
      <w:r w:rsidR="00232B84">
        <w:t xml:space="preserve"> you need </w:t>
      </w:r>
      <w:r w:rsidR="00D216D5">
        <w:t xml:space="preserve">additional </w:t>
      </w:r>
      <w:r w:rsidR="00232B84">
        <w:t xml:space="preserve">resources </w:t>
      </w:r>
      <w:r w:rsidR="00D216D5">
        <w:t xml:space="preserve">and/or a </w:t>
      </w:r>
      <w:r w:rsidR="00232B84">
        <w:t>longer</w:t>
      </w:r>
      <w:r w:rsidR="00D216D5">
        <w:t xml:space="preserve"> term</w:t>
      </w:r>
      <w:r w:rsidR="00232B84">
        <w:t xml:space="preserve">, </w:t>
      </w:r>
      <w:r w:rsidR="00232B84" w:rsidRPr="00066E75">
        <w:t>yo</w:t>
      </w:r>
      <w:r w:rsidR="00232B84">
        <w:t xml:space="preserve">u will work with the Microsoft Delivery </w:t>
      </w:r>
      <w:r w:rsidR="00232B84" w:rsidRPr="00066E75">
        <w:t>Manager</w:t>
      </w:r>
      <w:r w:rsidR="00232B84">
        <w:t xml:space="preserve"> </w:t>
      </w:r>
      <w:r w:rsidR="00232B84" w:rsidRPr="00066E75">
        <w:t>to</w:t>
      </w:r>
      <w:r w:rsidR="00232B84">
        <w:t xml:space="preserve"> </w:t>
      </w:r>
      <w:r w:rsidR="00232B84" w:rsidRPr="00066E75">
        <w:t>execute</w:t>
      </w:r>
      <w:r w:rsidR="00232B84">
        <w:t xml:space="preserve"> </w:t>
      </w:r>
      <w:r w:rsidR="00232B84" w:rsidRPr="00066E75">
        <w:t>a</w:t>
      </w:r>
      <w:r w:rsidR="00232B84">
        <w:t xml:space="preserve"> change following the Change management process descried below.</w:t>
      </w:r>
    </w:p>
    <w:p w14:paraId="18057D33" w14:textId="77777777" w:rsidR="00C44D16" w:rsidRDefault="00C44D16" w:rsidP="00C84DD9">
      <w:pPr>
        <w:pStyle w:val="Heading2"/>
      </w:pPr>
      <w:bookmarkStart w:id="42" w:name="_Toc476167709"/>
      <w:bookmarkStart w:id="43" w:name="_Toc476168042"/>
      <w:bookmarkStart w:id="44" w:name="_Ref477932041"/>
      <w:bookmarkStart w:id="45" w:name="_Toc38877014"/>
      <w:bookmarkStart w:id="46" w:name="_Toc38965558"/>
      <w:r>
        <w:t>Deliverable</w:t>
      </w:r>
      <w:bookmarkEnd w:id="42"/>
      <w:bookmarkEnd w:id="43"/>
      <w:bookmarkEnd w:id="44"/>
      <w:r w:rsidR="00232B84">
        <w:t>s</w:t>
      </w:r>
      <w:bookmarkEnd w:id="45"/>
      <w:bookmarkEnd w:id="46"/>
    </w:p>
    <w:p w14:paraId="046796CF" w14:textId="55C1B28C" w:rsidR="00232B84" w:rsidRDefault="00232B84" w:rsidP="002A230A">
      <w:r w:rsidRPr="00A27C25">
        <w:t>Microsoft</w:t>
      </w:r>
      <w:r>
        <w:t xml:space="preserve"> </w:t>
      </w:r>
      <w:r w:rsidRPr="00A27C25">
        <w:t>has</w:t>
      </w:r>
      <w:r>
        <w:t xml:space="preserve"> </w:t>
      </w:r>
      <w:r w:rsidRPr="009312E3">
        <w:rPr>
          <w:b/>
          <w:u w:val="single"/>
        </w:rPr>
        <w:t>no</w:t>
      </w:r>
      <w:r>
        <w:t xml:space="preserve"> </w:t>
      </w:r>
      <w:r w:rsidRPr="00A27C25">
        <w:t>specific</w:t>
      </w:r>
      <w:r>
        <w:t xml:space="preserve"> service </w:t>
      </w:r>
      <w:r w:rsidRPr="00A27C25">
        <w:t>deliverables</w:t>
      </w:r>
      <w:r>
        <w:t xml:space="preserve"> requiring formal acceptance.  </w:t>
      </w:r>
    </w:p>
    <w:p w14:paraId="281AAD9B" w14:textId="0EE00C13" w:rsidR="00364836" w:rsidRDefault="00FB3040" w:rsidP="00C84DD9">
      <w:pPr>
        <w:pStyle w:val="Heading2"/>
      </w:pPr>
      <w:bookmarkStart w:id="47" w:name="_Toc38877015"/>
      <w:bookmarkStart w:id="48" w:name="_Toc38965559"/>
      <w:r>
        <w:lastRenderedPageBreak/>
        <w:t xml:space="preserve">Engagement </w:t>
      </w:r>
      <w:r w:rsidR="00364836">
        <w:t>governance</w:t>
      </w:r>
      <w:bookmarkEnd w:id="47"/>
      <w:bookmarkEnd w:id="48"/>
    </w:p>
    <w:p w14:paraId="2282D626" w14:textId="069A15FE" w:rsidR="00364836" w:rsidRDefault="00232B84" w:rsidP="00364836">
      <w:r w:rsidRPr="00232B84">
        <w:t xml:space="preserve">Your project manager will </w:t>
      </w:r>
      <w:r w:rsidR="0006151F">
        <w:t xml:space="preserve">manage the </w:t>
      </w:r>
      <w:r w:rsidR="002438A7">
        <w:t>engagement</w:t>
      </w:r>
      <w:r w:rsidR="0006151F">
        <w:t xml:space="preserve"> and </w:t>
      </w:r>
      <w:r w:rsidRPr="00232B84">
        <w:t>define the project management approach that will be followed by the Microsoft team.</w:t>
      </w:r>
      <w:r>
        <w:t xml:space="preserve">  Microsoft assumes the basic </w:t>
      </w:r>
      <w:r w:rsidR="00364836">
        <w:t>governance structure and processes described in the following section</w:t>
      </w:r>
      <w:r w:rsidR="00D70772">
        <w:t>s</w:t>
      </w:r>
      <w:r w:rsidR="004E15FC">
        <w:t xml:space="preserve"> will</w:t>
      </w:r>
      <w:r>
        <w:t xml:space="preserve"> be followed.</w:t>
      </w:r>
    </w:p>
    <w:p w14:paraId="105E242F" w14:textId="7147D172" w:rsidR="00BB669A" w:rsidRDefault="00FB3040" w:rsidP="00C84DD9">
      <w:pPr>
        <w:pStyle w:val="Heading3"/>
      </w:pPr>
      <w:bookmarkStart w:id="49" w:name="_Toc476168044"/>
      <w:r>
        <w:t xml:space="preserve">Engagement </w:t>
      </w:r>
      <w:r w:rsidR="00BB669A">
        <w:t>communication</w:t>
      </w:r>
      <w:bookmarkEnd w:id="49"/>
    </w:p>
    <w:p w14:paraId="069ED148" w14:textId="4EE0CE3B" w:rsidR="00BB669A" w:rsidRDefault="00BB669A" w:rsidP="00BB669A">
      <w:r>
        <w:t xml:space="preserve">The following will be used to communicate during the </w:t>
      </w:r>
      <w:r w:rsidR="00956926">
        <w:t>engagement</w:t>
      </w:r>
      <w:r w:rsidR="008F6487">
        <w:t>:</w:t>
      </w:r>
    </w:p>
    <w:p w14:paraId="4F7FEE70" w14:textId="562BAB10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 xml:space="preserve">Microsoft team will prepare and issue </w:t>
      </w:r>
      <w:r w:rsidR="00A25FBE">
        <w:t>weekly</w:t>
      </w:r>
      <w:r>
        <w:t xml:space="preserve"> status report</w:t>
      </w:r>
      <w:r w:rsidR="00160775">
        <w:t>s</w:t>
      </w:r>
      <w:r>
        <w:t xml:space="preserve"> to </w:t>
      </w:r>
      <w:r w:rsidR="00A25FBE">
        <w:t>your project manager and the Microsoft delivery manager</w:t>
      </w:r>
      <w:r w:rsidR="00111EBA">
        <w:t>.</w:t>
      </w:r>
    </w:p>
    <w:p w14:paraId="477CBFCD" w14:textId="4A7AE8ED" w:rsidR="00131239" w:rsidRDefault="00131239" w:rsidP="00131239">
      <w:pPr>
        <w:pStyle w:val="Bulletlist"/>
      </w:pPr>
      <w:r w:rsidRPr="00E54AE8">
        <w:rPr>
          <w:b/>
        </w:rPr>
        <w:t>Status meetings</w:t>
      </w:r>
      <w:r>
        <w:t>: the Microsoft team will participate in regular status meetings you schedule to review the overall engagement status and to review open problems and risks.</w:t>
      </w:r>
    </w:p>
    <w:p w14:paraId="4E26A18A" w14:textId="77777777" w:rsidR="00E54AE8" w:rsidRDefault="00E54AE8" w:rsidP="00C84DD9">
      <w:pPr>
        <w:pStyle w:val="Heading3"/>
      </w:pPr>
      <w:bookmarkStart w:id="50" w:name="_Toc476168045"/>
      <w:r>
        <w:t>Risk and issue management</w:t>
      </w:r>
      <w:bookmarkEnd w:id="50"/>
    </w:p>
    <w:p w14:paraId="3B0FFC48" w14:textId="32D11DED" w:rsidR="00E54AE8" w:rsidRDefault="00232B84" w:rsidP="00232B84">
      <w:r w:rsidRPr="00A27C25">
        <w:t>The</w:t>
      </w:r>
      <w:r>
        <w:t xml:space="preserve"> </w:t>
      </w:r>
      <w:r w:rsidRPr="00A27C25">
        <w:t>Microsoft</w:t>
      </w:r>
      <w:r>
        <w:t xml:space="preserve"> team </w:t>
      </w:r>
      <w:r w:rsidRPr="00A27C25">
        <w:t>will</w:t>
      </w:r>
      <w:r>
        <w:t xml:space="preserve"> </w:t>
      </w:r>
      <w:r w:rsidRPr="00A27C25">
        <w:t>assist</w:t>
      </w:r>
      <w:r>
        <w:t xml:space="preserve"> your </w:t>
      </w:r>
      <w:r w:rsidRPr="00A27C25">
        <w:t>project</w:t>
      </w:r>
      <w:r>
        <w:t xml:space="preserve"> </w:t>
      </w:r>
      <w:r w:rsidRPr="00A27C25">
        <w:t>manager</w:t>
      </w:r>
      <w:r>
        <w:t xml:space="preserve"> in identifying project issues and risks</w:t>
      </w:r>
      <w:r w:rsidR="00E54AE8">
        <w:t>.</w:t>
      </w:r>
      <w:r>
        <w:t xml:space="preserve">  You will be responsible for managing project issues and risks.</w:t>
      </w:r>
    </w:p>
    <w:p w14:paraId="3D6F5622" w14:textId="4436C9CC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color w:val="auto"/>
        </w:rPr>
        <w:t xml:space="preserve">The following general procedure will be used to manage active project issues and risks during the </w:t>
      </w:r>
      <w:r w:rsidR="00956926" w:rsidRPr="00990E9B">
        <w:rPr>
          <w:color w:val="auto"/>
        </w:rPr>
        <w:t>engagement</w:t>
      </w:r>
      <w:r w:rsidRPr="00990E9B">
        <w:rPr>
          <w:color w:val="auto"/>
        </w:rPr>
        <w:t>:</w:t>
      </w:r>
    </w:p>
    <w:p w14:paraId="7348391B" w14:textId="04E86FD4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Identify</w:t>
      </w:r>
      <w:r w:rsidRPr="00990E9B">
        <w:rPr>
          <w:color w:val="auto"/>
        </w:rPr>
        <w:t>: identify and document project issues (current problems) and risks (potential problems that could affect the project).</w:t>
      </w:r>
    </w:p>
    <w:p w14:paraId="34C3AA15" w14:textId="6416CDE3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Analyze and prioritize</w:t>
      </w:r>
      <w:r w:rsidRPr="00990E9B">
        <w:rPr>
          <w:color w:val="auto"/>
        </w:rPr>
        <w:t>: assess the potential impact and determine the highest priority risks and problems that will be actively managed.</w:t>
      </w:r>
    </w:p>
    <w:p w14:paraId="5160C969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Plan and schedule</w:t>
      </w:r>
      <w:r w:rsidRPr="00990E9B">
        <w:rPr>
          <w:color w:val="auto"/>
        </w:rPr>
        <w:t>: determine the strategy for managing priority risks and issues, and identify a resource who can take responsibility for mitigation and remediation.</w:t>
      </w:r>
    </w:p>
    <w:p w14:paraId="091B9C90" w14:textId="59E56E4E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Track and report</w:t>
      </w:r>
      <w:r w:rsidRPr="00990E9B">
        <w:rPr>
          <w:color w:val="auto"/>
        </w:rPr>
        <w:t>: monitor and report the status of risks and problems.</w:t>
      </w:r>
    </w:p>
    <w:p w14:paraId="0351E482" w14:textId="51C5954E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Escalate</w:t>
      </w:r>
      <w:r w:rsidRPr="00990E9B">
        <w:rPr>
          <w:color w:val="auto"/>
        </w:rPr>
        <w:t>: escalate to project sponsors the high impact problems and risks that the team is unable to resolve.</w:t>
      </w:r>
    </w:p>
    <w:p w14:paraId="77B7F86F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Control</w:t>
      </w:r>
      <w:r w:rsidRPr="00990E9B">
        <w:rPr>
          <w:color w:val="auto"/>
        </w:rPr>
        <w:t>: review the effectiveness of risk and issue management actions.</w:t>
      </w:r>
    </w:p>
    <w:p w14:paraId="67C2B6C8" w14:textId="77777777" w:rsidR="00DC59E2" w:rsidRPr="00990E9B" w:rsidRDefault="00DC59E2" w:rsidP="00597D8F">
      <w:pPr>
        <w:pStyle w:val="Optional"/>
        <w:rPr>
          <w:color w:val="auto"/>
        </w:rPr>
      </w:pPr>
    </w:p>
    <w:p w14:paraId="2B28AD16" w14:textId="23FDAB8D" w:rsidR="009B5C8F" w:rsidRPr="00990E9B" w:rsidRDefault="00DC59E2" w:rsidP="00597D8F">
      <w:pPr>
        <w:pStyle w:val="Optional"/>
        <w:rPr>
          <w:color w:val="auto"/>
        </w:rPr>
      </w:pPr>
      <w:r w:rsidRPr="00990E9B">
        <w:rPr>
          <w:color w:val="auto"/>
        </w:rPr>
        <w:t xml:space="preserve">Active issues and risks will be regularly monitored during the </w:t>
      </w:r>
      <w:r w:rsidR="00956926" w:rsidRPr="00990E9B">
        <w:rPr>
          <w:color w:val="auto"/>
        </w:rPr>
        <w:t>engagement</w:t>
      </w:r>
      <w:r w:rsidRPr="00990E9B">
        <w:rPr>
          <w:color w:val="auto"/>
        </w:rPr>
        <w:t>.</w:t>
      </w:r>
    </w:p>
    <w:p w14:paraId="6F4E2521" w14:textId="77777777" w:rsidR="002952F0" w:rsidRDefault="002952F0" w:rsidP="00C84DD9">
      <w:pPr>
        <w:pStyle w:val="Heading3"/>
      </w:pPr>
      <w:bookmarkStart w:id="51" w:name="_Toc476168046"/>
      <w:bookmarkStart w:id="52" w:name="_Ref477866682"/>
      <w:bookmarkStart w:id="53" w:name="_Ref477932885"/>
      <w:bookmarkStart w:id="54" w:name="_Ref477934302"/>
      <w:bookmarkStart w:id="55" w:name="_Ref479605690"/>
      <w:r>
        <w:t>Change management process</w:t>
      </w:r>
      <w:bookmarkEnd w:id="51"/>
      <w:bookmarkEnd w:id="52"/>
      <w:bookmarkEnd w:id="53"/>
      <w:bookmarkEnd w:id="54"/>
      <w:bookmarkEnd w:id="55"/>
    </w:p>
    <w:p w14:paraId="23F34E10" w14:textId="55AB0E5F" w:rsidR="003E1B4E" w:rsidRPr="00990E9B" w:rsidRDefault="003E1B4E" w:rsidP="007E39A6">
      <w:pPr>
        <w:pStyle w:val="Optional"/>
        <w:rPr>
          <w:color w:val="auto"/>
        </w:rPr>
      </w:pPr>
      <w:r w:rsidRPr="00990E9B">
        <w:rPr>
          <w:color w:val="auto"/>
        </w:rPr>
        <w:t>Dur</w:t>
      </w:r>
      <w:r w:rsidR="006D6E88" w:rsidRPr="00990E9B">
        <w:rPr>
          <w:color w:val="auto"/>
        </w:rPr>
        <w:t>i</w:t>
      </w:r>
      <w:r w:rsidR="004F4BCE" w:rsidRPr="00990E9B">
        <w:rPr>
          <w:color w:val="auto"/>
        </w:rPr>
        <w:t xml:space="preserve">ng the </w:t>
      </w:r>
      <w:r w:rsidR="00956926" w:rsidRPr="00990E9B">
        <w:rPr>
          <w:color w:val="auto"/>
        </w:rPr>
        <w:t>engagement</w:t>
      </w:r>
      <w:r w:rsidR="004F4BCE" w:rsidRPr="00990E9B">
        <w:rPr>
          <w:color w:val="auto"/>
        </w:rPr>
        <w:t xml:space="preserve">, either party </w:t>
      </w:r>
      <w:r w:rsidR="00160775" w:rsidRPr="00990E9B">
        <w:rPr>
          <w:color w:val="auto"/>
        </w:rPr>
        <w:t xml:space="preserve">is able to </w:t>
      </w:r>
      <w:r w:rsidR="00884E0D" w:rsidRPr="00990E9B">
        <w:rPr>
          <w:color w:val="auto"/>
        </w:rPr>
        <w:t xml:space="preserve">request modifications to the </w:t>
      </w:r>
      <w:r w:rsidR="00140C9E" w:rsidRPr="00990E9B">
        <w:rPr>
          <w:color w:val="auto"/>
        </w:rPr>
        <w:t>S</w:t>
      </w:r>
      <w:r w:rsidR="00F97F79" w:rsidRPr="00990E9B">
        <w:rPr>
          <w:color w:val="auto"/>
        </w:rPr>
        <w:t>ervices described in this</w:t>
      </w:r>
      <w:r w:rsidRPr="00990E9B">
        <w:rPr>
          <w:color w:val="auto"/>
        </w:rPr>
        <w:t xml:space="preserve"> S</w:t>
      </w:r>
      <w:r w:rsidR="00E40CE7" w:rsidRPr="00990E9B">
        <w:rPr>
          <w:color w:val="auto"/>
        </w:rPr>
        <w:t>OW</w:t>
      </w:r>
      <w:r w:rsidRPr="00990E9B">
        <w:rPr>
          <w:color w:val="auto"/>
        </w:rPr>
        <w:t xml:space="preserve">. </w:t>
      </w:r>
      <w:r w:rsidR="004723A1" w:rsidRPr="00990E9B">
        <w:rPr>
          <w:color w:val="auto"/>
        </w:rPr>
        <w:t xml:space="preserve">These changes only take effect when the proposed change is agreed </w:t>
      </w:r>
      <w:r w:rsidR="00160775" w:rsidRPr="00990E9B">
        <w:rPr>
          <w:color w:val="auto"/>
        </w:rPr>
        <w:t xml:space="preserve">upon </w:t>
      </w:r>
      <w:r w:rsidR="004723A1" w:rsidRPr="00990E9B">
        <w:rPr>
          <w:color w:val="auto"/>
        </w:rPr>
        <w:t>by both parties.</w:t>
      </w:r>
      <w:r w:rsidR="00140C9E" w:rsidRPr="00990E9B">
        <w:rPr>
          <w:color w:val="auto"/>
        </w:rPr>
        <w:t xml:space="preserve"> The change management process steps are:</w:t>
      </w:r>
    </w:p>
    <w:p w14:paraId="48068504" w14:textId="77777777" w:rsidR="003E1B4E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 xml:space="preserve">The change </w:t>
      </w:r>
      <w:r w:rsidR="0025535A" w:rsidRPr="00990E9B">
        <w:rPr>
          <w:b/>
          <w:color w:val="auto"/>
        </w:rPr>
        <w:t>is documented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all </w:t>
      </w:r>
      <w:r w:rsidR="003E1B4E" w:rsidRPr="00990E9B">
        <w:rPr>
          <w:color w:val="auto"/>
        </w:rPr>
        <w:t>change requests will be documented</w:t>
      </w:r>
      <w:r w:rsidR="004723A1" w:rsidRPr="00990E9B">
        <w:rPr>
          <w:color w:val="auto"/>
        </w:rPr>
        <w:t xml:space="preserve"> by Microsoft </w:t>
      </w:r>
      <w:r w:rsidR="003E1B4E" w:rsidRPr="00990E9B">
        <w:rPr>
          <w:color w:val="auto"/>
        </w:rPr>
        <w:t xml:space="preserve">in a Microsoft </w:t>
      </w:r>
      <w:r w:rsidRPr="00990E9B">
        <w:rPr>
          <w:color w:val="auto"/>
        </w:rPr>
        <w:t xml:space="preserve">change request form </w:t>
      </w:r>
      <w:r w:rsidR="003E1B4E" w:rsidRPr="00990E9B">
        <w:rPr>
          <w:color w:val="auto"/>
        </w:rPr>
        <w:t xml:space="preserve">and submitted to the </w:t>
      </w:r>
      <w:r w:rsidR="00140C9E" w:rsidRPr="00990E9B">
        <w:rPr>
          <w:color w:val="auto"/>
        </w:rPr>
        <w:t>C</w:t>
      </w:r>
      <w:r w:rsidR="003E1B4E" w:rsidRPr="00990E9B">
        <w:rPr>
          <w:color w:val="auto"/>
        </w:rPr>
        <w:t xml:space="preserve">ustomer. The </w:t>
      </w:r>
      <w:r w:rsidRPr="00990E9B">
        <w:rPr>
          <w:color w:val="auto"/>
        </w:rPr>
        <w:t xml:space="preserve">change request form </w:t>
      </w:r>
      <w:r w:rsidR="003E1B4E" w:rsidRPr="00990E9B">
        <w:rPr>
          <w:color w:val="auto"/>
        </w:rPr>
        <w:t>includes</w:t>
      </w:r>
      <w:r w:rsidRPr="00990E9B">
        <w:rPr>
          <w:color w:val="auto"/>
        </w:rPr>
        <w:t>:</w:t>
      </w:r>
    </w:p>
    <w:p w14:paraId="3D29D60D" w14:textId="77777777" w:rsidR="003E1B4E" w:rsidRPr="00990E9B" w:rsidRDefault="00246AC9" w:rsidP="00367FFC">
      <w:pPr>
        <w:pStyle w:val="Optional"/>
      </w:pPr>
      <w:r w:rsidRPr="00990E9B">
        <w:t xml:space="preserve">A description </w:t>
      </w:r>
      <w:r w:rsidR="003E1B4E" w:rsidRPr="00990E9B">
        <w:t>of the change</w:t>
      </w:r>
      <w:r w:rsidRPr="00990E9B">
        <w:t>.</w:t>
      </w:r>
    </w:p>
    <w:p w14:paraId="09058445" w14:textId="67905E47" w:rsidR="003E1B4E" w:rsidRPr="00990E9B" w:rsidRDefault="00246AC9" w:rsidP="007E39A6">
      <w:pPr>
        <w:pStyle w:val="Optional"/>
        <w:rPr>
          <w:color w:val="auto"/>
        </w:rPr>
      </w:pPr>
      <w:r w:rsidRPr="00990E9B">
        <w:lastRenderedPageBreak/>
        <w:t xml:space="preserve">The estimated effect </w:t>
      </w:r>
      <w:r w:rsidR="003E1B4E" w:rsidRPr="00990E9B">
        <w:t xml:space="preserve">of </w:t>
      </w:r>
      <w:r w:rsidRPr="00990E9B">
        <w:t xml:space="preserve">implementing the change. </w:t>
      </w:r>
    </w:p>
    <w:p w14:paraId="33B012D9" w14:textId="77777777" w:rsidR="004723A1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>The c</w:t>
      </w:r>
      <w:r w:rsidR="0025535A" w:rsidRPr="00990E9B">
        <w:rPr>
          <w:b/>
          <w:color w:val="auto"/>
        </w:rPr>
        <w:t xml:space="preserve">hange </w:t>
      </w:r>
      <w:r w:rsidR="00112EB1" w:rsidRPr="00990E9B">
        <w:rPr>
          <w:b/>
          <w:color w:val="auto"/>
        </w:rPr>
        <w:t>is submitted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the change request form will be </w:t>
      </w:r>
      <w:r w:rsidR="004723A1" w:rsidRPr="00990E9B">
        <w:rPr>
          <w:color w:val="auto"/>
        </w:rPr>
        <w:t xml:space="preserve">provided to the </w:t>
      </w:r>
      <w:r w:rsidR="00140C9E" w:rsidRPr="00990E9B">
        <w:rPr>
          <w:color w:val="auto"/>
        </w:rPr>
        <w:t>C</w:t>
      </w:r>
      <w:r w:rsidR="004723A1" w:rsidRPr="00990E9B">
        <w:rPr>
          <w:color w:val="auto"/>
        </w:rPr>
        <w:t>ustomer</w:t>
      </w:r>
      <w:r w:rsidR="00A26C0D" w:rsidRPr="00990E9B">
        <w:rPr>
          <w:color w:val="auto"/>
        </w:rPr>
        <w:t>.</w:t>
      </w:r>
    </w:p>
    <w:p w14:paraId="04CFE920" w14:textId="7C761069" w:rsidR="004723A1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>The c</w:t>
      </w:r>
      <w:r w:rsidR="0025535A" w:rsidRPr="00990E9B">
        <w:rPr>
          <w:b/>
          <w:color w:val="auto"/>
        </w:rPr>
        <w:t>hange is accepted or rejected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the </w:t>
      </w:r>
      <w:r w:rsidR="00140C9E" w:rsidRPr="00990E9B">
        <w:rPr>
          <w:color w:val="auto"/>
        </w:rPr>
        <w:t>C</w:t>
      </w:r>
      <w:r w:rsidR="00C4139D" w:rsidRPr="00990E9B">
        <w:rPr>
          <w:color w:val="auto"/>
        </w:rPr>
        <w:t>ustomer has three</w:t>
      </w:r>
      <w:r w:rsidR="004723A1" w:rsidRPr="00990E9B">
        <w:rPr>
          <w:color w:val="auto"/>
        </w:rPr>
        <w:t xml:space="preserve"> business days to confirm </w:t>
      </w:r>
      <w:r w:rsidRPr="00990E9B">
        <w:rPr>
          <w:color w:val="auto"/>
        </w:rPr>
        <w:t xml:space="preserve">the following </w:t>
      </w:r>
      <w:r w:rsidR="004723A1" w:rsidRPr="00990E9B">
        <w:rPr>
          <w:color w:val="auto"/>
        </w:rPr>
        <w:t>to Microsoft</w:t>
      </w:r>
      <w:r w:rsidR="00A26C0D" w:rsidRPr="00990E9B">
        <w:rPr>
          <w:color w:val="auto"/>
        </w:rPr>
        <w:t>:</w:t>
      </w:r>
    </w:p>
    <w:p w14:paraId="372F1F62" w14:textId="77777777" w:rsidR="004723A1" w:rsidRPr="00990E9B" w:rsidRDefault="004723A1" w:rsidP="00367FFC">
      <w:pPr>
        <w:pStyle w:val="Optional"/>
      </w:pPr>
      <w:r w:rsidRPr="00990E9B">
        <w:t>Acceptance</w:t>
      </w:r>
      <w:r w:rsidR="00515713" w:rsidRPr="00990E9B">
        <w:t>—</w:t>
      </w:r>
      <w:r w:rsidR="00246AC9" w:rsidRPr="00990E9B">
        <w:t xml:space="preserve">the </w:t>
      </w:r>
      <w:r w:rsidR="00140C9E" w:rsidRPr="00990E9B">
        <w:t>C</w:t>
      </w:r>
      <w:r w:rsidRPr="00990E9B">
        <w:t xml:space="preserve">ustomer </w:t>
      </w:r>
      <w:r w:rsidR="0025535A" w:rsidRPr="00990E9B">
        <w:t>must</w:t>
      </w:r>
      <w:r w:rsidRPr="00990E9B">
        <w:t xml:space="preserve"> sign and return </w:t>
      </w:r>
      <w:r w:rsidR="00ED7049" w:rsidRPr="00990E9B">
        <w:t xml:space="preserve">change request </w:t>
      </w:r>
      <w:r w:rsidR="00246AC9" w:rsidRPr="00990E9B">
        <w:t>form.</w:t>
      </w:r>
    </w:p>
    <w:p w14:paraId="04023DAE" w14:textId="75BF0D74" w:rsidR="00971FF6" w:rsidRPr="00990E9B" w:rsidRDefault="004723A1" w:rsidP="00367FFC">
      <w:pPr>
        <w:pStyle w:val="Optional"/>
      </w:pPr>
      <w:r w:rsidRPr="00990E9B">
        <w:t>Rejection</w:t>
      </w:r>
      <w:r w:rsidR="00246AC9" w:rsidRPr="00990E9B">
        <w:t>—i</w:t>
      </w:r>
      <w:r w:rsidR="00112EB1" w:rsidRPr="00990E9B">
        <w:t xml:space="preserve">f the </w:t>
      </w:r>
      <w:r w:rsidR="00140C9E" w:rsidRPr="00990E9B">
        <w:t>C</w:t>
      </w:r>
      <w:r w:rsidR="0025535A" w:rsidRPr="00990E9B">
        <w:t xml:space="preserve">ustomer does not want to </w:t>
      </w:r>
      <w:r w:rsidR="00043018" w:rsidRPr="00990E9B">
        <w:t xml:space="preserve">proceed </w:t>
      </w:r>
      <w:r w:rsidR="0025535A" w:rsidRPr="00990E9B">
        <w:t xml:space="preserve">with the change or does not provide an approval within </w:t>
      </w:r>
      <w:r w:rsidR="00C4139D" w:rsidRPr="00990E9B">
        <w:t>three</w:t>
      </w:r>
      <w:r w:rsidR="0025535A" w:rsidRPr="00990E9B">
        <w:t xml:space="preserve"> business days, no changes will be performed.</w:t>
      </w:r>
    </w:p>
    <w:p w14:paraId="650501F8" w14:textId="77777777" w:rsidR="00892C8C" w:rsidRDefault="00892C8C" w:rsidP="00892C8C">
      <w:pPr>
        <w:pStyle w:val="Heading3"/>
      </w:pPr>
      <w:bookmarkStart w:id="56" w:name="_Toc476168048"/>
      <w:r>
        <w:t>Escalation path</w:t>
      </w:r>
      <w:bookmarkEnd w:id="56"/>
    </w:p>
    <w:p w14:paraId="2B169B62" w14:textId="23E5F018" w:rsidR="00892C8C" w:rsidRDefault="00892C8C" w:rsidP="00892C8C">
      <w:r>
        <w:t xml:space="preserve">The Microsoft </w:t>
      </w:r>
      <w:r w:rsidR="008D1684">
        <w:t xml:space="preserve">delivery </w:t>
      </w:r>
      <w:r w:rsidR="00246AC9">
        <w:t xml:space="preserve">manager </w:t>
      </w:r>
      <w:r>
        <w:t xml:space="preserve">will </w:t>
      </w:r>
      <w:r w:rsidR="008D1684">
        <w:t>assist</w:t>
      </w:r>
      <w:r>
        <w:t xml:space="preserve"> the </w:t>
      </w:r>
      <w:r w:rsidR="00A26C0D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A26C0D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>sponsor</w:t>
      </w:r>
      <w:r w:rsidR="008C597C">
        <w:t>(s)</w:t>
      </w:r>
      <w:r w:rsidR="00E40CE7">
        <w:t xml:space="preserve"> in order</w:t>
      </w:r>
      <w:r w:rsidR="00335083">
        <w:t xml:space="preserve"> </w:t>
      </w:r>
      <w:r>
        <w:t>to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1D53DB84" w14:textId="4FECA3DA" w:rsidR="00892C8C" w:rsidRPr="00892C8C" w:rsidRDefault="0037700B" w:rsidP="00892C8C">
      <w:pPr>
        <w:pStyle w:val="Bulletlist"/>
      </w:pPr>
      <w:r>
        <w:t>Engagement</w:t>
      </w:r>
      <w:r w:rsidRPr="00892C8C">
        <w:t xml:space="preserve"> </w:t>
      </w:r>
      <w:r w:rsidR="006C6051">
        <w:t>t</w:t>
      </w:r>
      <w:r w:rsidR="00892C8C" w:rsidRPr="00892C8C">
        <w:t xml:space="preserve">eam member (Microsoft or </w:t>
      </w:r>
      <w:r w:rsidR="00112EB1">
        <w:t xml:space="preserve">the </w:t>
      </w:r>
      <w:r w:rsidR="00140C9E">
        <w:t>C</w:t>
      </w:r>
      <w:r w:rsidR="00892C8C" w:rsidRPr="00892C8C">
        <w:t>ustomer)</w:t>
      </w:r>
      <w:r w:rsidR="00A03A9B">
        <w:t>.</w:t>
      </w:r>
    </w:p>
    <w:p w14:paraId="1E0AE01E" w14:textId="21BB9DE5" w:rsidR="00892C8C" w:rsidRPr="00892C8C" w:rsidRDefault="008D1684" w:rsidP="003B0369">
      <w:pPr>
        <w:pStyle w:val="Bulletlist"/>
      </w:pPr>
      <w:r>
        <w:t>Customer p</w:t>
      </w:r>
      <w:r w:rsidR="006C6051">
        <w:t>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>
        <w:t>and/or Microsoft delivery manager</w:t>
      </w:r>
      <w:r w:rsidR="00A03A9B">
        <w:t>.</w:t>
      </w:r>
    </w:p>
    <w:p w14:paraId="2244961F" w14:textId="4B75A342" w:rsidR="00892C8C" w:rsidRDefault="00140C9E" w:rsidP="00892C8C">
      <w:pPr>
        <w:pStyle w:val="Bulletlist"/>
      </w:pPr>
      <w:r>
        <w:t>C</w:t>
      </w:r>
      <w:r w:rsidR="00892C8C" w:rsidRPr="00892C8C">
        <w:t xml:space="preserve">ustomer </w:t>
      </w:r>
      <w:r w:rsidR="006C6051">
        <w:t>project sponsor</w:t>
      </w:r>
      <w:r w:rsidR="00A03A9B">
        <w:t>.</w:t>
      </w:r>
    </w:p>
    <w:p w14:paraId="3C3FF815" w14:textId="2D0D0022" w:rsidR="00AB4D70" w:rsidRDefault="00FB3040" w:rsidP="00C84DD9">
      <w:pPr>
        <w:pStyle w:val="Heading2"/>
      </w:pPr>
      <w:bookmarkStart w:id="57" w:name="_Toc476167711"/>
      <w:bookmarkStart w:id="58" w:name="_Toc476168049"/>
      <w:bookmarkStart w:id="59" w:name="_Toc38877016"/>
      <w:bookmarkStart w:id="60" w:name="_Toc38965560"/>
      <w:r>
        <w:t xml:space="preserve">Engagement </w:t>
      </w:r>
      <w:r w:rsidR="00AB4D70">
        <w:t>completion</w:t>
      </w:r>
      <w:bookmarkEnd w:id="57"/>
      <w:bookmarkEnd w:id="58"/>
      <w:bookmarkEnd w:id="59"/>
      <w:bookmarkEnd w:id="60"/>
    </w:p>
    <w:p w14:paraId="789E7FAB" w14:textId="0FDF389C" w:rsidR="00AB4D70" w:rsidRPr="00AD01EA" w:rsidRDefault="00884E0D" w:rsidP="00152B24">
      <w:pPr>
        <w:pStyle w:val="Optional"/>
        <w:rPr>
          <w:color w:val="auto"/>
        </w:rPr>
      </w:pPr>
      <w:r w:rsidRPr="00AD01EA">
        <w:rPr>
          <w:color w:val="auto"/>
        </w:rPr>
        <w:t xml:space="preserve">Microsoft will provide </w:t>
      </w:r>
      <w:r w:rsidR="00140C9E" w:rsidRPr="00AD01EA">
        <w:rPr>
          <w:color w:val="auto"/>
        </w:rPr>
        <w:t>S</w:t>
      </w:r>
      <w:r w:rsidR="00AB4D70" w:rsidRPr="00AD01EA">
        <w:rPr>
          <w:color w:val="auto"/>
        </w:rPr>
        <w:t>ervices defined in this S</w:t>
      </w:r>
      <w:r w:rsidR="00E40CE7" w:rsidRPr="00AD01EA">
        <w:rPr>
          <w:color w:val="auto"/>
        </w:rPr>
        <w:t>OW</w:t>
      </w:r>
      <w:r w:rsidR="00AB4D70" w:rsidRPr="00AD01EA">
        <w:rPr>
          <w:color w:val="auto"/>
        </w:rPr>
        <w:t xml:space="preserve"> to the ext</w:t>
      </w:r>
      <w:r w:rsidR="00DE1F95" w:rsidRPr="00AD01EA">
        <w:rPr>
          <w:color w:val="auto"/>
        </w:rPr>
        <w:t>ent of the fees</w:t>
      </w:r>
      <w:r w:rsidR="00AB4D70" w:rsidRPr="00AD01EA">
        <w:rPr>
          <w:color w:val="auto"/>
        </w:rPr>
        <w:t xml:space="preserve"> available and the term specified in the Work Order. If addition</w:t>
      </w:r>
      <w:r w:rsidRPr="00AD01EA">
        <w:rPr>
          <w:color w:val="auto"/>
        </w:rPr>
        <w:t xml:space="preserve">al </w:t>
      </w:r>
      <w:r w:rsidR="00A26C0D" w:rsidRPr="00AD01EA">
        <w:rPr>
          <w:color w:val="auto"/>
        </w:rPr>
        <w:t>s</w:t>
      </w:r>
      <w:r w:rsidR="00AB4D70" w:rsidRPr="00AD01EA">
        <w:rPr>
          <w:color w:val="auto"/>
        </w:rPr>
        <w:t xml:space="preserve">ervices are required, the </w:t>
      </w:r>
      <w:r w:rsidR="00A11E61" w:rsidRPr="00AD01EA">
        <w:rPr>
          <w:color w:val="auto"/>
        </w:rPr>
        <w:fldChar w:fldCharType="begin"/>
      </w:r>
      <w:r w:rsidR="00A11E61" w:rsidRPr="00AD01EA">
        <w:rPr>
          <w:color w:val="auto"/>
        </w:rPr>
        <w:instrText xml:space="preserve"> REF _Ref477934302 \h </w:instrText>
      </w:r>
      <w:r w:rsidR="00A11E61" w:rsidRPr="00AD01EA">
        <w:rPr>
          <w:color w:val="auto"/>
        </w:rPr>
      </w:r>
      <w:r w:rsidR="00A11E61" w:rsidRPr="00AD01EA">
        <w:rPr>
          <w:color w:val="auto"/>
        </w:rPr>
        <w:fldChar w:fldCharType="separate"/>
      </w:r>
      <w:r w:rsidR="0048013E">
        <w:t>Change management process</w:t>
      </w:r>
      <w:r w:rsidR="00A11E61" w:rsidRPr="00AD01EA">
        <w:rPr>
          <w:color w:val="auto"/>
        </w:rPr>
        <w:fldChar w:fldCharType="end"/>
      </w:r>
      <w:r w:rsidR="00A11E61" w:rsidRPr="00AD01EA">
        <w:rPr>
          <w:color w:val="auto"/>
        </w:rPr>
        <w:t xml:space="preserve"> </w:t>
      </w:r>
      <w:r w:rsidR="00AB4D70" w:rsidRPr="00AD01EA">
        <w:rPr>
          <w:color w:val="auto"/>
        </w:rPr>
        <w:t xml:space="preserve">will be followed and the contract modified. The </w:t>
      </w:r>
      <w:r w:rsidR="008D1684" w:rsidRPr="00AD01EA">
        <w:rPr>
          <w:color w:val="auto"/>
        </w:rPr>
        <w:t xml:space="preserve">engagement </w:t>
      </w:r>
      <w:r w:rsidR="00AB4D70" w:rsidRPr="00AD01EA">
        <w:rPr>
          <w:color w:val="auto"/>
        </w:rPr>
        <w:t xml:space="preserve">will be considered complete </w:t>
      </w:r>
      <w:r w:rsidR="00152B24" w:rsidRPr="00AD01EA">
        <w:rPr>
          <w:color w:val="auto"/>
        </w:rPr>
        <w:t xml:space="preserve">when </w:t>
      </w:r>
      <w:r w:rsidR="00A11E61" w:rsidRPr="00AD01EA">
        <w:rPr>
          <w:color w:val="auto"/>
        </w:rPr>
        <w:t xml:space="preserve">at least one </w:t>
      </w:r>
      <w:r w:rsidR="00152B24" w:rsidRPr="00AD01EA">
        <w:rPr>
          <w:color w:val="auto"/>
        </w:rPr>
        <w:t xml:space="preserve">of the following conditions </w:t>
      </w:r>
      <w:r w:rsidR="00A11E61" w:rsidRPr="00AD01EA">
        <w:rPr>
          <w:color w:val="auto"/>
        </w:rPr>
        <w:t xml:space="preserve">has been </w:t>
      </w:r>
      <w:r w:rsidR="00152B24" w:rsidRPr="00AD01EA">
        <w:rPr>
          <w:color w:val="auto"/>
        </w:rPr>
        <w:t>met:</w:t>
      </w:r>
    </w:p>
    <w:p w14:paraId="7394C8F1" w14:textId="411CE87D" w:rsidR="00152B24" w:rsidRPr="00AD01EA" w:rsidRDefault="00152B24" w:rsidP="00152B24">
      <w:pPr>
        <w:pStyle w:val="Bulletlist"/>
      </w:pPr>
      <w:r w:rsidRPr="00AD01EA">
        <w:t>All</w:t>
      </w:r>
      <w:r w:rsidR="00884E0D" w:rsidRPr="00AD01EA">
        <w:t xml:space="preserve"> </w:t>
      </w:r>
      <w:r w:rsidR="0036776F" w:rsidRPr="00AD01EA">
        <w:t>fees available have been</w:t>
      </w:r>
      <w:r w:rsidR="00884E0D" w:rsidRPr="00AD01EA">
        <w:t xml:space="preserve"> utilized for </w:t>
      </w:r>
      <w:r w:rsidR="00140C9E" w:rsidRPr="00AD01EA">
        <w:t>S</w:t>
      </w:r>
      <w:r w:rsidRPr="00AD01EA">
        <w:t>ervices delivered and expenses incurred</w:t>
      </w:r>
      <w:r w:rsidR="00A11E61" w:rsidRPr="00AD01EA">
        <w:t>.</w:t>
      </w:r>
    </w:p>
    <w:p w14:paraId="2DEDAF47" w14:textId="018B833B" w:rsidR="00152B24" w:rsidRPr="00AD01EA" w:rsidRDefault="00152B24" w:rsidP="00152B24">
      <w:pPr>
        <w:pStyle w:val="Bulletlist"/>
      </w:pPr>
      <w:r w:rsidRPr="00AD01EA">
        <w:t xml:space="preserve">The term of the </w:t>
      </w:r>
      <w:r w:rsidR="008D1684" w:rsidRPr="00AD01EA">
        <w:t xml:space="preserve">engagement </w:t>
      </w:r>
      <w:r w:rsidRPr="00AD01EA">
        <w:t>has expired</w:t>
      </w:r>
      <w:r w:rsidR="00A11E61" w:rsidRPr="00AD01EA">
        <w:t>.</w:t>
      </w:r>
    </w:p>
    <w:p w14:paraId="1269F5A9" w14:textId="77777777" w:rsidR="00152B24" w:rsidRPr="00AD01EA" w:rsidRDefault="00152B24" w:rsidP="00152B24">
      <w:pPr>
        <w:pStyle w:val="Bulletlist"/>
      </w:pPr>
      <w:r w:rsidRPr="00AD01EA">
        <w:t xml:space="preserve">All Microsoft activities and </w:t>
      </w:r>
      <w:r w:rsidR="00C30D22" w:rsidRPr="00AD01EA">
        <w:t>in-</w:t>
      </w:r>
      <w:r w:rsidRPr="00AD01EA">
        <w:t xml:space="preserve">scope items </w:t>
      </w:r>
      <w:r w:rsidR="00A11E61" w:rsidRPr="00AD01EA">
        <w:t xml:space="preserve">have been </w:t>
      </w:r>
      <w:r w:rsidRPr="00AD01EA">
        <w:t>complete</w:t>
      </w:r>
      <w:r w:rsidR="00A11E61" w:rsidRPr="00AD01EA">
        <w:t>d.</w:t>
      </w:r>
    </w:p>
    <w:p w14:paraId="06021716" w14:textId="77777777" w:rsidR="00152B24" w:rsidRPr="00AD01EA" w:rsidRDefault="00152B24" w:rsidP="00152B24">
      <w:pPr>
        <w:pStyle w:val="Bulletlist"/>
      </w:pPr>
      <w:r w:rsidRPr="00AD01EA">
        <w:t xml:space="preserve">The Work Order </w:t>
      </w:r>
      <w:r w:rsidR="00A11E61" w:rsidRPr="00AD01EA">
        <w:t xml:space="preserve">has been </w:t>
      </w:r>
      <w:r w:rsidRPr="00AD01EA">
        <w:t>terminated</w:t>
      </w:r>
      <w:r w:rsidR="00043018" w:rsidRPr="00AD01EA">
        <w:t>.</w:t>
      </w:r>
    </w:p>
    <w:p w14:paraId="230411E5" w14:textId="603617A4" w:rsidR="00152B24" w:rsidRDefault="00DA53A9" w:rsidP="00C84DD9">
      <w:pPr>
        <w:pStyle w:val="Heading1"/>
      </w:pPr>
      <w:bookmarkStart w:id="61" w:name="_Toc479697178"/>
      <w:bookmarkStart w:id="62" w:name="_Toc479697225"/>
      <w:bookmarkStart w:id="63" w:name="_Toc479697179"/>
      <w:bookmarkStart w:id="64" w:name="_Toc479697226"/>
      <w:bookmarkStart w:id="65" w:name="_Toc479697180"/>
      <w:bookmarkStart w:id="66" w:name="_Toc479697227"/>
      <w:bookmarkStart w:id="67" w:name="_Toc476167712"/>
      <w:bookmarkStart w:id="68" w:name="_Toc476168050"/>
      <w:bookmarkStart w:id="69" w:name="_Toc38877017"/>
      <w:bookmarkStart w:id="70" w:name="_Toc38965561"/>
      <w:bookmarkEnd w:id="61"/>
      <w:bookmarkEnd w:id="62"/>
      <w:bookmarkEnd w:id="63"/>
      <w:bookmarkEnd w:id="64"/>
      <w:bookmarkEnd w:id="65"/>
      <w:bookmarkEnd w:id="66"/>
      <w:r>
        <w:t>Engagement</w:t>
      </w:r>
      <w:r w:rsidR="00152B24">
        <w:t xml:space="preserve"> organization</w:t>
      </w:r>
      <w:bookmarkEnd w:id="67"/>
      <w:bookmarkEnd w:id="68"/>
      <w:bookmarkEnd w:id="69"/>
      <w:bookmarkEnd w:id="70"/>
    </w:p>
    <w:p w14:paraId="27291569" w14:textId="58CC3E3D" w:rsidR="007F7420" w:rsidRDefault="00DA53A9" w:rsidP="00A8149E">
      <w:pPr>
        <w:pStyle w:val="Heading2"/>
      </w:pPr>
      <w:bookmarkStart w:id="71" w:name="_Toc476167713"/>
      <w:bookmarkStart w:id="72" w:name="_Toc476168051"/>
      <w:bookmarkStart w:id="73" w:name="_Toc38877018"/>
      <w:bookmarkStart w:id="74" w:name="_Toc38965562"/>
      <w:r>
        <w:t>Engagement</w:t>
      </w:r>
      <w:r w:rsidRPr="00C84DD9">
        <w:t xml:space="preserve"> </w:t>
      </w:r>
      <w:r w:rsidR="00C84DD9" w:rsidRPr="00C84DD9">
        <w:t>roles and responsibilities</w:t>
      </w:r>
      <w:bookmarkEnd w:id="71"/>
      <w:bookmarkEnd w:id="72"/>
      <w:bookmarkEnd w:id="73"/>
      <w:bookmarkEnd w:id="74"/>
    </w:p>
    <w:p w14:paraId="6E27284C" w14:textId="6EBC8A4B" w:rsidR="00C84DD9" w:rsidRDefault="00C84DD9" w:rsidP="00C84DD9">
      <w:r>
        <w:t xml:space="preserve">The key </w:t>
      </w:r>
      <w:r w:rsidR="00FB3040">
        <w:t xml:space="preserve">engagement </w:t>
      </w:r>
      <w:r>
        <w:t>roles and the responsibilities are as follows</w:t>
      </w:r>
      <w:r w:rsidR="00AD3CAD">
        <w:t>.</w:t>
      </w:r>
    </w:p>
    <w:p w14:paraId="6F41CC90" w14:textId="77777777" w:rsidR="0013452E" w:rsidRDefault="0013452E" w:rsidP="0013452E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1C6265C3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4A51B250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3B32869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12AC3A7E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05E6BCF0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7FEB0785" w14:textId="55214A3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>Provide the</w:t>
            </w:r>
            <w:r w:rsidRPr="00D91A3C">
              <w:t xml:space="preserve"> </w:t>
            </w:r>
            <w:r>
              <w:t xml:space="preserve">estimated </w:t>
            </w:r>
            <w:r w:rsidR="0037700B">
              <w:t xml:space="preserve">engagement </w:t>
            </w:r>
            <w:r>
              <w:t xml:space="preserve">commitment: </w:t>
            </w:r>
          </w:p>
          <w:p w14:paraId="768C6C54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0424CBD4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1EE4257D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744CA945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3C06B06E" w14:textId="7929110B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 xml:space="preserve">Provide the estimated </w:t>
            </w:r>
            <w:r w:rsidR="0037700B">
              <w:t xml:space="preserve">engagement </w:t>
            </w:r>
            <w:r>
              <w:t>commitment:</w:t>
            </w:r>
            <w:r w:rsidRPr="009837F6" w:rsidDel="00A26C0D">
              <w:rPr>
                <w:rStyle w:val="InstructionalChar"/>
              </w:rPr>
              <w:t xml:space="preserve"> </w:t>
            </w:r>
          </w:p>
          <w:p w14:paraId="67AB493F" w14:textId="63EF515A" w:rsidR="0013452E" w:rsidRDefault="0013452E" w:rsidP="0013452E">
            <w:pPr>
              <w:pStyle w:val="TableBullet1"/>
            </w:pPr>
            <w:r>
              <w:lastRenderedPageBreak/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A03A9B">
              <w:t>.</w:t>
            </w:r>
          </w:p>
          <w:p w14:paraId="3125D532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1370BACE" w14:textId="77777777" w:rsidR="0013452E" w:rsidRPr="00117AE2" w:rsidRDefault="0013452E" w:rsidP="0013452E">
            <w:pPr>
              <w:pStyle w:val="TableBullet1"/>
            </w:pPr>
            <w:r w:rsidRPr="00117AE2">
              <w:t>Deliver the project on schedule.</w:t>
            </w:r>
          </w:p>
          <w:p w14:paraId="66BB29EE" w14:textId="77777777" w:rsidR="0013452E" w:rsidRDefault="0013452E" w:rsidP="0013452E">
            <w:pPr>
              <w:pStyle w:val="TableBullet1"/>
            </w:pPr>
            <w:r>
              <w:t>Take responsibility for 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35447909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13452E" w:rsidRPr="005F3BAF" w14:paraId="7D196111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317EF05F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lastRenderedPageBreak/>
              <w:t>Technical team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6DD83CAF" w14:textId="377FD6DF" w:rsidR="0013452E" w:rsidRDefault="0013452E" w:rsidP="0013452E">
            <w:pPr>
              <w:pStyle w:val="TableBullet1"/>
            </w:pPr>
            <w:r>
              <w:t xml:space="preserve">Provide the estimated </w:t>
            </w:r>
            <w:r w:rsidR="0037700B">
              <w:t xml:space="preserve">engagement </w:t>
            </w:r>
            <w:r>
              <w:t xml:space="preserve">commitment: </w:t>
            </w:r>
          </w:p>
          <w:p w14:paraId="1B9CED0E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6E3EDFB7" w14:textId="227B3356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 xml:space="preserve">Take ownership of </w:t>
            </w:r>
            <w:r w:rsidRPr="00BB4A4F">
              <w:t>technical architecture</w:t>
            </w:r>
            <w:r w:rsidR="000F5FBF">
              <w:t>, design</w:t>
            </w:r>
            <w:r w:rsidRPr="00BB4A4F">
              <w:t xml:space="preserve"> and code deliverables</w:t>
            </w:r>
            <w:r>
              <w:t>.</w:t>
            </w:r>
          </w:p>
        </w:tc>
      </w:tr>
      <w:tr w:rsidR="0013452E" w:rsidRPr="005F3BAF" w14:paraId="152A4282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51ADD777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Lead business analyst</w:t>
            </w:r>
          </w:p>
        </w:tc>
        <w:tc>
          <w:tcPr>
            <w:tcW w:w="7200" w:type="dxa"/>
            <w:shd w:val="clear" w:color="auto" w:fill="FFFFFF" w:themeFill="background1"/>
          </w:tcPr>
          <w:p w14:paraId="152FC7AD" w14:textId="3E62F6DD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 xml:space="preserve">Provide the estimated </w:t>
            </w:r>
            <w:r w:rsidR="0037700B">
              <w:t xml:space="preserve">engagement </w:t>
            </w:r>
            <w:r>
              <w:t>commitment</w:t>
            </w:r>
            <w:r w:rsidR="00CD7450">
              <w:t>:</w:t>
            </w:r>
          </w:p>
          <w:p w14:paraId="650BEA59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rimary functional point of contact for the team that is responsible for functional business analysis</w:t>
            </w:r>
            <w:r>
              <w:t>.</w:t>
            </w:r>
          </w:p>
        </w:tc>
      </w:tr>
    </w:tbl>
    <w:p w14:paraId="11463777" w14:textId="77777777" w:rsidR="00C84DD9" w:rsidRDefault="0013452E" w:rsidP="0013452E">
      <w:pPr>
        <w:pStyle w:val="Heading4"/>
      </w:pPr>
      <w:r>
        <w:t>Microsoft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202"/>
      </w:tblGrid>
      <w:tr w:rsidR="00956926" w14:paraId="026E5F11" w14:textId="77777777" w:rsidTr="007E39A6">
        <w:trPr>
          <w:trHeight w:val="360"/>
          <w:tblHeader/>
        </w:trPr>
        <w:tc>
          <w:tcPr>
            <w:tcW w:w="2160" w:type="dxa"/>
            <w:shd w:val="clear" w:color="auto" w:fill="008272"/>
            <w:vAlign w:val="center"/>
          </w:tcPr>
          <w:p w14:paraId="4DCA9996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2" w:type="dxa"/>
            <w:shd w:val="clear" w:color="auto" w:fill="008272"/>
            <w:vAlign w:val="center"/>
          </w:tcPr>
          <w:p w14:paraId="7072E2A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956926" w:rsidRPr="005F3BAF" w14:paraId="630FEAAC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5F41B16B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76403016" w14:textId="77777777" w:rsidR="0013452E" w:rsidRDefault="0013452E" w:rsidP="0013452E">
            <w:pPr>
              <w:pStyle w:val="TableBullet1"/>
            </w:pPr>
            <w:r>
              <w:t xml:space="preserve">Manage and coordinate the Microsoft </w:t>
            </w:r>
            <w:r w:rsidR="006E46D9">
              <w:t>team</w:t>
            </w:r>
            <w:r>
              <w:t>.</w:t>
            </w:r>
          </w:p>
          <w:p w14:paraId="1781A126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956926" w:rsidRPr="005F3BAF" w14:paraId="00FFFDCC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74AAA757" w14:textId="63F54FE2" w:rsidR="0013452E" w:rsidRDefault="007C071B" w:rsidP="0013452E">
            <w:pPr>
              <w:pStyle w:val="TableText"/>
            </w:pPr>
            <w:r>
              <w:t>A</w:t>
            </w:r>
            <w:r w:rsidR="0013452E">
              <w:t>rchitect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51E2B329" w14:textId="5016CD31" w:rsidR="0013452E" w:rsidRPr="00D0227D" w:rsidRDefault="00DA53A9" w:rsidP="00E3759A">
            <w:pPr>
              <w:pStyle w:val="Bulletlist"/>
              <w:numPr>
                <w:ilvl w:val="0"/>
                <w:numId w:val="17"/>
              </w:numPr>
              <w:rPr>
                <w:szCs w:val="18"/>
              </w:rPr>
            </w:pPr>
            <w:r w:rsidRPr="008B1769">
              <w:t>Provide</w:t>
            </w:r>
            <w:r>
              <w:t xml:space="preserve"> technical architecture advice and guidance </w:t>
            </w:r>
            <w:r w:rsidRPr="008B1769">
              <w:t>for</w:t>
            </w:r>
            <w:r>
              <w:t xml:space="preserve"> in-scope </w:t>
            </w:r>
            <w:r w:rsidRPr="008B1769">
              <w:t>Microsoft</w:t>
            </w:r>
            <w:r>
              <w:t xml:space="preserve"> products and technologies based on </w:t>
            </w:r>
            <w:r w:rsidRPr="007D5631">
              <w:t>Microsoft</w:t>
            </w:r>
            <w:r>
              <w:t xml:space="preserve"> </w:t>
            </w:r>
            <w:r w:rsidRPr="007D5631">
              <w:t>recommended</w:t>
            </w:r>
            <w:r>
              <w:t xml:space="preserve"> </w:t>
            </w:r>
            <w:r w:rsidRPr="007D5631">
              <w:t>practices</w:t>
            </w:r>
            <w:r w:rsidR="00A03A9B">
              <w:t>.</w:t>
            </w:r>
          </w:p>
        </w:tc>
      </w:tr>
      <w:tr w:rsidR="00956926" w:rsidRPr="005F3BAF" w14:paraId="0C030E65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77B81CAD" w14:textId="77777777" w:rsidR="006E46D9" w:rsidRDefault="006E46D9" w:rsidP="0013452E">
            <w:pPr>
              <w:pStyle w:val="TableText"/>
            </w:pPr>
            <w:r>
              <w:t>Consultant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4EE7F9CD" w14:textId="26813A0E" w:rsidR="00117D09" w:rsidRDefault="006E46D9" w:rsidP="00E3759A">
            <w:pPr>
              <w:pStyle w:val="Bulletlist"/>
              <w:numPr>
                <w:ilvl w:val="0"/>
                <w:numId w:val="17"/>
              </w:numPr>
            </w:pPr>
            <w:r w:rsidRPr="008B1769">
              <w:t>Provide</w:t>
            </w:r>
            <w:r>
              <w:t xml:space="preserve"> </w:t>
            </w:r>
            <w:r w:rsidRPr="008B1769">
              <w:t>technical</w:t>
            </w:r>
            <w:r>
              <w:t xml:space="preserve"> advice and guidance </w:t>
            </w:r>
            <w:r w:rsidRPr="008B1769">
              <w:t>for</w:t>
            </w:r>
            <w:r>
              <w:t xml:space="preserve"> in-scope </w:t>
            </w:r>
            <w:r w:rsidRPr="008B1769">
              <w:t>Microsoft</w:t>
            </w:r>
            <w:r>
              <w:t xml:space="preserve"> products and technologies based on </w:t>
            </w:r>
            <w:r w:rsidRPr="007D5631">
              <w:t>Microsoft</w:t>
            </w:r>
            <w:r>
              <w:t xml:space="preserve"> </w:t>
            </w:r>
            <w:r w:rsidRPr="007D5631">
              <w:t>recommended</w:t>
            </w:r>
            <w:r>
              <w:t xml:space="preserve"> </w:t>
            </w:r>
            <w:r w:rsidRPr="007D5631">
              <w:t>practices</w:t>
            </w:r>
            <w:r w:rsidR="00A03A9B">
              <w:t>.</w:t>
            </w:r>
          </w:p>
          <w:p w14:paraId="538C9394" w14:textId="66F79B82" w:rsidR="00117D09" w:rsidRPr="00117D09" w:rsidRDefault="00117D09" w:rsidP="00E3759A">
            <w:pPr>
              <w:pStyle w:val="Bulletlist"/>
              <w:numPr>
                <w:ilvl w:val="0"/>
                <w:numId w:val="15"/>
              </w:numPr>
              <w:rPr>
                <w:bCs/>
              </w:rPr>
            </w:pPr>
            <w:r w:rsidRPr="00117D09">
              <w:rPr>
                <w:bCs/>
              </w:rPr>
              <w:t>Assist to develop and build technical solutions</w:t>
            </w:r>
            <w:r w:rsidR="00A03A9B">
              <w:rPr>
                <w:bCs/>
              </w:rPr>
              <w:t>.</w:t>
            </w:r>
          </w:p>
          <w:p w14:paraId="530675F2" w14:textId="6C533A4B" w:rsidR="00117D09" w:rsidRPr="00117D09" w:rsidRDefault="00117D09" w:rsidP="00E3759A">
            <w:pPr>
              <w:pStyle w:val="Bulletlist"/>
              <w:numPr>
                <w:ilvl w:val="0"/>
                <w:numId w:val="15"/>
              </w:numPr>
              <w:rPr>
                <w:bCs/>
              </w:rPr>
            </w:pPr>
            <w:r w:rsidRPr="00117D09">
              <w:rPr>
                <w:bCs/>
              </w:rPr>
              <w:t>Assist in development of architectural designs</w:t>
            </w:r>
            <w:r w:rsidR="00A03A9B">
              <w:rPr>
                <w:bCs/>
              </w:rPr>
              <w:t>.</w:t>
            </w:r>
          </w:p>
          <w:p w14:paraId="6D310112" w14:textId="2D9F6011" w:rsidR="00117D09" w:rsidRPr="00A67A54" w:rsidRDefault="00117D09" w:rsidP="00E3759A">
            <w:pPr>
              <w:pStyle w:val="Bulletlist"/>
              <w:numPr>
                <w:ilvl w:val="0"/>
                <w:numId w:val="15"/>
              </w:numPr>
            </w:pPr>
            <w:r w:rsidRPr="00117D09">
              <w:rPr>
                <w:bCs/>
              </w:rPr>
              <w:t>Assist in preparation and delivery of technical presentations to customer</w:t>
            </w:r>
            <w:r w:rsidR="00A03A9B">
              <w:rPr>
                <w:bCs/>
              </w:rPr>
              <w:t>.</w:t>
            </w:r>
            <w:r w:rsidRPr="00117D09">
              <w:rPr>
                <w:bCs/>
              </w:rPr>
              <w:t xml:space="preserve"> </w:t>
            </w:r>
          </w:p>
        </w:tc>
      </w:tr>
    </w:tbl>
    <w:p w14:paraId="6C4C0018" w14:textId="52124EBD" w:rsidR="0089268B" w:rsidRDefault="0089268B" w:rsidP="0089268B">
      <w:pPr>
        <w:pStyle w:val="Heading1"/>
      </w:pPr>
      <w:bookmarkStart w:id="75" w:name="_Toc476167714"/>
      <w:bookmarkStart w:id="76" w:name="_Toc476168052"/>
      <w:bookmarkStart w:id="77" w:name="_Toc38877019"/>
      <w:bookmarkStart w:id="78" w:name="_Toc38965563"/>
      <w:r>
        <w:t xml:space="preserve">Customer responsibilities and </w:t>
      </w:r>
      <w:r w:rsidR="00FB3040">
        <w:t xml:space="preserve">engagement </w:t>
      </w:r>
      <w:r>
        <w:t>assumptions</w:t>
      </w:r>
      <w:bookmarkEnd w:id="75"/>
      <w:bookmarkEnd w:id="76"/>
      <w:bookmarkEnd w:id="77"/>
      <w:bookmarkEnd w:id="78"/>
    </w:p>
    <w:p w14:paraId="3AAC9CE5" w14:textId="77777777" w:rsidR="002F1155" w:rsidRPr="00D30E59" w:rsidRDefault="00737D61" w:rsidP="00737D61">
      <w:pPr>
        <w:pStyle w:val="Heading2"/>
      </w:pPr>
      <w:bookmarkStart w:id="79" w:name="_Toc476167715"/>
      <w:bookmarkStart w:id="80" w:name="_Toc476168053"/>
      <w:bookmarkStart w:id="81" w:name="_Toc38877020"/>
      <w:bookmarkStart w:id="82" w:name="_Toc38965564"/>
      <w:r w:rsidRPr="00D30E59">
        <w:t>Customer responsibilities</w:t>
      </w:r>
      <w:bookmarkEnd w:id="79"/>
      <w:bookmarkEnd w:id="80"/>
      <w:bookmarkEnd w:id="81"/>
      <w:bookmarkEnd w:id="82"/>
    </w:p>
    <w:p w14:paraId="5CE6C660" w14:textId="02BEDCFE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48013E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  <w:r>
        <w:t xml:space="preserve"> </w:t>
      </w:r>
    </w:p>
    <w:p w14:paraId="1C5532F5" w14:textId="77777777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 xml:space="preserve">: </w:t>
      </w:r>
    </w:p>
    <w:p w14:paraId="0B90B1EE" w14:textId="61A7DA84" w:rsidR="004D04B9" w:rsidRDefault="00CE5B67" w:rsidP="00E3759A">
      <w:pPr>
        <w:pStyle w:val="Bulletlist"/>
        <w:numPr>
          <w:ilvl w:val="1"/>
          <w:numId w:val="5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>
        <w:t>-upon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906B188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 xml:space="preserve">. </w:t>
      </w:r>
    </w:p>
    <w:p w14:paraId="20D57F7B" w14:textId="215D260D" w:rsidR="004D04B9" w:rsidRDefault="005D19D2" w:rsidP="00E3759A">
      <w:pPr>
        <w:pStyle w:val="Bulletlist"/>
        <w:numPr>
          <w:ilvl w:val="1"/>
          <w:numId w:val="5"/>
        </w:numPr>
      </w:pPr>
      <w:r>
        <w:t>This includes a</w:t>
      </w:r>
      <w:r w:rsidR="004D04B9" w:rsidRPr="006679AB">
        <w:t xml:space="preserve">ccess to knowledgeable </w:t>
      </w:r>
      <w:r w:rsidR="00A26C0D">
        <w:t>customer</w:t>
      </w:r>
      <w:r w:rsidR="004D04B9" w:rsidRPr="006679AB">
        <w:t xml:space="preserve"> personnel, including business user representatives.</w:t>
      </w:r>
    </w:p>
    <w:p w14:paraId="398859B1" w14:textId="77777777" w:rsidR="005D19D2" w:rsidRDefault="005D19D2" w:rsidP="00947A90">
      <w:pPr>
        <w:pStyle w:val="Bulletlist"/>
        <w:keepNext/>
      </w:pPr>
      <w:r>
        <w:lastRenderedPageBreak/>
        <w:t>Provide a</w:t>
      </w:r>
      <w:r w:rsidRPr="006679AB">
        <w:t xml:space="preserve">ccess </w:t>
      </w:r>
      <w:r w:rsidR="004D04B9" w:rsidRPr="006679AB">
        <w:t>to systems</w:t>
      </w:r>
      <w:r>
        <w:t xml:space="preserve">. </w:t>
      </w:r>
    </w:p>
    <w:p w14:paraId="3EE5A422" w14:textId="77777777" w:rsidR="004D04B9" w:rsidRPr="006679AB" w:rsidRDefault="005D19D2" w:rsidP="00E3759A">
      <w:pPr>
        <w:pStyle w:val="Bulletlist"/>
        <w:numPr>
          <w:ilvl w:val="1"/>
          <w:numId w:val="5"/>
        </w:numPr>
      </w:pPr>
      <w:r>
        <w:t>This includes a</w:t>
      </w:r>
      <w:r w:rsidR="004D04B9" w:rsidRPr="006679AB">
        <w:t xml:space="preserve">ccess to all necessary </w:t>
      </w:r>
      <w:r w:rsidR="00A26C0D">
        <w:t>customer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0AD6751C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05774F5" w14:textId="0D897254" w:rsidR="004D04B9" w:rsidRPr="006679AB" w:rsidRDefault="00C35540" w:rsidP="00E3759A">
      <w:pPr>
        <w:pStyle w:val="Bulletlist"/>
        <w:numPr>
          <w:ilvl w:val="1"/>
          <w:numId w:val="5"/>
        </w:numPr>
      </w:pPr>
      <w:r>
        <w:t>This consists of s</w:t>
      </w:r>
      <w:r w:rsidRPr="006679AB">
        <w:t xml:space="preserve">uitable </w:t>
      </w:r>
      <w:r w:rsidR="004D04B9" w:rsidRPr="006679AB">
        <w:t xml:space="preserve">work spaces, </w:t>
      </w:r>
      <w:r w:rsidR="00FB3040">
        <w:t xml:space="preserve">meeting rooms, </w:t>
      </w:r>
      <w:r w:rsidR="004D04B9" w:rsidRPr="006679AB">
        <w:t>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162EC747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1B9FB454" w14:textId="6CF3BD6E" w:rsidR="004D04B9" w:rsidRDefault="004B1433" w:rsidP="00E3759A">
      <w:pPr>
        <w:pStyle w:val="Bulletlist"/>
        <w:numPr>
          <w:ilvl w:val="1"/>
          <w:numId w:val="5"/>
        </w:numPr>
      </w:pPr>
      <w:r>
        <w:t>The customer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A26C0D">
        <w:t>customer</w:t>
      </w:r>
      <w:r w:rsidR="004D04B9" w:rsidRPr="006679AB">
        <w:t xml:space="preserve"> personnel and vendors</w:t>
      </w:r>
      <w:r w:rsidR="00636B13" w:rsidRPr="006679AB">
        <w:t>.</w:t>
      </w:r>
    </w:p>
    <w:p w14:paraId="1A91E25A" w14:textId="77777777" w:rsidR="003273DC" w:rsidRDefault="003273DC" w:rsidP="003273DC">
      <w:pPr>
        <w:pStyle w:val="Bulletlist"/>
      </w:pPr>
      <w:r>
        <w:t>Manage external dependencies.</w:t>
      </w:r>
    </w:p>
    <w:p w14:paraId="69A562BF" w14:textId="77777777" w:rsidR="003273DC" w:rsidRPr="006679AB" w:rsidRDefault="003273DC" w:rsidP="00E3759A">
      <w:pPr>
        <w:pStyle w:val="Bulletlist"/>
        <w:numPr>
          <w:ilvl w:val="1"/>
          <w:numId w:val="5"/>
        </w:numPr>
      </w:pPr>
      <w:r>
        <w:t>The customer will f</w:t>
      </w:r>
      <w:r w:rsidRPr="006679AB">
        <w:t xml:space="preserve">acilitate </w:t>
      </w:r>
      <w:r>
        <w:t xml:space="preserve">any </w:t>
      </w:r>
      <w:r w:rsidRPr="006679AB">
        <w:t>interaction</w:t>
      </w:r>
      <w:r>
        <w:t>s</w:t>
      </w:r>
      <w:r w:rsidRPr="006679AB">
        <w:t xml:space="preserve"> with related projects </w:t>
      </w:r>
      <w:r>
        <w:t>or</w:t>
      </w:r>
      <w:r w:rsidRPr="006679AB">
        <w:t xml:space="preserve"> programs </w:t>
      </w:r>
      <w:r>
        <w:t>in order to manage</w:t>
      </w:r>
      <w:r w:rsidRPr="006679AB">
        <w:t xml:space="preserve"> external project dependencies.</w:t>
      </w:r>
    </w:p>
    <w:p w14:paraId="2CC7CFD1" w14:textId="54398387" w:rsidR="007D3787" w:rsidRPr="00D30E59" w:rsidRDefault="00956926" w:rsidP="007D3787">
      <w:pPr>
        <w:pStyle w:val="Heading2"/>
      </w:pPr>
      <w:bookmarkStart w:id="83" w:name="_Toc476167716"/>
      <w:bookmarkStart w:id="84" w:name="_Toc476168054"/>
      <w:bookmarkStart w:id="85" w:name="_Toc38877021"/>
      <w:bookmarkStart w:id="86" w:name="_Toc38965565"/>
      <w:r>
        <w:t>Engagement</w:t>
      </w:r>
      <w:r w:rsidR="007D3787" w:rsidRPr="00D30E59">
        <w:t xml:space="preserve"> </w:t>
      </w:r>
      <w:bookmarkEnd w:id="83"/>
      <w:bookmarkEnd w:id="84"/>
      <w:r w:rsidR="006209A1" w:rsidRPr="00D30E59">
        <w:t>assumptions</w:t>
      </w:r>
      <w:bookmarkEnd w:id="85"/>
      <w:bookmarkEnd w:id="86"/>
    </w:p>
    <w:p w14:paraId="237AD756" w14:textId="0294AB9B" w:rsidR="00EC7993" w:rsidRDefault="007D3787" w:rsidP="00EC7993">
      <w:r>
        <w:t xml:space="preserve">The </w:t>
      </w:r>
      <w:r w:rsidR="00956926">
        <w:t>engagement</w:t>
      </w:r>
      <w:r>
        <w:t xml:space="preserve"> sc</w:t>
      </w:r>
      <w:r w:rsidR="00884E0D">
        <w:t xml:space="preserve">ope, </w:t>
      </w:r>
      <w:r w:rsidR="00EF4391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956926">
        <w:t>engagement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</w:t>
      </w:r>
      <w:r w:rsidR="00956926">
        <w:t>engagement</w:t>
      </w:r>
      <w:r w:rsidR="004B1433">
        <w:t xml:space="preserve">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3AA3D635" w14:textId="77777777" w:rsidR="003D158B" w:rsidRDefault="000F1748" w:rsidP="002E3D1B">
      <w:pPr>
        <w:pStyle w:val="Bulletlist"/>
      </w:pPr>
      <w:r>
        <w:t xml:space="preserve">Work day: </w:t>
      </w:r>
    </w:p>
    <w:p w14:paraId="3A5D9289" w14:textId="1C8806CB" w:rsidR="004D04B9" w:rsidRPr="006679AB" w:rsidRDefault="00BB19E5" w:rsidP="00E3759A">
      <w:pPr>
        <w:pStyle w:val="Bulletlist"/>
        <w:numPr>
          <w:ilvl w:val="1"/>
          <w:numId w:val="5"/>
        </w:numPr>
      </w:pPr>
      <w:r>
        <w:t>T</w:t>
      </w:r>
      <w:r w:rsidR="007104D0" w:rsidRPr="006679AB">
        <w:t xml:space="preserve">he </w:t>
      </w:r>
      <w:r w:rsidR="004D04B9" w:rsidRPr="006679AB">
        <w:t>standard work day for the Microsoft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32CB5F19" w14:textId="77777777" w:rsidR="009E719B" w:rsidRDefault="009E719B" w:rsidP="009E719B">
      <w:pPr>
        <w:pStyle w:val="Bulletlist"/>
      </w:pPr>
      <w:r>
        <w:t>Standard holidays:</w:t>
      </w:r>
    </w:p>
    <w:p w14:paraId="3F0C06F1" w14:textId="2979570B" w:rsidR="009E719B" w:rsidRPr="006679AB" w:rsidRDefault="009E719B" w:rsidP="00E3759A">
      <w:pPr>
        <w:pStyle w:val="Bulletlist"/>
        <w:numPr>
          <w:ilvl w:val="1"/>
          <w:numId w:val="5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 xml:space="preserve">esidence holidays is assumed and has been factored into the </w:t>
      </w:r>
      <w:r w:rsidR="00956926">
        <w:t>engagement</w:t>
      </w:r>
      <w:r w:rsidRPr="006679AB">
        <w:t xml:space="preserve"> timeline.</w:t>
      </w:r>
    </w:p>
    <w:p w14:paraId="4B73229E" w14:textId="77777777" w:rsidR="003D158B" w:rsidRDefault="003D158B" w:rsidP="002E3D1B">
      <w:pPr>
        <w:pStyle w:val="Bulletlist"/>
      </w:pPr>
      <w:r>
        <w:t>Remote working:</w:t>
      </w:r>
    </w:p>
    <w:p w14:paraId="1B03E3CA" w14:textId="2016EB9B" w:rsidR="004D04B9" w:rsidRPr="006679AB" w:rsidRDefault="00BB19E5" w:rsidP="00E3759A">
      <w:pPr>
        <w:pStyle w:val="Bulletlist"/>
        <w:numPr>
          <w:ilvl w:val="1"/>
          <w:numId w:val="5"/>
        </w:numPr>
      </w:pPr>
      <w:r>
        <w:t>T</w:t>
      </w:r>
      <w:r w:rsidR="004D04B9" w:rsidRPr="006679AB">
        <w:t xml:space="preserve">he Microsoft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A26C0D">
        <w:t>services</w:t>
      </w:r>
      <w:r w:rsidR="004D04B9" w:rsidRPr="006679AB">
        <w:t xml:space="preserve"> remotely</w:t>
      </w:r>
      <w:r w:rsidR="00636B13" w:rsidRPr="006679AB">
        <w:t>.</w:t>
      </w:r>
    </w:p>
    <w:p w14:paraId="7F466E6E" w14:textId="2A594CB6" w:rsidR="004D04B9" w:rsidRDefault="00BB19E5" w:rsidP="00E3759A">
      <w:pPr>
        <w:pStyle w:val="Bulletlist"/>
        <w:numPr>
          <w:ilvl w:val="1"/>
          <w:numId w:val="5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A26C0D">
        <w:t>customer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 xml:space="preserve">Monday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4C077F0D" w14:textId="77777777" w:rsidR="003D158B" w:rsidRDefault="003D158B" w:rsidP="002E3D1B">
      <w:pPr>
        <w:pStyle w:val="Bulletlist"/>
      </w:pPr>
      <w:r>
        <w:t>Language:</w:t>
      </w:r>
    </w:p>
    <w:p w14:paraId="56A1F0C2" w14:textId="3EE0ACD2" w:rsidR="004D04B9" w:rsidRPr="006679AB" w:rsidRDefault="00BB19E5" w:rsidP="00E3759A">
      <w:pPr>
        <w:pStyle w:val="Bulletlist"/>
        <w:numPr>
          <w:ilvl w:val="1"/>
          <w:numId w:val="5"/>
        </w:numPr>
      </w:pPr>
      <w:r>
        <w:t>A</w:t>
      </w:r>
      <w:r w:rsidR="0072174A" w:rsidRPr="006679AB">
        <w:t xml:space="preserve">ll </w:t>
      </w:r>
      <w:r w:rsidR="00956926">
        <w:t>engagement</w:t>
      </w:r>
      <w:r w:rsidR="004D04B9" w:rsidRPr="006679AB">
        <w:t xml:space="preserve"> communications and documentation will be in </w:t>
      </w:r>
      <w:r w:rsidR="004D04B9" w:rsidRPr="00A8149E">
        <w:rPr>
          <w:rStyle w:val="InstructionalChar"/>
        </w:rPr>
        <w:t>[</w:t>
      </w:r>
      <w:r w:rsidR="00B472FB">
        <w:rPr>
          <w:rStyle w:val="InstructionalChar"/>
          <w:rFonts w:hint="eastAsia"/>
          <w:lang w:eastAsia="zh-CN"/>
        </w:rPr>
        <w:t>T</w:t>
      </w:r>
      <w:r w:rsidR="00B472FB" w:rsidRPr="00A16D9D">
        <w:rPr>
          <w:rStyle w:val="InstructionalChar"/>
        </w:rPr>
        <w:t>raditional</w:t>
      </w:r>
      <w:r w:rsidR="00B472FB">
        <w:rPr>
          <w:rStyle w:val="InstructionalChar"/>
        </w:rPr>
        <w:t xml:space="preserve"> </w:t>
      </w:r>
      <w:r w:rsidR="00B472FB">
        <w:rPr>
          <w:rStyle w:val="InstructionalChar"/>
          <w:rFonts w:hint="eastAsia"/>
          <w:lang w:eastAsia="zh-CN"/>
        </w:rPr>
        <w:t>Chinese</w:t>
      </w:r>
      <w:r w:rsidR="004D04B9" w:rsidRPr="00EE332C">
        <w:rPr>
          <w:rStyle w:val="InstructionalChar"/>
        </w:rPr>
        <w:t>]</w:t>
      </w:r>
      <w:r w:rsidR="00890CD0">
        <w:rPr>
          <w:rStyle w:val="InstructionalChar"/>
        </w:rPr>
        <w:t xml:space="preserve"> or </w:t>
      </w:r>
      <w:r w:rsidR="00890CD0" w:rsidRPr="006679AB">
        <w:t xml:space="preserve"> </w:t>
      </w:r>
      <w:r w:rsidR="00890CD0" w:rsidRPr="00A8149E">
        <w:rPr>
          <w:rStyle w:val="InstructionalChar"/>
        </w:rPr>
        <w:t>[</w:t>
      </w:r>
      <w:r w:rsidR="00890CD0">
        <w:rPr>
          <w:rStyle w:val="InstructionalChar"/>
          <w:lang w:eastAsia="zh-CN"/>
        </w:rPr>
        <w:t>English</w:t>
      </w:r>
      <w:r w:rsidR="00890CD0" w:rsidRPr="00EE332C">
        <w:rPr>
          <w:rStyle w:val="InstructionalChar"/>
        </w:rPr>
        <w:t>]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1D9E36EB" w14:textId="77777777" w:rsidR="003D158B" w:rsidRDefault="003D158B" w:rsidP="003D158B">
      <w:pPr>
        <w:pStyle w:val="Bulletlist"/>
      </w:pPr>
      <w:r>
        <w:t>Staffing:</w:t>
      </w:r>
    </w:p>
    <w:p w14:paraId="753D9AD5" w14:textId="0F93F8FE" w:rsidR="00864A42" w:rsidRPr="00291C7A" w:rsidRDefault="00BB19E5" w:rsidP="00B472FB">
      <w:pPr>
        <w:pStyle w:val="Bulletlist"/>
        <w:numPr>
          <w:ilvl w:val="1"/>
          <w:numId w:val="5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956926">
        <w:t>engagement</w:t>
      </w:r>
      <w:r w:rsidR="004D04B9" w:rsidRPr="006679AB">
        <w:t xml:space="preserve"> roles.</w:t>
      </w:r>
    </w:p>
    <w:p w14:paraId="72F46CA7" w14:textId="77777777" w:rsidR="00BB19E5" w:rsidRDefault="004D04B9" w:rsidP="00947A90">
      <w:pPr>
        <w:pStyle w:val="Bulletlist"/>
        <w:keepNext/>
      </w:pPr>
      <w:r w:rsidRPr="006679AB">
        <w:t>Informal knowledge transfer</w:t>
      </w:r>
      <w:r w:rsidR="00925615">
        <w:t>:</w:t>
      </w:r>
    </w:p>
    <w:p w14:paraId="25F9492B" w14:textId="3AC3F2D4" w:rsidR="004D04B9" w:rsidRDefault="00BB19E5" w:rsidP="00E3759A">
      <w:pPr>
        <w:pStyle w:val="Bulletlist"/>
        <w:numPr>
          <w:ilvl w:val="1"/>
          <w:numId w:val="5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 xml:space="preserve">throughout the </w:t>
      </w:r>
      <w:r w:rsidR="00956926">
        <w:t>engagement</w:t>
      </w:r>
      <w:r w:rsidR="004D04B9" w:rsidRPr="006679AB">
        <w:t>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p w14:paraId="6773F927" w14:textId="0300F671" w:rsidR="007A35A3" w:rsidRPr="0048013E" w:rsidRDefault="007A35A3" w:rsidP="00E3759A">
      <w:pPr>
        <w:pStyle w:val="Optional"/>
        <w:numPr>
          <w:ilvl w:val="0"/>
          <w:numId w:val="16"/>
        </w:numPr>
        <w:rPr>
          <w:color w:val="auto"/>
        </w:rPr>
      </w:pPr>
      <w:r w:rsidRPr="0048013E">
        <w:rPr>
          <w:color w:val="auto"/>
        </w:rPr>
        <w:t>Other assumptions:</w:t>
      </w:r>
    </w:p>
    <w:p w14:paraId="08911D89" w14:textId="0A477E98" w:rsidR="00291C7A" w:rsidRPr="00291C7A" w:rsidRDefault="00291C7A" w:rsidP="00E3759A">
      <w:pPr>
        <w:pStyle w:val="ListParagraph"/>
        <w:numPr>
          <w:ilvl w:val="1"/>
          <w:numId w:val="5"/>
        </w:numPr>
      </w:pPr>
      <w:r w:rsidRPr="00291C7A">
        <w:t>All work is to be contiguously scheduled.  Any breaks in the engagement calendar must be scheduled four weeks in advance, or will be billed without interruption.</w:t>
      </w:r>
    </w:p>
    <w:p w14:paraId="3D0804A6" w14:textId="73D03CF2" w:rsidR="00291C7A" w:rsidRPr="00291C7A" w:rsidRDefault="00291C7A" w:rsidP="00E3759A">
      <w:pPr>
        <w:pStyle w:val="ListParagraph"/>
        <w:numPr>
          <w:ilvl w:val="1"/>
          <w:numId w:val="5"/>
        </w:numPr>
      </w:pPr>
      <w:r w:rsidRPr="00291C7A">
        <w:lastRenderedPageBreak/>
        <w:t>Lab and / or development facility is available</w:t>
      </w:r>
      <w:r w:rsidR="00131239">
        <w:t>.</w:t>
      </w:r>
    </w:p>
    <w:p w14:paraId="0616BB93" w14:textId="02620E27" w:rsidR="00291C7A" w:rsidRPr="002E52FD" w:rsidRDefault="00291C7A" w:rsidP="00E3759A">
      <w:pPr>
        <w:pStyle w:val="ListParagraph"/>
        <w:numPr>
          <w:ilvl w:val="1"/>
          <w:numId w:val="5"/>
        </w:numPr>
      </w:pPr>
      <w:r w:rsidRPr="00291C7A">
        <w:t>Any delay on delivering customer required items could impact the delivery schedule.</w:t>
      </w:r>
    </w:p>
    <w:p w14:paraId="32C69B08" w14:textId="77777777" w:rsidR="002E52FD" w:rsidRPr="00EC7993" w:rsidRDefault="002E52FD" w:rsidP="00AC1B81">
      <w:pPr>
        <w:pStyle w:val="Bulletlist"/>
        <w:numPr>
          <w:ilvl w:val="0"/>
          <w:numId w:val="0"/>
        </w:numPr>
        <w:rPr>
          <w:color w:val="FF66FF"/>
        </w:rPr>
      </w:pPr>
    </w:p>
    <w:sectPr w:rsidR="002E52FD" w:rsidRPr="00EC7993" w:rsidSect="00812548">
      <w:footerReference w:type="default" r:id="rId18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DED9D" w14:textId="77777777" w:rsidR="0021153D" w:rsidRDefault="0021153D" w:rsidP="000D404A">
      <w:pPr>
        <w:spacing w:after="0" w:line="240" w:lineRule="auto"/>
      </w:pPr>
      <w:r>
        <w:separator/>
      </w:r>
    </w:p>
    <w:p w14:paraId="0C517635" w14:textId="77777777" w:rsidR="0021153D" w:rsidRDefault="0021153D"/>
  </w:endnote>
  <w:endnote w:type="continuationSeparator" w:id="0">
    <w:p w14:paraId="5B6D591B" w14:textId="77777777" w:rsidR="0021153D" w:rsidRDefault="0021153D" w:rsidP="000D404A">
      <w:pPr>
        <w:spacing w:after="0" w:line="240" w:lineRule="auto"/>
      </w:pPr>
      <w:r>
        <w:continuationSeparator/>
      </w:r>
    </w:p>
    <w:p w14:paraId="0D00430B" w14:textId="77777777" w:rsidR="0021153D" w:rsidRDefault="0021153D"/>
  </w:endnote>
  <w:endnote w:type="continuationNotice" w:id="1">
    <w:p w14:paraId="74F77AF6" w14:textId="77777777" w:rsidR="0021153D" w:rsidRDefault="0021153D">
      <w:pPr>
        <w:spacing w:after="0" w:line="240" w:lineRule="auto"/>
      </w:pPr>
    </w:p>
    <w:p w14:paraId="5535278D" w14:textId="77777777" w:rsidR="0021153D" w:rsidRDefault="00211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Lucida Sans Unicode"/>
    <w:charset w:val="00"/>
    <w:family w:val="swiss"/>
    <w:pitch w:val="variable"/>
    <w:sig w:usb0="00000001" w:usb1="4000205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8D13D" w14:textId="77777777" w:rsidR="00367FFC" w:rsidRDefault="00367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AF0F" w14:textId="77777777" w:rsidR="00367FFC" w:rsidRDefault="00367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ECC6" w14:textId="77777777" w:rsidR="00367FFC" w:rsidRDefault="00367F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0CF7" w14:textId="77777777" w:rsidR="00CC57C3" w:rsidRDefault="00CC57C3" w:rsidP="007F148A">
    <w:pPr>
      <w:pStyle w:val="Footer"/>
    </w:pPr>
    <w:r>
      <w:t xml:space="preserve">Microsoft Services: Statement of Work </w:t>
    </w:r>
  </w:p>
  <w:p w14:paraId="26061395" w14:textId="77777777" w:rsidR="00CC57C3" w:rsidRDefault="00CC57C3">
    <w:pPr>
      <w:pStyle w:val="Footer"/>
    </w:pPr>
    <w:r>
      <w:t>SOWv11.0(WW)(English)(Apr2017)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D3F1" w14:textId="77777777" w:rsidR="00CC57C3" w:rsidRDefault="00CC57C3">
    <w:pPr>
      <w:pStyle w:val="Footer"/>
    </w:pPr>
  </w:p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49"/>
      <w:gridCol w:w="3573"/>
    </w:tblGrid>
    <w:tr w:rsidR="00CC57C3" w14:paraId="741BF79A" w14:textId="77777777" w:rsidTr="00811F1B">
      <w:trPr>
        <w:trHeight w:val="432"/>
      </w:trPr>
      <w:tc>
        <w:tcPr>
          <w:tcW w:w="5749" w:type="dxa"/>
          <w:tcMar>
            <w:left w:w="0" w:type="dxa"/>
            <w:right w:w="0" w:type="dxa"/>
          </w:tcMar>
          <w:vAlign w:val="bottom"/>
        </w:tcPr>
        <w:p w14:paraId="347994A6" w14:textId="7129132E" w:rsidR="00CC57C3" w:rsidRPr="00930597" w:rsidRDefault="00367FFC" w:rsidP="00930597">
          <w:pPr>
            <w:pStyle w:val="Footer"/>
            <w:rPr>
              <w:color w:val="7F7F7F" w:themeColor="text1" w:themeTint="80"/>
              <w:sz w:val="16"/>
            </w:rPr>
          </w:pPr>
          <w:r>
            <w:rPr>
              <w:color w:val="7F7F7F" w:themeColor="text1" w:themeTint="80"/>
              <w:sz w:val="16"/>
            </w:rPr>
            <w:t xml:space="preserve">Microsoft Services: Statement of Work </w:t>
          </w:r>
          <w:r>
            <w:rPr>
              <w:color w:val="7F7F7F" w:themeColor="text1" w:themeTint="80"/>
              <w:sz w:val="16"/>
            </w:rPr>
            <w:br/>
            <w:t>SOWv12.0(WW)(English)(Nov2019)</w:t>
          </w:r>
        </w:p>
      </w:tc>
      <w:tc>
        <w:tcPr>
          <w:tcW w:w="3573" w:type="dxa"/>
          <w:vAlign w:val="center"/>
        </w:tcPr>
        <w:sdt>
          <w:sdtPr>
            <w:rPr>
              <w:sz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374884D0" w14:textId="47ABECD2" w:rsidR="00CC57C3" w:rsidRPr="00930597" w:rsidRDefault="00CC57C3" w:rsidP="00811F1B">
              <w:pPr>
                <w:pStyle w:val="Footer"/>
                <w:jc w:val="right"/>
                <w:rPr>
                  <w:sz w:val="16"/>
                </w:rPr>
              </w:pPr>
              <w:r w:rsidRPr="00930597">
                <w:rPr>
                  <w:color w:val="7F7F7F" w:themeColor="text1" w:themeTint="80"/>
                  <w:sz w:val="16"/>
                </w:rPr>
                <w:t xml:space="preserve">Page </w:t>
              </w:r>
              <w:r w:rsidRPr="00930597">
                <w:rPr>
                  <w:color w:val="7F7F7F" w:themeColor="text1" w:themeTint="80"/>
                  <w:sz w:val="16"/>
                </w:rPr>
                <w:fldChar w:fldCharType="begin"/>
              </w:r>
              <w:r w:rsidRPr="00930597">
                <w:rPr>
                  <w:color w:val="7F7F7F" w:themeColor="text1" w:themeTint="80"/>
                  <w:sz w:val="16"/>
                </w:rPr>
                <w:instrText xml:space="preserve"> PAGE </w:instrText>
              </w:r>
              <w:r w:rsidRPr="00930597">
                <w:rPr>
                  <w:color w:val="7F7F7F" w:themeColor="text1" w:themeTint="80"/>
                  <w:sz w:val="16"/>
                </w:rPr>
                <w:fldChar w:fldCharType="separate"/>
              </w:r>
              <w:r w:rsidR="003259D5">
                <w:rPr>
                  <w:noProof/>
                  <w:color w:val="7F7F7F" w:themeColor="text1" w:themeTint="80"/>
                  <w:sz w:val="16"/>
                </w:rPr>
                <w:t>8</w:t>
              </w:r>
              <w:r w:rsidRPr="00930597">
                <w:rPr>
                  <w:color w:val="7F7F7F" w:themeColor="text1" w:themeTint="80"/>
                  <w:sz w:val="16"/>
                </w:rPr>
                <w:fldChar w:fldCharType="end"/>
              </w:r>
              <w:r w:rsidRPr="00930597">
                <w:rPr>
                  <w:color w:val="7F7F7F" w:themeColor="text1" w:themeTint="80"/>
                  <w:sz w:val="16"/>
                </w:rPr>
                <w:t xml:space="preserve"> of </w:t>
              </w:r>
              <w:r w:rsidRPr="00930597">
                <w:rPr>
                  <w:color w:val="7F7F7F" w:themeColor="text1" w:themeTint="80"/>
                  <w:sz w:val="16"/>
                </w:rPr>
                <w:fldChar w:fldCharType="begin"/>
              </w:r>
              <w:r w:rsidRPr="00930597">
                <w:rPr>
                  <w:color w:val="7F7F7F" w:themeColor="text1" w:themeTint="80"/>
                  <w:sz w:val="16"/>
                </w:rPr>
                <w:instrText xml:space="preserve"> SECTIONPAGES  </w:instrText>
              </w:r>
              <w:r w:rsidRPr="00930597">
                <w:rPr>
                  <w:color w:val="7F7F7F" w:themeColor="text1" w:themeTint="80"/>
                  <w:sz w:val="16"/>
                </w:rPr>
                <w:fldChar w:fldCharType="separate"/>
              </w:r>
              <w:r w:rsidR="00F93CFC">
                <w:rPr>
                  <w:noProof/>
                  <w:color w:val="7F7F7F" w:themeColor="text1" w:themeTint="80"/>
                  <w:sz w:val="16"/>
                </w:rPr>
                <w:t>8</w:t>
              </w:r>
              <w:r w:rsidRPr="00930597">
                <w:rPr>
                  <w:color w:val="7F7F7F" w:themeColor="text1" w:themeTint="80"/>
                  <w:sz w:val="16"/>
                </w:rPr>
                <w:fldChar w:fldCharType="end"/>
              </w:r>
            </w:p>
          </w:sdtContent>
        </w:sdt>
      </w:tc>
    </w:tr>
  </w:tbl>
  <w:p w14:paraId="6FF6B931" w14:textId="77777777" w:rsidR="00CC57C3" w:rsidRDefault="00CC57C3" w:rsidP="003806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E604A" w14:textId="77777777" w:rsidR="0021153D" w:rsidRDefault="0021153D" w:rsidP="000D404A">
      <w:pPr>
        <w:spacing w:after="0" w:line="240" w:lineRule="auto"/>
      </w:pPr>
      <w:r>
        <w:separator/>
      </w:r>
    </w:p>
    <w:p w14:paraId="7B20F702" w14:textId="77777777" w:rsidR="0021153D" w:rsidRDefault="0021153D"/>
  </w:footnote>
  <w:footnote w:type="continuationSeparator" w:id="0">
    <w:p w14:paraId="324B2113" w14:textId="77777777" w:rsidR="0021153D" w:rsidRDefault="0021153D" w:rsidP="000D404A">
      <w:pPr>
        <w:spacing w:after="0" w:line="240" w:lineRule="auto"/>
      </w:pPr>
      <w:r>
        <w:continuationSeparator/>
      </w:r>
    </w:p>
    <w:p w14:paraId="0740A27C" w14:textId="77777777" w:rsidR="0021153D" w:rsidRDefault="0021153D"/>
  </w:footnote>
  <w:footnote w:type="continuationNotice" w:id="1">
    <w:p w14:paraId="5F709868" w14:textId="77777777" w:rsidR="0021153D" w:rsidRDefault="0021153D">
      <w:pPr>
        <w:spacing w:after="0" w:line="240" w:lineRule="auto"/>
      </w:pPr>
    </w:p>
    <w:p w14:paraId="7D93A66B" w14:textId="77777777" w:rsidR="0021153D" w:rsidRDefault="002115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13299" w14:textId="77777777" w:rsidR="00367FFC" w:rsidRDefault="00367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E612" w14:textId="77777777" w:rsidR="00367FFC" w:rsidRDefault="00367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7331A" w14:textId="77777777" w:rsidR="00367FFC" w:rsidRDefault="00367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879"/>
    <w:multiLevelType w:val="hybridMultilevel"/>
    <w:tmpl w:val="4A7A8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62B9E"/>
    <w:multiLevelType w:val="hybridMultilevel"/>
    <w:tmpl w:val="A49C6BD2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176107"/>
    <w:multiLevelType w:val="hybridMultilevel"/>
    <w:tmpl w:val="7346B1B0"/>
    <w:styleLink w:val="Bullets"/>
    <w:lvl w:ilvl="0" w:tplc="9D705B6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7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58F0"/>
    <w:multiLevelType w:val="hybridMultilevel"/>
    <w:tmpl w:val="679E6D92"/>
    <w:lvl w:ilvl="0" w:tplc="E3A23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01CB9"/>
    <w:multiLevelType w:val="multilevel"/>
    <w:tmpl w:val="0409001F"/>
    <w:numStyleLink w:val="Style1"/>
  </w:abstractNum>
  <w:abstractNum w:abstractNumId="10" w15:restartNumberingAfterBreak="0">
    <w:nsid w:val="3D4C4ED9"/>
    <w:multiLevelType w:val="hybridMultilevel"/>
    <w:tmpl w:val="5B203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DFB6976"/>
    <w:multiLevelType w:val="hybridMultilevel"/>
    <w:tmpl w:val="470C0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9" w15:restartNumberingAfterBreak="0">
    <w:nsid w:val="78535E92"/>
    <w:multiLevelType w:val="hybridMultilevel"/>
    <w:tmpl w:val="BBE618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14"/>
  </w:num>
  <w:num w:numId="8">
    <w:abstractNumId w:val="16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  <w:num w:numId="13">
    <w:abstractNumId w:val="3"/>
  </w:num>
  <w:num w:numId="14">
    <w:abstractNumId w:val="17"/>
  </w:num>
  <w:num w:numId="15">
    <w:abstractNumId w:val="2"/>
  </w:num>
  <w:num w:numId="16">
    <w:abstractNumId w:val="8"/>
  </w:num>
  <w:num w:numId="17">
    <w:abstractNumId w:val="13"/>
  </w:num>
  <w:num w:numId="18">
    <w:abstractNumId w:val="18"/>
  </w:num>
  <w:num w:numId="19">
    <w:abstractNumId w:val="19"/>
  </w:num>
  <w:num w:numId="20">
    <w:abstractNumId w:val="10"/>
  </w:num>
  <w:num w:numId="21">
    <w:abstractNumId w:val="4"/>
  </w:num>
  <w:num w:numId="2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611"/>
    <w:rsid w:val="0000094A"/>
    <w:rsid w:val="00001922"/>
    <w:rsid w:val="000044F5"/>
    <w:rsid w:val="00006950"/>
    <w:rsid w:val="00007020"/>
    <w:rsid w:val="00013ABD"/>
    <w:rsid w:val="000149FA"/>
    <w:rsid w:val="000163EF"/>
    <w:rsid w:val="0001741F"/>
    <w:rsid w:val="00017EE6"/>
    <w:rsid w:val="00022783"/>
    <w:rsid w:val="00023130"/>
    <w:rsid w:val="00023F11"/>
    <w:rsid w:val="000251D3"/>
    <w:rsid w:val="00025AA2"/>
    <w:rsid w:val="00031658"/>
    <w:rsid w:val="0003395C"/>
    <w:rsid w:val="00034943"/>
    <w:rsid w:val="000352F9"/>
    <w:rsid w:val="000359B1"/>
    <w:rsid w:val="00036CDA"/>
    <w:rsid w:val="000374A4"/>
    <w:rsid w:val="000417FD"/>
    <w:rsid w:val="00041DE1"/>
    <w:rsid w:val="00043018"/>
    <w:rsid w:val="0004420C"/>
    <w:rsid w:val="000468D5"/>
    <w:rsid w:val="0005205F"/>
    <w:rsid w:val="00057271"/>
    <w:rsid w:val="0006151F"/>
    <w:rsid w:val="000618C7"/>
    <w:rsid w:val="00062796"/>
    <w:rsid w:val="00062D61"/>
    <w:rsid w:val="00067C64"/>
    <w:rsid w:val="00072506"/>
    <w:rsid w:val="000730ED"/>
    <w:rsid w:val="00073CDE"/>
    <w:rsid w:val="0007565A"/>
    <w:rsid w:val="000819CF"/>
    <w:rsid w:val="0008641F"/>
    <w:rsid w:val="00087713"/>
    <w:rsid w:val="00090226"/>
    <w:rsid w:val="0009058B"/>
    <w:rsid w:val="00092649"/>
    <w:rsid w:val="000926FA"/>
    <w:rsid w:val="00094884"/>
    <w:rsid w:val="000A3544"/>
    <w:rsid w:val="000A5694"/>
    <w:rsid w:val="000A6144"/>
    <w:rsid w:val="000A6BD9"/>
    <w:rsid w:val="000A79F4"/>
    <w:rsid w:val="000B25F2"/>
    <w:rsid w:val="000B3436"/>
    <w:rsid w:val="000B476E"/>
    <w:rsid w:val="000B5C7F"/>
    <w:rsid w:val="000B62A5"/>
    <w:rsid w:val="000C1BB1"/>
    <w:rsid w:val="000C21C3"/>
    <w:rsid w:val="000C27BE"/>
    <w:rsid w:val="000C3FCD"/>
    <w:rsid w:val="000C4A75"/>
    <w:rsid w:val="000C54DB"/>
    <w:rsid w:val="000C591B"/>
    <w:rsid w:val="000C70AF"/>
    <w:rsid w:val="000D03E9"/>
    <w:rsid w:val="000D3AD5"/>
    <w:rsid w:val="000D404A"/>
    <w:rsid w:val="000D4E93"/>
    <w:rsid w:val="000D761C"/>
    <w:rsid w:val="000E0521"/>
    <w:rsid w:val="000E06B0"/>
    <w:rsid w:val="000E21C9"/>
    <w:rsid w:val="000E68EB"/>
    <w:rsid w:val="000E7924"/>
    <w:rsid w:val="000F051E"/>
    <w:rsid w:val="000F164C"/>
    <w:rsid w:val="000F1748"/>
    <w:rsid w:val="000F230A"/>
    <w:rsid w:val="000F38CE"/>
    <w:rsid w:val="000F5A4B"/>
    <w:rsid w:val="000F5FBF"/>
    <w:rsid w:val="000F6B41"/>
    <w:rsid w:val="00100A82"/>
    <w:rsid w:val="00104009"/>
    <w:rsid w:val="00104AB3"/>
    <w:rsid w:val="00104E74"/>
    <w:rsid w:val="00104F35"/>
    <w:rsid w:val="00107A71"/>
    <w:rsid w:val="00107E85"/>
    <w:rsid w:val="001109CA"/>
    <w:rsid w:val="00110CAA"/>
    <w:rsid w:val="00111EBA"/>
    <w:rsid w:val="00112EB1"/>
    <w:rsid w:val="001146EB"/>
    <w:rsid w:val="00115347"/>
    <w:rsid w:val="00117AE2"/>
    <w:rsid w:val="00117D09"/>
    <w:rsid w:val="0012088D"/>
    <w:rsid w:val="001223BA"/>
    <w:rsid w:val="00122DAB"/>
    <w:rsid w:val="00124716"/>
    <w:rsid w:val="00127B5B"/>
    <w:rsid w:val="00131239"/>
    <w:rsid w:val="00131718"/>
    <w:rsid w:val="00134115"/>
    <w:rsid w:val="0013452E"/>
    <w:rsid w:val="00137A1A"/>
    <w:rsid w:val="00137F0F"/>
    <w:rsid w:val="00140C9E"/>
    <w:rsid w:val="00140F8B"/>
    <w:rsid w:val="00146A9C"/>
    <w:rsid w:val="00147509"/>
    <w:rsid w:val="00150981"/>
    <w:rsid w:val="00150C47"/>
    <w:rsid w:val="0015119E"/>
    <w:rsid w:val="00151DD2"/>
    <w:rsid w:val="00152B24"/>
    <w:rsid w:val="00160775"/>
    <w:rsid w:val="00163499"/>
    <w:rsid w:val="001646DA"/>
    <w:rsid w:val="00167F49"/>
    <w:rsid w:val="00172AE4"/>
    <w:rsid w:val="00172F0C"/>
    <w:rsid w:val="00173661"/>
    <w:rsid w:val="0017674D"/>
    <w:rsid w:val="00181485"/>
    <w:rsid w:val="001820B5"/>
    <w:rsid w:val="00182C8C"/>
    <w:rsid w:val="001834E0"/>
    <w:rsid w:val="00183788"/>
    <w:rsid w:val="00186870"/>
    <w:rsid w:val="00187294"/>
    <w:rsid w:val="00190796"/>
    <w:rsid w:val="00191055"/>
    <w:rsid w:val="001912C7"/>
    <w:rsid w:val="0019440A"/>
    <w:rsid w:val="001967E6"/>
    <w:rsid w:val="001A12A0"/>
    <w:rsid w:val="001A48D0"/>
    <w:rsid w:val="001A5A64"/>
    <w:rsid w:val="001B7C82"/>
    <w:rsid w:val="001C00BA"/>
    <w:rsid w:val="001C0C18"/>
    <w:rsid w:val="001C308F"/>
    <w:rsid w:val="001C4CD2"/>
    <w:rsid w:val="001C5050"/>
    <w:rsid w:val="001D175A"/>
    <w:rsid w:val="001D31C8"/>
    <w:rsid w:val="001D37A0"/>
    <w:rsid w:val="001D47B2"/>
    <w:rsid w:val="001D714E"/>
    <w:rsid w:val="001E20E3"/>
    <w:rsid w:val="001E2B48"/>
    <w:rsid w:val="001F561F"/>
    <w:rsid w:val="001F5AFD"/>
    <w:rsid w:val="001F6AAE"/>
    <w:rsid w:val="001F6D7C"/>
    <w:rsid w:val="0020098C"/>
    <w:rsid w:val="002019DC"/>
    <w:rsid w:val="00202F45"/>
    <w:rsid w:val="00203434"/>
    <w:rsid w:val="0020647D"/>
    <w:rsid w:val="00207450"/>
    <w:rsid w:val="002109C3"/>
    <w:rsid w:val="00210EF0"/>
    <w:rsid w:val="0021153D"/>
    <w:rsid w:val="00213542"/>
    <w:rsid w:val="002146FC"/>
    <w:rsid w:val="00214FF6"/>
    <w:rsid w:val="00216273"/>
    <w:rsid w:val="0021649A"/>
    <w:rsid w:val="00217E33"/>
    <w:rsid w:val="00224329"/>
    <w:rsid w:val="00227900"/>
    <w:rsid w:val="00230503"/>
    <w:rsid w:val="00230B93"/>
    <w:rsid w:val="00232419"/>
    <w:rsid w:val="0023246C"/>
    <w:rsid w:val="00232B84"/>
    <w:rsid w:val="002338D4"/>
    <w:rsid w:val="00234B59"/>
    <w:rsid w:val="002367F0"/>
    <w:rsid w:val="00236B5C"/>
    <w:rsid w:val="00240478"/>
    <w:rsid w:val="00241661"/>
    <w:rsid w:val="002420ED"/>
    <w:rsid w:val="002438A7"/>
    <w:rsid w:val="00243F9A"/>
    <w:rsid w:val="00244B75"/>
    <w:rsid w:val="00245311"/>
    <w:rsid w:val="002455C5"/>
    <w:rsid w:val="00246AC9"/>
    <w:rsid w:val="002504D8"/>
    <w:rsid w:val="00250CA8"/>
    <w:rsid w:val="00251613"/>
    <w:rsid w:val="002519A5"/>
    <w:rsid w:val="0025535A"/>
    <w:rsid w:val="0025590D"/>
    <w:rsid w:val="00260B3B"/>
    <w:rsid w:val="00262BD0"/>
    <w:rsid w:val="002664EE"/>
    <w:rsid w:val="00266CF0"/>
    <w:rsid w:val="00267D79"/>
    <w:rsid w:val="00267ED0"/>
    <w:rsid w:val="0027191D"/>
    <w:rsid w:val="00271A0B"/>
    <w:rsid w:val="0027421F"/>
    <w:rsid w:val="0027741D"/>
    <w:rsid w:val="00277730"/>
    <w:rsid w:val="00277FE9"/>
    <w:rsid w:val="0028103B"/>
    <w:rsid w:val="00285CBE"/>
    <w:rsid w:val="0029185F"/>
    <w:rsid w:val="00291C7A"/>
    <w:rsid w:val="00292F2E"/>
    <w:rsid w:val="00292FE1"/>
    <w:rsid w:val="002952F0"/>
    <w:rsid w:val="002967F9"/>
    <w:rsid w:val="002A230A"/>
    <w:rsid w:val="002A4AE8"/>
    <w:rsid w:val="002A54E4"/>
    <w:rsid w:val="002A5634"/>
    <w:rsid w:val="002A5AD1"/>
    <w:rsid w:val="002A6216"/>
    <w:rsid w:val="002A6BFC"/>
    <w:rsid w:val="002A7BB3"/>
    <w:rsid w:val="002B1792"/>
    <w:rsid w:val="002B3289"/>
    <w:rsid w:val="002B535B"/>
    <w:rsid w:val="002C0C04"/>
    <w:rsid w:val="002C4FA5"/>
    <w:rsid w:val="002D0D8C"/>
    <w:rsid w:val="002D25D3"/>
    <w:rsid w:val="002D307C"/>
    <w:rsid w:val="002D4C6D"/>
    <w:rsid w:val="002D6091"/>
    <w:rsid w:val="002E0950"/>
    <w:rsid w:val="002E16FC"/>
    <w:rsid w:val="002E1D7F"/>
    <w:rsid w:val="002E1E13"/>
    <w:rsid w:val="002E2B76"/>
    <w:rsid w:val="002E3D1B"/>
    <w:rsid w:val="002E52FD"/>
    <w:rsid w:val="002E555E"/>
    <w:rsid w:val="002E57A0"/>
    <w:rsid w:val="002E59DC"/>
    <w:rsid w:val="002E69CA"/>
    <w:rsid w:val="002E6C22"/>
    <w:rsid w:val="002E6D86"/>
    <w:rsid w:val="002E7ACB"/>
    <w:rsid w:val="002F1155"/>
    <w:rsid w:val="002F11C0"/>
    <w:rsid w:val="002F15F4"/>
    <w:rsid w:val="002F167C"/>
    <w:rsid w:val="002F23B9"/>
    <w:rsid w:val="0030054A"/>
    <w:rsid w:val="00300CF1"/>
    <w:rsid w:val="0030297C"/>
    <w:rsid w:val="0030327F"/>
    <w:rsid w:val="00305168"/>
    <w:rsid w:val="00306450"/>
    <w:rsid w:val="00306465"/>
    <w:rsid w:val="0030702A"/>
    <w:rsid w:val="00307A4C"/>
    <w:rsid w:val="00311B84"/>
    <w:rsid w:val="00311C49"/>
    <w:rsid w:val="0031234C"/>
    <w:rsid w:val="0031303E"/>
    <w:rsid w:val="003136EB"/>
    <w:rsid w:val="003140CD"/>
    <w:rsid w:val="00314265"/>
    <w:rsid w:val="00314BFF"/>
    <w:rsid w:val="00315C2F"/>
    <w:rsid w:val="00315E98"/>
    <w:rsid w:val="00317174"/>
    <w:rsid w:val="0031773E"/>
    <w:rsid w:val="00320CE9"/>
    <w:rsid w:val="0032532C"/>
    <w:rsid w:val="003259D5"/>
    <w:rsid w:val="00325EA8"/>
    <w:rsid w:val="0032686E"/>
    <w:rsid w:val="00326C25"/>
    <w:rsid w:val="003272BA"/>
    <w:rsid w:val="003273DC"/>
    <w:rsid w:val="00330823"/>
    <w:rsid w:val="003313E4"/>
    <w:rsid w:val="00333B64"/>
    <w:rsid w:val="00335083"/>
    <w:rsid w:val="003400ED"/>
    <w:rsid w:val="003403CB"/>
    <w:rsid w:val="00340A70"/>
    <w:rsid w:val="003424CE"/>
    <w:rsid w:val="00345F21"/>
    <w:rsid w:val="003461A6"/>
    <w:rsid w:val="00351B2F"/>
    <w:rsid w:val="00355F40"/>
    <w:rsid w:val="003604E6"/>
    <w:rsid w:val="00361B79"/>
    <w:rsid w:val="00364836"/>
    <w:rsid w:val="00366940"/>
    <w:rsid w:val="0036776F"/>
    <w:rsid w:val="00367BA6"/>
    <w:rsid w:val="00367FFC"/>
    <w:rsid w:val="00371AF2"/>
    <w:rsid w:val="00376083"/>
    <w:rsid w:val="0037700B"/>
    <w:rsid w:val="00380605"/>
    <w:rsid w:val="00380A0B"/>
    <w:rsid w:val="00383D84"/>
    <w:rsid w:val="003840B4"/>
    <w:rsid w:val="003845C1"/>
    <w:rsid w:val="00384A87"/>
    <w:rsid w:val="003862AA"/>
    <w:rsid w:val="00390A88"/>
    <w:rsid w:val="00391D3B"/>
    <w:rsid w:val="003925C9"/>
    <w:rsid w:val="00394BAF"/>
    <w:rsid w:val="00396E53"/>
    <w:rsid w:val="00397E85"/>
    <w:rsid w:val="003A1152"/>
    <w:rsid w:val="003A18DC"/>
    <w:rsid w:val="003A227F"/>
    <w:rsid w:val="003A2B39"/>
    <w:rsid w:val="003A58A8"/>
    <w:rsid w:val="003A6BB0"/>
    <w:rsid w:val="003B0369"/>
    <w:rsid w:val="003B1D40"/>
    <w:rsid w:val="003B3321"/>
    <w:rsid w:val="003B7D9E"/>
    <w:rsid w:val="003C08C8"/>
    <w:rsid w:val="003C1EDE"/>
    <w:rsid w:val="003C2E1F"/>
    <w:rsid w:val="003C5286"/>
    <w:rsid w:val="003C72CF"/>
    <w:rsid w:val="003C745A"/>
    <w:rsid w:val="003C7FAC"/>
    <w:rsid w:val="003D075F"/>
    <w:rsid w:val="003D0CB5"/>
    <w:rsid w:val="003D158B"/>
    <w:rsid w:val="003D2CBA"/>
    <w:rsid w:val="003D326B"/>
    <w:rsid w:val="003D6E88"/>
    <w:rsid w:val="003D761F"/>
    <w:rsid w:val="003E0AF9"/>
    <w:rsid w:val="003E129C"/>
    <w:rsid w:val="003E1A17"/>
    <w:rsid w:val="003E1B4E"/>
    <w:rsid w:val="003E1C68"/>
    <w:rsid w:val="003E2001"/>
    <w:rsid w:val="003E260B"/>
    <w:rsid w:val="003E2B6C"/>
    <w:rsid w:val="003E55C6"/>
    <w:rsid w:val="003E6197"/>
    <w:rsid w:val="003E6C5F"/>
    <w:rsid w:val="003E7B6A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7A8B"/>
    <w:rsid w:val="00410DC2"/>
    <w:rsid w:val="00412536"/>
    <w:rsid w:val="00413B06"/>
    <w:rsid w:val="00413EDB"/>
    <w:rsid w:val="004141E5"/>
    <w:rsid w:val="00416830"/>
    <w:rsid w:val="004171D2"/>
    <w:rsid w:val="00420211"/>
    <w:rsid w:val="0042235A"/>
    <w:rsid w:val="004230B2"/>
    <w:rsid w:val="00425828"/>
    <w:rsid w:val="00432528"/>
    <w:rsid w:val="00432DB2"/>
    <w:rsid w:val="0043613E"/>
    <w:rsid w:val="004370A7"/>
    <w:rsid w:val="0044457A"/>
    <w:rsid w:val="004446A6"/>
    <w:rsid w:val="00444CCA"/>
    <w:rsid w:val="00444EC7"/>
    <w:rsid w:val="004457AB"/>
    <w:rsid w:val="00445BE8"/>
    <w:rsid w:val="00446BAE"/>
    <w:rsid w:val="00447682"/>
    <w:rsid w:val="00450829"/>
    <w:rsid w:val="0045125A"/>
    <w:rsid w:val="00452159"/>
    <w:rsid w:val="004526B5"/>
    <w:rsid w:val="00453357"/>
    <w:rsid w:val="0045347E"/>
    <w:rsid w:val="00454AB1"/>
    <w:rsid w:val="00455F61"/>
    <w:rsid w:val="00461145"/>
    <w:rsid w:val="00462282"/>
    <w:rsid w:val="0046234B"/>
    <w:rsid w:val="00463375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77839"/>
    <w:rsid w:val="0048013E"/>
    <w:rsid w:val="004806DB"/>
    <w:rsid w:val="00485751"/>
    <w:rsid w:val="00490745"/>
    <w:rsid w:val="0049279F"/>
    <w:rsid w:val="004944C2"/>
    <w:rsid w:val="00496696"/>
    <w:rsid w:val="004968EA"/>
    <w:rsid w:val="004969CF"/>
    <w:rsid w:val="004A4F8D"/>
    <w:rsid w:val="004A5216"/>
    <w:rsid w:val="004A6D96"/>
    <w:rsid w:val="004A767A"/>
    <w:rsid w:val="004B0557"/>
    <w:rsid w:val="004B1433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92D"/>
    <w:rsid w:val="004D153A"/>
    <w:rsid w:val="004D27CB"/>
    <w:rsid w:val="004D3444"/>
    <w:rsid w:val="004D3FC7"/>
    <w:rsid w:val="004D4E74"/>
    <w:rsid w:val="004D5577"/>
    <w:rsid w:val="004D5911"/>
    <w:rsid w:val="004D5D6A"/>
    <w:rsid w:val="004E15FC"/>
    <w:rsid w:val="004E5105"/>
    <w:rsid w:val="004F09B9"/>
    <w:rsid w:val="004F1E50"/>
    <w:rsid w:val="004F4BCE"/>
    <w:rsid w:val="004F4C19"/>
    <w:rsid w:val="00502B50"/>
    <w:rsid w:val="005055CC"/>
    <w:rsid w:val="00507494"/>
    <w:rsid w:val="00507953"/>
    <w:rsid w:val="00507CF2"/>
    <w:rsid w:val="00514BD1"/>
    <w:rsid w:val="005152A6"/>
    <w:rsid w:val="0051565E"/>
    <w:rsid w:val="00515681"/>
    <w:rsid w:val="00515713"/>
    <w:rsid w:val="005164D3"/>
    <w:rsid w:val="00522256"/>
    <w:rsid w:val="0052546A"/>
    <w:rsid w:val="00525EBE"/>
    <w:rsid w:val="0053124B"/>
    <w:rsid w:val="005354EE"/>
    <w:rsid w:val="00537700"/>
    <w:rsid w:val="00541BF2"/>
    <w:rsid w:val="00542D2E"/>
    <w:rsid w:val="005439A6"/>
    <w:rsid w:val="00543B8B"/>
    <w:rsid w:val="00544EC4"/>
    <w:rsid w:val="00550C05"/>
    <w:rsid w:val="00550DD8"/>
    <w:rsid w:val="0055339D"/>
    <w:rsid w:val="00553FDB"/>
    <w:rsid w:val="00561C3E"/>
    <w:rsid w:val="00563AAE"/>
    <w:rsid w:val="00564836"/>
    <w:rsid w:val="00565011"/>
    <w:rsid w:val="005662A3"/>
    <w:rsid w:val="005663DE"/>
    <w:rsid w:val="00567F8C"/>
    <w:rsid w:val="00572D85"/>
    <w:rsid w:val="00572EAB"/>
    <w:rsid w:val="005730DB"/>
    <w:rsid w:val="0057681B"/>
    <w:rsid w:val="0058051C"/>
    <w:rsid w:val="00585932"/>
    <w:rsid w:val="00585C68"/>
    <w:rsid w:val="005874F7"/>
    <w:rsid w:val="0059335F"/>
    <w:rsid w:val="00594027"/>
    <w:rsid w:val="005973B0"/>
    <w:rsid w:val="005975FA"/>
    <w:rsid w:val="00597D8F"/>
    <w:rsid w:val="005A0FA4"/>
    <w:rsid w:val="005A17F4"/>
    <w:rsid w:val="005A1C5E"/>
    <w:rsid w:val="005A28D3"/>
    <w:rsid w:val="005A60B4"/>
    <w:rsid w:val="005A60F0"/>
    <w:rsid w:val="005A60F7"/>
    <w:rsid w:val="005A7F9F"/>
    <w:rsid w:val="005B0F3A"/>
    <w:rsid w:val="005B2E7C"/>
    <w:rsid w:val="005B3238"/>
    <w:rsid w:val="005B58AE"/>
    <w:rsid w:val="005B7A04"/>
    <w:rsid w:val="005C124A"/>
    <w:rsid w:val="005C14DF"/>
    <w:rsid w:val="005C34DC"/>
    <w:rsid w:val="005C38D2"/>
    <w:rsid w:val="005C66A2"/>
    <w:rsid w:val="005D19D2"/>
    <w:rsid w:val="005D1CB2"/>
    <w:rsid w:val="005D2C77"/>
    <w:rsid w:val="005D4F74"/>
    <w:rsid w:val="005D7CEF"/>
    <w:rsid w:val="005E0201"/>
    <w:rsid w:val="005E2689"/>
    <w:rsid w:val="005E3472"/>
    <w:rsid w:val="005E4CEF"/>
    <w:rsid w:val="005E4F6B"/>
    <w:rsid w:val="005E5250"/>
    <w:rsid w:val="005E6D47"/>
    <w:rsid w:val="005E70D4"/>
    <w:rsid w:val="005E7CAE"/>
    <w:rsid w:val="005F11B8"/>
    <w:rsid w:val="005F2BC2"/>
    <w:rsid w:val="005F4A62"/>
    <w:rsid w:val="005F76AD"/>
    <w:rsid w:val="0060052B"/>
    <w:rsid w:val="00601C8C"/>
    <w:rsid w:val="00603269"/>
    <w:rsid w:val="00605E33"/>
    <w:rsid w:val="00606B74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E17"/>
    <w:rsid w:val="00623BDA"/>
    <w:rsid w:val="00624BAA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43932"/>
    <w:rsid w:val="006473C4"/>
    <w:rsid w:val="00651C48"/>
    <w:rsid w:val="00653C65"/>
    <w:rsid w:val="0065416B"/>
    <w:rsid w:val="00655F07"/>
    <w:rsid w:val="00660DAD"/>
    <w:rsid w:val="0066513F"/>
    <w:rsid w:val="00665531"/>
    <w:rsid w:val="00666831"/>
    <w:rsid w:val="00666DA4"/>
    <w:rsid w:val="006679AB"/>
    <w:rsid w:val="00667E45"/>
    <w:rsid w:val="006714EE"/>
    <w:rsid w:val="00671D5A"/>
    <w:rsid w:val="006722DC"/>
    <w:rsid w:val="00672B75"/>
    <w:rsid w:val="006772F8"/>
    <w:rsid w:val="006778D7"/>
    <w:rsid w:val="006778E7"/>
    <w:rsid w:val="0068384F"/>
    <w:rsid w:val="0068444A"/>
    <w:rsid w:val="0068468C"/>
    <w:rsid w:val="00685025"/>
    <w:rsid w:val="00686ED3"/>
    <w:rsid w:val="0069175E"/>
    <w:rsid w:val="006964B5"/>
    <w:rsid w:val="006965B5"/>
    <w:rsid w:val="00697ACE"/>
    <w:rsid w:val="006A19F3"/>
    <w:rsid w:val="006B1712"/>
    <w:rsid w:val="006B18CC"/>
    <w:rsid w:val="006B2053"/>
    <w:rsid w:val="006B41D9"/>
    <w:rsid w:val="006C0011"/>
    <w:rsid w:val="006C0F6A"/>
    <w:rsid w:val="006C6051"/>
    <w:rsid w:val="006C6C2D"/>
    <w:rsid w:val="006C78C1"/>
    <w:rsid w:val="006D205C"/>
    <w:rsid w:val="006D5EB8"/>
    <w:rsid w:val="006D6710"/>
    <w:rsid w:val="006D6E88"/>
    <w:rsid w:val="006E07A0"/>
    <w:rsid w:val="006E140C"/>
    <w:rsid w:val="006E1E37"/>
    <w:rsid w:val="006E3D8A"/>
    <w:rsid w:val="006E46D9"/>
    <w:rsid w:val="006E480A"/>
    <w:rsid w:val="006E7700"/>
    <w:rsid w:val="006E7E71"/>
    <w:rsid w:val="006F0E0E"/>
    <w:rsid w:val="006F44B6"/>
    <w:rsid w:val="006F7251"/>
    <w:rsid w:val="00700625"/>
    <w:rsid w:val="007019F5"/>
    <w:rsid w:val="00705B6A"/>
    <w:rsid w:val="007077C2"/>
    <w:rsid w:val="007104D0"/>
    <w:rsid w:val="00711CDF"/>
    <w:rsid w:val="00712F4A"/>
    <w:rsid w:val="00713406"/>
    <w:rsid w:val="00717F2C"/>
    <w:rsid w:val="00721245"/>
    <w:rsid w:val="0072174A"/>
    <w:rsid w:val="00727058"/>
    <w:rsid w:val="007306AC"/>
    <w:rsid w:val="007315D7"/>
    <w:rsid w:val="007339A0"/>
    <w:rsid w:val="00734C57"/>
    <w:rsid w:val="00737D61"/>
    <w:rsid w:val="00740866"/>
    <w:rsid w:val="007408BA"/>
    <w:rsid w:val="00745BE7"/>
    <w:rsid w:val="00751038"/>
    <w:rsid w:val="00752D42"/>
    <w:rsid w:val="007542A4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05F2"/>
    <w:rsid w:val="007716EE"/>
    <w:rsid w:val="00772DD8"/>
    <w:rsid w:val="00773666"/>
    <w:rsid w:val="00777494"/>
    <w:rsid w:val="00777A3D"/>
    <w:rsid w:val="00781059"/>
    <w:rsid w:val="007828C9"/>
    <w:rsid w:val="00784570"/>
    <w:rsid w:val="00787114"/>
    <w:rsid w:val="00792830"/>
    <w:rsid w:val="00793305"/>
    <w:rsid w:val="00794F98"/>
    <w:rsid w:val="007952F7"/>
    <w:rsid w:val="007A20C5"/>
    <w:rsid w:val="007A35A3"/>
    <w:rsid w:val="007A3880"/>
    <w:rsid w:val="007A4F07"/>
    <w:rsid w:val="007B0AF2"/>
    <w:rsid w:val="007C071B"/>
    <w:rsid w:val="007C27D7"/>
    <w:rsid w:val="007C32D0"/>
    <w:rsid w:val="007C366E"/>
    <w:rsid w:val="007C3931"/>
    <w:rsid w:val="007C3D5E"/>
    <w:rsid w:val="007C42CA"/>
    <w:rsid w:val="007D149B"/>
    <w:rsid w:val="007D2A16"/>
    <w:rsid w:val="007D3787"/>
    <w:rsid w:val="007D4496"/>
    <w:rsid w:val="007D55E3"/>
    <w:rsid w:val="007D713D"/>
    <w:rsid w:val="007D7140"/>
    <w:rsid w:val="007E1C98"/>
    <w:rsid w:val="007E2191"/>
    <w:rsid w:val="007E39A6"/>
    <w:rsid w:val="007E765B"/>
    <w:rsid w:val="007E7F79"/>
    <w:rsid w:val="007F03DB"/>
    <w:rsid w:val="007F148A"/>
    <w:rsid w:val="007F2DE1"/>
    <w:rsid w:val="007F3384"/>
    <w:rsid w:val="007F4B19"/>
    <w:rsid w:val="007F63BD"/>
    <w:rsid w:val="007F6A2B"/>
    <w:rsid w:val="007F7420"/>
    <w:rsid w:val="008010C1"/>
    <w:rsid w:val="0080133B"/>
    <w:rsid w:val="00801CC4"/>
    <w:rsid w:val="008056B6"/>
    <w:rsid w:val="008065C7"/>
    <w:rsid w:val="00807E46"/>
    <w:rsid w:val="00811F1B"/>
    <w:rsid w:val="00812548"/>
    <w:rsid w:val="008128FA"/>
    <w:rsid w:val="00824980"/>
    <w:rsid w:val="00825603"/>
    <w:rsid w:val="008258CC"/>
    <w:rsid w:val="00832E0A"/>
    <w:rsid w:val="00834BCB"/>
    <w:rsid w:val="00834CC4"/>
    <w:rsid w:val="00835927"/>
    <w:rsid w:val="0083628A"/>
    <w:rsid w:val="008364C2"/>
    <w:rsid w:val="00836B6D"/>
    <w:rsid w:val="00840E9D"/>
    <w:rsid w:val="00840F43"/>
    <w:rsid w:val="00841066"/>
    <w:rsid w:val="00841CFA"/>
    <w:rsid w:val="008431D9"/>
    <w:rsid w:val="00843775"/>
    <w:rsid w:val="00843A58"/>
    <w:rsid w:val="008444E6"/>
    <w:rsid w:val="00845071"/>
    <w:rsid w:val="00854F42"/>
    <w:rsid w:val="00855B36"/>
    <w:rsid w:val="00855E33"/>
    <w:rsid w:val="00862210"/>
    <w:rsid w:val="00862FD0"/>
    <w:rsid w:val="00863400"/>
    <w:rsid w:val="00864A42"/>
    <w:rsid w:val="00865317"/>
    <w:rsid w:val="008708A6"/>
    <w:rsid w:val="008708C7"/>
    <w:rsid w:val="008726D4"/>
    <w:rsid w:val="00872F10"/>
    <w:rsid w:val="00874EEA"/>
    <w:rsid w:val="00876DAE"/>
    <w:rsid w:val="008803B7"/>
    <w:rsid w:val="00880C6C"/>
    <w:rsid w:val="008815BD"/>
    <w:rsid w:val="00883524"/>
    <w:rsid w:val="008849B7"/>
    <w:rsid w:val="00884CE7"/>
    <w:rsid w:val="00884E0D"/>
    <w:rsid w:val="00884FB5"/>
    <w:rsid w:val="00886CBB"/>
    <w:rsid w:val="00890CD0"/>
    <w:rsid w:val="0089268B"/>
    <w:rsid w:val="00892C8C"/>
    <w:rsid w:val="00892DBF"/>
    <w:rsid w:val="00892EE4"/>
    <w:rsid w:val="00895AD2"/>
    <w:rsid w:val="00896AE8"/>
    <w:rsid w:val="008A1D80"/>
    <w:rsid w:val="008A1F73"/>
    <w:rsid w:val="008A368A"/>
    <w:rsid w:val="008A654C"/>
    <w:rsid w:val="008A704F"/>
    <w:rsid w:val="008B1E0D"/>
    <w:rsid w:val="008B279A"/>
    <w:rsid w:val="008B7DF3"/>
    <w:rsid w:val="008C00C2"/>
    <w:rsid w:val="008C1B10"/>
    <w:rsid w:val="008C411B"/>
    <w:rsid w:val="008C597C"/>
    <w:rsid w:val="008C6736"/>
    <w:rsid w:val="008C6B1A"/>
    <w:rsid w:val="008C6C06"/>
    <w:rsid w:val="008C75DA"/>
    <w:rsid w:val="008D151D"/>
    <w:rsid w:val="008D1684"/>
    <w:rsid w:val="008D1D06"/>
    <w:rsid w:val="008D216F"/>
    <w:rsid w:val="008D2374"/>
    <w:rsid w:val="008D2EF9"/>
    <w:rsid w:val="008D41E3"/>
    <w:rsid w:val="008D5EA5"/>
    <w:rsid w:val="008D686C"/>
    <w:rsid w:val="008D7B8F"/>
    <w:rsid w:val="008E2356"/>
    <w:rsid w:val="008E304D"/>
    <w:rsid w:val="008E32B0"/>
    <w:rsid w:val="008E4CE7"/>
    <w:rsid w:val="008E6137"/>
    <w:rsid w:val="008E6B79"/>
    <w:rsid w:val="008E75E5"/>
    <w:rsid w:val="008F05A6"/>
    <w:rsid w:val="008F05AA"/>
    <w:rsid w:val="008F3021"/>
    <w:rsid w:val="008F346A"/>
    <w:rsid w:val="008F3D52"/>
    <w:rsid w:val="008F59D7"/>
    <w:rsid w:val="008F6487"/>
    <w:rsid w:val="008F6717"/>
    <w:rsid w:val="008F7DA4"/>
    <w:rsid w:val="008F7FBF"/>
    <w:rsid w:val="00900634"/>
    <w:rsid w:val="009010C3"/>
    <w:rsid w:val="0090148D"/>
    <w:rsid w:val="00904788"/>
    <w:rsid w:val="009048A1"/>
    <w:rsid w:val="00906158"/>
    <w:rsid w:val="00906975"/>
    <w:rsid w:val="00906E97"/>
    <w:rsid w:val="00906FE5"/>
    <w:rsid w:val="009123A0"/>
    <w:rsid w:val="00913AD0"/>
    <w:rsid w:val="009140ED"/>
    <w:rsid w:val="00915512"/>
    <w:rsid w:val="009177EC"/>
    <w:rsid w:val="0091791A"/>
    <w:rsid w:val="00917E02"/>
    <w:rsid w:val="00922416"/>
    <w:rsid w:val="00924229"/>
    <w:rsid w:val="00924CAF"/>
    <w:rsid w:val="00925615"/>
    <w:rsid w:val="00926157"/>
    <w:rsid w:val="00926639"/>
    <w:rsid w:val="00930597"/>
    <w:rsid w:val="00935FE4"/>
    <w:rsid w:val="00940948"/>
    <w:rsid w:val="009414A5"/>
    <w:rsid w:val="00942632"/>
    <w:rsid w:val="00942AC5"/>
    <w:rsid w:val="009432C9"/>
    <w:rsid w:val="0094588A"/>
    <w:rsid w:val="00946E33"/>
    <w:rsid w:val="00947A90"/>
    <w:rsid w:val="00947D02"/>
    <w:rsid w:val="0095140F"/>
    <w:rsid w:val="00956926"/>
    <w:rsid w:val="00957EA8"/>
    <w:rsid w:val="0096002F"/>
    <w:rsid w:val="0096077C"/>
    <w:rsid w:val="009620C6"/>
    <w:rsid w:val="00963014"/>
    <w:rsid w:val="00964AA2"/>
    <w:rsid w:val="00965488"/>
    <w:rsid w:val="0096588A"/>
    <w:rsid w:val="00965CAD"/>
    <w:rsid w:val="00966495"/>
    <w:rsid w:val="00966679"/>
    <w:rsid w:val="00971FF6"/>
    <w:rsid w:val="00982354"/>
    <w:rsid w:val="009837F6"/>
    <w:rsid w:val="009839C6"/>
    <w:rsid w:val="00984564"/>
    <w:rsid w:val="00985763"/>
    <w:rsid w:val="00990E9B"/>
    <w:rsid w:val="0099108B"/>
    <w:rsid w:val="009935AC"/>
    <w:rsid w:val="009939C8"/>
    <w:rsid w:val="00995ADE"/>
    <w:rsid w:val="009A016A"/>
    <w:rsid w:val="009A1974"/>
    <w:rsid w:val="009A250D"/>
    <w:rsid w:val="009A5E8D"/>
    <w:rsid w:val="009B1142"/>
    <w:rsid w:val="009B1ABA"/>
    <w:rsid w:val="009B45B2"/>
    <w:rsid w:val="009B511D"/>
    <w:rsid w:val="009B545D"/>
    <w:rsid w:val="009B5C8F"/>
    <w:rsid w:val="009B6DC7"/>
    <w:rsid w:val="009B78F8"/>
    <w:rsid w:val="009C078A"/>
    <w:rsid w:val="009C33C7"/>
    <w:rsid w:val="009C572C"/>
    <w:rsid w:val="009D2921"/>
    <w:rsid w:val="009D47FE"/>
    <w:rsid w:val="009D4EBC"/>
    <w:rsid w:val="009D5128"/>
    <w:rsid w:val="009D5795"/>
    <w:rsid w:val="009E16E6"/>
    <w:rsid w:val="009E2A86"/>
    <w:rsid w:val="009E316D"/>
    <w:rsid w:val="009E5679"/>
    <w:rsid w:val="009E61CB"/>
    <w:rsid w:val="009E6DBA"/>
    <w:rsid w:val="009E719B"/>
    <w:rsid w:val="00A03A9B"/>
    <w:rsid w:val="00A03EDF"/>
    <w:rsid w:val="00A04BBC"/>
    <w:rsid w:val="00A04E44"/>
    <w:rsid w:val="00A059E4"/>
    <w:rsid w:val="00A05F52"/>
    <w:rsid w:val="00A06506"/>
    <w:rsid w:val="00A07A3E"/>
    <w:rsid w:val="00A10603"/>
    <w:rsid w:val="00A11459"/>
    <w:rsid w:val="00A11E61"/>
    <w:rsid w:val="00A12026"/>
    <w:rsid w:val="00A12437"/>
    <w:rsid w:val="00A1743A"/>
    <w:rsid w:val="00A213E3"/>
    <w:rsid w:val="00A21A18"/>
    <w:rsid w:val="00A220AC"/>
    <w:rsid w:val="00A22B37"/>
    <w:rsid w:val="00A22F39"/>
    <w:rsid w:val="00A25FBE"/>
    <w:rsid w:val="00A26C0D"/>
    <w:rsid w:val="00A308DA"/>
    <w:rsid w:val="00A328AB"/>
    <w:rsid w:val="00A33BF8"/>
    <w:rsid w:val="00A35A6A"/>
    <w:rsid w:val="00A36641"/>
    <w:rsid w:val="00A40E94"/>
    <w:rsid w:val="00A447A3"/>
    <w:rsid w:val="00A5145A"/>
    <w:rsid w:val="00A52317"/>
    <w:rsid w:val="00A53EC0"/>
    <w:rsid w:val="00A55521"/>
    <w:rsid w:val="00A62301"/>
    <w:rsid w:val="00A62CC2"/>
    <w:rsid w:val="00A64EC1"/>
    <w:rsid w:val="00A65450"/>
    <w:rsid w:val="00A66A95"/>
    <w:rsid w:val="00A6780F"/>
    <w:rsid w:val="00A67A54"/>
    <w:rsid w:val="00A720DE"/>
    <w:rsid w:val="00A768C7"/>
    <w:rsid w:val="00A77526"/>
    <w:rsid w:val="00A77E42"/>
    <w:rsid w:val="00A808C2"/>
    <w:rsid w:val="00A80EF6"/>
    <w:rsid w:val="00A81032"/>
    <w:rsid w:val="00A8149E"/>
    <w:rsid w:val="00A82EF5"/>
    <w:rsid w:val="00A86A5C"/>
    <w:rsid w:val="00A90871"/>
    <w:rsid w:val="00A96647"/>
    <w:rsid w:val="00A97289"/>
    <w:rsid w:val="00AA41A2"/>
    <w:rsid w:val="00AB189B"/>
    <w:rsid w:val="00AB4D70"/>
    <w:rsid w:val="00AB5A00"/>
    <w:rsid w:val="00AB6A86"/>
    <w:rsid w:val="00AC0E33"/>
    <w:rsid w:val="00AC1B81"/>
    <w:rsid w:val="00AC2C70"/>
    <w:rsid w:val="00AC4079"/>
    <w:rsid w:val="00AC542D"/>
    <w:rsid w:val="00AC5849"/>
    <w:rsid w:val="00AC6BF1"/>
    <w:rsid w:val="00AD01EA"/>
    <w:rsid w:val="00AD370E"/>
    <w:rsid w:val="00AD3CAD"/>
    <w:rsid w:val="00AD6192"/>
    <w:rsid w:val="00AD6919"/>
    <w:rsid w:val="00AD6C74"/>
    <w:rsid w:val="00AD733D"/>
    <w:rsid w:val="00AD77F5"/>
    <w:rsid w:val="00AD7B0F"/>
    <w:rsid w:val="00AD7B88"/>
    <w:rsid w:val="00AE12ED"/>
    <w:rsid w:val="00AE308B"/>
    <w:rsid w:val="00AE32FC"/>
    <w:rsid w:val="00AE61D2"/>
    <w:rsid w:val="00AF0F24"/>
    <w:rsid w:val="00AF28DD"/>
    <w:rsid w:val="00B02154"/>
    <w:rsid w:val="00B02923"/>
    <w:rsid w:val="00B02EB8"/>
    <w:rsid w:val="00B035DD"/>
    <w:rsid w:val="00B06056"/>
    <w:rsid w:val="00B11421"/>
    <w:rsid w:val="00B16DB4"/>
    <w:rsid w:val="00B230B1"/>
    <w:rsid w:val="00B231A6"/>
    <w:rsid w:val="00B241EC"/>
    <w:rsid w:val="00B2471A"/>
    <w:rsid w:val="00B2525A"/>
    <w:rsid w:val="00B2770C"/>
    <w:rsid w:val="00B32843"/>
    <w:rsid w:val="00B3360D"/>
    <w:rsid w:val="00B3377F"/>
    <w:rsid w:val="00B34898"/>
    <w:rsid w:val="00B34CD6"/>
    <w:rsid w:val="00B3512B"/>
    <w:rsid w:val="00B4049F"/>
    <w:rsid w:val="00B40F77"/>
    <w:rsid w:val="00B41D5B"/>
    <w:rsid w:val="00B42F8E"/>
    <w:rsid w:val="00B44F57"/>
    <w:rsid w:val="00B451B6"/>
    <w:rsid w:val="00B46516"/>
    <w:rsid w:val="00B46E7E"/>
    <w:rsid w:val="00B472FB"/>
    <w:rsid w:val="00B5324B"/>
    <w:rsid w:val="00B53BDF"/>
    <w:rsid w:val="00B5507E"/>
    <w:rsid w:val="00B577BD"/>
    <w:rsid w:val="00B57BAC"/>
    <w:rsid w:val="00B603BF"/>
    <w:rsid w:val="00B6322C"/>
    <w:rsid w:val="00B6372C"/>
    <w:rsid w:val="00B6379D"/>
    <w:rsid w:val="00B649E2"/>
    <w:rsid w:val="00B70E39"/>
    <w:rsid w:val="00B71A01"/>
    <w:rsid w:val="00B763D6"/>
    <w:rsid w:val="00B8331C"/>
    <w:rsid w:val="00B85036"/>
    <w:rsid w:val="00B86361"/>
    <w:rsid w:val="00B93343"/>
    <w:rsid w:val="00B93767"/>
    <w:rsid w:val="00B9386A"/>
    <w:rsid w:val="00B974D2"/>
    <w:rsid w:val="00BA4767"/>
    <w:rsid w:val="00BA4873"/>
    <w:rsid w:val="00BA4E63"/>
    <w:rsid w:val="00BA6C42"/>
    <w:rsid w:val="00BA7637"/>
    <w:rsid w:val="00BB0E7F"/>
    <w:rsid w:val="00BB19E5"/>
    <w:rsid w:val="00BB2091"/>
    <w:rsid w:val="00BB29DD"/>
    <w:rsid w:val="00BB4A4F"/>
    <w:rsid w:val="00BB5FBE"/>
    <w:rsid w:val="00BB669A"/>
    <w:rsid w:val="00BC2626"/>
    <w:rsid w:val="00BC30AA"/>
    <w:rsid w:val="00BC4E85"/>
    <w:rsid w:val="00BD02F3"/>
    <w:rsid w:val="00BD0449"/>
    <w:rsid w:val="00BD047F"/>
    <w:rsid w:val="00BD2CE8"/>
    <w:rsid w:val="00BD3C0A"/>
    <w:rsid w:val="00BD48BA"/>
    <w:rsid w:val="00BD4DCD"/>
    <w:rsid w:val="00BD593A"/>
    <w:rsid w:val="00BD7957"/>
    <w:rsid w:val="00BE2D28"/>
    <w:rsid w:val="00BE40E6"/>
    <w:rsid w:val="00BE4720"/>
    <w:rsid w:val="00BE7980"/>
    <w:rsid w:val="00BF1F5C"/>
    <w:rsid w:val="00BF5706"/>
    <w:rsid w:val="00C00181"/>
    <w:rsid w:val="00C01880"/>
    <w:rsid w:val="00C03C00"/>
    <w:rsid w:val="00C04388"/>
    <w:rsid w:val="00C04668"/>
    <w:rsid w:val="00C04925"/>
    <w:rsid w:val="00C04D63"/>
    <w:rsid w:val="00C058FF"/>
    <w:rsid w:val="00C06CDA"/>
    <w:rsid w:val="00C158F4"/>
    <w:rsid w:val="00C17EF0"/>
    <w:rsid w:val="00C2132E"/>
    <w:rsid w:val="00C21CF4"/>
    <w:rsid w:val="00C23090"/>
    <w:rsid w:val="00C23147"/>
    <w:rsid w:val="00C23371"/>
    <w:rsid w:val="00C234B6"/>
    <w:rsid w:val="00C23982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50685"/>
    <w:rsid w:val="00C529CE"/>
    <w:rsid w:val="00C5390A"/>
    <w:rsid w:val="00C53F61"/>
    <w:rsid w:val="00C5542A"/>
    <w:rsid w:val="00C567B6"/>
    <w:rsid w:val="00C61831"/>
    <w:rsid w:val="00C62FD2"/>
    <w:rsid w:val="00C64820"/>
    <w:rsid w:val="00C648CD"/>
    <w:rsid w:val="00C65598"/>
    <w:rsid w:val="00C666C6"/>
    <w:rsid w:val="00C71005"/>
    <w:rsid w:val="00C7208A"/>
    <w:rsid w:val="00C75DFF"/>
    <w:rsid w:val="00C76EA2"/>
    <w:rsid w:val="00C77023"/>
    <w:rsid w:val="00C80382"/>
    <w:rsid w:val="00C81329"/>
    <w:rsid w:val="00C84DD9"/>
    <w:rsid w:val="00C86572"/>
    <w:rsid w:val="00C9086A"/>
    <w:rsid w:val="00C91FF1"/>
    <w:rsid w:val="00C9356E"/>
    <w:rsid w:val="00C946DF"/>
    <w:rsid w:val="00C94C9E"/>
    <w:rsid w:val="00C96D03"/>
    <w:rsid w:val="00CA3684"/>
    <w:rsid w:val="00CA693D"/>
    <w:rsid w:val="00CA7D28"/>
    <w:rsid w:val="00CB369B"/>
    <w:rsid w:val="00CB385F"/>
    <w:rsid w:val="00CB5378"/>
    <w:rsid w:val="00CB6EE9"/>
    <w:rsid w:val="00CB7754"/>
    <w:rsid w:val="00CB7FE3"/>
    <w:rsid w:val="00CC09D9"/>
    <w:rsid w:val="00CC2A1E"/>
    <w:rsid w:val="00CC33C1"/>
    <w:rsid w:val="00CC57C3"/>
    <w:rsid w:val="00CC693C"/>
    <w:rsid w:val="00CC73D1"/>
    <w:rsid w:val="00CC783C"/>
    <w:rsid w:val="00CD318F"/>
    <w:rsid w:val="00CD5815"/>
    <w:rsid w:val="00CD6BD2"/>
    <w:rsid w:val="00CD7450"/>
    <w:rsid w:val="00CE1F8C"/>
    <w:rsid w:val="00CE3E90"/>
    <w:rsid w:val="00CE43BF"/>
    <w:rsid w:val="00CE5743"/>
    <w:rsid w:val="00CE5B67"/>
    <w:rsid w:val="00CE6773"/>
    <w:rsid w:val="00CE740A"/>
    <w:rsid w:val="00CF0749"/>
    <w:rsid w:val="00CF0756"/>
    <w:rsid w:val="00CF3B1D"/>
    <w:rsid w:val="00CF3D84"/>
    <w:rsid w:val="00CF7AE9"/>
    <w:rsid w:val="00D0061B"/>
    <w:rsid w:val="00D014F0"/>
    <w:rsid w:val="00D01E9C"/>
    <w:rsid w:val="00D0227D"/>
    <w:rsid w:val="00D03CF1"/>
    <w:rsid w:val="00D04CA6"/>
    <w:rsid w:val="00D06028"/>
    <w:rsid w:val="00D106D0"/>
    <w:rsid w:val="00D142D6"/>
    <w:rsid w:val="00D14840"/>
    <w:rsid w:val="00D1511F"/>
    <w:rsid w:val="00D152DF"/>
    <w:rsid w:val="00D17708"/>
    <w:rsid w:val="00D17C12"/>
    <w:rsid w:val="00D216D5"/>
    <w:rsid w:val="00D218A5"/>
    <w:rsid w:val="00D21FFD"/>
    <w:rsid w:val="00D22347"/>
    <w:rsid w:val="00D2555E"/>
    <w:rsid w:val="00D274FF"/>
    <w:rsid w:val="00D30344"/>
    <w:rsid w:val="00D307F0"/>
    <w:rsid w:val="00D30E59"/>
    <w:rsid w:val="00D32EBC"/>
    <w:rsid w:val="00D33D1D"/>
    <w:rsid w:val="00D3480E"/>
    <w:rsid w:val="00D3601C"/>
    <w:rsid w:val="00D36113"/>
    <w:rsid w:val="00D406C1"/>
    <w:rsid w:val="00D406F8"/>
    <w:rsid w:val="00D40ACE"/>
    <w:rsid w:val="00D428CE"/>
    <w:rsid w:val="00D429F9"/>
    <w:rsid w:val="00D44A6B"/>
    <w:rsid w:val="00D4583D"/>
    <w:rsid w:val="00D46E68"/>
    <w:rsid w:val="00D47771"/>
    <w:rsid w:val="00D479B7"/>
    <w:rsid w:val="00D5125C"/>
    <w:rsid w:val="00D51689"/>
    <w:rsid w:val="00D520B1"/>
    <w:rsid w:val="00D52941"/>
    <w:rsid w:val="00D533AA"/>
    <w:rsid w:val="00D55F6D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3D51"/>
    <w:rsid w:val="00D743DB"/>
    <w:rsid w:val="00D74F5D"/>
    <w:rsid w:val="00D7584D"/>
    <w:rsid w:val="00D775EA"/>
    <w:rsid w:val="00D77863"/>
    <w:rsid w:val="00D812F8"/>
    <w:rsid w:val="00D83D8E"/>
    <w:rsid w:val="00D8456D"/>
    <w:rsid w:val="00D84B57"/>
    <w:rsid w:val="00D84C66"/>
    <w:rsid w:val="00D85C04"/>
    <w:rsid w:val="00D864E8"/>
    <w:rsid w:val="00D87341"/>
    <w:rsid w:val="00D8752C"/>
    <w:rsid w:val="00D915FC"/>
    <w:rsid w:val="00D91A3C"/>
    <w:rsid w:val="00D94234"/>
    <w:rsid w:val="00D95240"/>
    <w:rsid w:val="00D96925"/>
    <w:rsid w:val="00DA0C62"/>
    <w:rsid w:val="00DA2664"/>
    <w:rsid w:val="00DA2D97"/>
    <w:rsid w:val="00DA39AB"/>
    <w:rsid w:val="00DA53A9"/>
    <w:rsid w:val="00DA5DF2"/>
    <w:rsid w:val="00DA7FE6"/>
    <w:rsid w:val="00DB09E6"/>
    <w:rsid w:val="00DB1C9C"/>
    <w:rsid w:val="00DB23A1"/>
    <w:rsid w:val="00DB3CDA"/>
    <w:rsid w:val="00DB42D0"/>
    <w:rsid w:val="00DB7080"/>
    <w:rsid w:val="00DB7341"/>
    <w:rsid w:val="00DC2ECB"/>
    <w:rsid w:val="00DC319F"/>
    <w:rsid w:val="00DC3BC7"/>
    <w:rsid w:val="00DC59E2"/>
    <w:rsid w:val="00DD0AE1"/>
    <w:rsid w:val="00DD0FE8"/>
    <w:rsid w:val="00DD2103"/>
    <w:rsid w:val="00DD2CBA"/>
    <w:rsid w:val="00DD414A"/>
    <w:rsid w:val="00DD417E"/>
    <w:rsid w:val="00DE0128"/>
    <w:rsid w:val="00DE0601"/>
    <w:rsid w:val="00DE1F95"/>
    <w:rsid w:val="00DE5589"/>
    <w:rsid w:val="00DE6D2F"/>
    <w:rsid w:val="00DF3586"/>
    <w:rsid w:val="00DF7148"/>
    <w:rsid w:val="00DF7C73"/>
    <w:rsid w:val="00E06254"/>
    <w:rsid w:val="00E062F6"/>
    <w:rsid w:val="00E10022"/>
    <w:rsid w:val="00E104BE"/>
    <w:rsid w:val="00E11F7D"/>
    <w:rsid w:val="00E12905"/>
    <w:rsid w:val="00E12D6D"/>
    <w:rsid w:val="00E14351"/>
    <w:rsid w:val="00E153EE"/>
    <w:rsid w:val="00E1659B"/>
    <w:rsid w:val="00E16ED6"/>
    <w:rsid w:val="00E1732C"/>
    <w:rsid w:val="00E2535B"/>
    <w:rsid w:val="00E25BBF"/>
    <w:rsid w:val="00E30463"/>
    <w:rsid w:val="00E30A2F"/>
    <w:rsid w:val="00E341DF"/>
    <w:rsid w:val="00E345D8"/>
    <w:rsid w:val="00E36296"/>
    <w:rsid w:val="00E36665"/>
    <w:rsid w:val="00E3759A"/>
    <w:rsid w:val="00E402E4"/>
    <w:rsid w:val="00E40CE7"/>
    <w:rsid w:val="00E420C8"/>
    <w:rsid w:val="00E42249"/>
    <w:rsid w:val="00E42FEC"/>
    <w:rsid w:val="00E464E2"/>
    <w:rsid w:val="00E51042"/>
    <w:rsid w:val="00E5323B"/>
    <w:rsid w:val="00E53AAE"/>
    <w:rsid w:val="00E54029"/>
    <w:rsid w:val="00E54AE8"/>
    <w:rsid w:val="00E618D7"/>
    <w:rsid w:val="00E62921"/>
    <w:rsid w:val="00E6389D"/>
    <w:rsid w:val="00E6391E"/>
    <w:rsid w:val="00E6666D"/>
    <w:rsid w:val="00E66A2F"/>
    <w:rsid w:val="00E67C2C"/>
    <w:rsid w:val="00E703C5"/>
    <w:rsid w:val="00E70643"/>
    <w:rsid w:val="00E71469"/>
    <w:rsid w:val="00E72A8D"/>
    <w:rsid w:val="00E73322"/>
    <w:rsid w:val="00E75058"/>
    <w:rsid w:val="00E75E52"/>
    <w:rsid w:val="00E765BC"/>
    <w:rsid w:val="00E76DA2"/>
    <w:rsid w:val="00E81896"/>
    <w:rsid w:val="00E84455"/>
    <w:rsid w:val="00E8475E"/>
    <w:rsid w:val="00E86F65"/>
    <w:rsid w:val="00E876DD"/>
    <w:rsid w:val="00E877E1"/>
    <w:rsid w:val="00E915AA"/>
    <w:rsid w:val="00E925B1"/>
    <w:rsid w:val="00E9316B"/>
    <w:rsid w:val="00E936C2"/>
    <w:rsid w:val="00E939E2"/>
    <w:rsid w:val="00E93D08"/>
    <w:rsid w:val="00E940DC"/>
    <w:rsid w:val="00E952FF"/>
    <w:rsid w:val="00E95DD6"/>
    <w:rsid w:val="00E965E9"/>
    <w:rsid w:val="00E96B22"/>
    <w:rsid w:val="00EA0C33"/>
    <w:rsid w:val="00EA0D78"/>
    <w:rsid w:val="00EA1D28"/>
    <w:rsid w:val="00EA25BD"/>
    <w:rsid w:val="00EA26FD"/>
    <w:rsid w:val="00EA2F1F"/>
    <w:rsid w:val="00EA40DB"/>
    <w:rsid w:val="00EA4941"/>
    <w:rsid w:val="00EA5F30"/>
    <w:rsid w:val="00EB1614"/>
    <w:rsid w:val="00EB3719"/>
    <w:rsid w:val="00EB666E"/>
    <w:rsid w:val="00EC4E39"/>
    <w:rsid w:val="00EC7993"/>
    <w:rsid w:val="00ED1063"/>
    <w:rsid w:val="00ED1AFE"/>
    <w:rsid w:val="00ED3E96"/>
    <w:rsid w:val="00ED467B"/>
    <w:rsid w:val="00ED6D7E"/>
    <w:rsid w:val="00ED6F49"/>
    <w:rsid w:val="00ED7049"/>
    <w:rsid w:val="00ED7FC4"/>
    <w:rsid w:val="00EE1515"/>
    <w:rsid w:val="00EE1A49"/>
    <w:rsid w:val="00EE2FED"/>
    <w:rsid w:val="00EE332C"/>
    <w:rsid w:val="00EE3729"/>
    <w:rsid w:val="00EE438D"/>
    <w:rsid w:val="00EE5CA3"/>
    <w:rsid w:val="00EE7312"/>
    <w:rsid w:val="00EF0756"/>
    <w:rsid w:val="00EF21FB"/>
    <w:rsid w:val="00EF4391"/>
    <w:rsid w:val="00EF5899"/>
    <w:rsid w:val="00F00A80"/>
    <w:rsid w:val="00F04F84"/>
    <w:rsid w:val="00F07221"/>
    <w:rsid w:val="00F072B0"/>
    <w:rsid w:val="00F10BB5"/>
    <w:rsid w:val="00F1130E"/>
    <w:rsid w:val="00F15185"/>
    <w:rsid w:val="00F1643D"/>
    <w:rsid w:val="00F164AD"/>
    <w:rsid w:val="00F177FA"/>
    <w:rsid w:val="00F2177A"/>
    <w:rsid w:val="00F21D6F"/>
    <w:rsid w:val="00F23183"/>
    <w:rsid w:val="00F2379F"/>
    <w:rsid w:val="00F25B08"/>
    <w:rsid w:val="00F324EC"/>
    <w:rsid w:val="00F34D06"/>
    <w:rsid w:val="00F359C3"/>
    <w:rsid w:val="00F35D91"/>
    <w:rsid w:val="00F35F0A"/>
    <w:rsid w:val="00F37420"/>
    <w:rsid w:val="00F37E75"/>
    <w:rsid w:val="00F40068"/>
    <w:rsid w:val="00F41BDB"/>
    <w:rsid w:val="00F445FA"/>
    <w:rsid w:val="00F46ACE"/>
    <w:rsid w:val="00F4771B"/>
    <w:rsid w:val="00F51023"/>
    <w:rsid w:val="00F53A69"/>
    <w:rsid w:val="00F56EE8"/>
    <w:rsid w:val="00F61942"/>
    <w:rsid w:val="00F66677"/>
    <w:rsid w:val="00F67EAD"/>
    <w:rsid w:val="00F70415"/>
    <w:rsid w:val="00F713A6"/>
    <w:rsid w:val="00F71F27"/>
    <w:rsid w:val="00F723D4"/>
    <w:rsid w:val="00F743B8"/>
    <w:rsid w:val="00F758BD"/>
    <w:rsid w:val="00F765DF"/>
    <w:rsid w:val="00F80C4C"/>
    <w:rsid w:val="00F813E4"/>
    <w:rsid w:val="00F8308B"/>
    <w:rsid w:val="00F83F75"/>
    <w:rsid w:val="00F8528E"/>
    <w:rsid w:val="00F86C2E"/>
    <w:rsid w:val="00F92484"/>
    <w:rsid w:val="00F926B8"/>
    <w:rsid w:val="00F93CFC"/>
    <w:rsid w:val="00F945E9"/>
    <w:rsid w:val="00F947E6"/>
    <w:rsid w:val="00F956AA"/>
    <w:rsid w:val="00F97F79"/>
    <w:rsid w:val="00FA0946"/>
    <w:rsid w:val="00FA1355"/>
    <w:rsid w:val="00FA1B4F"/>
    <w:rsid w:val="00FA3D21"/>
    <w:rsid w:val="00FA4B88"/>
    <w:rsid w:val="00FA6D7D"/>
    <w:rsid w:val="00FB01F4"/>
    <w:rsid w:val="00FB1E52"/>
    <w:rsid w:val="00FB1F78"/>
    <w:rsid w:val="00FB2B65"/>
    <w:rsid w:val="00FB3040"/>
    <w:rsid w:val="00FB7148"/>
    <w:rsid w:val="00FC3537"/>
    <w:rsid w:val="00FC7288"/>
    <w:rsid w:val="00FD3FAD"/>
    <w:rsid w:val="00FD5233"/>
    <w:rsid w:val="00FE01EB"/>
    <w:rsid w:val="00FE039C"/>
    <w:rsid w:val="00FE1706"/>
    <w:rsid w:val="00FE23ED"/>
    <w:rsid w:val="00FE663F"/>
    <w:rsid w:val="00FE739B"/>
    <w:rsid w:val="00FF16CA"/>
    <w:rsid w:val="00FF41A3"/>
    <w:rsid w:val="00FF4E50"/>
    <w:rsid w:val="00FF5C96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95BA0"/>
  <w15:chartTrackingRefBased/>
  <w15:docId w15:val="{39309F32-CDBE-468E-B61B-E0F0B27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3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313CC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qFormat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5"/>
      </w:numPr>
    </w:p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paragraph" w:customStyle="1" w:styleId="VisibleGuidance">
    <w:name w:val="Visible Guidance"/>
    <w:basedOn w:val="Normal"/>
    <w:next w:val="Normal"/>
    <w:rsid w:val="00232B84"/>
    <w:pPr>
      <w:shd w:val="clear" w:color="auto" w:fill="F2F2F2"/>
      <w:spacing w:line="276" w:lineRule="auto"/>
    </w:pPr>
    <w:rPr>
      <w:rFonts w:eastAsiaTheme="minorEastAsia"/>
      <w:color w:val="FF0066"/>
      <w:sz w:val="22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6E46D9"/>
    <w:pPr>
      <w:keepNext/>
      <w:keepLines/>
      <w:pageBreakBefore/>
      <w:numPr>
        <w:numId w:val="13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6E46D9"/>
    <w:pPr>
      <w:keepNext/>
      <w:keepLines/>
      <w:numPr>
        <w:ilvl w:val="1"/>
        <w:numId w:val="13"/>
      </w:numPr>
      <w:tabs>
        <w:tab w:val="left" w:pos="1152"/>
      </w:tabs>
      <w:spacing w:before="360" w:after="240" w:line="240" w:lineRule="auto"/>
      <w:outlineLvl w:val="1"/>
    </w:pPr>
    <w:rPr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6E46D9"/>
    <w:pPr>
      <w:keepNext/>
      <w:keepLines/>
      <w:numPr>
        <w:ilvl w:val="2"/>
        <w:numId w:val="13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6E46D9"/>
    <w:pPr>
      <w:keepNext/>
      <w:keepLines/>
      <w:numPr>
        <w:ilvl w:val="3"/>
        <w:numId w:val="13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6E46D9"/>
    <w:pPr>
      <w:keepNext/>
      <w:keepLines/>
      <w:numPr>
        <w:ilvl w:val="4"/>
        <w:numId w:val="13"/>
      </w:numPr>
      <w:tabs>
        <w:tab w:val="left" w:pos="1152"/>
      </w:tabs>
      <w:spacing w:before="240" w:line="240" w:lineRule="auto"/>
      <w:ind w:left="0" w:firstLine="0"/>
      <w:outlineLvl w:val="4"/>
    </w:pPr>
    <w:rPr>
      <w:color w:val="008AC8"/>
      <w:sz w:val="24"/>
      <w:szCs w:val="20"/>
    </w:rPr>
  </w:style>
  <w:style w:type="paragraph" w:customStyle="1" w:styleId="NumBullet2">
    <w:name w:val="Num Bullet 2"/>
    <w:basedOn w:val="ListParagraph"/>
    <w:uiPriority w:val="3"/>
    <w:qFormat/>
    <w:rsid w:val="006E46D9"/>
    <w:pPr>
      <w:numPr>
        <w:numId w:val="14"/>
      </w:numPr>
      <w:spacing w:line="276" w:lineRule="auto"/>
      <w:ind w:left="648"/>
    </w:pPr>
    <w:rPr>
      <w:rFonts w:eastAsiaTheme="minorEastAsia"/>
      <w:sz w:val="22"/>
    </w:rPr>
  </w:style>
  <w:style w:type="numbering" w:customStyle="1" w:styleId="Bullets">
    <w:name w:val="Bullets"/>
    <w:rsid w:val="006E46D9"/>
    <w:pPr>
      <w:numPr>
        <w:numId w:val="12"/>
      </w:numPr>
    </w:pPr>
  </w:style>
  <w:style w:type="paragraph" w:customStyle="1" w:styleId="NumBullet5">
    <w:name w:val="Num Bullet 5"/>
    <w:basedOn w:val="Normal"/>
    <w:uiPriority w:val="3"/>
    <w:qFormat/>
    <w:rsid w:val="002E52FD"/>
    <w:pPr>
      <w:numPr>
        <w:numId w:val="18"/>
      </w:numPr>
      <w:spacing w:line="276" w:lineRule="auto"/>
      <w:contextualSpacing/>
    </w:pPr>
    <w:rPr>
      <w:rFonts w:eastAsiaTheme="minorEastAsia"/>
    </w:rPr>
  </w:style>
  <w:style w:type="paragraph" w:customStyle="1" w:styleId="FigureCaption">
    <w:name w:val="Figure Caption"/>
    <w:basedOn w:val="Caption"/>
    <w:uiPriority w:val="9"/>
    <w:qFormat/>
    <w:rsid w:val="002E52FD"/>
    <w:pPr>
      <w:spacing w:after="120"/>
    </w:pPr>
    <w:rPr>
      <w:rFonts w:eastAsiaTheme="minorEastAsia"/>
      <w:bCs/>
      <w:i w:val="0"/>
      <w:iCs w:val="0"/>
      <w:color w:val="008AC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52F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2">
    <w:name w:val="Table Grid2"/>
    <w:basedOn w:val="TableNormal"/>
    <w:next w:val="TableGrid"/>
    <w:rsid w:val="002E52FD"/>
    <w:pPr>
      <w:spacing w:before="40" w:after="40" w:line="252" w:lineRule="auto"/>
    </w:pPr>
    <w:rPr>
      <w:rFonts w:ascii="Calibri" w:eastAsia="Arial Narrow" w:hAnsi="Calibri" w:cs="Arial Narrow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9CC2E5" w:themeColor="accent1" w:themeTint="99"/>
        <w:bottom w:val="single" w:sz="8" w:space="0" w:color="9CC2E5" w:themeColor="accent1" w:themeTint="99"/>
        <w:insideH w:val="single" w:sz="8" w:space="0" w:color="9CC2E5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5B9BD5" w:themeColor="accent1"/>
      </w:rPr>
      <w:tblPr/>
      <w:tcPr>
        <w:tcBorders>
          <w:top w:val="single" w:sz="18" w:space="0" w:color="9CC2E5" w:themeColor="accent1" w:themeTint="99"/>
          <w:bottom w:val="single" w:sz="18" w:space="0" w:color="9CC2E5" w:themeColor="accent1" w:themeTint="99"/>
        </w:tcBorders>
        <w:shd w:val="clear" w:color="auto" w:fill="DEEAF6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CC2E5" w:themeColor="accent1" w:themeTint="99"/>
          <w:left w:val="nil"/>
          <w:bottom w:val="double" w:sz="12" w:space="0" w:color="9CC2E5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CC2E5" w:themeColor="accent1" w:themeTint="99"/>
          <w:left w:val="nil"/>
          <w:bottom w:val="single" w:sz="8" w:space="0" w:color="9CC2E5" w:themeColor="accent1" w:themeTint="99"/>
          <w:right w:val="nil"/>
          <w:insideH w:val="single" w:sz="8" w:space="0" w:color="9CC2E5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CC2E5" w:themeColor="accent1" w:themeTint="99"/>
          <w:left w:val="nil"/>
          <w:bottom w:val="single" w:sz="8" w:space="0" w:color="9CC2E5" w:themeColor="accent1" w:themeTint="99"/>
          <w:right w:val="nil"/>
          <w:insideH w:val="single" w:sz="8" w:space="0" w:color="9CC2E5" w:themeColor="accent1" w:themeTint="99"/>
          <w:insideV w:val="nil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F81743-5F0E-48BB-8BF8-D1143651521D}">
  <we:reference id="wa104178141" version="2.0.9.0" store="en-US" storeType="OMEX"/>
  <we:alternateReferences>
    <we:reference id="wa104178141" version="2.0.9.0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AAEF9-2D0C-4D6F-8421-1DAA096CC33D}"/>
</file>

<file path=customXml/itemProps2.xml><?xml version="1.0" encoding="utf-8"?>
<ds:datastoreItem xmlns:ds="http://schemas.openxmlformats.org/officeDocument/2006/customXml" ds:itemID="{995A4FDB-71B9-44F9-A6D4-CA8F990CA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37B14-6A85-4C71-9052-F641997003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E8DD5C-5EB8-4E46-87CE-A52A454FCD5B}">
  <ds:schemaRefs>
    <ds:schemaRef ds:uri="http://schemas.microsoft.com/office/2006/metadata/properties"/>
    <ds:schemaRef ds:uri="http://schemas.microsoft.com/office/infopath/2007/PartnerControls"/>
    <ds:schemaRef ds:uri="83459219-2780-418c-876e-2969f3ba40a8"/>
    <ds:schemaRef ds:uri="a64fa2e6-5842-46f8-97dc-9b66c538b8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Angelosanto</dc:creator>
  <cp:keywords/>
  <dc:description/>
  <cp:lastModifiedBy>Fred Harmon</cp:lastModifiedBy>
  <cp:revision>18</cp:revision>
  <cp:lastPrinted>2017-03-16T21:24:00Z</cp:lastPrinted>
  <dcterms:created xsi:type="dcterms:W3CDTF">2020-04-26T17:00:00Z</dcterms:created>
  <dcterms:modified xsi:type="dcterms:W3CDTF">2020-06-22T16:40:00Z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0x0101004CEC02E0258A27448A29FB0FC0148545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SetDate">
    <vt:lpwstr>2020-03-16T07:33:00.9655802Z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ctionId">
    <vt:lpwstr>cea44fee-4dae-4874-ae9c-7e4435841640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