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D6F5" w14:textId="77777777" w:rsidR="00F07221" w:rsidRDefault="00F07221">
      <w:pPr>
        <w:rPr>
          <w:color w:val="FF00FF"/>
        </w:rPr>
      </w:pPr>
    </w:p>
    <w:p w14:paraId="4C53EEB7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4AF9B846" w14:textId="77777777" w:rsidR="00A059E4" w:rsidRDefault="00A059E4" w:rsidP="003E260B"/>
    <w:p w14:paraId="691F2E71" w14:textId="77777777" w:rsidR="00A059E4" w:rsidRDefault="00A059E4" w:rsidP="003E260B"/>
    <w:p w14:paraId="6C459D29" w14:textId="77777777" w:rsidR="00A059E4" w:rsidRDefault="00A059E4" w:rsidP="003E260B"/>
    <w:p w14:paraId="45AB0E41" w14:textId="77777777" w:rsidR="00A059E4" w:rsidRDefault="00A059E4" w:rsidP="003E260B"/>
    <w:p w14:paraId="4E4E9DDE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D04248" wp14:editId="298BA1D1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5DE7" w14:textId="77777777" w:rsidR="000D6220" w:rsidRDefault="000D6220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57BC251B" w14:textId="77777777" w:rsidR="000D6220" w:rsidRPr="0052546A" w:rsidRDefault="000D6220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0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25415DE7" w14:textId="77777777" w:rsidR="000D6220" w:rsidRDefault="000D6220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57BC251B" w14:textId="77777777" w:rsidR="000D6220" w:rsidRPr="0052546A" w:rsidRDefault="000D6220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B27B7" w14:textId="77777777" w:rsidR="00A86A5C" w:rsidRDefault="00A86A5C" w:rsidP="003E260B"/>
    <w:p w14:paraId="0DD414B2" w14:textId="77777777" w:rsidR="0043613E" w:rsidRPr="00CF7AE9" w:rsidRDefault="005C31B4" w:rsidP="00CF7AE9">
      <w:pPr>
        <w:rPr>
          <w:rFonts w:ascii="Segoe UI Semibold" w:hAnsi="Segoe UI Semibold" w:cs="Segoe UI Semibold"/>
          <w:color w:val="008272"/>
          <w:sz w:val="32"/>
        </w:rPr>
      </w:pPr>
      <w:r>
        <w:rPr>
          <w:rFonts w:ascii="Segoe UI Semibold" w:hAnsi="Segoe UI Semibold" w:cs="Segoe UI Semibold"/>
          <w:color w:val="008272"/>
          <w:sz w:val="32"/>
        </w:rPr>
        <w:t>Azure Active Directory Implementation Services</w:t>
      </w:r>
    </w:p>
    <w:p w14:paraId="1C2A99A7" w14:textId="77777777" w:rsidR="0043613E" w:rsidRDefault="0043613E" w:rsidP="003E260B"/>
    <w:p w14:paraId="29555CDB" w14:textId="77777777" w:rsidR="00717F2C" w:rsidRPr="00CD18DE" w:rsidRDefault="00717F2C" w:rsidP="003E260B">
      <w:r w:rsidRPr="00CD18DE">
        <w:t>Prepared for</w:t>
      </w:r>
    </w:p>
    <w:p w14:paraId="4AD81872" w14:textId="64C1A81B" w:rsidR="00717F2C" w:rsidRPr="00CD18DE" w:rsidRDefault="00717F2C" w:rsidP="00A8149E">
      <w:pPr>
        <w:pStyle w:val="Instructional"/>
        <w:rPr>
          <w:color w:val="auto"/>
        </w:rPr>
      </w:pPr>
    </w:p>
    <w:p w14:paraId="5F2EB3EA" w14:textId="77777777" w:rsidR="00B40F77" w:rsidRPr="00CD18DE" w:rsidRDefault="00B40F77" w:rsidP="003E260B"/>
    <w:p w14:paraId="1DB9046E" w14:textId="77777777" w:rsidR="007F148A" w:rsidRPr="00CD18DE" w:rsidRDefault="007F148A" w:rsidP="003E260B">
      <w:r w:rsidRPr="00CD18DE">
        <w:t>Prepared by</w:t>
      </w:r>
    </w:p>
    <w:p w14:paraId="5DEBC36E" w14:textId="2BC24372" w:rsidR="007F148A" w:rsidRPr="00CD18DE" w:rsidRDefault="007F148A" w:rsidP="00A8149E">
      <w:pPr>
        <w:pStyle w:val="Instructional"/>
        <w:rPr>
          <w:color w:val="auto"/>
        </w:rPr>
      </w:pPr>
    </w:p>
    <w:p w14:paraId="38B53A23" w14:textId="77777777" w:rsidR="007F148A" w:rsidRPr="00CD18DE" w:rsidRDefault="007F148A" w:rsidP="003E260B"/>
    <w:p w14:paraId="1B842F21" w14:textId="3AD5B84C" w:rsidR="00717F2C" w:rsidRPr="00CD18DE" w:rsidRDefault="00717F2C" w:rsidP="003E260B">
      <w:r w:rsidRPr="00CD18DE">
        <w:t xml:space="preserve">Date: </w:t>
      </w:r>
      <w:r w:rsidR="007F5153" w:rsidRPr="00CD18DE">
        <w:fldChar w:fldCharType="begin"/>
      </w:r>
      <w:r w:rsidR="007F5153" w:rsidRPr="00CD18DE">
        <w:instrText xml:space="preserve"> DATE  \@ "MMMM d, yyyy"  \* MERGEFORMAT </w:instrText>
      </w:r>
      <w:r w:rsidR="007F5153" w:rsidRPr="00CD18DE">
        <w:fldChar w:fldCharType="separate"/>
      </w:r>
      <w:r w:rsidR="00DE499F">
        <w:rPr>
          <w:noProof/>
        </w:rPr>
        <w:t>June 22, 2020</w:t>
      </w:r>
      <w:r w:rsidR="007F5153" w:rsidRPr="00CD18DE">
        <w:fldChar w:fldCharType="end"/>
      </w:r>
    </w:p>
    <w:p w14:paraId="3910B35F" w14:textId="33550544" w:rsidR="00717F2C" w:rsidRPr="00CD18DE" w:rsidRDefault="00717F2C" w:rsidP="003E260B">
      <w:pPr>
        <w:rPr>
          <w:rStyle w:val="InstructionalChar"/>
          <w:color w:val="auto"/>
        </w:rPr>
      </w:pPr>
      <w:r w:rsidRPr="00CD18DE">
        <w:t>Version</w:t>
      </w:r>
      <w:r w:rsidR="00FE01EB" w:rsidRPr="00CD18DE">
        <w:rPr>
          <w:rStyle w:val="InstructionalChar"/>
          <w:color w:val="auto"/>
        </w:rPr>
        <w:t xml:space="preserve">: </w:t>
      </w:r>
      <w:r w:rsidR="00CD18DE" w:rsidRPr="00CD18DE">
        <w:rPr>
          <w:rStyle w:val="InstructionalChar"/>
          <w:color w:val="auto"/>
        </w:rPr>
        <w:t>1.0</w:t>
      </w:r>
    </w:p>
    <w:p w14:paraId="50BE07B2" w14:textId="77777777" w:rsidR="007F148A" w:rsidRDefault="007F148A" w:rsidP="003E260B"/>
    <w:p w14:paraId="253A1CBF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D8023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2DA55AF8" w14:textId="5A932023" w:rsidR="003A5C3F" w:rsidRDefault="00EF21F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750174" w:history="1">
            <w:r w:rsidR="003A5C3F" w:rsidRPr="00350A1A">
              <w:rPr>
                <w:rStyle w:val="Hyperlink"/>
                <w:noProof/>
              </w:rPr>
              <w:t>1.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objectives and scope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_Toc37750174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3B9FB1BD" w14:textId="5FC1CF5A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75" w:history="1">
            <w:r w:rsidR="003A5C3F" w:rsidRPr="00350A1A">
              <w:rPr>
                <w:rStyle w:val="Hyperlink"/>
                <w:noProof/>
              </w:rPr>
              <w:t>1.1.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Objectives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_Toc37750175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78726ABC" w14:textId="27422DEE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76" w:history="1">
            <w:r w:rsidR="003A5C3F" w:rsidRPr="00350A1A">
              <w:rPr>
                <w:rStyle w:val="Hyperlink"/>
                <w:noProof/>
              </w:rPr>
              <w:t>1.2.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Areas in scope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_Toc37750176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5875AEA6" w14:textId="034847A1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77" w:history="1">
            <w:r w:rsidR="003A5C3F" w:rsidRPr="00350A1A">
              <w:rPr>
                <w:rStyle w:val="Hyperlink"/>
                <w:noProof/>
              </w:rPr>
              <w:t>1.3.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Areas out of scope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_Toc37750177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4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35B9F5FD" w14:textId="5DD1E71B" w:rsidR="003A5C3F" w:rsidRDefault="00C17A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78" w:history="1">
            <w:r w:rsidR="003A5C3F" w:rsidRPr="00350A1A">
              <w:rPr>
                <w:rStyle w:val="Hyperlink"/>
                <w:noProof/>
              </w:rPr>
              <w:t>2.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approach, timeline, and deliverable acceptance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_Toc37750178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5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3A1EC307" w14:textId="2ED36109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79" w:history="1">
            <w:r w:rsidR="003A5C3F" w:rsidRPr="00350A1A">
              <w:rPr>
                <w:rStyle w:val="Hyperlink"/>
                <w:noProof/>
              </w:rPr>
              <w:t>2.1.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Approach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_Toc37750179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5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492CAE65" w14:textId="5E75ED56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0" w:history="1">
            <w:r w:rsidR="003A5C3F" w:rsidRPr="00350A1A">
              <w:rPr>
                <w:rStyle w:val="Hyperlink"/>
                <w:noProof/>
              </w:rPr>
              <w:t>2.2.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Timeline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_Toc37750180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9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522B4423" w14:textId="0BC57617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1" w:history="1">
            <w:r w:rsidR="003A5C3F" w:rsidRPr="00350A1A">
              <w:rPr>
                <w:rStyle w:val="Hyperlink"/>
                <w:noProof/>
              </w:rPr>
              <w:t>2.3.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Deliverable acceptance process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_Toc37750181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10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60E1DEAF" w14:textId="34582E11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2" w:history="1">
            <w:r w:rsidR="003A5C3F" w:rsidRPr="00350A1A">
              <w:rPr>
                <w:rStyle w:val="Hyperlink"/>
                <w:noProof/>
              </w:rPr>
              <w:t>2.4.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governance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_Toc37750182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10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5428D5F6" w14:textId="193E80AF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3" w:history="1">
            <w:r w:rsidR="003A5C3F" w:rsidRPr="00350A1A">
              <w:rPr>
                <w:rStyle w:val="Hyperlink"/>
                <w:noProof/>
              </w:rPr>
              <w:t>2.5.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completion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_Toc37750183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11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3DA517E8" w14:textId="434DA184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4" w:history="1">
            <w:r w:rsidR="003A5C3F" w:rsidRPr="00350A1A">
              <w:rPr>
                <w:rStyle w:val="Hyperlink"/>
                <w:noProof/>
              </w:rPr>
              <w:t>2.6.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roles and responsibilities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_Toc37750184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12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0192FB72" w14:textId="4727E9FE" w:rsidR="003A5C3F" w:rsidRDefault="00C17A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5" w:history="1">
            <w:r w:rsidR="003A5C3F" w:rsidRPr="00350A1A">
              <w:rPr>
                <w:rStyle w:val="Hyperlink"/>
                <w:noProof/>
              </w:rPr>
              <w:t>3.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Customer responsibilities and project assumptions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_Toc37750185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13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7EC507EC" w14:textId="12FC7775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6" w:history="1">
            <w:r w:rsidR="003A5C3F" w:rsidRPr="00350A1A">
              <w:rPr>
                <w:rStyle w:val="Hyperlink"/>
                <w:noProof/>
              </w:rPr>
              <w:t>3.1.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Customer responsibilities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_Toc37750186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13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67CDDBD3" w14:textId="58A05F99" w:rsidR="003A5C3F" w:rsidRDefault="00C17A9A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AU" w:eastAsia="en-AU"/>
            </w:rPr>
          </w:pPr>
          <w:hyperlink w:anchor="_Toc37750187" w:history="1">
            <w:r w:rsidR="003A5C3F" w:rsidRPr="00350A1A">
              <w:rPr>
                <w:rStyle w:val="Hyperlink"/>
                <w:noProof/>
              </w:rPr>
              <w:t>3.2.</w:t>
            </w:r>
            <w:r w:rsidR="003A5C3F">
              <w:rPr>
                <w:rFonts w:asciiTheme="minorHAnsi" w:eastAsiaTheme="minorEastAsia" w:hAnsiTheme="minorHAnsi"/>
                <w:noProof/>
                <w:sz w:val="22"/>
                <w:lang w:val="en-AU" w:eastAsia="en-AU"/>
              </w:rPr>
              <w:tab/>
            </w:r>
            <w:r w:rsidR="003A5C3F" w:rsidRPr="00350A1A">
              <w:rPr>
                <w:rStyle w:val="Hyperlink"/>
                <w:noProof/>
              </w:rPr>
              <w:t>Project assumptions</w:t>
            </w:r>
            <w:r w:rsidR="003A5C3F">
              <w:rPr>
                <w:noProof/>
                <w:webHidden/>
              </w:rPr>
              <w:tab/>
            </w:r>
            <w:r w:rsidR="003A5C3F">
              <w:rPr>
                <w:noProof/>
                <w:webHidden/>
              </w:rPr>
              <w:fldChar w:fldCharType="begin"/>
            </w:r>
            <w:r w:rsidR="003A5C3F">
              <w:rPr>
                <w:noProof/>
                <w:webHidden/>
              </w:rPr>
              <w:instrText xml:space="preserve"> PAGEREF _Toc37750187 \h </w:instrText>
            </w:r>
            <w:r w:rsidR="003A5C3F">
              <w:rPr>
                <w:noProof/>
                <w:webHidden/>
              </w:rPr>
            </w:r>
            <w:r w:rsidR="003A5C3F">
              <w:rPr>
                <w:noProof/>
                <w:webHidden/>
              </w:rPr>
              <w:fldChar w:fldCharType="separate"/>
            </w:r>
            <w:r w:rsidR="003A5C3F">
              <w:rPr>
                <w:noProof/>
                <w:webHidden/>
              </w:rPr>
              <w:t>13</w:t>
            </w:r>
            <w:r w:rsidR="003A5C3F">
              <w:rPr>
                <w:noProof/>
                <w:webHidden/>
              </w:rPr>
              <w:fldChar w:fldCharType="end"/>
            </w:r>
          </w:hyperlink>
        </w:p>
        <w:p w14:paraId="366B5DBB" w14:textId="5F771307" w:rsidR="00C23371" w:rsidRDefault="00EF21FB">
          <w:r>
            <w:fldChar w:fldCharType="end"/>
          </w:r>
        </w:p>
      </w:sdtContent>
    </w:sdt>
    <w:p w14:paraId="4FF7937E" w14:textId="77777777" w:rsidR="00C81329" w:rsidRDefault="00C81329"/>
    <w:p w14:paraId="67E22A54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7EC562" w14:textId="13980361" w:rsidR="0001741F" w:rsidRDefault="0001741F" w:rsidP="0001741F">
      <w:bookmarkStart w:id="4" w:name="_Toc476167701"/>
      <w:bookmarkStart w:id="5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 xml:space="preserve">it are made pursuant to Work </w:t>
      </w:r>
      <w:r w:rsidRPr="00DE4FD2">
        <w:t xml:space="preserve">Order </w:t>
      </w:r>
      <w:r w:rsidR="00DE4FD2" w:rsidRPr="00DE4FD2">
        <w:rPr>
          <w:rStyle w:val="InstructionalChar"/>
          <w:color w:val="auto"/>
        </w:rPr>
        <w:t xml:space="preserve">7-VV73YIJL6 </w:t>
      </w:r>
      <w:r w:rsidRPr="00DE4FD2">
        <w:t xml:space="preserve">and </w:t>
      </w:r>
      <w:r>
        <w:t>describes the work to be performed (Services) by Microsoft (“us,” “</w:t>
      </w:r>
      <w:r w:rsidRPr="00DE4FD2">
        <w:t>we”) for  (“</w:t>
      </w:r>
      <w:r>
        <w:t>Customer,” “you,” “your”) relating to</w:t>
      </w:r>
      <w:r w:rsidRPr="00006605">
        <w:t xml:space="preserve"> </w:t>
      </w:r>
      <w:r w:rsidR="00006605" w:rsidRPr="00483764">
        <w:t xml:space="preserve">the implementation of Azure Active Directory </w:t>
      </w:r>
      <w:r>
        <w:t>(project).</w:t>
      </w:r>
    </w:p>
    <w:p w14:paraId="1C673DE2" w14:textId="77777777" w:rsidR="0001741F" w:rsidRDefault="0001741F" w:rsidP="0001741F"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1FFC37B8" w14:textId="77777777" w:rsidR="00C81329" w:rsidRPr="005C14DF" w:rsidRDefault="00C81329" w:rsidP="00C84DD9">
      <w:pPr>
        <w:pStyle w:val="Heading1"/>
      </w:pPr>
      <w:bookmarkStart w:id="6" w:name="_Toc476167702"/>
      <w:bookmarkStart w:id="7" w:name="_Toc476168022"/>
      <w:bookmarkStart w:id="8" w:name="_Ref477786305"/>
      <w:bookmarkStart w:id="9" w:name="_Toc37750174"/>
      <w:bookmarkEnd w:id="4"/>
      <w:bookmarkEnd w:id="5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6"/>
      <w:bookmarkEnd w:id="7"/>
      <w:bookmarkEnd w:id="8"/>
      <w:bookmarkEnd w:id="9"/>
    </w:p>
    <w:p w14:paraId="29F24990" w14:textId="77777777" w:rsidR="005A1C5E" w:rsidRDefault="005A1C5E" w:rsidP="00C84DD9">
      <w:pPr>
        <w:pStyle w:val="Heading2"/>
      </w:pPr>
      <w:bookmarkStart w:id="10" w:name="_Toc476167703"/>
      <w:bookmarkStart w:id="11" w:name="_Toc476168023"/>
      <w:bookmarkStart w:id="12" w:name="_Toc37750175"/>
      <w:r>
        <w:t>Objectives</w:t>
      </w:r>
      <w:bookmarkEnd w:id="10"/>
      <w:bookmarkEnd w:id="11"/>
      <w:bookmarkEnd w:id="12"/>
    </w:p>
    <w:p w14:paraId="4EFCEA3C" w14:textId="39B2EC93" w:rsidR="005162DE" w:rsidRDefault="005A1C5E" w:rsidP="005162DE">
      <w:r>
        <w:t xml:space="preserve">The objective of this project </w:t>
      </w:r>
      <w:r w:rsidR="00F15147">
        <w:t xml:space="preserve">is </w:t>
      </w:r>
      <w:r w:rsidR="00884E0D">
        <w:t>to</w:t>
      </w:r>
      <w:r>
        <w:t xml:space="preserve"> </w:t>
      </w:r>
      <w:r w:rsidR="005162DE">
        <w:t xml:space="preserve">integrate your on-premises </w:t>
      </w:r>
      <w:r w:rsidR="001758E5" w:rsidRPr="5BB43366">
        <w:rPr>
          <w:szCs w:val="20"/>
        </w:rPr>
        <w:t>Active Directory Domain Services (AD</w:t>
      </w:r>
      <w:r w:rsidR="003A5147">
        <w:rPr>
          <w:szCs w:val="20"/>
        </w:rPr>
        <w:t> </w:t>
      </w:r>
      <w:r w:rsidR="001758E5" w:rsidRPr="5BB43366">
        <w:rPr>
          <w:szCs w:val="20"/>
        </w:rPr>
        <w:t>DS)</w:t>
      </w:r>
      <w:r w:rsidR="005162DE">
        <w:t xml:space="preserve"> environment with Azure Active Directory. The purpose of this SOW is to provide you with the scope, activities, and timeline necessary to complete this activity.</w:t>
      </w:r>
    </w:p>
    <w:p w14:paraId="0F928342" w14:textId="2C33BB96" w:rsidR="00EA1C68" w:rsidRDefault="00A174F0" w:rsidP="000D6220">
      <w:r>
        <w:t>We will i</w:t>
      </w:r>
      <w:r w:rsidR="00EA1C68">
        <w:t xml:space="preserve">ntegrate </w:t>
      </w:r>
      <w:r>
        <w:t xml:space="preserve">a subset of your </w:t>
      </w:r>
      <w:r w:rsidR="00EA1C68">
        <w:t>applications with Azure A</w:t>
      </w:r>
      <w:r w:rsidR="00BB08EF">
        <w:t>ctive Directory</w:t>
      </w:r>
      <w:r w:rsidR="00EA1C68">
        <w:t xml:space="preserve"> for achieving </w:t>
      </w:r>
      <w:r w:rsidR="00BB08EF">
        <w:t>single sign</w:t>
      </w:r>
      <w:r w:rsidR="00727052">
        <w:t>-</w:t>
      </w:r>
      <w:r w:rsidR="00BB08EF">
        <w:t>o</w:t>
      </w:r>
      <w:r w:rsidR="00EA1C68">
        <w:t>n (SSO) authentication.</w:t>
      </w:r>
      <w:r w:rsidR="006001F3">
        <w:t xml:space="preserve"> </w:t>
      </w:r>
      <w:r w:rsidR="00333C15">
        <w:t>This include</w:t>
      </w:r>
      <w:r w:rsidR="000D6220">
        <w:t>s</w:t>
      </w:r>
      <w:r w:rsidR="00EA1C68">
        <w:t xml:space="preserve"> the integration of </w:t>
      </w:r>
      <w:r w:rsidR="000D6220">
        <w:t>up to two</w:t>
      </w:r>
      <w:r w:rsidR="00EA1C68">
        <w:t xml:space="preserve"> </w:t>
      </w:r>
      <w:r w:rsidR="000D6220">
        <w:t xml:space="preserve">supported </w:t>
      </w:r>
      <w:r w:rsidR="00EA1C68">
        <w:t xml:space="preserve">on-premises applications and </w:t>
      </w:r>
      <w:r w:rsidR="000D6220">
        <w:t xml:space="preserve">three </w:t>
      </w:r>
      <w:r w:rsidR="00EA1C68">
        <w:t xml:space="preserve">third-party </w:t>
      </w:r>
      <w:r w:rsidR="00126FC7">
        <w:t>so</w:t>
      </w:r>
      <w:r w:rsidR="003426C9">
        <w:t xml:space="preserve">ftware as a </w:t>
      </w:r>
      <w:proofErr w:type="gramStart"/>
      <w:r w:rsidR="003426C9">
        <w:t>service</w:t>
      </w:r>
      <w:r w:rsidR="00C70312">
        <w:t xml:space="preserve"> (SAAS)</w:t>
      </w:r>
      <w:r w:rsidR="003426C9">
        <w:t xml:space="preserve"> </w:t>
      </w:r>
      <w:r w:rsidR="00333C15">
        <w:t>applications</w:t>
      </w:r>
      <w:proofErr w:type="gramEnd"/>
      <w:r w:rsidR="00333C15">
        <w:t xml:space="preserve"> </w:t>
      </w:r>
      <w:r w:rsidR="00EA1C68">
        <w:t>from the Azure A</w:t>
      </w:r>
      <w:r w:rsidR="003426C9">
        <w:t xml:space="preserve">ctive </w:t>
      </w:r>
      <w:r w:rsidR="00EA1C68">
        <w:t>D</w:t>
      </w:r>
      <w:r w:rsidR="003426C9">
        <w:t>irectory</w:t>
      </w:r>
      <w:r w:rsidR="00EA1C68">
        <w:t xml:space="preserve"> application gallery.</w:t>
      </w:r>
    </w:p>
    <w:p w14:paraId="57B025A9" w14:textId="6DC20FBA" w:rsidR="00A85B61" w:rsidRDefault="00A85B61" w:rsidP="000D6220">
      <w:r>
        <w:t>All work will occur remotely.</w:t>
      </w:r>
    </w:p>
    <w:p w14:paraId="6B1B8278" w14:textId="77777777" w:rsidR="00D8456D" w:rsidRDefault="004C2A6F" w:rsidP="00C84DD9">
      <w:pPr>
        <w:pStyle w:val="Heading2"/>
      </w:pPr>
      <w:bookmarkStart w:id="13" w:name="_Toc476167704"/>
      <w:bookmarkStart w:id="14" w:name="_Toc476168024"/>
      <w:bookmarkStart w:id="15" w:name="_Ref477786310"/>
      <w:bookmarkStart w:id="16" w:name="_Toc37750176"/>
      <w:r>
        <w:t xml:space="preserve">Areas </w:t>
      </w:r>
      <w:r w:rsidR="00D8456D" w:rsidRPr="005C14DF">
        <w:t>in scope</w:t>
      </w:r>
      <w:bookmarkEnd w:id="13"/>
      <w:bookmarkEnd w:id="14"/>
      <w:bookmarkEnd w:id="15"/>
      <w:bookmarkEnd w:id="16"/>
    </w:p>
    <w:p w14:paraId="19692324" w14:textId="77777777" w:rsidR="00390A88" w:rsidRDefault="00390A88" w:rsidP="00C84DD9">
      <w:pPr>
        <w:pStyle w:val="Heading3"/>
      </w:pPr>
      <w:bookmarkStart w:id="17" w:name="_Toc476168025"/>
      <w:r>
        <w:t>General project scope</w:t>
      </w:r>
      <w:bookmarkEnd w:id="17"/>
    </w:p>
    <w:p w14:paraId="52E42703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:rsidRPr="00B83EE2" w14:paraId="060148EE" w14:textId="77777777" w:rsidTr="0040645F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15B97A08" w14:textId="77777777" w:rsidR="00390A88" w:rsidRPr="00B83EE2" w:rsidRDefault="00884E0D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Area</w:t>
            </w:r>
          </w:p>
        </w:tc>
        <w:tc>
          <w:tcPr>
            <w:tcW w:w="4410" w:type="dxa"/>
            <w:shd w:val="clear" w:color="auto" w:fill="008272"/>
          </w:tcPr>
          <w:p w14:paraId="078B3384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024401AF" w14:textId="77777777" w:rsidR="00390A88" w:rsidRPr="00B83EE2" w:rsidRDefault="00390A88" w:rsidP="00057271">
            <w:pPr>
              <w:pStyle w:val="Table-Header"/>
              <w:rPr>
                <w:rFonts w:cs="Segoe UI"/>
              </w:rPr>
            </w:pPr>
            <w:r w:rsidRPr="00B83EE2">
              <w:rPr>
                <w:rFonts w:cs="Segoe UI"/>
              </w:rPr>
              <w:t>Assumptions</w:t>
            </w:r>
          </w:p>
        </w:tc>
      </w:tr>
      <w:tr w:rsidR="00A25C4E" w:rsidRPr="00B83EE2" w14:paraId="2C16EFD1" w14:textId="77777777" w:rsidTr="00406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162" w:type="dxa"/>
          </w:tcPr>
          <w:p w14:paraId="1FF495B3" w14:textId="2492B85B" w:rsidR="00A25C4E" w:rsidRPr="005729DB" w:rsidRDefault="00A25C4E" w:rsidP="000D6220">
            <w:bookmarkStart w:id="18" w:name="_Toc476168026"/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Integration</w:t>
            </w:r>
          </w:p>
        </w:tc>
        <w:tc>
          <w:tcPr>
            <w:tcW w:w="4410" w:type="dxa"/>
          </w:tcPr>
          <w:p w14:paraId="716FC65F" w14:textId="6CFC81EE" w:rsidR="00A25C4E" w:rsidRPr="005729DB" w:rsidRDefault="00A25C4E" w:rsidP="00A25C4E">
            <w:pPr>
              <w:rPr>
                <w:rFonts w:cs="Segoe UI"/>
                <w:szCs w:val="18"/>
              </w:rPr>
            </w:pPr>
            <w:r w:rsidRPr="005729DB">
              <w:rPr>
                <w:rFonts w:cs="Segoe UI"/>
                <w:szCs w:val="18"/>
              </w:rPr>
              <w:t>Integrat</w:t>
            </w:r>
            <w:r w:rsidR="00D43C23">
              <w:rPr>
                <w:rFonts w:cs="Segoe UI"/>
                <w:szCs w:val="18"/>
              </w:rPr>
              <w:t>e</w:t>
            </w:r>
            <w:r w:rsidRPr="005729DB">
              <w:rPr>
                <w:rFonts w:cs="Segoe UI"/>
                <w:szCs w:val="18"/>
              </w:rPr>
              <w:t xml:space="preserve"> on-premises or </w:t>
            </w:r>
            <w:r w:rsidRPr="005729DB">
              <w:rPr>
                <w:rFonts w:cs="Segoe UI"/>
                <w:szCs w:val="20"/>
              </w:rPr>
              <w:t xml:space="preserve">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Pr="005729DB">
              <w:rPr>
                <w:rFonts w:cs="Segoe UI"/>
                <w:szCs w:val="20"/>
              </w:rPr>
              <w:t xml:space="preserve"> gallery applications with Azure </w:t>
            </w:r>
            <w:r w:rsidR="007F5153">
              <w:rPr>
                <w:rFonts w:cs="Segoe UI"/>
                <w:szCs w:val="20"/>
              </w:rPr>
              <w:t>A</w:t>
            </w:r>
            <w:r w:rsidR="00444C79">
              <w:rPr>
                <w:rFonts w:cs="Segoe UI"/>
                <w:szCs w:val="20"/>
              </w:rPr>
              <w:t>ctive Directory</w:t>
            </w:r>
            <w:r w:rsidRPr="005729DB">
              <w:rPr>
                <w:rFonts w:cs="Segoe UI"/>
                <w:szCs w:val="20"/>
              </w:rPr>
              <w:t xml:space="preserve"> for authentication</w:t>
            </w:r>
            <w:r w:rsidRPr="005729DB">
              <w:rPr>
                <w:rFonts w:cs="Segoe UI"/>
                <w:szCs w:val="18"/>
              </w:rPr>
              <w:t xml:space="preserve">. </w:t>
            </w:r>
            <w:r w:rsidRPr="005729DB">
              <w:rPr>
                <w:rStyle w:val="normaltextrun"/>
                <w:rFonts w:cs="Segoe UI"/>
                <w:color w:val="000000"/>
                <w:szCs w:val="20"/>
              </w:rPr>
              <w:t>Microsoft will deliver the following to achieve this:</w:t>
            </w:r>
          </w:p>
          <w:p w14:paraId="681A1595" w14:textId="12BB0A2D" w:rsidR="00A25C4E" w:rsidRPr="005729DB" w:rsidRDefault="00A25C4E" w:rsidP="00BD3DB0">
            <w:pPr>
              <w:pStyle w:val="TableBullet1"/>
            </w:pPr>
            <w:r w:rsidRPr="005729DB">
              <w:t xml:space="preserve">Installation and configuration of up to </w:t>
            </w:r>
            <w:r w:rsidR="00C565E3">
              <w:rPr>
                <w:sz w:val="18"/>
              </w:rPr>
              <w:t>2</w:t>
            </w:r>
            <w:r w:rsidRPr="005729DB">
              <w:rPr>
                <w:rStyle w:val="InstructionalChar"/>
                <w:rFonts w:cs="Segoe UI"/>
                <w:szCs w:val="20"/>
              </w:rPr>
              <w:t xml:space="preserve"> </w:t>
            </w:r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Application</w:t>
            </w:r>
            <w:r w:rsidRPr="005729DB">
              <w:rPr>
                <w:szCs w:val="18"/>
              </w:rPr>
              <w:t xml:space="preserve"> Proxy agents in </w:t>
            </w:r>
            <w:r w:rsidR="007E0B6F">
              <w:rPr>
                <w:szCs w:val="18"/>
              </w:rPr>
              <w:t xml:space="preserve">the </w:t>
            </w:r>
            <w:r w:rsidR="00AE1D01">
              <w:rPr>
                <w:szCs w:val="18"/>
              </w:rPr>
              <w:t>Customer</w:t>
            </w:r>
            <w:r w:rsidRPr="005729DB">
              <w:rPr>
                <w:szCs w:val="18"/>
              </w:rPr>
              <w:t xml:space="preserve"> environment.</w:t>
            </w:r>
          </w:p>
          <w:p w14:paraId="4BBAE4B2" w14:textId="343B78B9" w:rsidR="00A25C4E" w:rsidRPr="005729DB" w:rsidRDefault="00A25C4E" w:rsidP="00BD3DB0">
            <w:pPr>
              <w:pStyle w:val="TableBullet1"/>
            </w:pPr>
            <w:r w:rsidRPr="005729DB">
              <w:t xml:space="preserve">Integration of up </w:t>
            </w:r>
            <w:r w:rsidRPr="000D6220">
              <w:t xml:space="preserve">to </w:t>
            </w:r>
            <w:r w:rsidR="000D6220" w:rsidRPr="000D6220">
              <w:t>3</w:t>
            </w:r>
            <w:r w:rsidRPr="000D6220">
              <w:t xml:space="preserve"> applications</w:t>
            </w:r>
            <w:r w:rsidRPr="005729DB">
              <w:t>.</w:t>
            </w:r>
            <w:r w:rsidR="006001F3">
              <w:t xml:space="preserve"> </w:t>
            </w:r>
            <w:r w:rsidRPr="005729DB">
              <w:t>The types of application integrations will include:</w:t>
            </w:r>
          </w:p>
          <w:p w14:paraId="5BE46C42" w14:textId="7EE45D59" w:rsidR="00A25C4E" w:rsidRPr="00AA09CF" w:rsidRDefault="00A25C4E" w:rsidP="00BD3DB0">
            <w:pPr>
              <w:pStyle w:val="TableBullet2MS"/>
            </w:pPr>
            <w:r w:rsidRPr="00AA09CF">
              <w:t xml:space="preserve">Third-party </w:t>
            </w:r>
            <w:r w:rsidR="00B34966">
              <w:t>Software as a Service (</w:t>
            </w:r>
            <w:r w:rsidRPr="00AA09CF">
              <w:t>SaaS</w:t>
            </w:r>
            <w:r w:rsidR="00B34966">
              <w:t>)</w:t>
            </w:r>
            <w:r w:rsidRPr="00AA09CF">
              <w:t xml:space="preserve"> applications </w:t>
            </w:r>
            <w:r w:rsidR="003B725E">
              <w:t xml:space="preserve">that </w:t>
            </w:r>
            <w:r w:rsidRPr="00AA09CF">
              <w:t xml:space="preserve">will be integrated </w:t>
            </w:r>
            <w:r w:rsidR="00032039">
              <w:t>through</w:t>
            </w:r>
            <w:r w:rsidR="00032039" w:rsidRPr="00AA09CF">
              <w:t xml:space="preserve"> </w:t>
            </w:r>
            <w:r w:rsidRPr="00AA09CF">
              <w:t xml:space="preserve">either the </w:t>
            </w:r>
            <w:r w:rsidR="00827B6C">
              <w:t>p</w:t>
            </w:r>
            <w:r w:rsidR="00827B6C" w:rsidRPr="00AA09CF">
              <w:t xml:space="preserve">assword </w:t>
            </w:r>
            <w:r w:rsidRPr="00AA09CF">
              <w:t xml:space="preserve">SSO or </w:t>
            </w:r>
            <w:r w:rsidR="00827B6C">
              <w:t>f</w:t>
            </w:r>
            <w:r w:rsidR="00827B6C" w:rsidRPr="00AA09CF">
              <w:t xml:space="preserve">ederated </w:t>
            </w:r>
            <w:r w:rsidRPr="00AA09CF">
              <w:t>SSO authentication method</w:t>
            </w:r>
            <w:r w:rsidR="00032039">
              <w:t>.</w:t>
            </w:r>
          </w:p>
          <w:p w14:paraId="051FC328" w14:textId="16834A1D" w:rsidR="00A25C4E" w:rsidRPr="005729DB" w:rsidRDefault="00A25C4E" w:rsidP="00BD3DB0">
            <w:pPr>
              <w:pStyle w:val="TableBullet2MS"/>
            </w:pPr>
            <w:r w:rsidRPr="00AA09CF">
              <w:lastRenderedPageBreak/>
              <w:t>On-</w:t>
            </w:r>
            <w:r w:rsidR="00CB069D">
              <w:t>p</w:t>
            </w:r>
            <w:r w:rsidR="00CB069D" w:rsidRPr="00AA09CF">
              <w:t xml:space="preserve">remises </w:t>
            </w:r>
            <w:r w:rsidRPr="00AA09CF">
              <w:t xml:space="preserve">web applications </w:t>
            </w:r>
            <w:r w:rsidR="003B725E">
              <w:t>that</w:t>
            </w:r>
            <w:r w:rsidR="003B725E" w:rsidRPr="00AA09CF">
              <w:t xml:space="preserve"> </w:t>
            </w:r>
            <w:r w:rsidRPr="00AA09CF">
              <w:t xml:space="preserve">will be integrated using the Azure </w:t>
            </w:r>
            <w:r w:rsidR="007F5153" w:rsidRPr="00AA09CF">
              <w:t>A</w:t>
            </w:r>
            <w:r w:rsidR="00444C79" w:rsidRPr="00AA09CF">
              <w:t>ctive Directory</w:t>
            </w:r>
            <w:r w:rsidRPr="00AA09CF">
              <w:t xml:space="preserve"> application proxy</w:t>
            </w:r>
            <w:r w:rsidR="00032039">
              <w:t>.</w:t>
            </w:r>
          </w:p>
        </w:tc>
        <w:tc>
          <w:tcPr>
            <w:tcW w:w="2787" w:type="dxa"/>
          </w:tcPr>
          <w:p w14:paraId="71E39372" w14:textId="24388F80" w:rsidR="00A25C4E" w:rsidRPr="005729DB" w:rsidRDefault="00A25C4E" w:rsidP="00BD3DB0">
            <w:pPr>
              <w:pStyle w:val="TableBullet1"/>
            </w:pPr>
            <w:r w:rsidRPr="005729DB">
              <w:lastRenderedPageBreak/>
              <w:t xml:space="preserve">Applications </w:t>
            </w:r>
            <w:r w:rsidR="00066F57">
              <w:t xml:space="preserve">that are </w:t>
            </w:r>
            <w:r w:rsidRPr="005729DB">
              <w:t xml:space="preserve">published </w:t>
            </w:r>
            <w:r w:rsidR="00066F57">
              <w:t>wi</w:t>
            </w:r>
            <w:r w:rsidR="00CF0326">
              <w:t>th</w:t>
            </w:r>
            <w:r w:rsidR="00066F57" w:rsidRPr="005729DB">
              <w:t xml:space="preserve"> </w:t>
            </w:r>
            <w:r w:rsidRPr="005729DB">
              <w:t xml:space="preserve">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Proxy use Integrated Windows Authentication</w:t>
            </w:r>
            <w:r w:rsidR="007E74AE">
              <w:t>.</w:t>
            </w:r>
          </w:p>
          <w:p w14:paraId="2E8E81D1" w14:textId="20861442" w:rsidR="00A25C4E" w:rsidRPr="005729DB" w:rsidRDefault="00A25C4E" w:rsidP="00BD3DB0">
            <w:pPr>
              <w:pStyle w:val="TableBullet1"/>
              <w:rPr>
                <w:szCs w:val="16"/>
              </w:rPr>
            </w:pPr>
            <w:r w:rsidRPr="005729DB">
              <w:t>SaaS application</w:t>
            </w:r>
            <w:r w:rsidR="00B61543">
              <w:t>s</w:t>
            </w:r>
            <w:r w:rsidRPr="005729DB">
              <w:t xml:space="preserve"> are present in the Azure </w:t>
            </w:r>
            <w:r w:rsidR="007F5153">
              <w:t>A</w:t>
            </w:r>
            <w:r w:rsidR="00444C79">
              <w:t>ctive Directory</w:t>
            </w:r>
            <w:r w:rsidRPr="005729DB">
              <w:t xml:space="preserve"> App Gallery</w:t>
            </w:r>
            <w:r w:rsidR="007E74AE">
              <w:t>.</w:t>
            </w:r>
          </w:p>
        </w:tc>
      </w:tr>
    </w:tbl>
    <w:p w14:paraId="47E246AD" w14:textId="77777777" w:rsidR="00D8456D" w:rsidRDefault="00884E0D" w:rsidP="00C84DD9">
      <w:pPr>
        <w:pStyle w:val="Heading3"/>
      </w:pPr>
      <w:r>
        <w:t xml:space="preserve">Software products and </w:t>
      </w:r>
      <w:r w:rsidR="004B0557">
        <w:t>technologies</w:t>
      </w:r>
      <w:bookmarkEnd w:id="18"/>
    </w:p>
    <w:p w14:paraId="70B62417" w14:textId="123B17D0" w:rsidR="00D8456D" w:rsidRDefault="008F05A6" w:rsidP="00D8456D"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 xml:space="preserve">for </w:t>
      </w:r>
      <w:r w:rsidR="002C6A9C">
        <w:t xml:space="preserve">the </w:t>
      </w:r>
      <w:r w:rsidR="0001741F">
        <w:t>project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87"/>
      </w:tblGrid>
      <w:tr w:rsidR="00452159" w:rsidRPr="00390A88" w14:paraId="334D2050" w14:textId="77777777" w:rsidTr="00A80D68">
        <w:trPr>
          <w:trHeight w:val="364"/>
          <w:tblHeader/>
        </w:trPr>
        <w:tc>
          <w:tcPr>
            <w:tcW w:w="5582" w:type="dxa"/>
            <w:shd w:val="clear" w:color="auto" w:fill="008272"/>
          </w:tcPr>
          <w:p w14:paraId="1693874F" w14:textId="77777777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890" w:type="dxa"/>
            <w:shd w:val="clear" w:color="auto" w:fill="008272"/>
          </w:tcPr>
          <w:p w14:paraId="34BAAC67" w14:textId="77777777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87" w:type="dxa"/>
            <w:shd w:val="clear" w:color="auto" w:fill="008272"/>
          </w:tcPr>
          <w:p w14:paraId="7874C8ED" w14:textId="77777777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452159" w14:paraId="560E29B9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30DD6C6A" w14:textId="29C23D9F" w:rsidR="00452159" w:rsidRPr="005F3BAF" w:rsidRDefault="005162DE" w:rsidP="00117AE2">
            <w:pPr>
              <w:pStyle w:val="TableText"/>
            </w:pPr>
            <w:r>
              <w:t xml:space="preserve">Windows </w:t>
            </w:r>
            <w:r w:rsidR="00AB4AF1">
              <w:t xml:space="preserve">Server </w:t>
            </w:r>
            <w:r>
              <w:t>Active Directory</w:t>
            </w:r>
            <w:r w:rsidR="0040645F">
              <w:t xml:space="preserve"> </w:t>
            </w:r>
            <w:r w:rsidR="00AB4AF1">
              <w:t xml:space="preserve">Domain </w:t>
            </w:r>
            <w:r w:rsidR="0040645F">
              <w:t>Services</w:t>
            </w:r>
          </w:p>
        </w:tc>
        <w:tc>
          <w:tcPr>
            <w:tcW w:w="1890" w:type="dxa"/>
            <w:shd w:val="clear" w:color="auto" w:fill="auto"/>
          </w:tcPr>
          <w:p w14:paraId="3994DFB2" w14:textId="1439FD59" w:rsidR="00452159" w:rsidRDefault="00984906" w:rsidP="00F17C19">
            <w:pPr>
              <w:pStyle w:val="TableText"/>
            </w:pPr>
            <w:r>
              <w:t>2008</w:t>
            </w:r>
            <w:r w:rsidR="00ED5F66">
              <w:t>–</w:t>
            </w:r>
            <w:r>
              <w:t>2016</w:t>
            </w:r>
          </w:p>
        </w:tc>
        <w:tc>
          <w:tcPr>
            <w:tcW w:w="1887" w:type="dxa"/>
            <w:shd w:val="clear" w:color="auto" w:fill="auto"/>
          </w:tcPr>
          <w:p w14:paraId="1F568A8E" w14:textId="43077A9C" w:rsidR="00452159" w:rsidRDefault="00984906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  <w:tr w:rsidR="00452159" w:rsidRPr="005F3BAF" w14:paraId="19BF65DD" w14:textId="77777777" w:rsidTr="00A80D68">
        <w:trPr>
          <w:trHeight w:val="432"/>
        </w:trPr>
        <w:tc>
          <w:tcPr>
            <w:tcW w:w="5582" w:type="dxa"/>
            <w:shd w:val="clear" w:color="auto" w:fill="auto"/>
          </w:tcPr>
          <w:p w14:paraId="78638AA0" w14:textId="3A7873A0" w:rsidR="00452159" w:rsidRPr="005F3BAF" w:rsidRDefault="0040645F" w:rsidP="00117AE2">
            <w:pPr>
              <w:pStyle w:val="TableText"/>
            </w:pPr>
            <w:r>
              <w:t xml:space="preserve">Azure Active Directory </w:t>
            </w:r>
          </w:p>
        </w:tc>
        <w:tc>
          <w:tcPr>
            <w:tcW w:w="1890" w:type="dxa"/>
            <w:shd w:val="clear" w:color="auto" w:fill="auto"/>
          </w:tcPr>
          <w:p w14:paraId="1DCA15F6" w14:textId="10748D33" w:rsidR="00452159" w:rsidRPr="005F3BAF" w:rsidRDefault="001E1411" w:rsidP="00F17C19">
            <w:pPr>
              <w:pStyle w:val="TableText"/>
            </w:pPr>
            <w:r>
              <w:t>Basic or Premium</w:t>
            </w:r>
          </w:p>
        </w:tc>
        <w:tc>
          <w:tcPr>
            <w:tcW w:w="1887" w:type="dxa"/>
            <w:shd w:val="clear" w:color="auto" w:fill="auto"/>
          </w:tcPr>
          <w:p w14:paraId="6CB93F54" w14:textId="2B3819E4" w:rsidR="00452159" w:rsidRPr="005F3BAF" w:rsidRDefault="001E1411" w:rsidP="00F17C19">
            <w:pPr>
              <w:pStyle w:val="TableText"/>
            </w:pPr>
            <w:r>
              <w:t xml:space="preserve">Start of </w:t>
            </w:r>
            <w:r w:rsidR="001C2BCB">
              <w:t xml:space="preserve">the </w:t>
            </w:r>
            <w:r>
              <w:t>project</w:t>
            </w:r>
          </w:p>
        </w:tc>
      </w:tr>
    </w:tbl>
    <w:p w14:paraId="47550819" w14:textId="77777777" w:rsidR="002455C5" w:rsidRDefault="002455C5" w:rsidP="00C84DD9">
      <w:pPr>
        <w:pStyle w:val="Heading3"/>
      </w:pPr>
      <w:bookmarkStart w:id="19" w:name="_Toc476168027"/>
      <w:r>
        <w:t>Data migration</w:t>
      </w:r>
      <w:bookmarkEnd w:id="19"/>
    </w:p>
    <w:p w14:paraId="24247130" w14:textId="34D36DEB" w:rsidR="005322AA" w:rsidRPr="005322AA" w:rsidRDefault="005322AA" w:rsidP="005322AA">
      <w:r>
        <w:t xml:space="preserve">Data </w:t>
      </w:r>
      <w:r w:rsidR="001C2BCB">
        <w:t xml:space="preserve">migration </w:t>
      </w:r>
      <w:r>
        <w:t>is not in scope for this S</w:t>
      </w:r>
      <w:r w:rsidR="00CA0394">
        <w:t>OW</w:t>
      </w:r>
      <w:r>
        <w:t>.</w:t>
      </w:r>
    </w:p>
    <w:p w14:paraId="25170A91" w14:textId="77777777" w:rsidR="00D0227D" w:rsidRDefault="00D0227D" w:rsidP="00C84DD9">
      <w:pPr>
        <w:pStyle w:val="Heading3"/>
      </w:pPr>
      <w:bookmarkStart w:id="20" w:name="_Toc476168028"/>
      <w:r>
        <w:t>System integration</w:t>
      </w:r>
      <w:bookmarkEnd w:id="20"/>
    </w:p>
    <w:p w14:paraId="2D8655A1" w14:textId="7E0982A6" w:rsidR="00D0227D" w:rsidRPr="00DB3CDA" w:rsidRDefault="00D0227D" w:rsidP="00EA26FD">
      <w:r w:rsidRPr="00DB3CDA">
        <w:t xml:space="preserve">The following </w:t>
      </w:r>
      <w:r w:rsidR="00A04E44" w:rsidRPr="00DB3CDA">
        <w:t xml:space="preserve">system integration </w:t>
      </w:r>
      <w:r w:rsidR="00F445FA">
        <w:t>is</w:t>
      </w:r>
      <w:r w:rsidR="00F445FA" w:rsidRPr="00DB3CDA">
        <w:t xml:space="preserve"> </w:t>
      </w:r>
      <w:r w:rsidRPr="00DB3CDA">
        <w:t>in scope for the project</w:t>
      </w:r>
      <w:r w:rsidR="00895AD2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2"/>
        <w:gridCol w:w="3753"/>
        <w:gridCol w:w="1887"/>
        <w:gridCol w:w="15"/>
        <w:gridCol w:w="1902"/>
      </w:tblGrid>
      <w:tr w:rsidR="00A04E44" w:rsidRPr="00B529E3" w14:paraId="6CE0260A" w14:textId="77777777" w:rsidTr="000A5694">
        <w:trPr>
          <w:trHeight w:val="360"/>
          <w:tblHeader/>
        </w:trPr>
        <w:tc>
          <w:tcPr>
            <w:tcW w:w="1802" w:type="dxa"/>
            <w:shd w:val="clear" w:color="auto" w:fill="008272"/>
            <w:vAlign w:val="center"/>
          </w:tcPr>
          <w:p w14:paraId="158FD809" w14:textId="77777777" w:rsidR="00A04E44" w:rsidRPr="005729DB" w:rsidRDefault="0015119E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Integration</w:t>
            </w:r>
          </w:p>
        </w:tc>
        <w:tc>
          <w:tcPr>
            <w:tcW w:w="3753" w:type="dxa"/>
            <w:shd w:val="clear" w:color="auto" w:fill="008272"/>
            <w:vAlign w:val="center"/>
          </w:tcPr>
          <w:p w14:paraId="4A5F7CE1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 of scope</w:t>
            </w:r>
          </w:p>
        </w:tc>
        <w:tc>
          <w:tcPr>
            <w:tcW w:w="1902" w:type="dxa"/>
            <w:gridSpan w:val="2"/>
            <w:shd w:val="clear" w:color="auto" w:fill="008272"/>
            <w:vAlign w:val="center"/>
          </w:tcPr>
          <w:p w14:paraId="4C4692A3" w14:textId="77777777" w:rsidR="00A04E44" w:rsidRPr="005729DB" w:rsidRDefault="00D274FF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Responsibility 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4A745B52" w14:textId="77777777" w:rsidR="00A04E44" w:rsidRPr="005729DB" w:rsidRDefault="00A04E44" w:rsidP="00B5324B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Re</w:t>
            </w:r>
            <w:r w:rsidR="00D274FF" w:rsidRPr="005729DB">
              <w:rPr>
                <w:rFonts w:cs="Segoe UI"/>
              </w:rPr>
              <w:t>ady by</w:t>
            </w:r>
          </w:p>
        </w:tc>
      </w:tr>
      <w:tr w:rsidR="009E3D20" w:rsidRPr="00B529E3" w14:paraId="26B613F8" w14:textId="77777777" w:rsidTr="002702C8">
        <w:trPr>
          <w:trHeight w:val="432"/>
        </w:trPr>
        <w:tc>
          <w:tcPr>
            <w:tcW w:w="1802" w:type="dxa"/>
            <w:shd w:val="clear" w:color="auto" w:fill="auto"/>
          </w:tcPr>
          <w:p w14:paraId="6F8B2CB0" w14:textId="29F0F91D" w:rsidR="009E3D20" w:rsidRPr="005729DB" w:rsidRDefault="009E3D20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Applications</w:t>
            </w:r>
          </w:p>
        </w:tc>
        <w:tc>
          <w:tcPr>
            <w:tcW w:w="3753" w:type="dxa"/>
            <w:shd w:val="clear" w:color="auto" w:fill="auto"/>
          </w:tcPr>
          <w:p w14:paraId="493E5CBD" w14:textId="323E10A4" w:rsidR="009E3D20" w:rsidRPr="005729DB" w:rsidRDefault="009E3D20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Up to 3 applications will be integrated with Azure Active Directory </w:t>
            </w:r>
            <w:r w:rsidR="00E4671A">
              <w:rPr>
                <w:rFonts w:cs="Segoe UI"/>
              </w:rPr>
              <w:t>to enable</w:t>
            </w:r>
            <w:r w:rsidRPr="005729DB">
              <w:rPr>
                <w:rFonts w:cs="Segoe UI"/>
              </w:rPr>
              <w:t xml:space="preserve"> </w:t>
            </w:r>
            <w:r w:rsidR="00A34536">
              <w:rPr>
                <w:rFonts w:cs="Segoe UI"/>
              </w:rPr>
              <w:t>s</w:t>
            </w:r>
            <w:r w:rsidRPr="005729DB">
              <w:rPr>
                <w:rFonts w:cs="Segoe UI"/>
              </w:rPr>
              <w:t xml:space="preserve">ingle </w:t>
            </w:r>
            <w:r w:rsidR="00A34536">
              <w:rPr>
                <w:rFonts w:cs="Segoe UI"/>
              </w:rPr>
              <w:t>s</w:t>
            </w:r>
            <w:r w:rsidRPr="005729DB">
              <w:rPr>
                <w:rFonts w:cs="Segoe UI"/>
              </w:rPr>
              <w:t>ign</w:t>
            </w:r>
            <w:r w:rsidR="00727052">
              <w:rPr>
                <w:rFonts w:cs="Segoe UI"/>
              </w:rPr>
              <w:t>-</w:t>
            </w:r>
            <w:r w:rsidR="00A34536">
              <w:rPr>
                <w:rFonts w:cs="Segoe UI"/>
              </w:rPr>
              <w:t>o</w:t>
            </w:r>
            <w:r w:rsidRPr="005729DB">
              <w:rPr>
                <w:rFonts w:cs="Segoe UI"/>
              </w:rPr>
              <w:t>n</w:t>
            </w:r>
            <w:r w:rsidR="00130877">
              <w:rPr>
                <w:rFonts w:cs="Segoe UI"/>
              </w:rPr>
              <w:t>.</w:t>
            </w:r>
          </w:p>
        </w:tc>
        <w:tc>
          <w:tcPr>
            <w:tcW w:w="1887" w:type="dxa"/>
            <w:shd w:val="clear" w:color="auto" w:fill="auto"/>
          </w:tcPr>
          <w:p w14:paraId="7878A1CA" w14:textId="693DDC9E" w:rsidR="009E3D20" w:rsidRPr="005729DB" w:rsidRDefault="00D140D4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Microsoft with Customer </w:t>
            </w:r>
            <w:r w:rsidR="00A910DF">
              <w:rPr>
                <w:rFonts w:cs="Segoe UI"/>
              </w:rPr>
              <w:t>s</w:t>
            </w:r>
            <w:r w:rsidR="00A910DF" w:rsidRPr="005729DB">
              <w:rPr>
                <w:rFonts w:cs="Segoe UI"/>
              </w:rPr>
              <w:t>upport</w:t>
            </w:r>
          </w:p>
        </w:tc>
        <w:tc>
          <w:tcPr>
            <w:tcW w:w="1917" w:type="dxa"/>
            <w:gridSpan w:val="2"/>
            <w:shd w:val="clear" w:color="auto" w:fill="auto"/>
          </w:tcPr>
          <w:p w14:paraId="46E3A823" w14:textId="0A2A850B" w:rsidR="009E3D20" w:rsidRPr="005729DB" w:rsidRDefault="007E11C3" w:rsidP="00117AE2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 xml:space="preserve">Start of </w:t>
            </w:r>
            <w:r w:rsidR="001C2BCB">
              <w:rPr>
                <w:rFonts w:cs="Segoe UI"/>
              </w:rPr>
              <w:t xml:space="preserve">the </w:t>
            </w:r>
            <w:r w:rsidRPr="005729DB">
              <w:rPr>
                <w:rFonts w:cs="Segoe UI"/>
              </w:rPr>
              <w:t xml:space="preserve">Enable </w:t>
            </w:r>
            <w:r w:rsidR="00542264">
              <w:rPr>
                <w:rFonts w:cs="Segoe UI"/>
              </w:rPr>
              <w:t>phase</w:t>
            </w:r>
          </w:p>
        </w:tc>
      </w:tr>
    </w:tbl>
    <w:p w14:paraId="6D7F6BF9" w14:textId="77777777" w:rsidR="004230B2" w:rsidRDefault="004230B2" w:rsidP="00C84DD9">
      <w:pPr>
        <w:pStyle w:val="Heading3"/>
      </w:pPr>
      <w:bookmarkStart w:id="21" w:name="_Toc476168029"/>
      <w:r>
        <w:t>Environments</w:t>
      </w:r>
      <w:bookmarkEnd w:id="21"/>
    </w:p>
    <w:p w14:paraId="5299AC1C" w14:textId="77777777" w:rsidR="004230B2" w:rsidRPr="00DB3CDA" w:rsidRDefault="004230B2" w:rsidP="00EA26FD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2160"/>
        <w:gridCol w:w="1710"/>
        <w:gridCol w:w="3260"/>
      </w:tblGrid>
      <w:tr w:rsidR="004230B2" w:rsidRPr="00DB3CDA" w14:paraId="7F4211B2" w14:textId="77777777" w:rsidTr="005729DB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C6CA083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60" w:type="dxa"/>
            <w:shd w:val="clear" w:color="auto" w:fill="008272"/>
          </w:tcPr>
          <w:p w14:paraId="1E56A279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1710" w:type="dxa"/>
            <w:shd w:val="clear" w:color="auto" w:fill="008272"/>
          </w:tcPr>
          <w:p w14:paraId="7CA3D08C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3260" w:type="dxa"/>
            <w:shd w:val="clear" w:color="auto" w:fill="008272"/>
          </w:tcPr>
          <w:p w14:paraId="33848DD6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4230B2" w:rsidRPr="00DB3CDA" w14:paraId="34AA02EE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24ADDA65" w14:textId="77777777" w:rsidR="004230B2" w:rsidRPr="00D43C23" w:rsidRDefault="004230B2" w:rsidP="00D43C23">
            <w:pPr>
              <w:pStyle w:val="TableText"/>
            </w:pPr>
            <w:r w:rsidRPr="00D43C23">
              <w:t>Development</w:t>
            </w:r>
          </w:p>
        </w:tc>
        <w:tc>
          <w:tcPr>
            <w:tcW w:w="2160" w:type="dxa"/>
            <w:shd w:val="clear" w:color="auto" w:fill="auto"/>
          </w:tcPr>
          <w:p w14:paraId="3CA00A91" w14:textId="17B1D0FE" w:rsidR="004230B2" w:rsidRPr="00A80D68" w:rsidRDefault="00537AF1" w:rsidP="00D43C23">
            <w:pPr>
              <w:pStyle w:val="TableText"/>
            </w:pPr>
            <w:r w:rsidRPr="00A80D68">
              <w:t xml:space="preserve">Customer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62C22727" w14:textId="261E9814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4D64F223" w14:textId="278BE50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4230B2" w:rsidRPr="00DB3CDA" w14:paraId="09B0BCC9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793F329C" w14:textId="77777777" w:rsidR="004230B2" w:rsidRPr="00D43C23" w:rsidRDefault="004230B2" w:rsidP="00D43C23">
            <w:pPr>
              <w:pStyle w:val="TableText"/>
            </w:pPr>
            <w:r w:rsidRPr="00D43C23">
              <w:t>Test</w:t>
            </w:r>
          </w:p>
        </w:tc>
        <w:tc>
          <w:tcPr>
            <w:tcW w:w="2160" w:type="dxa"/>
            <w:shd w:val="clear" w:color="auto" w:fill="auto"/>
          </w:tcPr>
          <w:p w14:paraId="088575D3" w14:textId="5546E4F2" w:rsidR="004230B2" w:rsidRPr="00A80D68" w:rsidRDefault="0007464A" w:rsidP="00D43C23">
            <w:pPr>
              <w:pStyle w:val="TableText"/>
            </w:pPr>
            <w:r w:rsidRPr="00A80D68">
              <w:t>Customer</w:t>
            </w:r>
            <w:r w:rsidR="00537AF1" w:rsidRPr="00A80D68">
              <w:t xml:space="preserve"> </w:t>
            </w:r>
            <w:r w:rsidR="00E96C03" w:rsidRPr="00A80D68">
              <w:t>facility</w:t>
            </w:r>
          </w:p>
        </w:tc>
        <w:tc>
          <w:tcPr>
            <w:tcW w:w="1710" w:type="dxa"/>
            <w:shd w:val="clear" w:color="auto" w:fill="auto"/>
          </w:tcPr>
          <w:p w14:paraId="0305C98B" w14:textId="1791B2BF" w:rsidR="004230B2" w:rsidRPr="00A80D68" w:rsidRDefault="00537AF1" w:rsidP="00D43C23">
            <w:pPr>
              <w:pStyle w:val="TableText"/>
            </w:pPr>
            <w:r w:rsidRPr="00A80D68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117B38" w14:textId="6287033D" w:rsidR="004230B2" w:rsidRPr="00A80D68" w:rsidRDefault="00A31FF7" w:rsidP="00D43C23">
            <w:pPr>
              <w:pStyle w:val="TableText"/>
            </w:pPr>
            <w:r w:rsidRPr="00A80D68">
              <w:t xml:space="preserve">Start of Remediate </w:t>
            </w:r>
            <w:r w:rsidR="00E96C03" w:rsidRPr="00A80D68">
              <w:t>phase</w:t>
            </w:r>
          </w:p>
        </w:tc>
      </w:tr>
      <w:tr w:rsidR="003A58A8" w:rsidRPr="00DB3CDA" w14:paraId="2C024241" w14:textId="77777777" w:rsidTr="005729DB">
        <w:trPr>
          <w:trHeight w:val="437"/>
        </w:trPr>
        <w:tc>
          <w:tcPr>
            <w:tcW w:w="2162" w:type="dxa"/>
            <w:shd w:val="clear" w:color="auto" w:fill="auto"/>
          </w:tcPr>
          <w:p w14:paraId="48FC91F2" w14:textId="77777777" w:rsidR="003A58A8" w:rsidRPr="00BF27F7" w:rsidRDefault="003A58A8" w:rsidP="00D43C23">
            <w:pPr>
              <w:pStyle w:val="TableText"/>
            </w:pPr>
            <w:r w:rsidRPr="00BF27F7">
              <w:t>Production</w:t>
            </w:r>
          </w:p>
        </w:tc>
        <w:tc>
          <w:tcPr>
            <w:tcW w:w="2160" w:type="dxa"/>
            <w:shd w:val="clear" w:color="auto" w:fill="auto"/>
          </w:tcPr>
          <w:p w14:paraId="1C77C237" w14:textId="7173809B" w:rsidR="003A58A8" w:rsidRPr="00BF27F7" w:rsidRDefault="00104F35" w:rsidP="00D43C23">
            <w:pPr>
              <w:pStyle w:val="TableText"/>
            </w:pPr>
            <w:r w:rsidRPr="00BF27F7">
              <w:t>Customer</w:t>
            </w:r>
            <w:r w:rsidR="00CD6E63">
              <w:t>/Azure</w:t>
            </w:r>
          </w:p>
        </w:tc>
        <w:tc>
          <w:tcPr>
            <w:tcW w:w="1710" w:type="dxa"/>
            <w:shd w:val="clear" w:color="auto" w:fill="auto"/>
          </w:tcPr>
          <w:p w14:paraId="39626E87" w14:textId="77777777" w:rsidR="003A58A8" w:rsidRPr="00BF27F7" w:rsidRDefault="003A58A8" w:rsidP="00D43C23">
            <w:pPr>
              <w:pStyle w:val="TableText"/>
            </w:pPr>
            <w:r w:rsidRPr="00BF27F7">
              <w:t>Customer</w:t>
            </w:r>
          </w:p>
        </w:tc>
        <w:tc>
          <w:tcPr>
            <w:tcW w:w="3260" w:type="dxa"/>
            <w:shd w:val="clear" w:color="auto" w:fill="auto"/>
          </w:tcPr>
          <w:p w14:paraId="103713E0" w14:textId="35739BDD" w:rsidR="003A58A8" w:rsidRPr="00BF27F7" w:rsidRDefault="0007464A" w:rsidP="00D43C23">
            <w:pPr>
              <w:pStyle w:val="TableText"/>
            </w:pPr>
            <w:r w:rsidRPr="00BF27F7">
              <w:t xml:space="preserve">Start of </w:t>
            </w:r>
            <w:r w:rsidR="00A31FF7" w:rsidRPr="00BF27F7">
              <w:t>Remediate</w:t>
            </w:r>
            <w:r w:rsidRPr="00BF27F7">
              <w:t xml:space="preserve"> </w:t>
            </w:r>
            <w:r w:rsidR="007F5153" w:rsidRPr="00BF27F7">
              <w:t>phase</w:t>
            </w:r>
          </w:p>
        </w:tc>
      </w:tr>
    </w:tbl>
    <w:p w14:paraId="6DB49532" w14:textId="77777777" w:rsidR="00D812F8" w:rsidRDefault="00D812F8" w:rsidP="00C84DD9">
      <w:pPr>
        <w:pStyle w:val="Heading3"/>
      </w:pPr>
      <w:bookmarkStart w:id="22" w:name="_Toc476168030"/>
      <w:bookmarkStart w:id="23" w:name="_Ref477932815"/>
      <w:r>
        <w:lastRenderedPageBreak/>
        <w:t>Testing</w:t>
      </w:r>
      <w:r w:rsidR="008C6B1A">
        <w:t xml:space="preserve"> and defect remediation</w:t>
      </w:r>
      <w:bookmarkEnd w:id="22"/>
      <w:bookmarkEnd w:id="23"/>
    </w:p>
    <w:p w14:paraId="1B4A137D" w14:textId="77777777" w:rsidR="00DB3CDA" w:rsidRPr="00C313CC" w:rsidRDefault="00DB3CDA" w:rsidP="00AA09CF">
      <w:pPr>
        <w:pStyle w:val="Heading4"/>
      </w:pPr>
      <w:r w:rsidRPr="00C313CC">
        <w:t>Testing</w:t>
      </w:r>
    </w:p>
    <w:p w14:paraId="03DA5D02" w14:textId="4F064FC3" w:rsidR="00FA3D21" w:rsidRPr="003E7B6A" w:rsidRDefault="00FA3D21" w:rsidP="00FF4E50"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 w:rsidRPr="00236678">
        <w:rPr>
          <w:rStyle w:val="OptionalChar"/>
        </w:rPr>
        <w:t>.</w:t>
      </w:r>
      <w:r w:rsidR="006001F3">
        <w:t xml:space="preserve">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09B2AE28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B2ECAD9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7D28DEB7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23F5044C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7BA1C5D4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26CFE024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0FD693FB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35F7C1ED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7CD76E58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FB13095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40645F" w:rsidRPr="00713392" w14:paraId="56F361E9" w14:textId="77777777" w:rsidTr="00A71046">
        <w:tblPrEx>
          <w:tblBorders>
            <w:top w:val="single" w:sz="2" w:space="0" w:color="7F7F7F"/>
            <w:left w:val="single" w:sz="2" w:space="0" w:color="7F7F7F"/>
            <w:bottom w:val="single" w:sz="2" w:space="0" w:color="7F7F7F"/>
            <w:right w:val="single" w:sz="2" w:space="0" w:color="7F7F7F"/>
            <w:insideH w:val="single" w:sz="2" w:space="0" w:color="7F7F7F"/>
            <w:insideV w:val="single" w:sz="2" w:space="0" w:color="7F7F7F"/>
          </w:tblBorders>
        </w:tblPrEx>
        <w:trPr>
          <w:trHeight w:val="362"/>
        </w:trPr>
        <w:tc>
          <w:tcPr>
            <w:tcW w:w="1802" w:type="dxa"/>
            <w:shd w:val="clear" w:color="auto" w:fill="auto"/>
          </w:tcPr>
          <w:p w14:paraId="082F400B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Validation testing (production)</w:t>
            </w:r>
          </w:p>
        </w:tc>
        <w:tc>
          <w:tcPr>
            <w:tcW w:w="3690" w:type="dxa"/>
            <w:shd w:val="clear" w:color="auto" w:fill="auto"/>
          </w:tcPr>
          <w:p w14:paraId="17B89A60" w14:textId="68B5D77B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Test cases will be </w:t>
            </w:r>
            <w:r w:rsidR="00542F2D">
              <w:rPr>
                <w:rFonts w:eastAsia="Calibri"/>
                <w:szCs w:val="20"/>
              </w:rPr>
              <w:t>run</w:t>
            </w:r>
            <w:r w:rsidR="00542F2D" w:rsidRPr="5BB43366">
              <w:rPr>
                <w:rFonts w:eastAsia="Calibri"/>
                <w:szCs w:val="20"/>
              </w:rPr>
              <w:t xml:space="preserve"> </w:t>
            </w:r>
            <w:r w:rsidRPr="5BB43366">
              <w:rPr>
                <w:rFonts w:eastAsia="Calibri"/>
                <w:szCs w:val="20"/>
              </w:rPr>
              <w:t>in the production environment to validate that the implemented solution is functioning as designed.</w:t>
            </w:r>
          </w:p>
        </w:tc>
        <w:tc>
          <w:tcPr>
            <w:tcW w:w="1300" w:type="dxa"/>
            <w:shd w:val="clear" w:color="auto" w:fill="auto"/>
          </w:tcPr>
          <w:p w14:paraId="20070714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48A75891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Microsoft</w:t>
            </w:r>
          </w:p>
        </w:tc>
        <w:tc>
          <w:tcPr>
            <w:tcW w:w="1300" w:type="dxa"/>
            <w:shd w:val="clear" w:color="auto" w:fill="auto"/>
          </w:tcPr>
          <w:p w14:paraId="56FD8565" w14:textId="77777777" w:rsidR="0040645F" w:rsidRPr="00713392" w:rsidRDefault="0040645F" w:rsidP="00B001C8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>Customer</w:t>
            </w:r>
          </w:p>
        </w:tc>
      </w:tr>
    </w:tbl>
    <w:p w14:paraId="520008E7" w14:textId="77777777" w:rsidR="003E7B6A" w:rsidRPr="004F4BCE" w:rsidRDefault="008C6B1A" w:rsidP="00AA09CF">
      <w:pPr>
        <w:pStyle w:val="Heading4"/>
      </w:pPr>
      <w:r w:rsidRPr="004F4BCE">
        <w:t>Defect remediation</w:t>
      </w:r>
    </w:p>
    <w:p w14:paraId="666256EA" w14:textId="77777777" w:rsidR="008C6B1A" w:rsidRDefault="00A6780F" w:rsidP="003E7B6A">
      <w:r>
        <w:t>If</w:t>
      </w:r>
      <w:r w:rsidR="008C6B1A">
        <w:t xml:space="preserve"> defects are identified during testing, the priority of the item will be jointly agreed</w:t>
      </w:r>
      <w:r w:rsidR="00843775">
        <w:t xml:space="preserve"> upon</w:t>
      </w:r>
      <w:r w:rsidR="008C6B1A">
        <w:t xml:space="preserve"> </w:t>
      </w:r>
      <w:r w:rsidR="00843775">
        <w:t xml:space="preserve">by </w:t>
      </w:r>
      <w:r w:rsidR="0030297C">
        <w:t xml:space="preserve">the </w:t>
      </w:r>
      <w:r>
        <w:t>C</w:t>
      </w:r>
      <w:r w:rsidR="008C6B1A">
        <w:t>ustomer and Microsoft. Defect</w:t>
      </w:r>
      <w:r w:rsidR="00140C9E">
        <w:t xml:space="preserve"> prioritization is </w:t>
      </w:r>
      <w:r w:rsidR="008C6B1A">
        <w:t>defined in the following table</w:t>
      </w:r>
      <w:r w:rsidR="00D429F9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82"/>
        <w:gridCol w:w="5040"/>
        <w:gridCol w:w="3237"/>
      </w:tblGrid>
      <w:tr w:rsidR="000D4E93" w:rsidRPr="00390A88" w14:paraId="4648448A" w14:textId="77777777" w:rsidTr="00057271">
        <w:trPr>
          <w:trHeight w:val="508"/>
          <w:tblHeader/>
        </w:trPr>
        <w:tc>
          <w:tcPr>
            <w:tcW w:w="1082" w:type="dxa"/>
            <w:shd w:val="clear" w:color="auto" w:fill="008272"/>
          </w:tcPr>
          <w:p w14:paraId="65AD3668" w14:textId="77777777" w:rsidR="000D4E93" w:rsidRPr="004B0557" w:rsidRDefault="000D4E93" w:rsidP="00B44F57">
            <w:pPr>
              <w:pStyle w:val="Table-Header"/>
            </w:pPr>
            <w:r>
              <w:t>Priority</w:t>
            </w:r>
          </w:p>
        </w:tc>
        <w:tc>
          <w:tcPr>
            <w:tcW w:w="5040" w:type="dxa"/>
            <w:shd w:val="clear" w:color="auto" w:fill="008272"/>
          </w:tcPr>
          <w:p w14:paraId="410D2719" w14:textId="77777777" w:rsidR="000D4E93" w:rsidRPr="004B0557" w:rsidRDefault="000D4E93" w:rsidP="00B44F57">
            <w:pPr>
              <w:pStyle w:val="Table-Header"/>
            </w:pPr>
            <w:r>
              <w:t>Description</w:t>
            </w:r>
          </w:p>
        </w:tc>
        <w:tc>
          <w:tcPr>
            <w:tcW w:w="3237" w:type="dxa"/>
            <w:shd w:val="clear" w:color="auto" w:fill="008272"/>
          </w:tcPr>
          <w:p w14:paraId="30A1B277" w14:textId="77777777" w:rsidR="000D4E93" w:rsidRDefault="000D4E93" w:rsidP="00B44F57">
            <w:pPr>
              <w:pStyle w:val="Table-Header"/>
            </w:pPr>
            <w:r>
              <w:t>Remediation in scope?</w:t>
            </w:r>
          </w:p>
        </w:tc>
      </w:tr>
      <w:tr w:rsidR="000D4E93" w14:paraId="6054C149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5D7A3CA5" w14:textId="77777777" w:rsidR="000D4E93" w:rsidRPr="005F3BAF" w:rsidRDefault="000D4E93" w:rsidP="00117AE2">
            <w:pPr>
              <w:pStyle w:val="TableText"/>
            </w:pPr>
            <w:r>
              <w:t>P1</w:t>
            </w:r>
          </w:p>
        </w:tc>
        <w:tc>
          <w:tcPr>
            <w:tcW w:w="5040" w:type="dxa"/>
            <w:shd w:val="clear" w:color="auto" w:fill="auto"/>
          </w:tcPr>
          <w:p w14:paraId="35756FF7" w14:textId="2861E56B" w:rsidR="000D4E93" w:rsidRDefault="00D17C12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cs="Segoe UI"/>
                <w:b/>
                <w:szCs w:val="20"/>
              </w:rPr>
              <w:t xml:space="preserve">Blocking </w:t>
            </w:r>
            <w:r w:rsidR="000D4E93">
              <w:rPr>
                <w:rFonts w:cs="Segoe UI"/>
                <w:b/>
                <w:szCs w:val="20"/>
              </w:rPr>
              <w:t>defect</w:t>
            </w:r>
            <w:r w:rsidR="000D4E93" w:rsidRPr="000D4E93">
              <w:rPr>
                <w:rFonts w:cs="Segoe UI"/>
                <w:szCs w:val="20"/>
              </w:rPr>
              <w:t xml:space="preserve"> </w:t>
            </w:r>
            <w:r w:rsidR="00117AE2">
              <w:rPr>
                <w:rFonts w:cs="Segoe UI"/>
                <w:szCs w:val="20"/>
              </w:rPr>
              <w:br/>
            </w:r>
            <w:r w:rsidR="000D4E93" w:rsidRPr="000D4E93">
              <w:rPr>
                <w:rFonts w:cs="Segoe UI"/>
                <w:szCs w:val="20"/>
              </w:rPr>
              <w:t>Development, testing, or production launch cannot procee</w:t>
            </w:r>
            <w:r w:rsidR="000D4E93">
              <w:rPr>
                <w:rFonts w:cs="Segoe UI"/>
                <w:szCs w:val="20"/>
              </w:rPr>
              <w:t xml:space="preserve">d until </w:t>
            </w:r>
            <w:r w:rsidR="00062D61">
              <w:rPr>
                <w:rFonts w:cs="Segoe UI"/>
                <w:szCs w:val="20"/>
              </w:rPr>
              <w:t xml:space="preserve">this type of </w:t>
            </w:r>
            <w:r w:rsidR="000D4E93">
              <w:rPr>
                <w:rFonts w:cs="Segoe UI"/>
                <w:szCs w:val="20"/>
              </w:rPr>
              <w:t xml:space="preserve">defect is corrected. </w:t>
            </w:r>
            <w:r w:rsidR="00062D61">
              <w:rPr>
                <w:rFonts w:cs="Segoe UI"/>
                <w:szCs w:val="20"/>
              </w:rPr>
              <w:t>A d</w:t>
            </w:r>
            <w:r w:rsidR="00062D61" w:rsidRPr="000D4E93">
              <w:rPr>
                <w:rFonts w:cs="Segoe UI"/>
                <w:szCs w:val="20"/>
              </w:rPr>
              <w:t xml:space="preserve">efect </w:t>
            </w:r>
            <w:r w:rsidR="00062D61">
              <w:rPr>
                <w:rFonts w:cs="Segoe UI"/>
                <w:szCs w:val="20"/>
              </w:rPr>
              <w:t xml:space="preserve">of this type </w:t>
            </w:r>
            <w:r w:rsidR="000D4E93" w:rsidRPr="000D4E93">
              <w:rPr>
                <w:rFonts w:cs="Segoe UI"/>
                <w:szCs w:val="20"/>
              </w:rPr>
              <w:t>block</w:t>
            </w:r>
            <w:r w:rsidR="00062D61">
              <w:rPr>
                <w:rFonts w:cs="Segoe UI"/>
                <w:szCs w:val="20"/>
              </w:rPr>
              <w:t>s</w:t>
            </w:r>
            <w:r w:rsidR="000D4E93" w:rsidRPr="000D4E93">
              <w:rPr>
                <w:rFonts w:cs="Segoe UI"/>
                <w:szCs w:val="20"/>
              </w:rPr>
              <w:t xml:space="preserve"> further progress in this area.</w:t>
            </w:r>
            <w:r w:rsidR="000D4E93">
              <w:rPr>
                <w:rFonts w:cs="Segoe UI"/>
                <w:szCs w:val="20"/>
              </w:rPr>
              <w:t xml:space="preserve"> </w:t>
            </w:r>
            <w:r w:rsidR="00062D61">
              <w:rPr>
                <w:rFonts w:cs="Segoe UI"/>
                <w:szCs w:val="20"/>
              </w:rPr>
              <w:t>The s</w:t>
            </w:r>
            <w:r w:rsidR="00062D61" w:rsidRPr="000D4E93">
              <w:rPr>
                <w:rFonts w:cs="Segoe UI"/>
                <w:szCs w:val="20"/>
              </w:rPr>
              <w:t xml:space="preserve">olution </w:t>
            </w:r>
            <w:r w:rsidR="000D4E93" w:rsidRPr="000D4E93">
              <w:rPr>
                <w:rFonts w:cs="Segoe UI"/>
                <w:szCs w:val="20"/>
              </w:rPr>
              <w:t xml:space="preserve">cannot </w:t>
            </w:r>
            <w:r w:rsidR="0068707D" w:rsidRPr="000D4E93">
              <w:rPr>
                <w:rFonts w:cs="Segoe UI"/>
                <w:szCs w:val="20"/>
              </w:rPr>
              <w:t>ship,</w:t>
            </w:r>
            <w:r w:rsidR="000D4E93" w:rsidRPr="000D4E93">
              <w:rPr>
                <w:rFonts w:cs="Segoe UI"/>
                <w:szCs w:val="20"/>
              </w:rPr>
              <w:t xml:space="preserve"> and the project team cannot achieve the next milestone</w:t>
            </w:r>
            <w:r w:rsidR="00062D61">
              <w:rPr>
                <w:rFonts w:cs="Segoe UI"/>
                <w:szCs w:val="20"/>
              </w:rPr>
              <w:t xml:space="preserve"> until such a defect is corrected.</w:t>
            </w:r>
          </w:p>
        </w:tc>
        <w:tc>
          <w:tcPr>
            <w:tcW w:w="3237" w:type="dxa"/>
            <w:shd w:val="clear" w:color="auto" w:fill="auto"/>
          </w:tcPr>
          <w:p w14:paraId="75553164" w14:textId="77777777" w:rsidR="000D4E93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41D2545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2E880661" w14:textId="77777777" w:rsidR="000D4E93" w:rsidRPr="005F3BAF" w:rsidRDefault="000D4E93" w:rsidP="00117AE2">
            <w:pPr>
              <w:pStyle w:val="TableText"/>
            </w:pPr>
            <w:r>
              <w:t>P2</w:t>
            </w:r>
          </w:p>
        </w:tc>
        <w:tc>
          <w:tcPr>
            <w:tcW w:w="5040" w:type="dxa"/>
            <w:shd w:val="clear" w:color="auto" w:fill="auto"/>
          </w:tcPr>
          <w:p w14:paraId="3369908E" w14:textId="77777777" w:rsidR="000D4E93" w:rsidRPr="005F3BAF" w:rsidRDefault="000D4E93" w:rsidP="00117AE2">
            <w:pPr>
              <w:pStyle w:val="TableText"/>
              <w:rPr>
                <w:rFonts w:ascii="Segoe UI Semilight" w:hAnsi="Segoe UI Semilight"/>
              </w:rPr>
            </w:pPr>
            <w:r w:rsidRPr="000D4E93">
              <w:rPr>
                <w:rFonts w:cs="Segoe UI"/>
                <w:b/>
                <w:szCs w:val="20"/>
              </w:rPr>
              <w:t>Significant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This type of d</w:t>
            </w:r>
            <w:r w:rsidR="00062D61" w:rsidRPr="00B8742D">
              <w:t xml:space="preserve">efect </w:t>
            </w:r>
            <w:r w:rsidRPr="00B8742D">
              <w:t>must be fixed prior to moving to production.</w:t>
            </w:r>
            <w:r>
              <w:t xml:space="preserve"> </w:t>
            </w:r>
            <w:r w:rsidR="00062D61">
              <w:t xml:space="preserve">Such a defect, however, will </w:t>
            </w:r>
            <w:r w:rsidRPr="00B8742D">
              <w:t xml:space="preserve">not affect test plan </w:t>
            </w:r>
            <w:r w:rsidR="00E40CE7">
              <w:t>implementation</w:t>
            </w:r>
            <w:r w:rsidR="000F230A">
              <w:t>.</w:t>
            </w:r>
          </w:p>
        </w:tc>
        <w:tc>
          <w:tcPr>
            <w:tcW w:w="3237" w:type="dxa"/>
            <w:shd w:val="clear" w:color="auto" w:fill="auto"/>
          </w:tcPr>
          <w:p w14:paraId="73DB5ED7" w14:textId="77777777" w:rsidR="000D4E93" w:rsidRPr="005F3BAF" w:rsidRDefault="000D4E93" w:rsidP="00117AE2">
            <w:pPr>
              <w:pStyle w:val="TableText"/>
            </w:pPr>
            <w:r>
              <w:t>Yes</w:t>
            </w:r>
          </w:p>
        </w:tc>
      </w:tr>
      <w:tr w:rsidR="000D4E93" w:rsidRPr="005F3BAF" w14:paraId="6F6DD298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3CFA7FB9" w14:textId="77777777" w:rsidR="000D4E93" w:rsidRDefault="000D4E93" w:rsidP="00117AE2">
            <w:pPr>
              <w:pStyle w:val="TableText"/>
            </w:pPr>
            <w:r>
              <w:t>P3</w:t>
            </w:r>
          </w:p>
        </w:tc>
        <w:tc>
          <w:tcPr>
            <w:tcW w:w="5040" w:type="dxa"/>
            <w:shd w:val="clear" w:color="auto" w:fill="auto"/>
          </w:tcPr>
          <w:p w14:paraId="7102A82F" w14:textId="77777777" w:rsidR="000D4E93" w:rsidRPr="000D4E93" w:rsidRDefault="000D4E93" w:rsidP="00117AE2">
            <w:pPr>
              <w:pStyle w:val="TableText"/>
            </w:pPr>
            <w:r>
              <w:rPr>
                <w:rFonts w:cs="Segoe UI"/>
                <w:b/>
                <w:szCs w:val="20"/>
              </w:rPr>
              <w:t>Important defect</w:t>
            </w:r>
            <w:r w:rsidR="00117AE2">
              <w:rPr>
                <w:rFonts w:cs="Segoe UI"/>
                <w:b/>
                <w:szCs w:val="20"/>
              </w:rPr>
              <w:br/>
            </w:r>
            <w:r w:rsidRPr="00B8742D">
              <w:t xml:space="preserve">It is important to correct </w:t>
            </w:r>
            <w:r w:rsidR="00062D61" w:rsidRPr="00B8742D">
              <w:t>th</w:t>
            </w:r>
            <w:r w:rsidR="00062D61">
              <w:t>is type of</w:t>
            </w:r>
            <w:r w:rsidR="00062D61" w:rsidRPr="00B8742D">
              <w:t xml:space="preserve"> </w:t>
            </w:r>
            <w:r w:rsidRPr="00B8742D">
              <w:t xml:space="preserve">defect. However, it is possible to move forward into production </w:t>
            </w:r>
            <w:proofErr w:type="gramStart"/>
            <w:r w:rsidR="00843775">
              <w:t>through the use of</w:t>
            </w:r>
            <w:proofErr w:type="gramEnd"/>
            <w:r w:rsidR="00062D61">
              <w:t xml:space="preserve"> </w:t>
            </w:r>
            <w:r w:rsidRPr="00B8742D">
              <w:t>a workaround.</w:t>
            </w:r>
          </w:p>
        </w:tc>
        <w:tc>
          <w:tcPr>
            <w:tcW w:w="3237" w:type="dxa"/>
            <w:shd w:val="clear" w:color="auto" w:fill="auto"/>
          </w:tcPr>
          <w:p w14:paraId="0DFAF3F6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Remediation </w:t>
            </w:r>
            <w:r w:rsidR="008D5EA5">
              <w:t xml:space="preserve">will be performed </w:t>
            </w:r>
            <w:r>
              <w:t>through</w:t>
            </w:r>
            <w:r w:rsidR="008D5EA5">
              <w:t xml:space="preserve"> an</w:t>
            </w:r>
            <w:r>
              <w:t xml:space="preserve"> agreed</w:t>
            </w:r>
            <w:r w:rsidR="008D5EA5">
              <w:t>-upon</w:t>
            </w:r>
            <w:r>
              <w:t xml:space="preserve"> change request</w:t>
            </w:r>
            <w:r w:rsidR="008D5EA5">
              <w:t xml:space="preserve"> only</w:t>
            </w:r>
            <w:r>
              <w:t>.</w:t>
            </w:r>
          </w:p>
        </w:tc>
      </w:tr>
      <w:tr w:rsidR="000D4E93" w:rsidRPr="005F3BAF" w14:paraId="21DE8A37" w14:textId="77777777" w:rsidTr="002702C8">
        <w:trPr>
          <w:trHeight w:val="432"/>
        </w:trPr>
        <w:tc>
          <w:tcPr>
            <w:tcW w:w="1082" w:type="dxa"/>
            <w:shd w:val="clear" w:color="auto" w:fill="auto"/>
          </w:tcPr>
          <w:p w14:paraId="63351431" w14:textId="77777777" w:rsidR="000D4E93" w:rsidRDefault="000D4E93" w:rsidP="00117AE2">
            <w:pPr>
              <w:pStyle w:val="TableText"/>
            </w:pPr>
            <w:r>
              <w:t>P4</w:t>
            </w:r>
          </w:p>
        </w:tc>
        <w:tc>
          <w:tcPr>
            <w:tcW w:w="5040" w:type="dxa"/>
            <w:shd w:val="clear" w:color="auto" w:fill="auto"/>
          </w:tcPr>
          <w:p w14:paraId="06548920" w14:textId="77777777" w:rsidR="000D4E93" w:rsidRPr="000D4E93" w:rsidRDefault="000D4E93" w:rsidP="00117AE2">
            <w:pPr>
              <w:pStyle w:val="TableText"/>
              <w:rPr>
                <w:b/>
              </w:rPr>
            </w:pPr>
            <w:r>
              <w:rPr>
                <w:rFonts w:cs="Segoe UI"/>
                <w:b/>
                <w:szCs w:val="20"/>
              </w:rPr>
              <w:t>Enhancements and low priority defects</w:t>
            </w:r>
            <w:r w:rsidR="00117AE2">
              <w:rPr>
                <w:rFonts w:cs="Segoe UI"/>
                <w:b/>
                <w:szCs w:val="20"/>
              </w:rPr>
              <w:br/>
            </w:r>
            <w:r w:rsidR="00062D61">
              <w:t>P4 de</w:t>
            </w:r>
            <w:r w:rsidR="00843775">
              <w:t>fects consist</w:t>
            </w:r>
            <w:r w:rsidR="00062D61">
              <w:t xml:space="preserve"> of f</w:t>
            </w:r>
            <w:r w:rsidR="00062D61" w:rsidRPr="00B8742D">
              <w:t xml:space="preserve">eature </w:t>
            </w:r>
            <w:r w:rsidRPr="00B8742D">
              <w:t xml:space="preserve">enhancement </w:t>
            </w:r>
            <w:r w:rsidR="00062D61">
              <w:t>and</w:t>
            </w:r>
            <w:r w:rsidR="00062D61" w:rsidRPr="00B8742D">
              <w:t xml:space="preserve"> </w:t>
            </w:r>
            <w:r w:rsidRPr="00B8742D">
              <w:t>cosmetic defects.</w:t>
            </w:r>
            <w:r>
              <w:t xml:space="preserve"> </w:t>
            </w:r>
            <w:r w:rsidR="00062D61">
              <w:t>These include d</w:t>
            </w:r>
            <w:r w:rsidR="00062D61" w:rsidRPr="00B8742D">
              <w:t>esign</w:t>
            </w:r>
            <w:r w:rsidR="00444CCA">
              <w:t xml:space="preserve"> requests </w:t>
            </w:r>
            <w:r w:rsidR="00062D61">
              <w:t>that var</w:t>
            </w:r>
            <w:r w:rsidR="00CE5743">
              <w:t>y</w:t>
            </w:r>
            <w:r w:rsidR="00062D61">
              <w:t xml:space="preserve"> from</w:t>
            </w:r>
            <w:r w:rsidR="00062D61" w:rsidRPr="00B8742D" w:rsidDel="00062D61">
              <w:t xml:space="preserve"> </w:t>
            </w:r>
            <w:r w:rsidRPr="00B8742D">
              <w:t>original concepts.</w:t>
            </w:r>
          </w:p>
        </w:tc>
        <w:tc>
          <w:tcPr>
            <w:tcW w:w="3237" w:type="dxa"/>
            <w:shd w:val="clear" w:color="auto" w:fill="auto"/>
          </w:tcPr>
          <w:p w14:paraId="741D449F" w14:textId="77777777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</w:t>
            </w:r>
            <w:r w:rsidR="00843775">
              <w:t>Remediation will be performed through an agreed-upon change request only.</w:t>
            </w:r>
          </w:p>
        </w:tc>
      </w:tr>
    </w:tbl>
    <w:p w14:paraId="26669845" w14:textId="77777777" w:rsidR="009D4EBC" w:rsidRDefault="004C2A6F" w:rsidP="00C84DD9">
      <w:pPr>
        <w:pStyle w:val="Heading2"/>
      </w:pPr>
      <w:bookmarkStart w:id="24" w:name="_Toc476167705"/>
      <w:bookmarkStart w:id="25" w:name="_Toc476168032"/>
      <w:bookmarkStart w:id="26" w:name="_Toc37750177"/>
      <w:r>
        <w:lastRenderedPageBreak/>
        <w:t>Areas out of scope</w:t>
      </w:r>
      <w:bookmarkEnd w:id="24"/>
      <w:bookmarkEnd w:id="25"/>
      <w:bookmarkEnd w:id="26"/>
    </w:p>
    <w:p w14:paraId="2D766100" w14:textId="03021E67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6"/>
        <w:gridCol w:w="6755"/>
      </w:tblGrid>
      <w:tr w:rsidR="004C2A6F" w:rsidRPr="00732BE3" w14:paraId="14474F1C" w14:textId="77777777" w:rsidTr="00690C5C">
        <w:trPr>
          <w:trHeight w:val="360"/>
          <w:tblHeader/>
        </w:trPr>
        <w:tc>
          <w:tcPr>
            <w:tcW w:w="2616" w:type="dxa"/>
            <w:shd w:val="clear" w:color="auto" w:fill="008272"/>
          </w:tcPr>
          <w:p w14:paraId="31741AA9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Area</w:t>
            </w:r>
          </w:p>
        </w:tc>
        <w:tc>
          <w:tcPr>
            <w:tcW w:w="6755" w:type="dxa"/>
            <w:shd w:val="clear" w:color="auto" w:fill="008272"/>
          </w:tcPr>
          <w:p w14:paraId="4E2FA12E" w14:textId="77777777" w:rsidR="004C2A6F" w:rsidRPr="005729DB" w:rsidRDefault="004C2A6F" w:rsidP="00B44F57">
            <w:pPr>
              <w:pStyle w:val="Table-Header"/>
              <w:rPr>
                <w:rFonts w:cs="Segoe UI"/>
              </w:rPr>
            </w:pPr>
            <w:r w:rsidRPr="005729DB">
              <w:rPr>
                <w:rFonts w:cs="Segoe UI"/>
              </w:rPr>
              <w:t>Description</w:t>
            </w:r>
          </w:p>
        </w:tc>
      </w:tr>
      <w:tr w:rsidR="0040645F" w:rsidRPr="00732BE3" w14:paraId="5C2FB2E1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01C5246" w14:textId="21CD4782" w:rsidR="0040645F" w:rsidRPr="005729DB" w:rsidRDefault="0040645F" w:rsidP="005729DB">
            <w:pPr>
              <w:rPr>
                <w:rFonts w:eastAsia="Calibri" w:cs="Segoe UI"/>
              </w:rPr>
            </w:pPr>
            <w:r w:rsidRPr="00732BE3">
              <w:rPr>
                <w:rFonts w:eastAsia="Calibri" w:cs="Segoe UI"/>
                <w:szCs w:val="20"/>
              </w:rPr>
              <w:t>AD</w:t>
            </w:r>
            <w:r w:rsidR="00E66E4C">
              <w:rPr>
                <w:rFonts w:eastAsia="Calibri" w:cs="Segoe UI"/>
                <w:szCs w:val="20"/>
              </w:rPr>
              <w:t> </w:t>
            </w:r>
            <w:r w:rsidRPr="00732BE3">
              <w:rPr>
                <w:rFonts w:eastAsia="Calibri" w:cs="Segoe UI"/>
                <w:szCs w:val="20"/>
              </w:rPr>
              <w:t>FS</w:t>
            </w:r>
          </w:p>
        </w:tc>
        <w:tc>
          <w:tcPr>
            <w:tcW w:w="6755" w:type="dxa"/>
            <w:shd w:val="clear" w:color="auto" w:fill="auto"/>
          </w:tcPr>
          <w:p w14:paraId="0A24B912" w14:textId="30F906E2" w:rsidR="0040645F" w:rsidRPr="005729DB" w:rsidRDefault="0040645F" w:rsidP="00A80D68">
            <w:pPr>
              <w:pStyle w:val="TableBullet1"/>
            </w:pPr>
            <w:r w:rsidRPr="005729DB">
              <w:t xml:space="preserve">Customization </w:t>
            </w:r>
            <w:r w:rsidR="00BA7277">
              <w:t>of</w:t>
            </w:r>
            <w:r w:rsidR="00BA7277" w:rsidRPr="005729DB">
              <w:t xml:space="preserve"> AD</w:t>
            </w:r>
            <w:r w:rsidR="00BA7277">
              <w:t> </w:t>
            </w:r>
            <w:r w:rsidRPr="005729DB">
              <w:t>FS sign-in pages</w:t>
            </w:r>
            <w:r w:rsidR="00AD53EF">
              <w:t xml:space="preserve"> is </w:t>
            </w:r>
            <w:r w:rsidR="00AD53EF">
              <w:rPr>
                <w:rFonts w:cs="Segoe UI"/>
                <w:szCs w:val="20"/>
              </w:rPr>
              <w:t>out of scope</w:t>
            </w:r>
            <w:r w:rsidR="00BA7277">
              <w:t>.</w:t>
            </w:r>
          </w:p>
          <w:p w14:paraId="70BEA0E7" w14:textId="5F9DC715" w:rsidR="0040645F" w:rsidRPr="005729DB" w:rsidRDefault="00AD53EF" w:rsidP="00A80D68">
            <w:pPr>
              <w:pStyle w:val="TableBullet1"/>
            </w:pPr>
            <w:r w:rsidRPr="005729DB">
              <w:t>AD</w:t>
            </w:r>
            <w:r>
              <w:t> </w:t>
            </w:r>
            <w:r w:rsidR="0040645F" w:rsidRPr="005729DB">
              <w:t xml:space="preserve">FS integration with applications or services beyond Azure </w:t>
            </w:r>
            <w:r w:rsidR="007F5153">
              <w:t>A</w:t>
            </w:r>
            <w:r w:rsidR="00444C79">
              <w:t>ctive Directory</w:t>
            </w:r>
            <w:r>
              <w:t xml:space="preserve"> is </w:t>
            </w:r>
            <w:r>
              <w:rPr>
                <w:rFonts w:cs="Segoe UI"/>
                <w:szCs w:val="20"/>
              </w:rPr>
              <w:t>out of scope.</w:t>
            </w:r>
          </w:p>
        </w:tc>
      </w:tr>
      <w:tr w:rsidR="00D1740A" w:rsidRPr="00732BE3" w14:paraId="315208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B55D699" w14:textId="45EAD487" w:rsidR="00D1740A" w:rsidRPr="005729DB" w:rsidRDefault="00D1740A" w:rsidP="000D6220">
            <w:r w:rsidRPr="005729DB">
              <w:t xml:space="preserve">Azure </w:t>
            </w:r>
            <w:r>
              <w:t>Active Directory</w:t>
            </w:r>
            <w:r w:rsidRPr="005729DB">
              <w:t xml:space="preserve"> </w:t>
            </w:r>
            <w:r w:rsidR="000522B4">
              <w:t>Integration</w:t>
            </w:r>
            <w:r w:rsidRPr="005729DB">
              <w:t xml:space="preserve"> </w:t>
            </w:r>
          </w:p>
        </w:tc>
        <w:tc>
          <w:tcPr>
            <w:tcW w:w="6755" w:type="dxa"/>
            <w:shd w:val="clear" w:color="auto" w:fill="auto"/>
          </w:tcPr>
          <w:p w14:paraId="08F8968D" w14:textId="0DD49B9B" w:rsidR="00EF2787" w:rsidRPr="00B83EE2" w:rsidRDefault="00EF2787" w:rsidP="000D6220">
            <w:pPr>
              <w:pStyle w:val="TableBullet1"/>
            </w:pPr>
            <w:r>
              <w:t>I</w:t>
            </w:r>
            <w:r w:rsidRPr="00B83EE2">
              <w:t>nstall</w:t>
            </w:r>
            <w:r>
              <w:t>ation</w:t>
            </w:r>
            <w:r w:rsidRPr="00B83EE2">
              <w:t xml:space="preserve"> and configur</w:t>
            </w:r>
            <w:r>
              <w:t xml:space="preserve">ation of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Connect </w:t>
            </w:r>
          </w:p>
          <w:p w14:paraId="43B4661B" w14:textId="77777777" w:rsidR="00EF2787" w:rsidRPr="00B83EE2" w:rsidRDefault="00EF2787" w:rsidP="000D6220">
            <w:pPr>
              <w:pStyle w:val="TableBullet1"/>
            </w:pPr>
            <w:r>
              <w:t>C</w:t>
            </w:r>
            <w:r w:rsidRPr="00B83EE2">
              <w:t>onfigur</w:t>
            </w:r>
            <w:r>
              <w:t>ation of</w:t>
            </w:r>
            <w:r w:rsidRPr="00B83EE2">
              <w:t xml:space="preserve"> Azure </w:t>
            </w:r>
            <w:r>
              <w:t>Active Directory</w:t>
            </w:r>
            <w:r w:rsidRPr="00B83EE2">
              <w:t xml:space="preserve"> authentication using password synchronization, pass-through authentication, or federated authentication</w:t>
            </w:r>
          </w:p>
          <w:p w14:paraId="7ABDED33" w14:textId="28742887" w:rsidR="00EF2787" w:rsidRPr="00B83EE2" w:rsidRDefault="00EF2787" w:rsidP="000D6220">
            <w:pPr>
              <w:pStyle w:val="TableBullet1"/>
            </w:pPr>
            <w:r>
              <w:t xml:space="preserve">Implementation of the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seamless single sign-on (SSO)</w:t>
            </w:r>
          </w:p>
          <w:p w14:paraId="6341C419" w14:textId="70F63855" w:rsidR="00EF2787" w:rsidRPr="00B83EE2" w:rsidRDefault="00EF2787" w:rsidP="000D6220">
            <w:pPr>
              <w:pStyle w:val="TableBullet1"/>
            </w:pPr>
            <w:r>
              <w:t>I</w:t>
            </w:r>
            <w:r w:rsidRPr="00B83EE2">
              <w:t>nstall</w:t>
            </w:r>
            <w:r>
              <w:t xml:space="preserve">ation of the </w:t>
            </w:r>
            <w:r w:rsidRPr="00B83EE2">
              <w:t xml:space="preserve">Azure </w:t>
            </w:r>
            <w:r>
              <w:t>Active Directory Connect</w:t>
            </w:r>
            <w:r w:rsidRPr="00B83EE2">
              <w:t xml:space="preserve"> Health </w:t>
            </w:r>
            <w:r>
              <w:t>A</w:t>
            </w:r>
            <w:r w:rsidRPr="00B83EE2">
              <w:t xml:space="preserve">gent </w:t>
            </w:r>
          </w:p>
          <w:p w14:paraId="3959D3CD" w14:textId="4C69B7FB" w:rsidR="00EF2787" w:rsidRDefault="00EF2787" w:rsidP="000D6220">
            <w:pPr>
              <w:pStyle w:val="TableBullet1"/>
            </w:pPr>
            <w:r>
              <w:t xml:space="preserve">Implementation of </w:t>
            </w:r>
            <w:r w:rsidRPr="00B83EE2">
              <w:t xml:space="preserve">Azure </w:t>
            </w:r>
            <w:r>
              <w:t>Active Directory</w:t>
            </w:r>
            <w:r w:rsidRPr="00B83EE2">
              <w:t xml:space="preserve"> </w:t>
            </w:r>
            <w:r w:rsidRPr="000D6220">
              <w:t>business-to-business</w:t>
            </w:r>
            <w:r w:rsidRPr="0041618D">
              <w:t xml:space="preserve"> </w:t>
            </w:r>
            <w:r>
              <w:t>(</w:t>
            </w:r>
            <w:r w:rsidRPr="0041618D">
              <w:t>B2B</w:t>
            </w:r>
            <w:r>
              <w:t>)</w:t>
            </w:r>
          </w:p>
          <w:p w14:paraId="771665F3" w14:textId="72B2774E" w:rsidR="00D1740A" w:rsidRPr="005729DB" w:rsidRDefault="00EF2787" w:rsidP="000D6220">
            <w:pPr>
              <w:pStyle w:val="TableBullet1"/>
            </w:pPr>
            <w:r>
              <w:t xml:space="preserve">Installation and configuration of </w:t>
            </w:r>
            <w:r w:rsidRPr="00B83EE2">
              <w:t>AD</w:t>
            </w:r>
            <w:r>
              <w:t> </w:t>
            </w:r>
            <w:r w:rsidRPr="00B83EE2">
              <w:t>FS and Web Application Proxy (WAP) roles</w:t>
            </w:r>
          </w:p>
        </w:tc>
      </w:tr>
      <w:tr w:rsidR="00D1740A" w:rsidRPr="00732BE3" w14:paraId="68A311A0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3C519724" w14:textId="4B1D24BA" w:rsidR="00D1740A" w:rsidRPr="00914164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Authentication </w:t>
            </w:r>
            <w:r>
              <w:rPr>
                <w:rFonts w:eastAsia="Calibri" w:cs="Segoe UI"/>
              </w:rPr>
              <w:t>t</w:t>
            </w:r>
            <w:r w:rsidRPr="005729DB">
              <w:rPr>
                <w:rFonts w:eastAsia="Calibri" w:cs="Segoe UI"/>
              </w:rPr>
              <w:t xml:space="preserve">ypes for applications published </w:t>
            </w:r>
            <w:r>
              <w:rPr>
                <w:rFonts w:eastAsia="Calibri" w:cs="Segoe UI"/>
              </w:rPr>
              <w:t>through</w:t>
            </w:r>
            <w:r w:rsidRPr="005729DB">
              <w:rPr>
                <w:rFonts w:eastAsia="Calibri" w:cs="Segoe UI"/>
              </w:rPr>
              <w:t xml:space="preserve"> Azure </w:t>
            </w:r>
            <w:r>
              <w:rPr>
                <w:rFonts w:eastAsia="Calibri" w:cs="Segoe UI"/>
              </w:rPr>
              <w:t>Active Directory</w:t>
            </w:r>
            <w:r w:rsidRPr="005729DB">
              <w:rPr>
                <w:rFonts w:eastAsia="Calibri" w:cs="Segoe UI"/>
              </w:rPr>
              <w:t xml:space="preserve"> App Proxy</w:t>
            </w:r>
          </w:p>
        </w:tc>
        <w:tc>
          <w:tcPr>
            <w:tcW w:w="6755" w:type="dxa"/>
            <w:shd w:val="clear" w:color="auto" w:fill="auto"/>
          </w:tcPr>
          <w:p w14:paraId="13721145" w14:textId="298815D6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Web applications that use form-based or </w:t>
            </w:r>
            <w:hyperlink r:id="rId9" w:history="1">
              <w:r w:rsidRPr="005729DB">
                <w:rPr>
                  <w:rStyle w:val="Hyperlink"/>
                  <w:rFonts w:cs="Segoe UI"/>
                  <w:szCs w:val="20"/>
                </w:rPr>
                <w:t>header-based</w:t>
              </w:r>
            </w:hyperlink>
            <w:r w:rsidRPr="005729DB">
              <w:rPr>
                <w:rFonts w:cs="Segoe UI"/>
                <w:szCs w:val="20"/>
              </w:rPr>
              <w:t xml:space="preserve"> access (Refer to </w:t>
            </w:r>
            <w:r>
              <w:rPr>
                <w:rFonts w:cs="Segoe UI"/>
                <w:szCs w:val="20"/>
              </w:rPr>
              <w:t xml:space="preserve">third party product </w:t>
            </w:r>
            <w:proofErr w:type="spellStart"/>
            <w:r w:rsidRPr="005729DB">
              <w:rPr>
                <w:rFonts w:cs="Segoe UI"/>
                <w:szCs w:val="20"/>
              </w:rPr>
              <w:t>PingAccess</w:t>
            </w:r>
            <w:proofErr w:type="spellEnd"/>
            <w:r>
              <w:rPr>
                <w:rFonts w:cs="Segoe UI"/>
                <w:szCs w:val="20"/>
              </w:rPr>
              <w:t>.</w:t>
            </w:r>
            <w:r w:rsidRPr="005729DB">
              <w:rPr>
                <w:rFonts w:cs="Segoe UI"/>
                <w:szCs w:val="20"/>
              </w:rPr>
              <w:t>)</w:t>
            </w:r>
            <w:r>
              <w:rPr>
                <w:rFonts w:cs="Segoe UI"/>
                <w:szCs w:val="20"/>
              </w:rPr>
              <w:t xml:space="preserve"> are out of scope.</w:t>
            </w:r>
          </w:p>
          <w:p w14:paraId="1A0D4D93" w14:textId="4A5FB9A4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>Web APIs that you want to expose to rich applications on different devices</w:t>
            </w:r>
            <w:r>
              <w:rPr>
                <w:rFonts w:cs="Segoe UI"/>
                <w:szCs w:val="20"/>
              </w:rPr>
              <w:t xml:space="preserve"> are out of scope.</w:t>
            </w:r>
          </w:p>
          <w:p w14:paraId="0B65D227" w14:textId="34277165" w:rsidR="00D1740A" w:rsidRPr="005729DB" w:rsidRDefault="00D1740A" w:rsidP="00D1740A">
            <w:pPr>
              <w:pStyle w:val="TableBullet1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Applications hosted behind a </w:t>
            </w:r>
            <w:hyperlink r:id="rId10" w:history="1">
              <w:r w:rsidRPr="005729DB">
                <w:rPr>
                  <w:rStyle w:val="Hyperlink"/>
                  <w:rFonts w:cs="Segoe UI"/>
                  <w:szCs w:val="20"/>
                </w:rPr>
                <w:t>Remote Desktop Gateway</w:t>
              </w:r>
            </w:hyperlink>
            <w:r>
              <w:rPr>
                <w:rFonts w:cs="Segoe UI"/>
                <w:szCs w:val="20"/>
              </w:rPr>
              <w:t xml:space="preserve"> are out of scope.</w:t>
            </w:r>
          </w:p>
          <w:p w14:paraId="2120211D" w14:textId="1E1CAD31" w:rsidR="00D1740A" w:rsidRPr="005729DB" w:rsidRDefault="00D1740A" w:rsidP="00D1740A">
            <w:pPr>
              <w:pStyle w:val="TableBullet1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 xml:space="preserve">Rich client apps that are integrated with the Active Directory Authentication Library </w:t>
            </w:r>
            <w:r>
              <w:rPr>
                <w:rFonts w:cs="Segoe UI"/>
                <w:szCs w:val="20"/>
              </w:rPr>
              <w:t>are out of scope.</w:t>
            </w:r>
          </w:p>
        </w:tc>
      </w:tr>
      <w:tr w:rsidR="00D1740A" w:rsidRPr="00732BE3" w14:paraId="2C8C16D0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CBBE0D4" w14:textId="46D9BC84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Authentication </w:t>
            </w:r>
            <w:r>
              <w:rPr>
                <w:rFonts w:eastAsia="Calibri" w:cs="Segoe UI"/>
              </w:rPr>
              <w:t>t</w:t>
            </w:r>
            <w:r w:rsidRPr="005729DB">
              <w:rPr>
                <w:rFonts w:eastAsia="Calibri" w:cs="Segoe UI"/>
              </w:rPr>
              <w:t xml:space="preserve">ypes for applications published </w:t>
            </w:r>
            <w:r>
              <w:rPr>
                <w:rFonts w:eastAsia="Calibri" w:cs="Segoe UI"/>
              </w:rPr>
              <w:t>through</w:t>
            </w:r>
            <w:r w:rsidRPr="005729DB">
              <w:rPr>
                <w:rFonts w:eastAsia="Calibri" w:cs="Segoe UI"/>
              </w:rPr>
              <w:t xml:space="preserve"> Azure </w:t>
            </w:r>
            <w:r>
              <w:rPr>
                <w:rFonts w:eastAsia="Calibri" w:cs="Segoe UI"/>
              </w:rPr>
              <w:t>Active Directory</w:t>
            </w:r>
            <w:r w:rsidRPr="005729DB">
              <w:rPr>
                <w:rFonts w:eastAsia="Calibri" w:cs="Segoe UI"/>
              </w:rPr>
              <w:t xml:space="preserve"> App Gallery</w:t>
            </w:r>
          </w:p>
        </w:tc>
        <w:tc>
          <w:tcPr>
            <w:tcW w:w="6755" w:type="dxa"/>
            <w:shd w:val="clear" w:color="auto" w:fill="auto"/>
          </w:tcPr>
          <w:p w14:paraId="5EACF6FC" w14:textId="3F6B0106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 xml:space="preserve">Linked </w:t>
            </w:r>
            <w:r>
              <w:rPr>
                <w:rFonts w:cs="Segoe UI"/>
                <w:szCs w:val="20"/>
              </w:rPr>
              <w:t>s</w:t>
            </w:r>
            <w:r w:rsidRPr="005729DB">
              <w:rPr>
                <w:rFonts w:cs="Segoe UI"/>
                <w:szCs w:val="20"/>
              </w:rPr>
              <w:t>ign-</w:t>
            </w:r>
            <w:r>
              <w:rPr>
                <w:rFonts w:cs="Segoe UI"/>
                <w:szCs w:val="20"/>
              </w:rPr>
              <w:t>o</w:t>
            </w:r>
            <w:r w:rsidRPr="005729DB">
              <w:rPr>
                <w:rFonts w:cs="Segoe UI"/>
                <w:szCs w:val="20"/>
              </w:rPr>
              <w:t xml:space="preserve">n </w:t>
            </w:r>
            <w:r>
              <w:rPr>
                <w:rFonts w:cs="Segoe UI"/>
                <w:szCs w:val="20"/>
              </w:rPr>
              <w:t>is out of scope.</w:t>
            </w:r>
          </w:p>
        </w:tc>
      </w:tr>
      <w:tr w:rsidR="00D1740A" w:rsidRPr="00732BE3" w14:paraId="3F8DB0B3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74ADAD5" w14:textId="19A623CE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Automated </w:t>
            </w:r>
            <w:r>
              <w:rPr>
                <w:rFonts w:eastAsia="Calibri" w:cs="Segoe UI"/>
              </w:rPr>
              <w:t>u</w:t>
            </w:r>
            <w:r w:rsidRPr="005729DB">
              <w:rPr>
                <w:rFonts w:eastAsia="Calibri" w:cs="Segoe UI"/>
              </w:rPr>
              <w:t xml:space="preserve">ser </w:t>
            </w:r>
            <w:r>
              <w:rPr>
                <w:rFonts w:eastAsia="Calibri" w:cs="Segoe UI"/>
              </w:rPr>
              <w:t>p</w:t>
            </w:r>
            <w:r w:rsidRPr="005729DB">
              <w:rPr>
                <w:rFonts w:eastAsia="Calibri" w:cs="Segoe UI"/>
              </w:rPr>
              <w:t>rovisioning (SCIM)</w:t>
            </w:r>
          </w:p>
        </w:tc>
        <w:tc>
          <w:tcPr>
            <w:tcW w:w="6755" w:type="dxa"/>
            <w:shd w:val="clear" w:color="auto" w:fill="auto"/>
          </w:tcPr>
          <w:p w14:paraId="5DB9E4DC" w14:textId="02004090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  <w:szCs w:val="20"/>
              </w:rPr>
              <w:t>The configuration of automated user provisioning (</w:t>
            </w:r>
            <w:r w:rsidRPr="002F3F3B">
              <w:rPr>
                <w:rFonts w:cs="Segoe UI"/>
                <w:szCs w:val="20"/>
              </w:rPr>
              <w:t>System for Cross-Domain Identity Management</w:t>
            </w:r>
            <w:r>
              <w:rPr>
                <w:rFonts w:cs="Segoe UI"/>
                <w:szCs w:val="20"/>
              </w:rPr>
              <w:t xml:space="preserve">- </w:t>
            </w:r>
            <w:r w:rsidRPr="005729DB">
              <w:rPr>
                <w:rFonts w:cs="Segoe UI"/>
                <w:szCs w:val="20"/>
              </w:rPr>
              <w:t xml:space="preserve">SCIM) for </w:t>
            </w:r>
            <w:r>
              <w:rPr>
                <w:rFonts w:cs="Segoe UI"/>
                <w:szCs w:val="20"/>
              </w:rPr>
              <w:t>a</w:t>
            </w:r>
            <w:r w:rsidRPr="005729DB">
              <w:rPr>
                <w:rFonts w:cs="Segoe UI"/>
                <w:szCs w:val="20"/>
              </w:rPr>
              <w:t xml:space="preserve">pplications that </w:t>
            </w:r>
            <w:r>
              <w:rPr>
                <w:rFonts w:cs="Segoe UI"/>
                <w:szCs w:val="20"/>
              </w:rPr>
              <w:t>are</w:t>
            </w:r>
            <w:r w:rsidRPr="005729DB">
              <w:rPr>
                <w:rFonts w:cs="Segoe UI"/>
                <w:szCs w:val="20"/>
              </w:rPr>
              <w:t xml:space="preserve"> capab</w:t>
            </w:r>
            <w:r>
              <w:rPr>
                <w:rFonts w:cs="Segoe UI"/>
                <w:szCs w:val="20"/>
              </w:rPr>
              <w:t>le</w:t>
            </w:r>
            <w:r w:rsidRPr="005729DB">
              <w:rPr>
                <w:rFonts w:cs="Segoe UI"/>
                <w:szCs w:val="20"/>
              </w:rPr>
              <w:t xml:space="preserve"> </w:t>
            </w:r>
            <w:r>
              <w:rPr>
                <w:rFonts w:cs="Segoe UI"/>
                <w:szCs w:val="20"/>
              </w:rPr>
              <w:t>of</w:t>
            </w:r>
            <w:r w:rsidRPr="005729DB">
              <w:rPr>
                <w:rFonts w:cs="Segoe UI"/>
                <w:szCs w:val="20"/>
              </w:rPr>
              <w:t xml:space="preserve"> provision</w:t>
            </w:r>
            <w:r>
              <w:rPr>
                <w:rFonts w:cs="Segoe UI"/>
                <w:szCs w:val="20"/>
              </w:rPr>
              <w:t>ing</w:t>
            </w:r>
            <w:r w:rsidRPr="005729DB">
              <w:rPr>
                <w:rFonts w:cs="Segoe UI"/>
                <w:szCs w:val="20"/>
              </w:rPr>
              <w:t xml:space="preserve"> users in either Azure </w:t>
            </w:r>
            <w:r>
              <w:rPr>
                <w:rFonts w:cs="Segoe UI"/>
                <w:szCs w:val="20"/>
              </w:rPr>
              <w:t>Active Directory</w:t>
            </w:r>
            <w:r w:rsidRPr="005729DB">
              <w:rPr>
                <w:rFonts w:cs="Segoe UI"/>
                <w:szCs w:val="20"/>
              </w:rPr>
              <w:t xml:space="preserve"> or A</w:t>
            </w:r>
            <w:r>
              <w:rPr>
                <w:rFonts w:cs="Segoe UI"/>
                <w:szCs w:val="20"/>
              </w:rPr>
              <w:t>D DS</w:t>
            </w:r>
            <w:r w:rsidRPr="005729DB">
              <w:rPr>
                <w:rFonts w:cs="Segoe UI"/>
                <w:szCs w:val="20"/>
              </w:rPr>
              <w:t xml:space="preserve"> </w:t>
            </w:r>
            <w:r>
              <w:rPr>
                <w:rFonts w:cs="Segoe UI"/>
                <w:szCs w:val="20"/>
              </w:rPr>
              <w:t xml:space="preserve">is out of scope. </w:t>
            </w:r>
          </w:p>
        </w:tc>
      </w:tr>
      <w:tr w:rsidR="00D1740A" w:rsidRPr="00732BE3" w14:paraId="52CBD71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13A818" w14:textId="78C0C35D" w:rsidR="00D1740A" w:rsidRPr="005729DB" w:rsidRDefault="00D1740A" w:rsidP="00D1740A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Custom </w:t>
            </w:r>
            <w:r>
              <w:rPr>
                <w:rFonts w:eastAsia="Calibri" w:cs="Segoe UI"/>
              </w:rPr>
              <w:t>a</w:t>
            </w:r>
            <w:r w:rsidRPr="005729DB">
              <w:rPr>
                <w:rFonts w:eastAsia="Calibri" w:cs="Segoe UI"/>
              </w:rPr>
              <w:t xml:space="preserve">pplication </w:t>
            </w:r>
            <w:r>
              <w:rPr>
                <w:rFonts w:eastAsia="Calibri" w:cs="Segoe UI"/>
              </w:rPr>
              <w:t>d</w:t>
            </w:r>
            <w:r w:rsidRPr="005729DB">
              <w:rPr>
                <w:rFonts w:eastAsia="Calibri" w:cs="Segoe UI"/>
              </w:rPr>
              <w:t>evelopment</w:t>
            </w:r>
          </w:p>
        </w:tc>
        <w:tc>
          <w:tcPr>
            <w:tcW w:w="6755" w:type="dxa"/>
            <w:shd w:val="clear" w:color="auto" w:fill="auto"/>
          </w:tcPr>
          <w:p w14:paraId="562489EB" w14:textId="5A987119" w:rsidR="00D1740A" w:rsidRPr="005729DB" w:rsidRDefault="00D1740A" w:rsidP="00D1740A">
            <w:pPr>
              <w:pStyle w:val="TableText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Applications that require additional development effort to integrate with Azure </w:t>
            </w:r>
            <w:r>
              <w:rPr>
                <w:rFonts w:cs="Segoe UI"/>
                <w:szCs w:val="20"/>
              </w:rPr>
              <w:t xml:space="preserve">Active Directory are out of scope. </w:t>
            </w:r>
          </w:p>
        </w:tc>
      </w:tr>
      <w:tr w:rsidR="00D1740A" w:rsidRPr="00732BE3" w14:paraId="413A298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6D5BCF5" w14:textId="5C569FBC" w:rsidR="00D1740A" w:rsidRPr="005729DB" w:rsidRDefault="00D1740A" w:rsidP="00914164">
            <w:pPr>
              <w:pStyle w:val="TableText"/>
              <w:rPr>
                <w:rFonts w:eastAsia="Calibri" w:cs="Segoe UI"/>
              </w:rPr>
            </w:pPr>
            <w:r w:rsidRPr="005729DB">
              <w:rPr>
                <w:rFonts w:eastAsia="Calibri" w:cs="Segoe UI"/>
              </w:rPr>
              <w:t xml:space="preserve">Existing </w:t>
            </w:r>
            <w:r>
              <w:rPr>
                <w:rFonts w:eastAsia="Calibri" w:cs="Segoe UI"/>
              </w:rPr>
              <w:t>p</w:t>
            </w:r>
            <w:r w:rsidRPr="005729DB">
              <w:rPr>
                <w:rFonts w:eastAsia="Calibri" w:cs="Segoe UI"/>
              </w:rPr>
              <w:t xml:space="preserve">roduction </w:t>
            </w:r>
            <w:r>
              <w:rPr>
                <w:rFonts w:eastAsia="Calibri" w:cs="Segoe UI"/>
              </w:rPr>
              <w:t>f</w:t>
            </w:r>
            <w:r w:rsidRPr="005729DB">
              <w:rPr>
                <w:rFonts w:eastAsia="Calibri" w:cs="Segoe UI"/>
              </w:rPr>
              <w:t xml:space="preserve">ederated </w:t>
            </w:r>
            <w:r>
              <w:rPr>
                <w:rFonts w:eastAsia="Calibri" w:cs="Segoe UI"/>
              </w:rPr>
              <w:t>a</w:t>
            </w:r>
            <w:r w:rsidRPr="005729DB">
              <w:rPr>
                <w:rFonts w:eastAsia="Calibri" w:cs="Segoe UI"/>
              </w:rPr>
              <w:t>pplications</w:t>
            </w:r>
          </w:p>
        </w:tc>
        <w:tc>
          <w:tcPr>
            <w:tcW w:w="6755" w:type="dxa"/>
            <w:shd w:val="clear" w:color="auto" w:fill="auto"/>
          </w:tcPr>
          <w:p w14:paraId="50BEC28B" w14:textId="7659AA9F" w:rsidR="00D1740A" w:rsidRPr="005729DB" w:rsidRDefault="00D1740A" w:rsidP="00D1740A">
            <w:pPr>
              <w:pStyle w:val="TableText"/>
              <w:rPr>
                <w:rFonts w:cs="Segoe UI"/>
                <w:szCs w:val="20"/>
              </w:rPr>
            </w:pPr>
            <w:r w:rsidRPr="005729DB">
              <w:rPr>
                <w:rFonts w:cs="Segoe UI"/>
                <w:szCs w:val="20"/>
              </w:rPr>
              <w:t xml:space="preserve">Migration of existing federated applications to Azure </w:t>
            </w:r>
            <w:r>
              <w:rPr>
                <w:rFonts w:cs="Segoe UI"/>
                <w:szCs w:val="20"/>
              </w:rPr>
              <w:t>Active Directory</w:t>
            </w:r>
            <w:r w:rsidRPr="005729DB">
              <w:rPr>
                <w:rFonts w:cs="Segoe UI"/>
                <w:szCs w:val="20"/>
              </w:rPr>
              <w:t xml:space="preserve"> is out of scope.</w:t>
            </w:r>
          </w:p>
        </w:tc>
      </w:tr>
      <w:tr w:rsidR="00D1740A" w:rsidRPr="00732BE3" w14:paraId="12BC273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D352EB0" w14:textId="77777777" w:rsidR="00D1740A" w:rsidRPr="00732BE3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lastRenderedPageBreak/>
              <w:t>Product licenses and subscriptions</w:t>
            </w:r>
          </w:p>
        </w:tc>
        <w:tc>
          <w:tcPr>
            <w:tcW w:w="6755" w:type="dxa"/>
            <w:shd w:val="clear" w:color="auto" w:fill="auto"/>
          </w:tcPr>
          <w:p w14:paraId="5C4D0B6C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 xml:space="preserve">Product licenses (Microsoft or non-Microsoft) and cloud service subscriptions are not included. </w:t>
            </w:r>
          </w:p>
        </w:tc>
      </w:tr>
      <w:tr w:rsidR="00D1740A" w:rsidRPr="00732BE3" w14:paraId="01D39054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73A5CC6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Hardware</w:t>
            </w:r>
          </w:p>
        </w:tc>
        <w:tc>
          <w:tcPr>
            <w:tcW w:w="6755" w:type="dxa"/>
            <w:shd w:val="clear" w:color="auto" w:fill="auto"/>
          </w:tcPr>
          <w:p w14:paraId="7505FD4E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provide hardware for this project.</w:t>
            </w:r>
          </w:p>
        </w:tc>
      </w:tr>
      <w:tr w:rsidR="00D1740A" w:rsidRPr="00732BE3" w14:paraId="1E56995C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C5484B7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Integration with third-party software</w:t>
            </w:r>
          </w:p>
        </w:tc>
        <w:tc>
          <w:tcPr>
            <w:tcW w:w="6755" w:type="dxa"/>
            <w:shd w:val="clear" w:color="auto" w:fill="auto"/>
          </w:tcPr>
          <w:p w14:paraId="41741BA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Microsoft will not be responsible for integration with third-party software.</w:t>
            </w:r>
          </w:p>
        </w:tc>
      </w:tr>
      <w:tr w:rsidR="00D1740A" w:rsidRPr="00732BE3" w14:paraId="547B021F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7B462C45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</w:t>
            </w:r>
          </w:p>
        </w:tc>
        <w:tc>
          <w:tcPr>
            <w:tcW w:w="6755" w:type="dxa"/>
            <w:shd w:val="clear" w:color="auto" w:fill="auto"/>
          </w:tcPr>
          <w:p w14:paraId="4E1D48B4" w14:textId="77777777" w:rsidR="00D1740A" w:rsidRPr="005729DB" w:rsidRDefault="00D1740A" w:rsidP="00D1740A">
            <w:pPr>
              <w:rPr>
                <w:rFonts w:cs="Segoe UI"/>
              </w:rPr>
            </w:pPr>
            <w:r w:rsidRPr="005729DB">
              <w:rPr>
                <w:rFonts w:cs="Segoe UI"/>
              </w:rPr>
              <w:t>Data migration activities are not in scope for this project.</w:t>
            </w:r>
          </w:p>
        </w:tc>
      </w:tr>
      <w:tr w:rsidR="00D1740A" w:rsidRPr="00732BE3" w14:paraId="1D118F3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027D8CD1" w14:textId="7E908CD8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bugs and upgrades</w:t>
            </w:r>
          </w:p>
        </w:tc>
        <w:tc>
          <w:tcPr>
            <w:tcW w:w="6755" w:type="dxa"/>
            <w:shd w:val="clear" w:color="auto" w:fill="auto"/>
          </w:tcPr>
          <w:p w14:paraId="258FEA05" w14:textId="77777777" w:rsidR="00D1740A" w:rsidRPr="005729DB" w:rsidRDefault="00D1740A" w:rsidP="00D1740A">
            <w:pPr>
              <w:pStyle w:val="TableText"/>
              <w:rPr>
                <w:rFonts w:cs="Segoe UI"/>
              </w:rPr>
            </w:pPr>
            <w:r w:rsidRPr="005729DB">
              <w:rPr>
                <w:rFonts w:cs="Segoe UI"/>
              </w:rPr>
              <w:t>Product upgrades, bugs, and design change requests for Microsoft products are not in scope for this project.</w:t>
            </w:r>
          </w:p>
        </w:tc>
      </w:tr>
      <w:tr w:rsidR="00D1740A" w:rsidRPr="00732BE3" w14:paraId="6F8D80A7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45B03A2D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Source code review</w:t>
            </w:r>
          </w:p>
        </w:tc>
        <w:tc>
          <w:tcPr>
            <w:tcW w:w="6755" w:type="dxa"/>
            <w:shd w:val="clear" w:color="auto" w:fill="auto"/>
          </w:tcPr>
          <w:p w14:paraId="14B49A3B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D1740A" w:rsidRPr="00732BE3" w14:paraId="12795E4B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228D81D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Process reengineering</w:t>
            </w:r>
          </w:p>
        </w:tc>
        <w:tc>
          <w:tcPr>
            <w:tcW w:w="6755" w:type="dxa"/>
            <w:shd w:val="clear" w:color="auto" w:fill="auto"/>
          </w:tcPr>
          <w:p w14:paraId="29BB535A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 functional business components of the solution is not included.</w:t>
            </w:r>
          </w:p>
        </w:tc>
      </w:tr>
      <w:tr w:rsidR="00D1740A" w:rsidRPr="00732BE3" w14:paraId="213C12B9" w14:textId="77777777" w:rsidTr="00690C5C">
        <w:trPr>
          <w:trHeight w:val="432"/>
        </w:trPr>
        <w:tc>
          <w:tcPr>
            <w:tcW w:w="2616" w:type="dxa"/>
            <w:shd w:val="clear" w:color="auto" w:fill="auto"/>
          </w:tcPr>
          <w:p w14:paraId="5523185F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Organizational change management</w:t>
            </w:r>
          </w:p>
        </w:tc>
        <w:tc>
          <w:tcPr>
            <w:tcW w:w="6755" w:type="dxa"/>
            <w:shd w:val="clear" w:color="auto" w:fill="auto"/>
          </w:tcPr>
          <w:p w14:paraId="3E6AC609" w14:textId="77777777" w:rsidR="00D1740A" w:rsidRPr="00732BE3" w:rsidRDefault="00D1740A" w:rsidP="00D1740A">
            <w:pPr>
              <w:pStyle w:val="TableText"/>
              <w:rPr>
                <w:rFonts w:cs="Segoe UI"/>
                <w:szCs w:val="18"/>
              </w:rPr>
            </w:pPr>
            <w:r w:rsidRPr="005729DB">
              <w:rPr>
                <w:rFonts w:cs="Segoe UI"/>
              </w:rPr>
              <w:t>Designing—or redesigning—the Customer’s functional organization is not included.</w:t>
            </w:r>
          </w:p>
        </w:tc>
      </w:tr>
    </w:tbl>
    <w:p w14:paraId="18A719AD" w14:textId="77777777" w:rsidR="00942632" w:rsidRDefault="00942632" w:rsidP="00C84DD9">
      <w:pPr>
        <w:pStyle w:val="Heading1"/>
      </w:pPr>
      <w:bookmarkStart w:id="27" w:name="_Toc476167706"/>
      <w:bookmarkStart w:id="28" w:name="_Toc476168033"/>
      <w:bookmarkStart w:id="29" w:name="_Toc37750178"/>
      <w:r>
        <w:t>Project approach, timeline</w:t>
      </w:r>
      <w:r w:rsidR="006209A1">
        <w:t>,</w:t>
      </w:r>
      <w:r>
        <w:t xml:space="preserve"> and deliverable acceptance</w:t>
      </w:r>
      <w:bookmarkEnd w:id="27"/>
      <w:bookmarkEnd w:id="28"/>
      <w:bookmarkEnd w:id="29"/>
    </w:p>
    <w:p w14:paraId="5D90CCD9" w14:textId="77777777" w:rsidR="00942632" w:rsidRDefault="00942632" w:rsidP="00C84DD9">
      <w:pPr>
        <w:pStyle w:val="Heading2"/>
      </w:pPr>
      <w:bookmarkStart w:id="30" w:name="_Toc476167707"/>
      <w:bookmarkStart w:id="31" w:name="_Toc476168034"/>
      <w:bookmarkStart w:id="32" w:name="_Ref477870375"/>
      <w:bookmarkStart w:id="33" w:name="_Ref477873467"/>
      <w:bookmarkStart w:id="34" w:name="_Ref477936654"/>
      <w:bookmarkStart w:id="35" w:name="_Ref477936937"/>
      <w:bookmarkStart w:id="36" w:name="_Toc37750179"/>
      <w:r>
        <w:t>Approach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C9C13B6" w14:textId="2510248A" w:rsidR="0040645F" w:rsidRDefault="0040645F" w:rsidP="0040645F">
      <w:r>
        <w:t>The project will be structured following the Microsoft Online Services Lifecycle methodology across three of the possible four distinct phases</w:t>
      </w:r>
      <w:r w:rsidR="00B91E35">
        <w:t xml:space="preserve">: </w:t>
      </w:r>
      <w:r>
        <w:t>Assess, Remediate, Enable, and Migrate</w:t>
      </w:r>
      <w:r w:rsidR="00FF45FD">
        <w:t xml:space="preserve"> </w:t>
      </w:r>
      <w:r w:rsidR="00125AAE">
        <w:t>(</w:t>
      </w:r>
      <w:r w:rsidR="00FF45FD">
        <w:t>Migrate is not</w:t>
      </w:r>
      <w:r w:rsidR="00125AAE">
        <w:t xml:space="preserve"> </w:t>
      </w:r>
      <w:r w:rsidR="00FF45FD">
        <w:t xml:space="preserve">included in </w:t>
      </w:r>
      <w:r w:rsidR="00125AAE">
        <w:t>this S</w:t>
      </w:r>
      <w:r w:rsidR="00CA0394">
        <w:t>OW</w:t>
      </w:r>
      <w:r w:rsidR="00125AAE">
        <w:t>)</w:t>
      </w:r>
      <w:r>
        <w:t>. Each phase has distinct activities and deliverables that are described in the following sections.</w:t>
      </w:r>
    </w:p>
    <w:p w14:paraId="1AACFDE4" w14:textId="371D6A13" w:rsidR="004D5D6A" w:rsidRDefault="00EE3729" w:rsidP="0032686E">
      <w:r>
        <w:t>If a deliverable requires formal review and acceptance (</w:t>
      </w:r>
      <w:r w:rsidR="00843775">
        <w:t xml:space="preserve">a </w:t>
      </w:r>
      <w:r>
        <w:t>proces</w:t>
      </w:r>
      <w:r w:rsidR="002E555E">
        <w:t xml:space="preserve">s described in </w:t>
      </w:r>
      <w:r w:rsidR="00843775">
        <w:t xml:space="preserve">the </w:t>
      </w:r>
      <w:r w:rsidR="00843775">
        <w:fldChar w:fldCharType="begin"/>
      </w:r>
      <w:r w:rsidR="00843775">
        <w:instrText xml:space="preserve"> REF _Ref477932041 \h </w:instrText>
      </w:r>
      <w:r w:rsidR="00843775">
        <w:fldChar w:fldCharType="separate"/>
      </w:r>
      <w:r w:rsidR="00812548">
        <w:t>Deliverable acceptance process</w:t>
      </w:r>
      <w:r w:rsidR="00843775">
        <w:fldChar w:fldCharType="end"/>
      </w:r>
      <w:r w:rsidR="00843775">
        <w:t xml:space="preserve"> section</w:t>
      </w:r>
      <w:r>
        <w:t>), this is indicated</w:t>
      </w:r>
      <w:r w:rsidR="002E555E">
        <w:t xml:space="preserve"> in </w:t>
      </w:r>
      <w:r w:rsidR="00E06254">
        <w:t>the following sections</w:t>
      </w:r>
      <w:r w:rsidR="00BC30AA">
        <w:t>.</w:t>
      </w:r>
    </w:p>
    <w:p w14:paraId="7994E652" w14:textId="77777777" w:rsidR="00DC319F" w:rsidRDefault="0040645F" w:rsidP="0032686E">
      <w:r>
        <w:rPr>
          <w:noProof/>
        </w:rPr>
        <w:drawing>
          <wp:inline distT="0" distB="0" distL="0" distR="0" wp14:anchorId="6CCBAAB6" wp14:editId="3309EBE8">
            <wp:extent cx="4176395" cy="780415"/>
            <wp:effectExtent l="0" t="0" r="0" b="635"/>
            <wp:docPr id="17487099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777" w14:textId="77777777" w:rsidR="00B5507E" w:rsidRDefault="00B5507E" w:rsidP="00C84DD9">
      <w:pPr>
        <w:pStyle w:val="Heading3"/>
      </w:pPr>
      <w:bookmarkStart w:id="37" w:name="_Toc476168035"/>
      <w:r>
        <w:t>Engagement initiation</w:t>
      </w:r>
      <w:bookmarkEnd w:id="37"/>
    </w:p>
    <w:p w14:paraId="31DADDDA" w14:textId="77777777" w:rsidR="00B5507E" w:rsidRPr="00B5507E" w:rsidRDefault="001D714E" w:rsidP="00B5507E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08D9F37C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347DC412" w14:textId="77777777" w:rsidR="00B5507E" w:rsidRPr="00031658" w:rsidRDefault="00B5507E" w:rsidP="00031658">
            <w:pPr>
              <w:pStyle w:val="Table-Header"/>
            </w:pPr>
            <w:r w:rsidRPr="00031658">
              <w:lastRenderedPageBreak/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57D7B224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26DE8CFA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2C5E9ECF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6140" w:type="dxa"/>
            <w:shd w:val="clear" w:color="auto" w:fill="auto"/>
          </w:tcPr>
          <w:p w14:paraId="44FF3EF8" w14:textId="2B61FC80" w:rsidR="00183788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r w:rsidR="00BD4D71">
              <w:t>to</w:t>
            </w:r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0F1F8CC9" w14:textId="77777777" w:rsidR="00183788" w:rsidRDefault="00183788" w:rsidP="00117AE2">
            <w:pPr>
              <w:pStyle w:val="TableBullet1"/>
            </w:pPr>
            <w:r>
              <w:t xml:space="preserve">Document the project launch prerequisites </w:t>
            </w:r>
            <w:r w:rsidR="00CE43BF">
              <w:t>using</w:t>
            </w:r>
            <w:r w:rsidR="00E12D6D">
              <w:t xml:space="preserve"> </w:t>
            </w:r>
            <w:r w:rsidR="00CE43BF">
              <w:t>input from this</w:t>
            </w:r>
            <w:r>
              <w:t xml:space="preserve"> SOW.</w:t>
            </w:r>
          </w:p>
          <w:p w14:paraId="4868A295" w14:textId="77777777" w:rsidR="00183788" w:rsidRDefault="00183788" w:rsidP="00117AE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  <w:p w14:paraId="7132045E" w14:textId="6C206F9A" w:rsidR="00B5507E" w:rsidRPr="00D0227D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detailed walk-through of </w:t>
            </w:r>
            <w:r w:rsidR="00E12D6D">
              <w:t xml:space="preserve">the </w:t>
            </w:r>
            <w:r>
              <w:t xml:space="preserve">SOW with </w:t>
            </w:r>
            <w:r w:rsidR="00112EB1">
              <w:t xml:space="preserve">the </w:t>
            </w:r>
            <w:r w:rsidR="00AE1D01">
              <w:t>C</w:t>
            </w:r>
            <w:r>
              <w:t xml:space="preserve">ustomer </w:t>
            </w:r>
            <w:r w:rsidR="00BD4D71">
              <w:t>to</w:t>
            </w:r>
            <w:r>
              <w:t xml:space="preserve"> agree on </w:t>
            </w:r>
            <w:r w:rsidR="00E12D6D">
              <w:t xml:space="preserve">an </w:t>
            </w:r>
            <w:r>
              <w:t>initial project schedule and approach</w:t>
            </w:r>
            <w:r w:rsidR="000F230A">
              <w:t>.</w:t>
            </w:r>
          </w:p>
        </w:tc>
      </w:tr>
      <w:tr w:rsidR="00B5507E" w:rsidRPr="005F3BAF" w14:paraId="455C7641" w14:textId="77777777" w:rsidTr="002702C8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42D30BFE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6140" w:type="dxa"/>
            <w:shd w:val="clear" w:color="auto" w:fill="auto"/>
          </w:tcPr>
          <w:p w14:paraId="357FD974" w14:textId="77777777" w:rsidR="00183788" w:rsidRDefault="00183788" w:rsidP="00117AE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04C60A3D" w14:textId="5831809E" w:rsidR="00183788" w:rsidRDefault="00183788" w:rsidP="00117AE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</w:t>
            </w:r>
            <w:r w:rsidR="00C47B02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AE1D01">
              <w:t>C</w:t>
            </w:r>
            <w:r>
              <w:t>ustomer leadership and establish target completion dates.</w:t>
            </w:r>
          </w:p>
          <w:p w14:paraId="3C838A7F" w14:textId="77777777" w:rsidR="00B5507E" w:rsidRDefault="00183788" w:rsidP="00117AE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334FE95C" w14:textId="77777777" w:rsidR="008E6B79" w:rsidRDefault="008E6B79" w:rsidP="00117AE2">
            <w:pPr>
              <w:pStyle w:val="TableBullet1"/>
            </w:pPr>
            <w:r>
              <w:t xml:space="preserve">Staff the project with the required </w:t>
            </w:r>
            <w:r w:rsidR="00AE1D01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  <w:p w14:paraId="1D64F6CA" w14:textId="45DB51CD" w:rsidR="00A85B61" w:rsidRPr="00D0227D" w:rsidRDefault="00A85B61" w:rsidP="00117AE2">
            <w:pPr>
              <w:pStyle w:val="TableBullet1"/>
            </w:pPr>
            <w:r>
              <w:t>Provide remote access capabilities to enable remote delivery of the solution</w:t>
            </w:r>
          </w:p>
        </w:tc>
      </w:tr>
    </w:tbl>
    <w:p w14:paraId="07317169" w14:textId="77777777" w:rsidR="00DC319F" w:rsidRDefault="0040645F" w:rsidP="00C84DD9">
      <w:pPr>
        <w:pStyle w:val="Heading3"/>
      </w:pPr>
      <w:r>
        <w:t>Assess</w:t>
      </w:r>
    </w:p>
    <w:p w14:paraId="0ED87BCD" w14:textId="546EAAFF" w:rsidR="00D864E8" w:rsidRPr="00214FF6" w:rsidRDefault="0040645F" w:rsidP="00214FF6">
      <w:r w:rsidRPr="00004289">
        <w:t xml:space="preserve">During the Assess phase, Microsoft will conduct a series of workshops to gather design requirements. Microsoft and the </w:t>
      </w:r>
      <w:r w:rsidR="00AE1D01">
        <w:t>C</w:t>
      </w:r>
      <w:r w:rsidRPr="00004289">
        <w:t>ustomer will review the results of the planning workshops and jointly determine requirements necessary to support the deployments.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432528" w14:paraId="2A6A3BEB" w14:textId="77777777" w:rsidTr="04CD2D1A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21212DC" w14:textId="77777777" w:rsidR="00432528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9F1183" wp14:editId="538B3B99">
                  <wp:extent cx="1316990" cy="237490"/>
                  <wp:effectExtent l="0" t="0" r="0" b="0"/>
                  <wp:docPr id="201740326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0DF9383D" w14:textId="77777777" w:rsidTr="04CD2D1A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89707A" w14:textId="77777777" w:rsidR="00D864E8" w:rsidRPr="004B0557" w:rsidRDefault="00D864E8" w:rsidP="00B44F57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BACC472" w14:textId="77777777" w:rsidR="00D864E8" w:rsidRPr="00AE61D2" w:rsidRDefault="00D864E8" w:rsidP="00B44F57">
            <w:pPr>
              <w:pStyle w:val="Table-Header"/>
            </w:pPr>
            <w:r>
              <w:t>Description</w:t>
            </w:r>
          </w:p>
        </w:tc>
      </w:tr>
      <w:tr w:rsidR="00D864E8" w:rsidRPr="005F3BAF" w14:paraId="66845FBC" w14:textId="77777777" w:rsidTr="04CD2D1A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EF2213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994873B" w14:textId="3FCFEE9B" w:rsidR="00834D96" w:rsidRDefault="00834D96" w:rsidP="00834D96">
            <w:pPr>
              <w:pStyle w:val="Bulletlist"/>
            </w:pPr>
            <w:r>
              <w:t xml:space="preserve">Conduct an application </w:t>
            </w:r>
            <w:r w:rsidR="00557299">
              <w:t xml:space="preserve">integration </w:t>
            </w:r>
            <w:r>
              <w:t xml:space="preserve">workshop and complete </w:t>
            </w:r>
            <w:r w:rsidR="00200A78">
              <w:t xml:space="preserve">an application integration questionnaire </w:t>
            </w:r>
            <w:r>
              <w:t>to gather requirements and information about the in-scope applications</w:t>
            </w:r>
            <w:r w:rsidR="00BA7277">
              <w:t>.</w:t>
            </w:r>
          </w:p>
          <w:p w14:paraId="72149F46" w14:textId="2568E677" w:rsidR="00834D96" w:rsidRDefault="00834D96" w:rsidP="00834D96">
            <w:pPr>
              <w:pStyle w:val="Bulletlist"/>
            </w:pPr>
            <w:r>
              <w:t xml:space="preserve">Produce a design and plan document to integrate in-scope applications with Azure </w:t>
            </w:r>
            <w:r w:rsidR="007F5153">
              <w:t>A</w:t>
            </w:r>
            <w:r w:rsidR="00444C79">
              <w:t>ctive Directory</w:t>
            </w:r>
            <w:r w:rsidR="00BA7277">
              <w:t>.</w:t>
            </w:r>
          </w:p>
          <w:p w14:paraId="22711020" w14:textId="4DCA75D6" w:rsidR="00D864E8" w:rsidRPr="00D0227D" w:rsidRDefault="00834D96" w:rsidP="0010406A">
            <w:pPr>
              <w:pStyle w:val="Bulletlist"/>
            </w:pPr>
            <w:r>
              <w:t xml:space="preserve">Create preparation checklist for application integration with Azure </w:t>
            </w:r>
            <w:r w:rsidR="007F5153">
              <w:t>A</w:t>
            </w:r>
            <w:r w:rsidR="00444C79">
              <w:t>ctive Directory</w:t>
            </w:r>
            <w:r w:rsidR="00BA7277">
              <w:t>.</w:t>
            </w:r>
          </w:p>
        </w:tc>
      </w:tr>
      <w:tr w:rsidR="00D864E8" w:rsidRPr="005F3BAF" w14:paraId="2DE9FCB7" w14:textId="77777777" w:rsidTr="04CD2D1A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F598D67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17AE2">
              <w:rPr>
                <w:b/>
              </w:rPr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B2AA432" w14:textId="6FA280D4" w:rsidR="00D864E8" w:rsidRPr="00D0227D" w:rsidRDefault="0040645F" w:rsidP="00914164">
            <w:pPr>
              <w:pStyle w:val="Bulletlist"/>
            </w:pPr>
            <w:r w:rsidRPr="5BB43366">
              <w:t>Participate in the assessment and planning workshop, communicate requirements, provide current environmental information, and make design decisions</w:t>
            </w:r>
          </w:p>
        </w:tc>
      </w:tr>
      <w:tr w:rsidR="00D864E8" w:rsidRPr="005F3BAF" w14:paraId="48F9509E" w14:textId="77777777" w:rsidTr="04CD2D1A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490B759" w14:textId="77777777" w:rsidR="00D864E8" w:rsidRDefault="00C50685" w:rsidP="00117AE2">
            <w:pPr>
              <w:pStyle w:val="TableText"/>
            </w:pPr>
            <w:r>
              <w:rPr>
                <w:b/>
              </w:rPr>
              <w:t>Key a</w:t>
            </w:r>
            <w:r w:rsidR="00D864E8" w:rsidRPr="004D03A1">
              <w:rPr>
                <w:b/>
              </w:rPr>
              <w:t>ssumptions</w:t>
            </w:r>
            <w:r w:rsidR="00117AE2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74D11D0" w14:textId="31A0485F" w:rsidR="00D864E8" w:rsidRDefault="00914164" w:rsidP="00914164">
            <w:pPr>
              <w:pStyle w:val="Bulletlist"/>
            </w:pPr>
            <w:r>
              <w:t>The Customer has a functional Azure Active Directory environment</w:t>
            </w:r>
          </w:p>
          <w:p w14:paraId="3ED69405" w14:textId="2BF41023" w:rsidR="00914164" w:rsidRDefault="00914164" w:rsidP="00914164">
            <w:pPr>
              <w:pStyle w:val="Bulletlist"/>
            </w:pPr>
            <w:r>
              <w:t>The Customer has SaaS applications that can be integrated to Azure Active Directory</w:t>
            </w:r>
          </w:p>
        </w:tc>
      </w:tr>
    </w:tbl>
    <w:p w14:paraId="704024CD" w14:textId="77777777" w:rsidR="003F779C" w:rsidRDefault="003F779C" w:rsidP="00AA09CF">
      <w:pPr>
        <w:pStyle w:val="Heading4"/>
      </w:pPr>
      <w:bookmarkStart w:id="38" w:name="_Toc476168037"/>
      <w:r>
        <w:lastRenderedPageBreak/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3F779C" w:rsidRPr="003F779C" w14:paraId="083CCBFA" w14:textId="77777777" w:rsidTr="00A80D68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7D0CC99" w14:textId="77777777" w:rsidR="003F779C" w:rsidRPr="00BC4E85" w:rsidRDefault="003F779C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045FACC" w14:textId="77777777" w:rsidR="003F779C" w:rsidRPr="00BC4E85" w:rsidRDefault="003F779C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7B34F8F" w14:textId="77777777" w:rsidR="003F779C" w:rsidRPr="00BC4E85" w:rsidRDefault="003F779C" w:rsidP="00BC4E85">
            <w:pPr>
              <w:pStyle w:val="Table-Header"/>
            </w:pPr>
            <w:r w:rsidRPr="00BC4E85">
              <w:t xml:space="preserve">Acceptance </w:t>
            </w:r>
            <w:r w:rsidR="00BC4E85">
              <w:t>required</w:t>
            </w:r>
            <w:r w:rsidR="008C6736"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24FFE68F" w14:textId="77777777" w:rsidR="003F779C" w:rsidRPr="00BC4E85" w:rsidRDefault="003F779C" w:rsidP="00BC4E85">
            <w:pPr>
              <w:pStyle w:val="Table-Header"/>
            </w:pPr>
            <w:r w:rsidRPr="00BC4E85">
              <w:t>Responsibility</w:t>
            </w:r>
          </w:p>
        </w:tc>
      </w:tr>
      <w:tr w:rsidR="0040645F" w:rsidRPr="003F779C" w14:paraId="37A5FC45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F69E900" w14:textId="0E6F7E07" w:rsidR="0040645F" w:rsidRPr="0076168D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2ACF">
              <w:rPr>
                <w:rFonts w:eastAsia="Calibri"/>
                <w:szCs w:val="20"/>
              </w:rPr>
              <w:t>c</w:t>
            </w:r>
            <w:r w:rsidR="00512ACF" w:rsidRPr="5BB43366">
              <w:rPr>
                <w:rFonts w:eastAsia="Calibri"/>
                <w:szCs w:val="20"/>
              </w:rPr>
              <w:t>hecklist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D1C5ACD" w14:textId="7C2394A5" w:rsidR="0040645F" w:rsidRPr="0076168D" w:rsidRDefault="008A087E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Microsoft </w:t>
            </w:r>
            <w:r w:rsidR="0040645F" w:rsidRPr="5BB43366">
              <w:rPr>
                <w:rFonts w:eastAsia="Calibri"/>
                <w:szCs w:val="20"/>
              </w:rPr>
              <w:t xml:space="preserve">Excel spreadsheet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40645F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 w:rsidR="00CB419B">
              <w:rPr>
                <w:rFonts w:eastAsia="Calibri"/>
                <w:szCs w:val="20"/>
              </w:rPr>
              <w:t>facilitate</w:t>
            </w:r>
            <w:r w:rsidR="00CB419B" w:rsidRPr="5BB43366">
              <w:rPr>
                <w:rFonts w:eastAsia="Calibri"/>
                <w:szCs w:val="20"/>
              </w:rPr>
              <w:t xml:space="preserve"> </w:t>
            </w:r>
            <w:r w:rsidR="0040645F" w:rsidRPr="5BB43366">
              <w:rPr>
                <w:rFonts w:eastAsia="Calibri"/>
                <w:szCs w:val="20"/>
              </w:rPr>
              <w:t>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3D42DFD" w14:textId="029BD84E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F4E945" w14:textId="2FC5C99B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  <w:tr w:rsidR="0040645F" w:rsidRPr="003F779C" w14:paraId="265CD809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5CBB4CF" w14:textId="5673D202" w:rsidR="0040645F" w:rsidRDefault="0040645F" w:rsidP="0040645F">
            <w:pPr>
              <w:rPr>
                <w:rFonts w:eastAsia="Calibri"/>
                <w:szCs w:val="20"/>
              </w:rPr>
            </w:pPr>
            <w:r w:rsidRPr="5BB43366">
              <w:rPr>
                <w:rFonts w:eastAsia="Calibri"/>
                <w:szCs w:val="20"/>
              </w:rPr>
              <w:t xml:space="preserve">Design and </w:t>
            </w:r>
            <w:r w:rsidR="00512ACF">
              <w:rPr>
                <w:rFonts w:eastAsia="Calibri"/>
                <w:szCs w:val="20"/>
              </w:rPr>
              <w:t>p</w:t>
            </w:r>
            <w:r w:rsidR="00512ACF" w:rsidRPr="5BB43366">
              <w:rPr>
                <w:rFonts w:eastAsia="Calibri"/>
                <w:szCs w:val="20"/>
              </w:rPr>
              <w:t>lan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2E46FEC" w14:textId="547B9CD4" w:rsidR="0040645F" w:rsidRPr="0076168D" w:rsidRDefault="00ED234B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 xml:space="preserve">A </w:t>
            </w:r>
            <w:r w:rsidR="0040645F" w:rsidRPr="5BB43366">
              <w:rPr>
                <w:rFonts w:eastAsia="Calibri"/>
                <w:szCs w:val="20"/>
              </w:rPr>
              <w:t>Word document that captures design decisions made during the workshop, documents the design for the solution, and details the high-level plan for the completion of in-scope work.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0A67AFD" w14:textId="51D40BA9" w:rsidR="0040645F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DC915F8" w14:textId="4ED046C2" w:rsidR="0040645F" w:rsidRPr="0076168D" w:rsidRDefault="00CF113A" w:rsidP="0040645F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Microsoft</w:t>
            </w:r>
          </w:p>
        </w:tc>
      </w:tr>
    </w:tbl>
    <w:bookmarkEnd w:id="38"/>
    <w:p w14:paraId="5B4078D4" w14:textId="77777777" w:rsidR="00B46E7E" w:rsidRDefault="0040645F" w:rsidP="00C84DD9">
      <w:pPr>
        <w:pStyle w:val="Heading3"/>
      </w:pPr>
      <w:r>
        <w:t>Remediate</w:t>
      </w:r>
    </w:p>
    <w:p w14:paraId="53684072" w14:textId="55B4E1A2" w:rsidR="00D67903" w:rsidRDefault="0040645F" w:rsidP="00972AF8">
      <w:r w:rsidRPr="0040645F">
        <w:t xml:space="preserve">During the Remediate phase, the Customer uses the </w:t>
      </w:r>
      <w:r w:rsidR="00972AF8">
        <w:t>r</w:t>
      </w:r>
      <w:r w:rsidR="00972AF8" w:rsidRPr="0040645F">
        <w:t xml:space="preserve">emediation </w:t>
      </w:r>
      <w:r w:rsidRPr="0040645F">
        <w:t xml:space="preserve">and </w:t>
      </w:r>
      <w:r w:rsidR="00972AF8">
        <w:t>d</w:t>
      </w:r>
      <w:r w:rsidR="00972AF8" w:rsidRPr="0040645F">
        <w:t xml:space="preserve">eployment </w:t>
      </w:r>
      <w:r w:rsidR="00972AF8">
        <w:t>p</w:t>
      </w:r>
      <w:r w:rsidR="00972AF8" w:rsidRPr="0040645F">
        <w:t xml:space="preserve">lan </w:t>
      </w:r>
      <w:r w:rsidRPr="0040645F">
        <w:t>to prepare the environment for onboarding to Azure Active Directory, with assistance from Microsoft. This preparation includes completion of prerequisites, procurement</w:t>
      </w:r>
      <w:r w:rsidR="007446FA">
        <w:t>,</w:t>
      </w:r>
      <w:r w:rsidRPr="0040645F">
        <w:t xml:space="preserve"> and provisioning of required hardware or virtual machines, cleanup of </w:t>
      </w:r>
      <w:r w:rsidR="00455CE1">
        <w:t>AD DS</w:t>
      </w:r>
      <w:r w:rsidRPr="0040645F">
        <w:t xml:space="preserve"> content, and the deployment of Azure Active Directory Connect and related integration component requirements. These preparations are based on decisions made during the Assess phase of the project.</w:t>
      </w:r>
    </w:p>
    <w:tbl>
      <w:tblPr>
        <w:tblStyle w:val="TableGrid1"/>
        <w:tblW w:w="9208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50"/>
        <w:gridCol w:w="6258"/>
      </w:tblGrid>
      <w:tr w:rsidR="00B46E7E" w14:paraId="1AC13FD5" w14:textId="77777777" w:rsidTr="04CD2D1A">
        <w:trPr>
          <w:trHeight w:val="542"/>
          <w:tblHeader/>
        </w:trPr>
        <w:tc>
          <w:tcPr>
            <w:tcW w:w="9208" w:type="dxa"/>
            <w:gridSpan w:val="2"/>
            <w:shd w:val="clear" w:color="auto" w:fill="008272"/>
          </w:tcPr>
          <w:p w14:paraId="617D30AD" w14:textId="77777777" w:rsidR="00B46E7E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C3BED8" wp14:editId="752CD4D8">
                  <wp:extent cx="1298722" cy="237744"/>
                  <wp:effectExtent l="0" t="0" r="0" b="0"/>
                  <wp:docPr id="1669069144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/>
                        </pic:nvPicPr>
                        <pic:blipFill>
                          <a:blip r:embed="rId13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16="http://schemas.microsoft.com/office/drawing/2014/main" id="{B6D97BDD-14F3-45CA-9F04-0819CF14E4D4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722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7E" w14:paraId="341B05C7" w14:textId="77777777" w:rsidTr="04CD2D1A">
        <w:trPr>
          <w:trHeight w:val="542"/>
          <w:tblHeader/>
        </w:trPr>
        <w:tc>
          <w:tcPr>
            <w:tcW w:w="2950" w:type="dxa"/>
            <w:shd w:val="clear" w:color="auto" w:fill="008272"/>
          </w:tcPr>
          <w:p w14:paraId="02BA7FD6" w14:textId="77777777" w:rsidR="00B46E7E" w:rsidRPr="004B0557" w:rsidRDefault="00B46E7E" w:rsidP="00031658">
            <w:pPr>
              <w:pStyle w:val="Table-Header"/>
            </w:pPr>
            <w:r>
              <w:t>Category</w:t>
            </w:r>
          </w:p>
        </w:tc>
        <w:tc>
          <w:tcPr>
            <w:tcW w:w="6258" w:type="dxa"/>
            <w:shd w:val="clear" w:color="auto" w:fill="008272"/>
          </w:tcPr>
          <w:p w14:paraId="47C6E3B9" w14:textId="77777777" w:rsidR="00B46E7E" w:rsidRPr="00AE61D2" w:rsidRDefault="00B46E7E" w:rsidP="00031658">
            <w:pPr>
              <w:pStyle w:val="Table-Header"/>
            </w:pPr>
            <w:r>
              <w:t>Description</w:t>
            </w:r>
          </w:p>
        </w:tc>
      </w:tr>
      <w:tr w:rsidR="00B46E7E" w:rsidRPr="005F3BAF" w14:paraId="6DA690B5" w14:textId="77777777" w:rsidTr="04CD2D1A">
        <w:trPr>
          <w:trHeight w:val="422"/>
        </w:trPr>
        <w:tc>
          <w:tcPr>
            <w:tcW w:w="2950" w:type="dxa"/>
            <w:shd w:val="clear" w:color="auto" w:fill="auto"/>
          </w:tcPr>
          <w:p w14:paraId="0BB97E69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 w:rsidRP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58" w:type="dxa"/>
            <w:shd w:val="clear" w:color="auto" w:fill="auto"/>
          </w:tcPr>
          <w:p w14:paraId="663330D3" w14:textId="55B1BD7C" w:rsidR="0040645F" w:rsidRDefault="0040645F" w:rsidP="00B50263">
            <w:pPr>
              <w:pStyle w:val="Bulletlist"/>
            </w:pPr>
            <w:r w:rsidRPr="5BB43366">
              <w:t xml:space="preserve">Provide general guidance and answer questions during </w:t>
            </w:r>
            <w:r w:rsidR="00AE1D01">
              <w:t>C</w:t>
            </w:r>
            <w:r w:rsidRPr="5BB43366">
              <w:t>ustomer-led completion of identified preparation tasks</w:t>
            </w:r>
            <w:r w:rsidR="00137B57">
              <w:t>.</w:t>
            </w:r>
          </w:p>
          <w:p w14:paraId="64B1467D" w14:textId="0B46E18A" w:rsidR="00410CDC" w:rsidRDefault="00B50263">
            <w:pPr>
              <w:pStyle w:val="Bulletlist"/>
            </w:pPr>
            <w:r>
              <w:t>Provide input to end-user communications related to the solution</w:t>
            </w:r>
            <w:r w:rsidR="00137B57">
              <w:t>.</w:t>
            </w:r>
          </w:p>
          <w:p w14:paraId="54E4EEB6" w14:textId="3424641A" w:rsidR="00410CDC" w:rsidRPr="00D0227D" w:rsidRDefault="00410CDC">
            <w:pPr>
              <w:pStyle w:val="Bulletlist"/>
            </w:pPr>
            <w:r w:rsidRPr="00410CDC">
              <w:t>Implement pre</w:t>
            </w:r>
            <w:r w:rsidR="00727052">
              <w:t>requisites</w:t>
            </w:r>
            <w:r w:rsidRPr="00410CDC">
              <w:t xml:space="preserve"> for Azure </w:t>
            </w:r>
            <w:r w:rsidR="007F5153">
              <w:t>A</w:t>
            </w:r>
            <w:r w:rsidR="00444C79">
              <w:t>ctive Directory</w:t>
            </w:r>
            <w:r w:rsidRPr="00410CDC">
              <w:t xml:space="preserve"> App Proxy including </w:t>
            </w:r>
            <w:r w:rsidR="00137B57">
              <w:t>h</w:t>
            </w:r>
            <w:r w:rsidR="00137B57" w:rsidRPr="00410CDC">
              <w:t>ardware</w:t>
            </w:r>
            <w:r w:rsidRPr="00410CDC">
              <w:t>, software</w:t>
            </w:r>
            <w:r w:rsidR="00137B57">
              <w:t>,</w:t>
            </w:r>
            <w:r w:rsidRPr="00410CDC">
              <w:t xml:space="preserve"> and </w:t>
            </w:r>
            <w:r w:rsidR="00E05D3D">
              <w:t xml:space="preserve">the </w:t>
            </w:r>
            <w:r w:rsidRPr="00410CDC">
              <w:t>networking summarized in preparation checklist</w:t>
            </w:r>
            <w:r w:rsidR="00137B57">
              <w:t>.</w:t>
            </w:r>
          </w:p>
        </w:tc>
      </w:tr>
      <w:tr w:rsidR="00B46E7E" w:rsidRPr="005F3BAF" w14:paraId="0CCF6B0A" w14:textId="77777777" w:rsidTr="04CD2D1A">
        <w:trPr>
          <w:trHeight w:val="422"/>
        </w:trPr>
        <w:tc>
          <w:tcPr>
            <w:tcW w:w="2950" w:type="dxa"/>
            <w:shd w:val="clear" w:color="auto" w:fill="auto"/>
          </w:tcPr>
          <w:p w14:paraId="2A0A72BB" w14:textId="77777777" w:rsidR="00B46E7E" w:rsidRPr="00D0227D" w:rsidRDefault="00B46E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6965B5">
              <w:t>ustomer</w:t>
            </w:r>
          </w:p>
        </w:tc>
        <w:tc>
          <w:tcPr>
            <w:tcW w:w="6258" w:type="dxa"/>
            <w:shd w:val="clear" w:color="auto" w:fill="auto"/>
          </w:tcPr>
          <w:p w14:paraId="310D05B3" w14:textId="2E734664" w:rsidR="007E636A" w:rsidRDefault="007E636A" w:rsidP="007E636A">
            <w:pPr>
              <w:pStyle w:val="Bulletlist"/>
            </w:pPr>
            <w:r>
              <w:t xml:space="preserve">Complete all identified preparation tasks to </w:t>
            </w:r>
            <w:r w:rsidR="00FA54F1">
              <w:t>facilitating</w:t>
            </w:r>
            <w:r>
              <w:t xml:space="preserve"> implementation of the solution</w:t>
            </w:r>
            <w:r w:rsidR="00137B57">
              <w:t>.</w:t>
            </w:r>
          </w:p>
          <w:p w14:paraId="39598DD2" w14:textId="0677D43D" w:rsidR="002873EF" w:rsidRDefault="007E636A">
            <w:pPr>
              <w:pStyle w:val="Bulletlist"/>
            </w:pPr>
            <w:r>
              <w:t>Prepare user communications</w:t>
            </w:r>
            <w:r w:rsidR="00FA54F1">
              <w:t>.</w:t>
            </w:r>
          </w:p>
          <w:p w14:paraId="53ED5A6D" w14:textId="08047FE9" w:rsidR="002873EF" w:rsidRDefault="002873EF" w:rsidP="002873EF">
            <w:pPr>
              <w:pStyle w:val="Bulletlist"/>
            </w:pPr>
            <w:r>
              <w:t xml:space="preserve">Provision </w:t>
            </w:r>
            <w:r w:rsidR="00FA54F1">
              <w:t xml:space="preserve">the </w:t>
            </w:r>
            <w:r>
              <w:t xml:space="preserve">servers required for Azure </w:t>
            </w:r>
            <w:r w:rsidR="007F5153">
              <w:t>A</w:t>
            </w:r>
            <w:r w:rsidR="00444C79">
              <w:t>ctive Directory</w:t>
            </w:r>
            <w:r>
              <w:t xml:space="preserve"> App Proxy installation</w:t>
            </w:r>
            <w:r w:rsidR="00FA54F1">
              <w:t>.</w:t>
            </w:r>
          </w:p>
          <w:p w14:paraId="53B2F717" w14:textId="3B7216E8" w:rsidR="002873EF" w:rsidRDefault="002873EF" w:rsidP="002873EF">
            <w:pPr>
              <w:pStyle w:val="Bulletlist"/>
            </w:pPr>
            <w:r>
              <w:t xml:space="preserve">Remediate applications (if required) to prepare for integration with Azure </w:t>
            </w:r>
            <w:r w:rsidR="007F5153">
              <w:t>A</w:t>
            </w:r>
            <w:r w:rsidR="00444C79">
              <w:t>ctive Directory</w:t>
            </w:r>
            <w:r w:rsidR="00165C84">
              <w:t>.</w:t>
            </w:r>
          </w:p>
          <w:p w14:paraId="13BE11FD" w14:textId="1D3DE968" w:rsidR="002873EF" w:rsidRDefault="002873EF" w:rsidP="002873EF">
            <w:pPr>
              <w:pStyle w:val="Bulletlist"/>
            </w:pPr>
            <w:r>
              <w:t xml:space="preserve">Complete </w:t>
            </w:r>
            <w:r w:rsidR="00165C84">
              <w:t xml:space="preserve">the </w:t>
            </w:r>
            <w:r>
              <w:t xml:space="preserve">tasks </w:t>
            </w:r>
            <w:r w:rsidR="00165C84">
              <w:t xml:space="preserve">that were </w:t>
            </w:r>
            <w:r>
              <w:t xml:space="preserve">summarized on </w:t>
            </w:r>
            <w:r w:rsidR="00165C84">
              <w:t xml:space="preserve">the </w:t>
            </w:r>
            <w:r>
              <w:t>preparation checklist</w:t>
            </w:r>
            <w:r w:rsidR="00165C84">
              <w:t>.</w:t>
            </w:r>
          </w:p>
          <w:p w14:paraId="4DA6A331" w14:textId="03472A45" w:rsidR="00B46E7E" w:rsidRPr="00D0227D" w:rsidRDefault="002873EF" w:rsidP="00AA09CF">
            <w:pPr>
              <w:pStyle w:val="Bulletlist"/>
            </w:pPr>
            <w:r>
              <w:lastRenderedPageBreak/>
              <w:t xml:space="preserve">If </w:t>
            </w:r>
            <w:r w:rsidR="00165C84">
              <w:t xml:space="preserve">the </w:t>
            </w:r>
            <w:r>
              <w:t xml:space="preserve">application requires additional configuration </w:t>
            </w:r>
            <w:r w:rsidR="00165C84">
              <w:t xml:space="preserve">or </w:t>
            </w:r>
            <w:r>
              <w:t xml:space="preserve">remediation steps prior to integration, </w:t>
            </w:r>
            <w:r w:rsidR="00165C84">
              <w:t xml:space="preserve">the </w:t>
            </w:r>
            <w:r w:rsidR="00AE1D01">
              <w:t>C</w:t>
            </w:r>
            <w:r>
              <w:t>ustomer will provide subject matter expertise for that application</w:t>
            </w:r>
            <w:r w:rsidR="00D72BEF">
              <w:t xml:space="preserve"> </w:t>
            </w:r>
            <w:r>
              <w:t>or engage the product vendor, as necessary.</w:t>
            </w:r>
          </w:p>
        </w:tc>
      </w:tr>
      <w:tr w:rsidR="00B46E7E" w:rsidRPr="005F3BAF" w14:paraId="235DA466" w14:textId="77777777" w:rsidTr="04CD2D1A">
        <w:trPr>
          <w:trHeight w:val="422"/>
        </w:trPr>
        <w:tc>
          <w:tcPr>
            <w:tcW w:w="2950" w:type="dxa"/>
            <w:shd w:val="clear" w:color="auto" w:fill="auto"/>
          </w:tcPr>
          <w:p w14:paraId="14180625" w14:textId="2969B18E" w:rsidR="00B46E7E" w:rsidRDefault="00B46E7E" w:rsidP="00D72BEF">
            <w:pPr>
              <w:pStyle w:val="TableText"/>
            </w:pPr>
            <w:r w:rsidRPr="00117AE2">
              <w:rPr>
                <w:b/>
              </w:rPr>
              <w:lastRenderedPageBreak/>
              <w:t>Key assumptions</w:t>
            </w:r>
          </w:p>
        </w:tc>
        <w:tc>
          <w:tcPr>
            <w:tcW w:w="6258" w:type="dxa"/>
            <w:shd w:val="clear" w:color="auto" w:fill="auto"/>
          </w:tcPr>
          <w:p w14:paraId="78B06D4A" w14:textId="06BD63DA" w:rsidR="00B46E7E" w:rsidRDefault="007E636A" w:rsidP="00A80D68">
            <w:pPr>
              <w:pStyle w:val="TableText"/>
            </w:pPr>
            <w:r>
              <w:t>Items in the</w:t>
            </w:r>
            <w:r w:rsidR="00B50263">
              <w:t xml:space="preserve"> </w:t>
            </w:r>
            <w:r>
              <w:t xml:space="preserve">preparation checklist can be remediated within </w:t>
            </w:r>
            <w:r w:rsidR="00914164">
              <w:rPr>
                <w:rStyle w:val="InstructionalChar"/>
              </w:rPr>
              <w:t>1</w:t>
            </w:r>
            <w:r w:rsidRPr="007E636A">
              <w:rPr>
                <w:rStyle w:val="InstructionalChar"/>
              </w:rPr>
              <w:t xml:space="preserve"> </w:t>
            </w:r>
            <w:r>
              <w:rPr>
                <w:rStyle w:val="InstructionalChar"/>
              </w:rPr>
              <w:t>week</w:t>
            </w:r>
            <w:r>
              <w:t>.</w:t>
            </w:r>
            <w:r w:rsidR="006001F3">
              <w:t xml:space="preserve"> </w:t>
            </w:r>
          </w:p>
        </w:tc>
      </w:tr>
    </w:tbl>
    <w:p w14:paraId="60E86513" w14:textId="77777777" w:rsidR="00BC4E85" w:rsidRDefault="00BC4E85" w:rsidP="00AA09CF">
      <w:pPr>
        <w:pStyle w:val="Heading4"/>
      </w:pPr>
      <w:bookmarkStart w:id="39" w:name="_Toc476168038"/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714"/>
        <w:gridCol w:w="1820"/>
        <w:gridCol w:w="1591"/>
      </w:tblGrid>
      <w:tr w:rsidR="00BC4E85" w:rsidRPr="003F779C" w14:paraId="787DC95C" w14:textId="77777777" w:rsidTr="00A80D68">
        <w:trPr>
          <w:trHeight w:val="373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E7A664A" w14:textId="77777777" w:rsidR="00BC4E85" w:rsidRPr="00BC4E85" w:rsidRDefault="00BC4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B2FD4C" w14:textId="77777777" w:rsidR="00BC4E85" w:rsidRPr="00BC4E85" w:rsidRDefault="00BC4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5AC3357" w14:textId="77777777" w:rsidR="00BC4E85" w:rsidRPr="00BC4E85" w:rsidRDefault="00BC4E85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A3A4535" w14:textId="77777777" w:rsidR="00BC4E85" w:rsidRPr="00BC4E85" w:rsidRDefault="00BC4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CA10D8" w:rsidRPr="003F779C" w14:paraId="53F5009D" w14:textId="77777777" w:rsidTr="002702C8">
        <w:trPr>
          <w:trHeight w:val="43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CA2B6BA" w14:textId="7692933B" w:rsidR="00CA10D8" w:rsidRPr="003F779C" w:rsidRDefault="00CA10D8" w:rsidP="00CA10D8">
            <w:pPr>
              <w:pStyle w:val="TableText"/>
            </w:pPr>
            <w:r w:rsidRPr="5BB43366">
              <w:rPr>
                <w:rFonts w:eastAsia="Calibri"/>
                <w:szCs w:val="20"/>
              </w:rPr>
              <w:t xml:space="preserve">Preparation </w:t>
            </w:r>
            <w:r w:rsidR="00517604">
              <w:rPr>
                <w:rFonts w:eastAsia="Calibri"/>
                <w:szCs w:val="20"/>
              </w:rPr>
              <w:t>c</w:t>
            </w:r>
            <w:r w:rsidR="00517604" w:rsidRPr="5BB43366">
              <w:rPr>
                <w:rFonts w:eastAsia="Calibri"/>
                <w:szCs w:val="20"/>
              </w:rPr>
              <w:t>hecklist</w:t>
            </w:r>
            <w:r w:rsidR="00517604">
              <w:rPr>
                <w:rFonts w:eastAsia="Calibri"/>
                <w:szCs w:val="20"/>
              </w:rPr>
              <w:t xml:space="preserve"> completed</w:t>
            </w:r>
          </w:p>
        </w:tc>
        <w:tc>
          <w:tcPr>
            <w:tcW w:w="371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48AB0D" w14:textId="623A4E5E" w:rsidR="00CA10D8" w:rsidRPr="003F779C" w:rsidRDefault="0016220E" w:rsidP="00CA10D8">
            <w:pPr>
              <w:pStyle w:val="TableText"/>
            </w:pPr>
            <w:r>
              <w:rPr>
                <w:rFonts w:eastAsia="Calibri"/>
                <w:szCs w:val="20"/>
              </w:rPr>
              <w:t xml:space="preserve">An </w:t>
            </w:r>
            <w:r w:rsidR="00CA10D8" w:rsidRPr="5BB43366">
              <w:rPr>
                <w:rFonts w:eastAsia="Calibri"/>
                <w:szCs w:val="20"/>
              </w:rPr>
              <w:t>Excel spre</w:t>
            </w:r>
            <w:r w:rsidR="00517604">
              <w:rPr>
                <w:rFonts w:eastAsia="Calibri"/>
                <w:szCs w:val="20"/>
              </w:rPr>
              <w:t>ad</w:t>
            </w:r>
            <w:r w:rsidR="00CA10D8" w:rsidRPr="5BB43366">
              <w:rPr>
                <w:rFonts w:eastAsia="Calibri"/>
                <w:szCs w:val="20"/>
              </w:rPr>
              <w:t xml:space="preserve">sheet that documents the tasks </w:t>
            </w:r>
            <w:r>
              <w:rPr>
                <w:rFonts w:eastAsia="Calibri"/>
                <w:szCs w:val="20"/>
              </w:rPr>
              <w:t>that</w:t>
            </w:r>
            <w:r w:rsidRPr="5BB43366">
              <w:rPr>
                <w:rFonts w:eastAsia="Calibri"/>
                <w:szCs w:val="20"/>
              </w:rPr>
              <w:t xml:space="preserve"> </w:t>
            </w:r>
            <w:r w:rsidR="00CA10D8" w:rsidRPr="5BB43366">
              <w:rPr>
                <w:rFonts w:eastAsia="Calibri"/>
                <w:szCs w:val="20"/>
              </w:rPr>
              <w:t xml:space="preserve">must be completed by the </w:t>
            </w:r>
            <w:r w:rsidR="00AE1D01">
              <w:rPr>
                <w:rFonts w:eastAsia="Calibri"/>
                <w:szCs w:val="20"/>
              </w:rPr>
              <w:t>C</w:t>
            </w:r>
            <w:r w:rsidR="00CA10D8" w:rsidRPr="5BB43366">
              <w:rPr>
                <w:rFonts w:eastAsia="Calibri"/>
                <w:szCs w:val="20"/>
              </w:rPr>
              <w:t xml:space="preserve">ustomer and the resources that must be procured to </w:t>
            </w:r>
            <w:r>
              <w:rPr>
                <w:rFonts w:eastAsia="Calibri"/>
                <w:szCs w:val="20"/>
              </w:rPr>
              <w:t>facilitate</w:t>
            </w:r>
            <w:r w:rsidR="00CA10D8" w:rsidRPr="5BB43366">
              <w:rPr>
                <w:rFonts w:eastAsia="Calibri"/>
                <w:szCs w:val="20"/>
              </w:rPr>
              <w:t xml:space="preserve"> the completion of in-scope work.</w:t>
            </w:r>
          </w:p>
        </w:tc>
        <w:tc>
          <w:tcPr>
            <w:tcW w:w="1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3D6F560" w14:textId="7DC29836" w:rsidR="00CA10D8" w:rsidRPr="003F779C" w:rsidRDefault="00CA10D8" w:rsidP="00CA10D8">
            <w:pPr>
              <w:pStyle w:val="TableText"/>
            </w:pPr>
            <w:r>
              <w:rPr>
                <w:rFonts w:eastAsia="Calibri"/>
                <w:szCs w:val="20"/>
              </w:rP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890540A" w14:textId="337E53AD" w:rsidR="00CA10D8" w:rsidRPr="003F779C" w:rsidRDefault="007D52B8" w:rsidP="00CA10D8">
            <w:pPr>
              <w:pStyle w:val="TableText"/>
            </w:pPr>
            <w:r>
              <w:rPr>
                <w:rFonts w:eastAsia="Calibri"/>
                <w:szCs w:val="20"/>
              </w:rPr>
              <w:t>Customer</w:t>
            </w:r>
          </w:p>
        </w:tc>
      </w:tr>
    </w:tbl>
    <w:p w14:paraId="7BD82B00" w14:textId="77777777" w:rsidR="009B1142" w:rsidRDefault="0040645F" w:rsidP="00C84DD9">
      <w:pPr>
        <w:pStyle w:val="Heading3"/>
      </w:pPr>
      <w:r>
        <w:t>Enable</w:t>
      </w:r>
      <w:bookmarkEnd w:id="39"/>
    </w:p>
    <w:p w14:paraId="47F86C2F" w14:textId="4CA614E6" w:rsidR="0040645F" w:rsidRDefault="0040645F" w:rsidP="0040645F">
      <w:r w:rsidRPr="00D05691">
        <w:t xml:space="preserve">During the </w:t>
      </w:r>
      <w:r>
        <w:t>Enable</w:t>
      </w:r>
      <w:r w:rsidRPr="00D05691">
        <w:t xml:space="preserve"> phase, Azure Active Directory Connect components </w:t>
      </w:r>
      <w:r>
        <w:t xml:space="preserve">will be installed </w:t>
      </w:r>
      <w:r w:rsidRPr="00D05691">
        <w:t xml:space="preserve">in the production environment and components </w:t>
      </w:r>
      <w:r>
        <w:t xml:space="preserve">will be tested </w:t>
      </w:r>
      <w:r w:rsidRPr="00D05691">
        <w:t>to validate</w:t>
      </w:r>
      <w:r>
        <w:t xml:space="preserve"> expected</w:t>
      </w:r>
      <w:r w:rsidRPr="00D05691">
        <w:t xml:space="preserve"> functionality. After validation, Microsoft </w:t>
      </w:r>
      <w:r w:rsidR="00236E54">
        <w:t xml:space="preserve">will </w:t>
      </w:r>
      <w:r w:rsidRPr="00D05691">
        <w:t>perform a final demonstration of functionality. An engagement closeout meeting completes the project.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65"/>
        <w:gridCol w:w="6243"/>
        <w:gridCol w:w="13"/>
      </w:tblGrid>
      <w:tr w:rsidR="009B1142" w14:paraId="1F82ADC2" w14:textId="77777777" w:rsidTr="04CD2D1A">
        <w:trPr>
          <w:trHeight w:val="542"/>
          <w:tblHeader/>
        </w:trPr>
        <w:tc>
          <w:tcPr>
            <w:tcW w:w="9221" w:type="dxa"/>
            <w:gridSpan w:val="3"/>
            <w:shd w:val="clear" w:color="auto" w:fill="008272"/>
          </w:tcPr>
          <w:p w14:paraId="01B1DD47" w14:textId="77777777" w:rsidR="009B1142" w:rsidRDefault="0040645F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4F3D97" wp14:editId="5B5976D7">
                  <wp:extent cx="1318398" cy="237744"/>
                  <wp:effectExtent l="0" t="0" r="0" b="0"/>
                  <wp:docPr id="637326444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/>
                        </pic:nvPicPr>
                        <pic:blipFill>
                          <a:blip r:embed="rId14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16="http://schemas.microsoft.com/office/drawing/2014/main" id="{2615B0BC-45DF-4A73-A5C1-57F16F9ED3A1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98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14:paraId="2AEA21BF" w14:textId="77777777" w:rsidTr="04CD2D1A">
        <w:trPr>
          <w:trHeight w:val="542"/>
          <w:tblHeader/>
        </w:trPr>
        <w:tc>
          <w:tcPr>
            <w:tcW w:w="2965" w:type="dxa"/>
            <w:shd w:val="clear" w:color="auto" w:fill="008272"/>
          </w:tcPr>
          <w:p w14:paraId="7350B176" w14:textId="77777777" w:rsidR="009B1142" w:rsidRPr="004B0557" w:rsidRDefault="009B1142" w:rsidP="00031658">
            <w:pPr>
              <w:pStyle w:val="Table-Header"/>
            </w:pPr>
            <w:r>
              <w:t>Category</w:t>
            </w:r>
          </w:p>
        </w:tc>
        <w:tc>
          <w:tcPr>
            <w:tcW w:w="6256" w:type="dxa"/>
            <w:gridSpan w:val="2"/>
            <w:shd w:val="clear" w:color="auto" w:fill="008272"/>
          </w:tcPr>
          <w:p w14:paraId="79B4DF5E" w14:textId="77777777" w:rsidR="009B1142" w:rsidRPr="00AE61D2" w:rsidRDefault="009B1142" w:rsidP="00031658">
            <w:pPr>
              <w:pStyle w:val="Table-Header"/>
            </w:pPr>
            <w:r>
              <w:t>Description</w:t>
            </w:r>
          </w:p>
        </w:tc>
      </w:tr>
      <w:tr w:rsidR="00605831" w:rsidRPr="005F3BAF" w14:paraId="56773D02" w14:textId="77777777" w:rsidTr="04CD2D1A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731D54F4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Microsoft activities</w:t>
            </w:r>
            <w:r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243" w:type="dxa"/>
            <w:shd w:val="clear" w:color="auto" w:fill="auto"/>
          </w:tcPr>
          <w:p w14:paraId="62D29656" w14:textId="68B91E6A" w:rsidR="004A726E" w:rsidRPr="0010406A" w:rsidRDefault="004A726E" w:rsidP="0010406A">
            <w:pPr>
              <w:pStyle w:val="TableBullet1"/>
            </w:pPr>
            <w:r>
              <w:t>Install and configure</w:t>
            </w:r>
            <w:r w:rsidR="00914164">
              <w:t xml:space="preserve"> up to</w:t>
            </w:r>
            <w:r>
              <w:t xml:space="preserve"> 2 </w:t>
            </w:r>
            <w:r w:rsidRPr="0010406A">
              <w:t xml:space="preserve">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App Proxy agents</w:t>
            </w:r>
            <w:r w:rsidR="00012C5A">
              <w:t>.</w:t>
            </w:r>
          </w:p>
          <w:p w14:paraId="4872B415" w14:textId="28C982E1" w:rsidR="00F364B6" w:rsidRPr="0010406A" w:rsidRDefault="004A726E" w:rsidP="0010406A">
            <w:pPr>
              <w:pStyle w:val="TableBullet1"/>
            </w:pPr>
            <w:r w:rsidRPr="0010406A">
              <w:t xml:space="preserve">Integrate in-scope applications with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(SSO</w:t>
            </w:r>
            <w:r w:rsidR="00012C5A">
              <w:t xml:space="preserve"> or </w:t>
            </w:r>
            <w:r w:rsidRPr="0010406A">
              <w:t>App Proxy)</w:t>
            </w:r>
            <w:r w:rsidR="00012C5A">
              <w:t>.</w:t>
            </w:r>
          </w:p>
          <w:p w14:paraId="5812709E" w14:textId="1D0096FC" w:rsidR="005322AA" w:rsidRPr="003E377E" w:rsidRDefault="004A726E" w:rsidP="003E377E">
            <w:pPr>
              <w:pStyle w:val="TableBullet1"/>
            </w:pPr>
            <w:r w:rsidRPr="0010406A">
              <w:t xml:space="preserve">Create and validate </w:t>
            </w:r>
            <w:r w:rsidR="00431A4A">
              <w:t>t</w:t>
            </w:r>
            <w:r w:rsidR="00431A4A" w:rsidRPr="0010406A">
              <w:t xml:space="preserve">est </w:t>
            </w:r>
            <w:r w:rsidRPr="0010406A">
              <w:t>ca</w:t>
            </w:r>
            <w:r w:rsidRPr="00F708E7">
              <w:t xml:space="preserve">se </w:t>
            </w:r>
            <w:r w:rsidR="00431A4A">
              <w:t>t</w:t>
            </w:r>
            <w:r w:rsidR="00431A4A" w:rsidRPr="00F708E7">
              <w:t xml:space="preserve">esting </w:t>
            </w:r>
            <w:r w:rsidRPr="00F708E7">
              <w:t xml:space="preserve">and </w:t>
            </w:r>
            <w:r w:rsidR="00431A4A">
              <w:t xml:space="preserve">the </w:t>
            </w:r>
            <w:r w:rsidRPr="00F708E7">
              <w:t xml:space="preserve">remediation of application integration with Azure </w:t>
            </w:r>
            <w:r w:rsidR="007F5153">
              <w:t>A</w:t>
            </w:r>
            <w:r w:rsidR="00444C79">
              <w:t>ctive Directory</w:t>
            </w:r>
            <w:r w:rsidRPr="00F708E7">
              <w:t xml:space="preserve"> </w:t>
            </w:r>
            <w:r w:rsidRPr="00A85B61">
              <w:t>(</w:t>
            </w:r>
            <w:r w:rsidR="00F364B6" w:rsidRPr="00A85B61">
              <w:t xml:space="preserve">up </w:t>
            </w:r>
            <w:r w:rsidRPr="00A85B61">
              <w:t xml:space="preserve">to a maximum of </w:t>
            </w:r>
            <w:r w:rsidR="00133C93" w:rsidRPr="00A85B61">
              <w:t>6</w:t>
            </w:r>
            <w:r w:rsidRPr="00A85B61">
              <w:t xml:space="preserve"> hours)</w:t>
            </w:r>
            <w:r w:rsidR="00431A4A" w:rsidRPr="00A85B61">
              <w:t>.</w:t>
            </w:r>
          </w:p>
        </w:tc>
      </w:tr>
      <w:tr w:rsidR="00605831" w:rsidRPr="005F3BAF" w14:paraId="354276B3" w14:textId="77777777" w:rsidTr="04CD2D1A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376C46E0" w14:textId="77777777" w:rsidR="00605831" w:rsidRPr="00D0227D" w:rsidRDefault="00605831" w:rsidP="00605831">
            <w:pPr>
              <w:pStyle w:val="TableText"/>
            </w:pPr>
            <w:r w:rsidRPr="004D03A1">
              <w:rPr>
                <w:b/>
              </w:rPr>
              <w:t>Customer activities</w:t>
            </w:r>
            <w:r>
              <w:rPr>
                <w:b/>
              </w:rPr>
              <w:br/>
            </w:r>
            <w:r>
              <w:t>The activities to be performed by the Customer</w:t>
            </w:r>
          </w:p>
        </w:tc>
        <w:tc>
          <w:tcPr>
            <w:tcW w:w="6243" w:type="dxa"/>
            <w:shd w:val="clear" w:color="auto" w:fill="auto"/>
          </w:tcPr>
          <w:p w14:paraId="4FE7CE59" w14:textId="39A80E4A" w:rsidR="00605831" w:rsidRDefault="00605831" w:rsidP="0010406A">
            <w:pPr>
              <w:pStyle w:val="TableBullet1"/>
            </w:pPr>
            <w:r w:rsidRPr="5BB43366">
              <w:t>Assist Microsoft, as necessary, during production implementation tasks</w:t>
            </w:r>
            <w:r w:rsidR="00BE5FB7">
              <w:t>.</w:t>
            </w:r>
          </w:p>
          <w:p w14:paraId="0AE41768" w14:textId="3FE0E024" w:rsidR="00605831" w:rsidRDefault="00605831" w:rsidP="0010406A">
            <w:pPr>
              <w:pStyle w:val="TableBullet1"/>
            </w:pPr>
            <w:r w:rsidRPr="5BB43366">
              <w:t xml:space="preserve">If </w:t>
            </w:r>
            <w:r w:rsidR="00C7505A">
              <w:t xml:space="preserve">the </w:t>
            </w:r>
            <w:r w:rsidR="00517604">
              <w:t>C</w:t>
            </w:r>
            <w:r w:rsidRPr="5BB43366">
              <w:t xml:space="preserve">ustomer </w:t>
            </w:r>
            <w:r w:rsidR="00B15449">
              <w:t>s</w:t>
            </w:r>
            <w:r w:rsidRPr="5BB43366">
              <w:t xml:space="preserve">elects </w:t>
            </w:r>
            <w:r w:rsidR="00B15449">
              <w:t xml:space="preserve">a </w:t>
            </w:r>
            <w:r w:rsidRPr="5BB43366">
              <w:t xml:space="preserve">third-party federated identity provider, provide subject matter expertise for that identity </w:t>
            </w:r>
            <w:proofErr w:type="gramStart"/>
            <w:r w:rsidRPr="5BB43366">
              <w:t>provider</w:t>
            </w:r>
            <w:proofErr w:type="gramEnd"/>
            <w:r w:rsidRPr="5BB43366">
              <w:t xml:space="preserve"> and implement the configuration required to </w:t>
            </w:r>
            <w:r w:rsidR="000B2797">
              <w:t>use</w:t>
            </w:r>
            <w:r w:rsidR="000B2797" w:rsidRPr="5BB43366">
              <w:t xml:space="preserve"> </w:t>
            </w:r>
            <w:r w:rsidRPr="5BB43366">
              <w:t xml:space="preserve">federated </w:t>
            </w:r>
            <w:r w:rsidRPr="5BB43366">
              <w:lastRenderedPageBreak/>
              <w:t xml:space="preserve">authentication with Azure </w:t>
            </w:r>
            <w:r w:rsidR="007F5153">
              <w:t>A</w:t>
            </w:r>
            <w:r w:rsidR="00444C79">
              <w:t>ctive Directory</w:t>
            </w:r>
            <w:r w:rsidRPr="5BB43366">
              <w:t>. Engage the product vendor, as necessary.</w:t>
            </w:r>
          </w:p>
          <w:p w14:paraId="41A97CB2" w14:textId="0BD652C2" w:rsidR="00BD1DBE" w:rsidRPr="0010406A" w:rsidRDefault="00BD1DBE" w:rsidP="0010406A">
            <w:pPr>
              <w:pStyle w:val="TableBullet1"/>
            </w:pPr>
            <w:r w:rsidRPr="0010406A">
              <w:t xml:space="preserve">Configure networking and firewall ports to support Azure </w:t>
            </w:r>
            <w:r w:rsidR="007F5153" w:rsidRPr="0010406A">
              <w:t>A</w:t>
            </w:r>
            <w:r w:rsidR="00444C79" w:rsidRPr="0010406A">
              <w:t>ctive Directory</w:t>
            </w:r>
            <w:r w:rsidRPr="0010406A">
              <w:t xml:space="preserve"> App Proxy</w:t>
            </w:r>
            <w:r w:rsidR="00904F10">
              <w:t>.</w:t>
            </w:r>
          </w:p>
          <w:p w14:paraId="4362A547" w14:textId="60A2B2FD" w:rsidR="00BD1DBE" w:rsidRPr="0010406A" w:rsidRDefault="00BD1DBE" w:rsidP="0010406A">
            <w:pPr>
              <w:pStyle w:val="TableBullet1"/>
            </w:pPr>
            <w:r w:rsidRPr="0010406A">
              <w:t>Take ownership of application integration for ongoing management and support</w:t>
            </w:r>
            <w:r w:rsidR="00904F10">
              <w:t>.</w:t>
            </w:r>
          </w:p>
          <w:p w14:paraId="355B0CDB" w14:textId="4FED2903" w:rsidR="00281322" w:rsidRDefault="002C3379" w:rsidP="0010406A">
            <w:pPr>
              <w:pStyle w:val="TableBullet1"/>
            </w:pPr>
            <w:r w:rsidRPr="002C3379">
              <w:t>Participate in solution validation testing</w:t>
            </w:r>
            <w:r w:rsidR="00EC5893">
              <w:t>.</w:t>
            </w:r>
          </w:p>
          <w:p w14:paraId="5DE85645" w14:textId="68948C58" w:rsidR="00605831" w:rsidRPr="00B603BF" w:rsidRDefault="002C3379" w:rsidP="0010406A">
            <w:pPr>
              <w:pStyle w:val="TableBullet1"/>
            </w:pPr>
            <w:r w:rsidRPr="002C3379">
              <w:t xml:space="preserve">Take ownership of the solution </w:t>
            </w:r>
            <w:r w:rsidR="00D96EC6">
              <w:t xml:space="preserve">used </w:t>
            </w:r>
            <w:r w:rsidRPr="002C3379">
              <w:t>for ongoing management and support</w:t>
            </w:r>
            <w:r w:rsidR="00EC5893">
              <w:t>.</w:t>
            </w:r>
          </w:p>
        </w:tc>
      </w:tr>
      <w:tr w:rsidR="00605831" w:rsidRPr="005F3BAF" w14:paraId="67573B38" w14:textId="77777777" w:rsidTr="04CD2D1A">
        <w:trPr>
          <w:gridAfter w:val="1"/>
          <w:wAfter w:w="13" w:type="dxa"/>
          <w:trHeight w:val="422"/>
        </w:trPr>
        <w:tc>
          <w:tcPr>
            <w:tcW w:w="2965" w:type="dxa"/>
            <w:shd w:val="clear" w:color="auto" w:fill="auto"/>
          </w:tcPr>
          <w:p w14:paraId="51D07E81" w14:textId="77777777" w:rsidR="00605831" w:rsidRDefault="00605831" w:rsidP="00605831">
            <w:pPr>
              <w:pStyle w:val="TableText"/>
            </w:pPr>
            <w:r>
              <w:rPr>
                <w:b/>
              </w:rPr>
              <w:lastRenderedPageBreak/>
              <w:t>Key a</w:t>
            </w:r>
            <w:r w:rsidRPr="004D03A1">
              <w:rPr>
                <w:b/>
              </w:rPr>
              <w:t>ssumptions</w:t>
            </w:r>
          </w:p>
        </w:tc>
        <w:tc>
          <w:tcPr>
            <w:tcW w:w="6243" w:type="dxa"/>
            <w:shd w:val="clear" w:color="auto" w:fill="auto"/>
          </w:tcPr>
          <w:p w14:paraId="4691EDA9" w14:textId="77777777" w:rsidR="00605831" w:rsidRPr="00B603BF" w:rsidRDefault="00605831" w:rsidP="0010406A">
            <w:pPr>
              <w:pStyle w:val="TableBullet1"/>
              <w:numPr>
                <w:ilvl w:val="0"/>
                <w:numId w:val="0"/>
              </w:numPr>
              <w:ind w:left="360"/>
            </w:pPr>
          </w:p>
        </w:tc>
      </w:tr>
    </w:tbl>
    <w:p w14:paraId="288A300F" w14:textId="77777777" w:rsidR="00BC4E85" w:rsidRDefault="00BC4E85" w:rsidP="00AA09CF">
      <w:pPr>
        <w:pStyle w:val="Heading4"/>
      </w:pPr>
      <w:bookmarkStart w:id="40" w:name="_Toc476168039"/>
      <w:r>
        <w:t>Deliverables</w:t>
      </w:r>
    </w:p>
    <w:tbl>
      <w:tblPr>
        <w:tblStyle w:val="TableGrid1"/>
        <w:tblW w:w="9152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2"/>
        <w:gridCol w:w="3690"/>
        <w:gridCol w:w="1809"/>
        <w:gridCol w:w="1581"/>
      </w:tblGrid>
      <w:tr w:rsidR="009E4E41" w:rsidRPr="003F779C" w14:paraId="62C528A1" w14:textId="77777777" w:rsidTr="0010406A">
        <w:trPr>
          <w:trHeight w:val="360"/>
          <w:tblHeader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8626CF7" w14:textId="77777777" w:rsidR="009E4E41" w:rsidRPr="00BC4E85" w:rsidRDefault="009E4E41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2FB1E70" w14:textId="77777777" w:rsidR="009E4E41" w:rsidRPr="00BC4E85" w:rsidRDefault="009E4E41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6CB9F4F" w14:textId="77777777" w:rsidR="009E4E41" w:rsidRPr="00BC4E85" w:rsidRDefault="009E4E41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CAB4D66" w14:textId="77777777" w:rsidR="009E4E41" w:rsidRPr="00BC4E85" w:rsidRDefault="009E4E41" w:rsidP="002E1E13">
            <w:pPr>
              <w:pStyle w:val="Table-Header"/>
            </w:pPr>
            <w:r w:rsidRPr="00BC4E85">
              <w:t>Responsibility</w:t>
            </w:r>
          </w:p>
        </w:tc>
      </w:tr>
      <w:tr w:rsidR="009E4E41" w:rsidRPr="003F779C" w14:paraId="3CE721D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B49BE1" w14:textId="344AD66B" w:rsidR="009E4E41" w:rsidRPr="00D96EC6" w:rsidRDefault="009E4E41" w:rsidP="0010406A">
            <w:pPr>
              <w:pStyle w:val="TableText"/>
            </w:pPr>
            <w:r w:rsidRPr="00D96EC6">
              <w:t xml:space="preserve">Test </w:t>
            </w:r>
            <w:r w:rsidR="006C1CBD" w:rsidRPr="00D96EC6">
              <w:t>cases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BCCD616" w14:textId="4685604C" w:rsidR="009E4E41" w:rsidRPr="00D96EC6" w:rsidRDefault="00D96EC6" w:rsidP="0010406A">
            <w:pPr>
              <w:pStyle w:val="TableText"/>
            </w:pPr>
            <w:r>
              <w:t xml:space="preserve">An </w:t>
            </w:r>
            <w:r w:rsidR="009E4E41" w:rsidRPr="00D96EC6">
              <w:t xml:space="preserve">Excel spreadsheet that documents the test cases </w:t>
            </w:r>
            <w:r>
              <w:t>that</w:t>
            </w:r>
            <w:r w:rsidRPr="00D96EC6">
              <w:t xml:space="preserve"> </w:t>
            </w:r>
            <w:r w:rsidR="009E4E41" w:rsidRPr="00D96EC6">
              <w:t xml:space="preserve">will be </w:t>
            </w:r>
            <w:r w:rsidR="002C6A9C" w:rsidRPr="00D96EC6">
              <w:t xml:space="preserve">conducted </w:t>
            </w:r>
            <w:r w:rsidR="009E4E41" w:rsidRPr="00D96EC6">
              <w:t>to validate that the implemented solution functions as designed.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3DF18B" w14:textId="77777777" w:rsidR="009E4E41" w:rsidRPr="00D96EC6" w:rsidRDefault="009E4E41" w:rsidP="0010406A">
            <w:pPr>
              <w:pStyle w:val="TableText"/>
            </w:pPr>
            <w:r w:rsidRPr="00D96EC6">
              <w:t>Yes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F683C88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  <w:tr w:rsidR="009E4E41" w:rsidRPr="003F779C" w14:paraId="5C863518" w14:textId="77777777" w:rsidTr="009E4E41">
        <w:trPr>
          <w:trHeight w:val="416"/>
        </w:trPr>
        <w:tc>
          <w:tcPr>
            <w:tcW w:w="207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9C7644D" w14:textId="192BE0DD" w:rsidR="009E4E41" w:rsidRPr="00D96EC6" w:rsidRDefault="009E4E41" w:rsidP="0010406A">
            <w:pPr>
              <w:pStyle w:val="TableText"/>
            </w:pPr>
            <w:r w:rsidRPr="00D96EC6">
              <w:t xml:space="preserve">Delivery </w:t>
            </w:r>
            <w:r w:rsidR="006C1CBD" w:rsidRPr="00D96EC6">
              <w:t>summary</w:t>
            </w:r>
          </w:p>
        </w:tc>
        <w:tc>
          <w:tcPr>
            <w:tcW w:w="369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15FE225" w14:textId="682BBA87" w:rsidR="009E4E41" w:rsidRPr="00D96EC6" w:rsidRDefault="00D96EC6" w:rsidP="0010406A">
            <w:pPr>
              <w:pStyle w:val="TableText"/>
            </w:pPr>
            <w:r>
              <w:t xml:space="preserve">A </w:t>
            </w:r>
            <w:r w:rsidR="009E4E41" w:rsidRPr="00D96EC6">
              <w:t>Word document that summarizes the work completed, provides relevant maintenance guidance, and documents recommended next steps.</w:t>
            </w:r>
          </w:p>
        </w:tc>
        <w:tc>
          <w:tcPr>
            <w:tcW w:w="18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6738F2B" w14:textId="77777777" w:rsidR="009E4E41" w:rsidRPr="00D96EC6" w:rsidRDefault="009E4E41" w:rsidP="0010406A">
            <w:pPr>
              <w:pStyle w:val="TableText"/>
            </w:pPr>
            <w:r w:rsidRPr="00D96EC6">
              <w:t>No</w:t>
            </w:r>
          </w:p>
        </w:tc>
        <w:tc>
          <w:tcPr>
            <w:tcW w:w="158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A48237D" w14:textId="77777777" w:rsidR="009E4E41" w:rsidRPr="00D96EC6" w:rsidRDefault="009E4E41" w:rsidP="0010406A">
            <w:pPr>
              <w:pStyle w:val="TableText"/>
            </w:pPr>
            <w:r w:rsidRPr="00D96EC6">
              <w:t>Microsoft</w:t>
            </w:r>
          </w:p>
        </w:tc>
      </w:tr>
    </w:tbl>
    <w:bookmarkEnd w:id="40"/>
    <w:p w14:paraId="2A53DAE9" w14:textId="77777777" w:rsidR="00E10022" w:rsidRDefault="0040645F" w:rsidP="00C84DD9">
      <w:pPr>
        <w:pStyle w:val="Heading3"/>
      </w:pPr>
      <w:r>
        <w:t>Migrate</w:t>
      </w:r>
    </w:p>
    <w:p w14:paraId="6E01EA31" w14:textId="4C62A08F" w:rsidR="00E10022" w:rsidRPr="00214FF6" w:rsidRDefault="00125AAE" w:rsidP="00534A58">
      <w:r>
        <w:t xml:space="preserve">This </w:t>
      </w:r>
      <w:r w:rsidR="00CA0394">
        <w:t>SOW</w:t>
      </w:r>
      <w:r>
        <w:t xml:space="preserve"> does not include a Migrate phase</w:t>
      </w:r>
      <w:r w:rsidR="00C416FE">
        <w:t>.</w:t>
      </w:r>
    </w:p>
    <w:p w14:paraId="55C0CA50" w14:textId="77777777" w:rsidR="009B1142" w:rsidRDefault="00C416FE" w:rsidP="00C84DD9">
      <w:pPr>
        <w:pStyle w:val="Heading2"/>
      </w:pPr>
      <w:bookmarkStart w:id="41" w:name="_Toc513025039"/>
      <w:bookmarkStart w:id="42" w:name="_Toc476167708"/>
      <w:bookmarkStart w:id="43" w:name="_Toc476168041"/>
      <w:bookmarkStart w:id="44" w:name="_Toc37750180"/>
      <w:bookmarkEnd w:id="41"/>
      <w:r>
        <w:t>Timeline</w:t>
      </w:r>
      <w:bookmarkEnd w:id="42"/>
      <w:bookmarkEnd w:id="43"/>
      <w:bookmarkEnd w:id="44"/>
    </w:p>
    <w:p w14:paraId="601E4A82" w14:textId="209E22FE" w:rsidR="00C416FE" w:rsidRDefault="00DA7FE6" w:rsidP="00C416FE">
      <w:r>
        <w:t>During project planning</w:t>
      </w:r>
      <w:r w:rsidR="006965B5">
        <w:t>,</w:t>
      </w:r>
      <w:r w:rsidR="00C416FE">
        <w:t xml:space="preserve"> a detailed 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tbl>
      <w:tblPr>
        <w:tblStyle w:val="TableGrid1"/>
        <w:tblW w:w="9359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7"/>
        <w:gridCol w:w="1479"/>
        <w:gridCol w:w="1671"/>
        <w:gridCol w:w="1449"/>
        <w:gridCol w:w="1263"/>
      </w:tblGrid>
      <w:tr w:rsidR="0028028F" w:rsidRPr="003F779C" w14:paraId="1DB9D7FC" w14:textId="3E5570E8" w:rsidTr="00ED4057">
        <w:trPr>
          <w:trHeight w:val="360"/>
          <w:tblHeader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07ADDEE" w14:textId="5625F22C" w:rsidR="0028028F" w:rsidRPr="00BC4E85" w:rsidRDefault="0028028F" w:rsidP="00732BE3">
            <w:pPr>
              <w:pStyle w:val="Table-Header"/>
            </w:pPr>
            <w:r>
              <w:t>Component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74A0B086" w14:textId="07CFC7CF" w:rsidR="0028028F" w:rsidRPr="00BC4E85" w:rsidRDefault="0028028F" w:rsidP="00732BE3">
            <w:pPr>
              <w:pStyle w:val="Table-Header"/>
            </w:pPr>
            <w:r>
              <w:t>Assess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53A1064E" w14:textId="6093DD13" w:rsidR="0028028F" w:rsidRPr="00BC4E85" w:rsidRDefault="0028028F" w:rsidP="00732BE3">
            <w:pPr>
              <w:pStyle w:val="Table-Header"/>
            </w:pPr>
            <w:r>
              <w:t>Remediate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37BC177" w14:textId="7E379CF0" w:rsidR="0028028F" w:rsidRPr="00BC4E85" w:rsidRDefault="0028028F" w:rsidP="00732BE3">
            <w:pPr>
              <w:pStyle w:val="Table-Header"/>
            </w:pPr>
            <w:r>
              <w:t>Enable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ED939F6" w14:textId="7AB60CDE" w:rsidR="0028028F" w:rsidRDefault="0028028F" w:rsidP="00732BE3">
            <w:pPr>
              <w:pStyle w:val="Table-Header"/>
            </w:pPr>
            <w:r>
              <w:t>Total</w:t>
            </w:r>
          </w:p>
        </w:tc>
      </w:tr>
      <w:tr w:rsidR="003E377E" w:rsidRPr="003E377E" w14:paraId="29445E53" w14:textId="73C12C7A" w:rsidTr="00ED4057">
        <w:trPr>
          <w:trHeight w:val="416"/>
        </w:trPr>
        <w:tc>
          <w:tcPr>
            <w:tcW w:w="349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7D2CC10" w14:textId="19BFFE72" w:rsidR="0028028F" w:rsidRPr="003E377E" w:rsidRDefault="0028028F" w:rsidP="00CB4527">
            <w:pPr>
              <w:pStyle w:val="Optional"/>
              <w:rPr>
                <w:rFonts w:cs="Segoe UI"/>
                <w:color w:val="auto"/>
              </w:rPr>
            </w:pPr>
            <w:r w:rsidRPr="003E377E">
              <w:rPr>
                <w:color w:val="auto"/>
              </w:rPr>
              <w:t>Azure Active Directory app integration</w:t>
            </w:r>
          </w:p>
        </w:tc>
        <w:tc>
          <w:tcPr>
            <w:tcW w:w="147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CEB6D8F" w14:textId="48C860EA" w:rsidR="0028028F" w:rsidRPr="003E377E" w:rsidRDefault="00A85B61" w:rsidP="00CB4527">
            <w:pPr>
              <w:pStyle w:val="Optional"/>
              <w:rPr>
                <w:rFonts w:eastAsia="Calibri"/>
                <w:color w:val="auto"/>
                <w:szCs w:val="20"/>
              </w:rPr>
            </w:pPr>
            <w:r w:rsidRPr="003E377E">
              <w:rPr>
                <w:rFonts w:eastAsia="Calibri"/>
                <w:color w:val="auto"/>
                <w:szCs w:val="20"/>
              </w:rPr>
              <w:t>3</w:t>
            </w:r>
            <w:r w:rsidR="008572F4" w:rsidRPr="003E377E">
              <w:rPr>
                <w:rFonts w:eastAsia="Calibri"/>
                <w:color w:val="auto"/>
                <w:szCs w:val="20"/>
              </w:rPr>
              <w:t xml:space="preserve"> </w:t>
            </w:r>
            <w:r w:rsidR="0028028F" w:rsidRPr="003E377E">
              <w:rPr>
                <w:rFonts w:eastAsia="Calibri"/>
                <w:color w:val="auto"/>
                <w:szCs w:val="20"/>
              </w:rPr>
              <w:t>days</w:t>
            </w:r>
          </w:p>
        </w:tc>
        <w:tc>
          <w:tcPr>
            <w:tcW w:w="167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ED6E86D" w14:textId="59EE8717" w:rsidR="0028028F" w:rsidRPr="003E377E" w:rsidRDefault="0028028F" w:rsidP="00CB4527">
            <w:pPr>
              <w:pStyle w:val="Optional"/>
              <w:rPr>
                <w:rFonts w:eastAsia="Calibri"/>
                <w:color w:val="auto"/>
                <w:szCs w:val="20"/>
              </w:rPr>
            </w:pPr>
            <w:r w:rsidRPr="003E377E">
              <w:rPr>
                <w:rFonts w:eastAsia="Calibri"/>
                <w:color w:val="auto"/>
                <w:szCs w:val="20"/>
              </w:rPr>
              <w:t>2 days</w:t>
            </w:r>
          </w:p>
        </w:tc>
        <w:tc>
          <w:tcPr>
            <w:tcW w:w="144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59FA9DE" w14:textId="22DACB97" w:rsidR="0028028F" w:rsidRPr="003E377E" w:rsidRDefault="008572F4" w:rsidP="00CB4527">
            <w:pPr>
              <w:pStyle w:val="Optional"/>
              <w:rPr>
                <w:rFonts w:eastAsia="Calibri"/>
                <w:color w:val="auto"/>
                <w:szCs w:val="20"/>
              </w:rPr>
            </w:pPr>
            <w:r w:rsidRPr="003E377E">
              <w:rPr>
                <w:rFonts w:eastAsia="Calibri"/>
                <w:color w:val="auto"/>
                <w:szCs w:val="20"/>
              </w:rPr>
              <w:t xml:space="preserve">10 </w:t>
            </w:r>
            <w:r w:rsidR="0028028F" w:rsidRPr="003E377E">
              <w:rPr>
                <w:rFonts w:eastAsia="Calibri"/>
                <w:color w:val="auto"/>
                <w:szCs w:val="20"/>
              </w:rPr>
              <w:t>days</w:t>
            </w:r>
          </w:p>
        </w:tc>
        <w:tc>
          <w:tcPr>
            <w:tcW w:w="126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4D430E4" w14:textId="1DCE5B4E" w:rsidR="0028028F" w:rsidRPr="003E377E" w:rsidRDefault="00A82A78" w:rsidP="00CB4527">
            <w:pPr>
              <w:pStyle w:val="Optional"/>
              <w:rPr>
                <w:rFonts w:eastAsia="Calibri"/>
                <w:color w:val="auto"/>
                <w:szCs w:val="20"/>
              </w:rPr>
            </w:pPr>
            <w:r w:rsidRPr="003E377E">
              <w:rPr>
                <w:rFonts w:eastAsia="Calibri"/>
                <w:color w:val="auto"/>
                <w:szCs w:val="20"/>
              </w:rPr>
              <w:t>1</w:t>
            </w:r>
            <w:r w:rsidR="00A85B61" w:rsidRPr="003E377E">
              <w:rPr>
                <w:rFonts w:eastAsia="Calibri"/>
                <w:color w:val="auto"/>
                <w:szCs w:val="20"/>
              </w:rPr>
              <w:t>5</w:t>
            </w:r>
            <w:r w:rsidRPr="003E377E">
              <w:rPr>
                <w:rFonts w:eastAsia="Calibri"/>
                <w:color w:val="auto"/>
                <w:szCs w:val="20"/>
              </w:rPr>
              <w:t xml:space="preserve"> </w:t>
            </w:r>
            <w:r w:rsidRPr="003E377E">
              <w:rPr>
                <w:color w:val="auto"/>
              </w:rPr>
              <w:t>days</w:t>
            </w:r>
          </w:p>
        </w:tc>
      </w:tr>
    </w:tbl>
    <w:p w14:paraId="4F8DF98D" w14:textId="194F92CF" w:rsidR="00C44D16" w:rsidRDefault="00371AF2" w:rsidP="00C416FE">
      <w:r>
        <w:rPr>
          <w:noProof/>
        </w:rPr>
        <w:lastRenderedPageBreak/>
        <w:drawing>
          <wp:inline distT="0" distB="0" distL="0" distR="0" wp14:anchorId="121B7E4F" wp14:editId="49534FED">
            <wp:extent cx="5704114" cy="829945"/>
            <wp:effectExtent l="38100" t="0" r="0" b="273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4AB6FC4" w14:textId="77777777" w:rsidR="00C44D16" w:rsidRDefault="00C44D16" w:rsidP="00C84DD9">
      <w:pPr>
        <w:pStyle w:val="Heading2"/>
      </w:pPr>
      <w:bookmarkStart w:id="45" w:name="_Toc513025041"/>
      <w:bookmarkStart w:id="46" w:name="_Toc476167709"/>
      <w:bookmarkStart w:id="47" w:name="_Toc476168042"/>
      <w:bookmarkStart w:id="48" w:name="_Ref477932041"/>
      <w:bookmarkStart w:id="49" w:name="_Toc37750181"/>
      <w:bookmarkEnd w:id="45"/>
      <w:r>
        <w:t>Deliverable acceptance process</w:t>
      </w:r>
      <w:bookmarkEnd w:id="46"/>
      <w:bookmarkEnd w:id="47"/>
      <w:bookmarkEnd w:id="48"/>
      <w:bookmarkEnd w:id="49"/>
    </w:p>
    <w:p w14:paraId="0FEB6801" w14:textId="12ADFCFF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812548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517604">
        <w:t>C</w:t>
      </w:r>
      <w:r w:rsidR="00BC30AA">
        <w:t>ustomer’s review and approval.</w:t>
      </w:r>
    </w:p>
    <w:p w14:paraId="5501B1DF" w14:textId="65AA6AE5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517604">
        <w:t>C</w:t>
      </w:r>
      <w:r>
        <w:t>ustomer is required to:</w:t>
      </w:r>
    </w:p>
    <w:p w14:paraId="3D11AB1A" w14:textId="77777777" w:rsidR="006965B5" w:rsidRDefault="00840E9D" w:rsidP="00840E9D">
      <w:pPr>
        <w:pStyle w:val="Bulletlist"/>
      </w:pPr>
      <w:r w:rsidRPr="00AC1B81">
        <w:rPr>
          <w:b/>
        </w:rPr>
        <w:t>Accept the deliverable</w:t>
      </w:r>
      <w:r>
        <w:t xml:space="preserve"> by signing, dating</w:t>
      </w:r>
      <w:r w:rsidR="006965B5">
        <w:t>,</w:t>
      </w:r>
      <w:r>
        <w:t xml:space="preserve"> and returning </w:t>
      </w:r>
      <w:r w:rsidR="006965B5">
        <w:t xml:space="preserve">a service deliverable acceptance </w:t>
      </w:r>
      <w:r w:rsidR="00D44A6B">
        <w:t>form</w:t>
      </w:r>
      <w:r w:rsidR="006965B5">
        <w:t>, which can</w:t>
      </w:r>
      <w:r w:rsidR="00D44A6B">
        <w:t xml:space="preserve"> be sent </w:t>
      </w:r>
      <w:r w:rsidR="006965B5">
        <w:t xml:space="preserve">by </w:t>
      </w:r>
      <w:r w:rsidR="00D44A6B">
        <w:t>email</w:t>
      </w:r>
      <w:r w:rsidR="006965B5">
        <w:t>,</w:t>
      </w:r>
      <w:r w:rsidR="00474631">
        <w:t xml:space="preserve"> </w:t>
      </w:r>
      <w:r w:rsidR="00D44A6B">
        <w:t>o</w:t>
      </w:r>
      <w:r>
        <w:t xml:space="preserve">r by using </w:t>
      </w:r>
      <w:r w:rsidR="006965B5">
        <w:t xml:space="preserve">(or partially using) </w:t>
      </w:r>
      <w:r>
        <w:t>the deliverable</w:t>
      </w:r>
    </w:p>
    <w:p w14:paraId="69DDDE48" w14:textId="56895D3E" w:rsidR="00840E9D" w:rsidRPr="0031303E" w:rsidRDefault="006965B5" w:rsidP="00140C9E">
      <w:pPr>
        <w:ind w:firstLine="360"/>
      </w:pPr>
      <w:r w:rsidRPr="00140C9E">
        <w:t>Or</w:t>
      </w:r>
    </w:p>
    <w:p w14:paraId="7FA56830" w14:textId="21E82753" w:rsidR="00840E9D" w:rsidRDefault="00840E9D" w:rsidP="00840E9D">
      <w:pPr>
        <w:pStyle w:val="Bulletlist"/>
      </w:pPr>
      <w:r w:rsidRPr="00AC1B81">
        <w:rPr>
          <w:b/>
        </w:rPr>
        <w:t>Reject the deliverable</w:t>
      </w:r>
      <w:r>
        <w:t xml:space="preserve"> by notifying Microsoft in writing</w:t>
      </w:r>
      <w:r w:rsidR="006965B5">
        <w:t xml:space="preserve">; the </w:t>
      </w:r>
      <w:r w:rsidR="00517604">
        <w:t>C</w:t>
      </w:r>
      <w:r w:rsidR="006965B5">
        <w:t xml:space="preserve">ustomer must include </w:t>
      </w:r>
      <w:r>
        <w:t>a complete list of reasons for rejection</w:t>
      </w:r>
      <w:r w:rsidR="006965B5">
        <w:t>.</w:t>
      </w:r>
    </w:p>
    <w:p w14:paraId="1889072B" w14:textId="1F644F9C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timeframe specified</w:t>
      </w:r>
      <w:r w:rsidR="00D44A6B">
        <w:t>.</w:t>
      </w:r>
    </w:p>
    <w:p w14:paraId="5BE4C47A" w14:textId="77777777" w:rsidR="00840E9D" w:rsidRDefault="00840E9D" w:rsidP="00840E9D">
      <w:pPr>
        <w:pStyle w:val="Bulletlist"/>
        <w:numPr>
          <w:ilvl w:val="0"/>
          <w:numId w:val="0"/>
        </w:numPr>
      </w:pPr>
      <w:r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72525D93" w14:textId="77777777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 xml:space="preserve">, and feedback provided after a deliverable has been accepted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812548">
        <w:t>Change management process</w:t>
      </w:r>
      <w:r w:rsidR="00160775">
        <w:fldChar w:fldCharType="end"/>
      </w:r>
      <w:r w:rsidR="00BE7980">
        <w:t xml:space="preserve"> section.</w:t>
      </w:r>
    </w:p>
    <w:p w14:paraId="5CDCC7C3" w14:textId="77777777" w:rsidR="00364836" w:rsidRDefault="00364836" w:rsidP="00C84DD9">
      <w:pPr>
        <w:pStyle w:val="Heading2"/>
      </w:pPr>
      <w:bookmarkStart w:id="50" w:name="_Toc476167710"/>
      <w:bookmarkStart w:id="51" w:name="_Toc476168043"/>
      <w:bookmarkStart w:id="52" w:name="_Toc37750182"/>
      <w:r>
        <w:t>Project governance</w:t>
      </w:r>
      <w:bookmarkEnd w:id="50"/>
      <w:bookmarkEnd w:id="51"/>
      <w:bookmarkEnd w:id="52"/>
    </w:p>
    <w:p w14:paraId="1CE86B51" w14:textId="77777777" w:rsidR="00364836" w:rsidRDefault="00364836" w:rsidP="00364836"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1B69D659" w14:textId="77777777" w:rsidR="00BB669A" w:rsidRDefault="00BB669A" w:rsidP="00C84DD9">
      <w:pPr>
        <w:pStyle w:val="Heading3"/>
      </w:pPr>
      <w:bookmarkStart w:id="53" w:name="_Toc476168044"/>
      <w:r>
        <w:t>Project communication</w:t>
      </w:r>
      <w:bookmarkEnd w:id="53"/>
    </w:p>
    <w:p w14:paraId="4650D897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269204E7" w14:textId="695DE42A" w:rsidR="00104AB3" w:rsidRDefault="00104AB3" w:rsidP="00BB669A">
      <w:pPr>
        <w:pStyle w:val="Bulletlist"/>
      </w:pPr>
      <w:r w:rsidRPr="00E54AE8">
        <w:rPr>
          <w:b/>
        </w:rPr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</w:t>
      </w:r>
      <w:r w:rsidR="00517604">
        <w:t>C</w:t>
      </w:r>
      <w:r w:rsidR="00160775">
        <w:t xml:space="preserve">ustomer </w:t>
      </w:r>
      <w:r w:rsidR="00760487">
        <w:t>as part of project planning</w:t>
      </w:r>
      <w:r w:rsidR="00160775">
        <w:t>.</w:t>
      </w:r>
    </w:p>
    <w:p w14:paraId="4AD2E8E9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183E0811" w14:textId="77777777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status, the acceptance of deliverables</w:t>
      </w:r>
      <w:r w:rsidR="00160775">
        <w:t>,</w:t>
      </w:r>
      <w:r>
        <w:t xml:space="preserve"> and review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1EC82A5A" w14:textId="77777777" w:rsidR="00E54AE8" w:rsidRDefault="00E54AE8" w:rsidP="00C84DD9">
      <w:pPr>
        <w:pStyle w:val="Heading3"/>
      </w:pPr>
      <w:bookmarkStart w:id="54" w:name="_Toc476168045"/>
      <w:r>
        <w:t>Risk and issue management</w:t>
      </w:r>
      <w:bookmarkEnd w:id="54"/>
    </w:p>
    <w:p w14:paraId="000D7EB0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20C1DE10" w14:textId="77777777" w:rsidR="00E54AE8" w:rsidRDefault="00E54AE8" w:rsidP="00E54AE8">
      <w:pPr>
        <w:pStyle w:val="Bulletlist"/>
      </w:pPr>
      <w:r w:rsidRPr="00E54AE8">
        <w:rPr>
          <w:b/>
        </w:rPr>
        <w:lastRenderedPageBreak/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4870C12A" w14:textId="77777777" w:rsidR="00E54AE8" w:rsidRDefault="00E54AE8" w:rsidP="00E54AE8">
      <w:pPr>
        <w:pStyle w:val="Bulletlist"/>
      </w:pPr>
      <w:r w:rsidRPr="00E54AE8">
        <w:rPr>
          <w:b/>
        </w:rPr>
        <w:t xml:space="preserve">Analyze and </w:t>
      </w:r>
      <w:proofErr w:type="gramStart"/>
      <w:r w:rsidRPr="00E54AE8">
        <w:rPr>
          <w:b/>
        </w:rPr>
        <w:t>prioritize</w:t>
      </w:r>
      <w:r w:rsidR="006C6051">
        <w:t>:</w:t>
      </w:r>
      <w:proofErr w:type="gramEnd"/>
      <w:r w:rsidR="006C6051">
        <w:t xml:space="preserve">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28AF35F6" w14:textId="44C6947A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r w:rsidR="00C70312">
        <w:t>issues and</w:t>
      </w:r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4B5DFB4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3053E537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1D8D4D3E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50D90A54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316E2B4F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A8033AA" w14:textId="77777777" w:rsidR="002952F0" w:rsidRDefault="002952F0" w:rsidP="00C84DD9">
      <w:pPr>
        <w:pStyle w:val="Heading3"/>
      </w:pPr>
      <w:bookmarkStart w:id="55" w:name="_Toc476168046"/>
      <w:bookmarkStart w:id="56" w:name="_Ref477866682"/>
      <w:bookmarkStart w:id="57" w:name="_Ref477932885"/>
      <w:bookmarkStart w:id="58" w:name="_Ref477934302"/>
      <w:r>
        <w:t>Change management process</w:t>
      </w:r>
      <w:bookmarkEnd w:id="55"/>
      <w:bookmarkEnd w:id="56"/>
      <w:bookmarkEnd w:id="57"/>
      <w:bookmarkEnd w:id="58"/>
    </w:p>
    <w:p w14:paraId="534AE2EA" w14:textId="77777777" w:rsidR="003E1B4E" w:rsidRDefault="003E1B4E" w:rsidP="003E1B4E">
      <w:r>
        <w:t>Dur</w:t>
      </w:r>
      <w:r w:rsidR="006D6E88">
        <w:t>i</w:t>
      </w:r>
      <w:r w:rsidR="004F4BCE">
        <w:t xml:space="preserve">ng the project, either party </w:t>
      </w:r>
      <w:proofErr w:type="gramStart"/>
      <w:r w:rsidR="00160775">
        <w:t>is able to</w:t>
      </w:r>
      <w:proofErr w:type="gramEnd"/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7AF002E5" w14:textId="77777777" w:rsidR="003E1B4E" w:rsidRDefault="00246AC9" w:rsidP="004723A1">
      <w:pPr>
        <w:pStyle w:val="Bulletlist"/>
      </w:pPr>
      <w:r>
        <w:rPr>
          <w:b/>
        </w:rPr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4AC0DDD" w14:textId="77777777" w:rsidR="003E1B4E" w:rsidRDefault="00246AC9" w:rsidP="004723A1">
      <w:pPr>
        <w:pStyle w:val="Bulletlist"/>
        <w:numPr>
          <w:ilvl w:val="1"/>
          <w:numId w:val="9"/>
        </w:numPr>
      </w:pPr>
      <w:r>
        <w:t xml:space="preserve">A description </w:t>
      </w:r>
      <w:r w:rsidR="003E1B4E">
        <w:t>of the change</w:t>
      </w:r>
      <w:r>
        <w:t>.</w:t>
      </w:r>
    </w:p>
    <w:p w14:paraId="379CCF19" w14:textId="189553AF" w:rsidR="003E1B4E" w:rsidRDefault="00246AC9" w:rsidP="004723A1">
      <w:pPr>
        <w:pStyle w:val="Bulletlist"/>
        <w:numPr>
          <w:ilvl w:val="1"/>
          <w:numId w:val="9"/>
        </w:numPr>
      </w:pPr>
      <w:r>
        <w:t xml:space="preserve">The estimated effect </w:t>
      </w:r>
      <w:r w:rsidR="003E1B4E">
        <w:t xml:space="preserve">of </w:t>
      </w:r>
      <w:r>
        <w:t>implementing the change.</w:t>
      </w:r>
    </w:p>
    <w:p w14:paraId="15C1B692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4385B344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proofErr w:type="gramStart"/>
      <w:r>
        <w:t>the</w:t>
      </w:r>
      <w:proofErr w:type="gramEnd"/>
      <w:r>
        <w:t xml:space="preserve">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7B3B0254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21D54D6C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02428458" w14:textId="77777777" w:rsidR="00892C8C" w:rsidRDefault="00892C8C" w:rsidP="00892C8C">
      <w:pPr>
        <w:pStyle w:val="Heading3"/>
      </w:pPr>
      <w:bookmarkStart w:id="59" w:name="_Toc476168048"/>
      <w:r>
        <w:t>Escalation path</w:t>
      </w:r>
      <w:bookmarkEnd w:id="59"/>
    </w:p>
    <w:p w14:paraId="2A99EE6F" w14:textId="4A399285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517604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517604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proofErr w:type="gramStart"/>
      <w:r w:rsidR="00E40CE7">
        <w:t>in order</w:t>
      </w:r>
      <w:r w:rsidR="00335083">
        <w:t xml:space="preserve"> </w:t>
      </w:r>
      <w:r>
        <w:t>to</w:t>
      </w:r>
      <w:proofErr w:type="gramEnd"/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E5CD5C3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7A8197F1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58AEED5D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49D4E98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4FF8AA70" w14:textId="77777777" w:rsidR="00AB4D70" w:rsidRDefault="00AB4D70" w:rsidP="00C84DD9">
      <w:pPr>
        <w:pStyle w:val="Heading2"/>
      </w:pPr>
      <w:bookmarkStart w:id="60" w:name="_Toc476167711"/>
      <w:bookmarkStart w:id="61" w:name="_Toc476168049"/>
      <w:bookmarkStart w:id="62" w:name="_Toc37750183"/>
      <w:r>
        <w:t>Project completion</w:t>
      </w:r>
      <w:bookmarkEnd w:id="60"/>
      <w:bookmarkEnd w:id="61"/>
      <w:bookmarkEnd w:id="62"/>
    </w:p>
    <w:p w14:paraId="4225F913" w14:textId="77777777" w:rsidR="00152B24" w:rsidRPr="00AB0E80" w:rsidRDefault="00152B24" w:rsidP="00AC1B81">
      <w:pPr>
        <w:pStyle w:val="Optional"/>
        <w:rPr>
          <w:color w:val="auto"/>
        </w:rPr>
      </w:pPr>
      <w:r w:rsidRPr="00AB0E80">
        <w:rPr>
          <w:color w:val="auto"/>
        </w:rPr>
        <w:t xml:space="preserve">The project will be considered complete when </w:t>
      </w:r>
      <w:r w:rsidR="00AD3CAD" w:rsidRPr="00AB0E80">
        <w:rPr>
          <w:color w:val="auto"/>
        </w:rPr>
        <w:t xml:space="preserve">at least one </w:t>
      </w:r>
      <w:r w:rsidRPr="00AB0E80">
        <w:rPr>
          <w:color w:val="auto"/>
        </w:rPr>
        <w:t xml:space="preserve">of the following conditions </w:t>
      </w:r>
      <w:r w:rsidR="00AD3CAD" w:rsidRPr="00AB0E80">
        <w:rPr>
          <w:color w:val="auto"/>
        </w:rPr>
        <w:t xml:space="preserve">is </w:t>
      </w:r>
      <w:r w:rsidRPr="00AB0E80">
        <w:rPr>
          <w:color w:val="auto"/>
        </w:rPr>
        <w:t>met:</w:t>
      </w:r>
    </w:p>
    <w:p w14:paraId="45D12232" w14:textId="77777777" w:rsidR="00152B24" w:rsidRPr="00AB0E80" w:rsidRDefault="00152B24" w:rsidP="00152B24">
      <w:pPr>
        <w:pStyle w:val="Bulletlist"/>
      </w:pPr>
      <w:r w:rsidRPr="00AB0E80">
        <w:t xml:space="preserve">All Microsoft deliverables that require acceptance </w:t>
      </w:r>
      <w:r w:rsidR="00AD3CAD" w:rsidRPr="00AB0E80">
        <w:t xml:space="preserve">have been </w:t>
      </w:r>
      <w:r w:rsidRPr="00AB0E80">
        <w:t>delivered and accepted (or deemed accepted)</w:t>
      </w:r>
      <w:r w:rsidR="00AD3CAD" w:rsidRPr="00AB0E80">
        <w:t>.</w:t>
      </w:r>
    </w:p>
    <w:p w14:paraId="0319BF45" w14:textId="77777777" w:rsidR="00152B24" w:rsidRPr="00AB0E80" w:rsidRDefault="00152B24" w:rsidP="00152B24">
      <w:pPr>
        <w:pStyle w:val="Bulletlist"/>
      </w:pPr>
      <w:r w:rsidRPr="00AB0E80">
        <w:lastRenderedPageBreak/>
        <w:t xml:space="preserve">The Work Order </w:t>
      </w:r>
      <w:r w:rsidR="00AD3CAD" w:rsidRPr="00AB0E80">
        <w:t xml:space="preserve">has been </w:t>
      </w:r>
      <w:r w:rsidRPr="00AB0E80">
        <w:t>terminated</w:t>
      </w:r>
      <w:r w:rsidR="00043018" w:rsidRPr="00AB0E80">
        <w:t>.</w:t>
      </w:r>
    </w:p>
    <w:p w14:paraId="03550884" w14:textId="77777777" w:rsidR="00C84DD9" w:rsidRDefault="00C84DD9" w:rsidP="005C66A2">
      <w:pPr>
        <w:pStyle w:val="Heading2"/>
      </w:pPr>
      <w:bookmarkStart w:id="63" w:name="_Toc476167713"/>
      <w:bookmarkStart w:id="64" w:name="_Toc476168051"/>
      <w:bookmarkStart w:id="65" w:name="_Toc37750184"/>
      <w:r w:rsidRPr="00C84DD9">
        <w:t>Project roles and responsibilities</w:t>
      </w:r>
      <w:bookmarkEnd w:id="63"/>
      <w:bookmarkEnd w:id="64"/>
      <w:bookmarkEnd w:id="65"/>
    </w:p>
    <w:p w14:paraId="25B1BACF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2E585B03" w14:textId="77777777" w:rsidR="0013452E" w:rsidRDefault="0013452E" w:rsidP="00AA09CF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2FD1252F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0EA8445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85213DE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3AD74306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58C4762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auto"/>
          </w:tcPr>
          <w:p w14:paraId="719B1CC4" w14:textId="47D06D6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>Provide the</w:t>
            </w:r>
            <w:r w:rsidRPr="00D91A3C">
              <w:t xml:space="preserve"> </w:t>
            </w:r>
            <w:r>
              <w:t>estimated project commitment</w:t>
            </w:r>
            <w:r w:rsidRPr="003F2B0C">
              <w:t>:</w:t>
            </w:r>
            <w:r w:rsidR="003F2B0C" w:rsidRPr="00483764">
              <w:t xml:space="preserve"> 2</w:t>
            </w:r>
            <w:r w:rsidR="00AA37C8">
              <w:t>–</w:t>
            </w:r>
            <w:r w:rsidR="003F2B0C" w:rsidRPr="00483764">
              <w:t xml:space="preserve">4 hours </w:t>
            </w:r>
            <w:r w:rsidR="00AA37C8">
              <w:t>a</w:t>
            </w:r>
            <w:r w:rsidR="00AA37C8" w:rsidRPr="00483764">
              <w:t xml:space="preserve"> </w:t>
            </w:r>
            <w:r w:rsidR="003F2B0C" w:rsidRPr="00483764">
              <w:t>week</w:t>
            </w:r>
          </w:p>
          <w:p w14:paraId="66AB84CF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5D12F1E8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1648646E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6F330CAD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auto"/>
          </w:tcPr>
          <w:p w14:paraId="147A3E57" w14:textId="2973D360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>Provide the estimated project commitment:</w:t>
            </w:r>
            <w:r w:rsidR="005D3247">
              <w:rPr>
                <w:rStyle w:val="InstructionalChar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 xml:space="preserve">20 hours </w:t>
            </w:r>
            <w:r w:rsidR="00AA37C8">
              <w:rPr>
                <w:rStyle w:val="InstructionalChar"/>
                <w:color w:val="auto"/>
              </w:rPr>
              <w:t>a</w:t>
            </w:r>
            <w:r w:rsidR="00AA37C8" w:rsidRPr="004E169D">
              <w:rPr>
                <w:rStyle w:val="InstructionalChar"/>
                <w:color w:val="auto"/>
              </w:rPr>
              <w:t xml:space="preserve"> </w:t>
            </w:r>
            <w:r w:rsidR="005D3247" w:rsidRPr="004E169D">
              <w:rPr>
                <w:rStyle w:val="InstructionalChar"/>
                <w:color w:val="auto"/>
              </w:rPr>
              <w:t>week</w:t>
            </w:r>
          </w:p>
          <w:p w14:paraId="30B63BE4" w14:textId="11F6CA63" w:rsidR="0013452E" w:rsidRDefault="0013452E" w:rsidP="0013452E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DA5F88">
              <w:t>.</w:t>
            </w:r>
          </w:p>
          <w:p w14:paraId="5A245AB7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3FB903DC" w14:textId="77777777" w:rsidR="0013452E" w:rsidRPr="00117AE2" w:rsidRDefault="0013452E" w:rsidP="0013452E">
            <w:pPr>
              <w:pStyle w:val="TableBullet1"/>
            </w:pPr>
            <w:r w:rsidRPr="00117AE2">
              <w:t>Deliver the project on schedule.</w:t>
            </w:r>
          </w:p>
          <w:p w14:paraId="37D5DF8C" w14:textId="6F3AD6AC" w:rsidR="0013452E" w:rsidRDefault="0013452E" w:rsidP="0013452E">
            <w:pPr>
              <w:pStyle w:val="TableBullet1"/>
            </w:pPr>
            <w:r>
              <w:t xml:space="preserve">Take responsibility for </w:t>
            </w:r>
            <w:r w:rsidR="00517604">
              <w:t>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22EDC26C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9E4E41" w:rsidRPr="005F3BAF" w14:paraId="1B2BE04B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72419677" w14:textId="118831C9" w:rsidR="009E4E41" w:rsidRPr="004E1A4E" w:rsidRDefault="009E4E41" w:rsidP="009E4E41">
            <w:pPr>
              <w:pStyle w:val="TableText"/>
              <w:rPr>
                <w:szCs w:val="20"/>
              </w:rPr>
            </w:pPr>
            <w:r w:rsidRPr="004E1A4E">
              <w:rPr>
                <w:szCs w:val="20"/>
              </w:rPr>
              <w:t xml:space="preserve">Active Directory </w:t>
            </w:r>
            <w:r w:rsidR="00E12960">
              <w:rPr>
                <w:szCs w:val="20"/>
              </w:rPr>
              <w:t xml:space="preserve">lead </w:t>
            </w:r>
            <w:r w:rsidRPr="004E1A4E">
              <w:rPr>
                <w:szCs w:val="20"/>
              </w:rPr>
              <w:t>and identity lead</w:t>
            </w:r>
            <w:r w:rsidR="00F52BA4">
              <w:rPr>
                <w:szCs w:val="20"/>
              </w:rPr>
              <w:t xml:space="preserve"> </w:t>
            </w:r>
            <w:r w:rsidRPr="004E1A4E">
              <w:rPr>
                <w:szCs w:val="20"/>
              </w:rPr>
              <w:t>(</w:t>
            </w:r>
            <w:r w:rsidR="00F52BA4">
              <w:rPr>
                <w:szCs w:val="20"/>
              </w:rPr>
              <w:t>or lead</w:t>
            </w:r>
            <w:r w:rsidRPr="004E1A4E">
              <w:rPr>
                <w:szCs w:val="20"/>
              </w:rPr>
              <w:t>s)</w:t>
            </w:r>
          </w:p>
        </w:tc>
        <w:tc>
          <w:tcPr>
            <w:tcW w:w="7200" w:type="dxa"/>
            <w:shd w:val="clear" w:color="auto" w:fill="auto"/>
          </w:tcPr>
          <w:p w14:paraId="59365082" w14:textId="776D9D77" w:rsidR="009E4E41" w:rsidRPr="001C2FBB" w:rsidRDefault="00DA5F88" w:rsidP="009E4E41">
            <w:pPr>
              <w:pStyle w:val="TableBullet1"/>
              <w:rPr>
                <w:szCs w:val="18"/>
              </w:rPr>
            </w:pPr>
            <w:r>
              <w:t>Take responsibility</w:t>
            </w:r>
            <w:r w:rsidR="009E4E41" w:rsidRPr="001C2FBB">
              <w:rPr>
                <w:szCs w:val="18"/>
              </w:rPr>
              <w:t xml:space="preserve"> for </w:t>
            </w:r>
            <w:r w:rsidR="009E4E41">
              <w:rPr>
                <w:szCs w:val="18"/>
              </w:rPr>
              <w:t xml:space="preserve">Azure Active Directory and </w:t>
            </w:r>
            <w:r w:rsidR="00F52BA4">
              <w:rPr>
                <w:szCs w:val="18"/>
              </w:rPr>
              <w:t xml:space="preserve">an </w:t>
            </w:r>
            <w:r w:rsidR="009E4E41">
              <w:rPr>
                <w:szCs w:val="18"/>
              </w:rPr>
              <w:t xml:space="preserve">integrated </w:t>
            </w:r>
            <w:r w:rsidR="009E4E41" w:rsidRPr="001C2FBB">
              <w:rPr>
                <w:szCs w:val="18"/>
              </w:rPr>
              <w:t xml:space="preserve">on-premises </w:t>
            </w:r>
            <w:r w:rsidR="00E12960" w:rsidRPr="001C2FBB">
              <w:rPr>
                <w:szCs w:val="18"/>
              </w:rPr>
              <w:t>AD</w:t>
            </w:r>
            <w:r w:rsidR="00E12960">
              <w:rPr>
                <w:szCs w:val="18"/>
              </w:rPr>
              <w:t> </w:t>
            </w:r>
            <w:r w:rsidR="009E4E41" w:rsidRPr="001C2FBB">
              <w:rPr>
                <w:szCs w:val="18"/>
              </w:rPr>
              <w:t>DS forest</w:t>
            </w:r>
            <w:r w:rsidR="00F52BA4">
              <w:rPr>
                <w:szCs w:val="18"/>
              </w:rPr>
              <w:t xml:space="preserve"> (or forest</w:t>
            </w:r>
            <w:r w:rsidR="009E4E41" w:rsidRPr="001C2FBB">
              <w:rPr>
                <w:szCs w:val="18"/>
              </w:rPr>
              <w:t>s)</w:t>
            </w:r>
            <w:r w:rsidR="00F52BA4">
              <w:rPr>
                <w:szCs w:val="18"/>
              </w:rPr>
              <w:t>.</w:t>
            </w:r>
          </w:p>
          <w:p w14:paraId="13BB800B" w14:textId="5C18CE3D" w:rsidR="009E4E41" w:rsidRPr="004E1A4E" w:rsidRDefault="00F52BA4" w:rsidP="009E4E41">
            <w:pPr>
              <w:pStyle w:val="TableBullet1"/>
              <w:rPr>
                <w:szCs w:val="20"/>
              </w:rPr>
            </w:pPr>
            <w:r>
              <w:t>Take responsibility</w:t>
            </w:r>
            <w:r w:rsidRPr="001C2FBB">
              <w:rPr>
                <w:szCs w:val="18"/>
              </w:rPr>
              <w:t xml:space="preserve"> </w:t>
            </w:r>
            <w:r w:rsidR="009E4E41" w:rsidRPr="001C2FBB">
              <w:rPr>
                <w:szCs w:val="18"/>
              </w:rPr>
              <w:t xml:space="preserve">for the Azure </w:t>
            </w:r>
            <w:r w:rsidR="007F5153">
              <w:rPr>
                <w:szCs w:val="18"/>
              </w:rPr>
              <w:t>A</w:t>
            </w:r>
            <w:r w:rsidR="00444C79">
              <w:rPr>
                <w:szCs w:val="18"/>
              </w:rPr>
              <w:t>ctive Directory</w:t>
            </w:r>
            <w:r w:rsidR="009E4E41" w:rsidRPr="001C2FBB">
              <w:rPr>
                <w:szCs w:val="18"/>
              </w:rPr>
              <w:t xml:space="preserve"> identity management solution going forward</w:t>
            </w:r>
            <w:r w:rsidR="008073C8">
              <w:rPr>
                <w:szCs w:val="18"/>
              </w:rPr>
              <w:t>.</w:t>
            </w:r>
          </w:p>
        </w:tc>
      </w:tr>
      <w:tr w:rsidR="00FB73E4" w:rsidRPr="005F3BAF" w14:paraId="6930CAD6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385D5CA7" w14:textId="2045A7CC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Active Directory </w:t>
            </w:r>
            <w:r w:rsidR="00307C96">
              <w:t>resource</w:t>
            </w:r>
          </w:p>
        </w:tc>
        <w:tc>
          <w:tcPr>
            <w:tcW w:w="7200" w:type="dxa"/>
            <w:shd w:val="clear" w:color="auto" w:fill="auto"/>
          </w:tcPr>
          <w:p w14:paraId="70B84B61" w14:textId="21BA8F28" w:rsidR="00FB73E4" w:rsidRDefault="001E5D0E" w:rsidP="0010406A">
            <w:pPr>
              <w:pStyle w:val="TableText"/>
            </w:pPr>
            <w:r>
              <w:t>I</w:t>
            </w:r>
            <w:r w:rsidR="00FB73E4">
              <w:t xml:space="preserve">mplement </w:t>
            </w:r>
            <w:r w:rsidR="00F152A2">
              <w:t xml:space="preserve">the </w:t>
            </w:r>
            <w:r w:rsidR="00FB73E4">
              <w:t>changes to A</w:t>
            </w:r>
            <w:r w:rsidR="007F5153">
              <w:t xml:space="preserve">ctive </w:t>
            </w:r>
            <w:r w:rsidR="00FB73E4">
              <w:t>D</w:t>
            </w:r>
            <w:r w:rsidR="007F5153">
              <w:t>irectory</w:t>
            </w:r>
            <w:r w:rsidR="00FB73E4">
              <w:t xml:space="preserve"> required to support authentication use cases</w:t>
            </w:r>
            <w:r>
              <w:t>, if needed</w:t>
            </w:r>
            <w:r w:rsidR="00F152A2">
              <w:t>.</w:t>
            </w:r>
          </w:p>
        </w:tc>
      </w:tr>
      <w:tr w:rsidR="00FB73E4" w:rsidRPr="005F3BAF" w14:paraId="298F6B18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45D0F4A4" w14:textId="5AFA1093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Server </w:t>
            </w:r>
            <w:r w:rsidR="00307C96">
              <w:t xml:space="preserve">infrastructure </w:t>
            </w:r>
            <w:r>
              <w:t>resources</w:t>
            </w:r>
          </w:p>
        </w:tc>
        <w:tc>
          <w:tcPr>
            <w:tcW w:w="7200" w:type="dxa"/>
            <w:shd w:val="clear" w:color="auto" w:fill="auto"/>
          </w:tcPr>
          <w:p w14:paraId="7C4621E6" w14:textId="4E6A7FBD" w:rsidR="00FB73E4" w:rsidRDefault="00FB73E4" w:rsidP="0010406A">
            <w:pPr>
              <w:pStyle w:val="TableText"/>
            </w:pPr>
            <w:r>
              <w:t xml:space="preserve">Provision </w:t>
            </w:r>
            <w:r w:rsidR="00307C96">
              <w:t xml:space="preserve">the </w:t>
            </w:r>
            <w:r>
              <w:t>servers required for Azure</w:t>
            </w:r>
            <w:r w:rsidR="007F5153">
              <w:t xml:space="preserve"> Active Directory </w:t>
            </w:r>
            <w:r>
              <w:t xml:space="preserve">App </w:t>
            </w:r>
            <w:r w:rsidR="001E5D0E">
              <w:t>Proxy</w:t>
            </w:r>
            <w:r w:rsidR="00307C96">
              <w:t>.</w:t>
            </w:r>
          </w:p>
        </w:tc>
      </w:tr>
      <w:tr w:rsidR="00FB73E4" w:rsidRPr="005F3BAF" w14:paraId="03C673AB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3E36F3F" w14:textId="297DE5B0" w:rsidR="00FB73E4" w:rsidRDefault="00FB73E4" w:rsidP="00FB73E4">
            <w:pPr>
              <w:pStyle w:val="TableText"/>
              <w:rPr>
                <w:szCs w:val="18"/>
              </w:rPr>
            </w:pPr>
            <w:r>
              <w:t>Networking resource</w:t>
            </w:r>
          </w:p>
        </w:tc>
        <w:tc>
          <w:tcPr>
            <w:tcW w:w="7200" w:type="dxa"/>
            <w:shd w:val="clear" w:color="auto" w:fill="auto"/>
          </w:tcPr>
          <w:p w14:paraId="472F7C75" w14:textId="6B0D0E58" w:rsidR="00FB73E4" w:rsidRDefault="00FB73E4" w:rsidP="0010406A">
            <w:pPr>
              <w:pStyle w:val="TableText"/>
            </w:pPr>
            <w:r>
              <w:t xml:space="preserve">Provision </w:t>
            </w:r>
            <w:r w:rsidR="00F152A2">
              <w:t xml:space="preserve">the </w:t>
            </w:r>
            <w:r>
              <w:t xml:space="preserve">network for </w:t>
            </w:r>
            <w:r w:rsidR="00F152A2">
              <w:t xml:space="preserve">the </w:t>
            </w:r>
            <w:r>
              <w:t xml:space="preserve">Azure </w:t>
            </w:r>
            <w:r w:rsidR="007F5153">
              <w:t>A</w:t>
            </w:r>
            <w:r w:rsidR="00444C79">
              <w:t>ctive Directory</w:t>
            </w:r>
            <w:r>
              <w:t xml:space="preserve"> App Proxy</w:t>
            </w:r>
            <w:r w:rsidR="00F152A2">
              <w:t>.</w:t>
            </w:r>
          </w:p>
        </w:tc>
      </w:tr>
      <w:tr w:rsidR="00FB73E4" w:rsidRPr="005F3BAF" w14:paraId="69116DF2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3A6A86A0" w14:textId="67AF2DC1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Application </w:t>
            </w:r>
            <w:r w:rsidR="00C66E0F">
              <w:t>owners</w:t>
            </w:r>
          </w:p>
        </w:tc>
        <w:tc>
          <w:tcPr>
            <w:tcW w:w="7200" w:type="dxa"/>
            <w:shd w:val="clear" w:color="auto" w:fill="auto"/>
          </w:tcPr>
          <w:p w14:paraId="23BB7202" w14:textId="5C183F10" w:rsidR="00FB73E4" w:rsidRDefault="00FB73E4" w:rsidP="0010406A">
            <w:pPr>
              <w:pStyle w:val="TableText"/>
            </w:pPr>
            <w:r>
              <w:t xml:space="preserve">Provide subject matter expertise on </w:t>
            </w:r>
            <w:r w:rsidR="00F152A2">
              <w:t xml:space="preserve">the </w:t>
            </w:r>
            <w:r>
              <w:t>application</w:t>
            </w:r>
            <w:r w:rsidR="00F152A2">
              <w:t xml:space="preserve"> </w:t>
            </w:r>
            <w:r>
              <w:t>(</w:t>
            </w:r>
            <w:r w:rsidR="00F152A2">
              <w:t>o application</w:t>
            </w:r>
            <w:r>
              <w:t xml:space="preserve">s) </w:t>
            </w:r>
            <w:r w:rsidR="00F152A2">
              <w:t xml:space="preserve">that are </w:t>
            </w:r>
            <w:r>
              <w:t>in scope for integration.</w:t>
            </w:r>
            <w:r w:rsidR="006001F3">
              <w:t xml:space="preserve"> </w:t>
            </w:r>
            <w:r>
              <w:t xml:space="preserve">Will be </w:t>
            </w:r>
            <w:r w:rsidR="00F152A2">
              <w:t xml:space="preserve">the </w:t>
            </w:r>
            <w:r>
              <w:t>point of contact for planning, onboarding, testing</w:t>
            </w:r>
            <w:r w:rsidR="00F152A2">
              <w:t>,</w:t>
            </w:r>
            <w:r>
              <w:t xml:space="preserve"> and remediation activities.</w:t>
            </w:r>
          </w:p>
        </w:tc>
      </w:tr>
      <w:tr w:rsidR="00FB73E4" w:rsidRPr="005F3BAF" w14:paraId="0B925867" w14:textId="77777777" w:rsidTr="002702C8">
        <w:trPr>
          <w:trHeight w:val="432"/>
        </w:trPr>
        <w:tc>
          <w:tcPr>
            <w:tcW w:w="2157" w:type="dxa"/>
            <w:shd w:val="clear" w:color="auto" w:fill="auto"/>
          </w:tcPr>
          <w:p w14:paraId="02D46A04" w14:textId="0BD2C730" w:rsidR="00FB73E4" w:rsidRDefault="00FB73E4" w:rsidP="00FB73E4">
            <w:pPr>
              <w:pStyle w:val="TableText"/>
              <w:rPr>
                <w:szCs w:val="18"/>
              </w:rPr>
            </w:pPr>
            <w:r>
              <w:t xml:space="preserve">Application </w:t>
            </w:r>
            <w:r w:rsidR="00C66E0F">
              <w:t>testers</w:t>
            </w:r>
          </w:p>
        </w:tc>
        <w:tc>
          <w:tcPr>
            <w:tcW w:w="7200" w:type="dxa"/>
            <w:shd w:val="clear" w:color="auto" w:fill="auto"/>
          </w:tcPr>
          <w:p w14:paraId="29F3DDD7" w14:textId="4ABC5260" w:rsidR="00FB73E4" w:rsidRDefault="00FB73E4" w:rsidP="0010406A">
            <w:pPr>
              <w:pStyle w:val="TableText"/>
            </w:pPr>
            <w:r>
              <w:t>Valida</w:t>
            </w:r>
            <w:r w:rsidR="00F152A2">
              <w:t>te</w:t>
            </w:r>
            <w:r>
              <w:t xml:space="preserve"> test cases</w:t>
            </w:r>
            <w:r w:rsidR="00AC6527">
              <w:t>.</w:t>
            </w:r>
          </w:p>
        </w:tc>
      </w:tr>
    </w:tbl>
    <w:p w14:paraId="0E5E3E69" w14:textId="77777777" w:rsidR="00C84DD9" w:rsidRDefault="0013452E" w:rsidP="00AA09CF">
      <w:pPr>
        <w:pStyle w:val="Heading4"/>
      </w:pPr>
      <w:r w:rsidRPr="00AA09CF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499D5C5D" w14:textId="77777777" w:rsidTr="0010406A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08CEB94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493677C3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73E6A013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4ED4489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auto"/>
          </w:tcPr>
          <w:p w14:paraId="0D6B1310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5FC717B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462E2A1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197E0C0" w14:textId="77777777" w:rsidR="0013452E" w:rsidRDefault="0013452E" w:rsidP="0013452E">
            <w:pPr>
              <w:pStyle w:val="TableText"/>
            </w:pPr>
            <w:r>
              <w:lastRenderedPageBreak/>
              <w:t>Microsoft project manager</w:t>
            </w:r>
          </w:p>
        </w:tc>
        <w:tc>
          <w:tcPr>
            <w:tcW w:w="7163" w:type="dxa"/>
            <w:shd w:val="clear" w:color="auto" w:fill="auto"/>
          </w:tcPr>
          <w:p w14:paraId="6A961CA9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1BD6636D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0AB112E2" w14:textId="084D7D4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 xml:space="preserve">subcontractor resources but not </w:t>
            </w:r>
            <w:r w:rsidR="00517604">
              <w:t>C</w:t>
            </w:r>
            <w:r>
              <w:t>ustomer resources.</w:t>
            </w:r>
          </w:p>
        </w:tc>
      </w:tr>
      <w:tr w:rsidR="0013452E" w:rsidRPr="005F3BAF" w14:paraId="1B7773FD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74127558" w14:textId="77777777" w:rsidR="0013452E" w:rsidRDefault="0013452E" w:rsidP="0013452E">
            <w:pPr>
              <w:pStyle w:val="TableText"/>
            </w:pPr>
            <w:r>
              <w:t>Microsoft lead architect</w:t>
            </w:r>
          </w:p>
        </w:tc>
        <w:tc>
          <w:tcPr>
            <w:tcW w:w="7163" w:type="dxa"/>
            <w:shd w:val="clear" w:color="auto" w:fill="auto"/>
          </w:tcPr>
          <w:p w14:paraId="032CB6DF" w14:textId="77777777" w:rsidR="0013452E" w:rsidRDefault="0013452E" w:rsidP="0013452E">
            <w:pPr>
              <w:pStyle w:val="TableBullet1"/>
            </w:pPr>
            <w:r>
              <w:t>Design the overall solution.</w:t>
            </w:r>
          </w:p>
          <w:p w14:paraId="65702CE7" w14:textId="77777777" w:rsidR="0013452E" w:rsidRPr="00D0227D" w:rsidRDefault="0013452E" w:rsidP="0013452E">
            <w:pPr>
              <w:pStyle w:val="TableBullet1"/>
              <w:rPr>
                <w:szCs w:val="18"/>
              </w:rPr>
            </w:pPr>
            <w:r w:rsidRPr="00A67A54">
              <w:rPr>
                <w:bCs/>
              </w:rPr>
              <w:t>Provide guidance based on Microsoft</w:t>
            </w:r>
            <w:r>
              <w:rPr>
                <w:bCs/>
              </w:rPr>
              <w:t>-</w:t>
            </w:r>
            <w:r w:rsidRPr="00A67A54">
              <w:rPr>
                <w:bCs/>
              </w:rPr>
              <w:t>recommended practices</w:t>
            </w:r>
            <w:r>
              <w:rPr>
                <w:bCs/>
              </w:rPr>
              <w:t>.</w:t>
            </w:r>
          </w:p>
        </w:tc>
      </w:tr>
      <w:tr w:rsidR="009E4E41" w:rsidRPr="005F3BAF" w14:paraId="3FE5A6AF" w14:textId="77777777" w:rsidTr="0010406A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50A961C3" w14:textId="6A95236B" w:rsidR="009E4E41" w:rsidRPr="000B465B" w:rsidRDefault="009E4E41" w:rsidP="009E4E41">
            <w:pPr>
              <w:pStyle w:val="TableText"/>
            </w:pPr>
            <w:r>
              <w:t xml:space="preserve">Microsoft </w:t>
            </w:r>
            <w:r w:rsidR="00F24393">
              <w:t>c</w:t>
            </w:r>
            <w:r w:rsidRPr="000B465B">
              <w:t>onsultant</w:t>
            </w:r>
          </w:p>
        </w:tc>
        <w:tc>
          <w:tcPr>
            <w:tcW w:w="7163" w:type="dxa"/>
            <w:shd w:val="clear" w:color="auto" w:fill="auto"/>
          </w:tcPr>
          <w:p w14:paraId="0D18602B" w14:textId="6D4B5BC9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Lead workshop and produces document deliverables</w:t>
            </w:r>
            <w:r w:rsidR="008073C8">
              <w:rPr>
                <w:szCs w:val="18"/>
              </w:rPr>
              <w:t>.</w:t>
            </w:r>
          </w:p>
          <w:p w14:paraId="7B2DFB6E" w14:textId="6C67F1AE" w:rsidR="009E4E41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 xml:space="preserve">Provide technical support during </w:t>
            </w:r>
            <w:r w:rsidR="00517604">
              <w:rPr>
                <w:szCs w:val="18"/>
              </w:rPr>
              <w:t>C</w:t>
            </w:r>
            <w:r>
              <w:rPr>
                <w:szCs w:val="18"/>
              </w:rPr>
              <w:t>ustomer-led completion of preparation tasks</w:t>
            </w:r>
            <w:r w:rsidR="008073C8">
              <w:rPr>
                <w:szCs w:val="18"/>
              </w:rPr>
              <w:t>.</w:t>
            </w:r>
          </w:p>
          <w:p w14:paraId="2E139270" w14:textId="52588299" w:rsidR="009E4E41" w:rsidRPr="00D0227D" w:rsidRDefault="009E4E41" w:rsidP="009E4E41">
            <w:pPr>
              <w:pStyle w:val="TableBullet1"/>
              <w:rPr>
                <w:szCs w:val="18"/>
              </w:rPr>
            </w:pPr>
            <w:r>
              <w:rPr>
                <w:szCs w:val="18"/>
              </w:rPr>
              <w:t>Complete all in-scope implementation work</w:t>
            </w:r>
            <w:r w:rsidR="008073C8">
              <w:rPr>
                <w:szCs w:val="18"/>
              </w:rPr>
              <w:t>.</w:t>
            </w:r>
          </w:p>
        </w:tc>
      </w:tr>
    </w:tbl>
    <w:p w14:paraId="7BBE4D7A" w14:textId="77777777" w:rsidR="0089268B" w:rsidRDefault="0089268B" w:rsidP="0089268B">
      <w:pPr>
        <w:pStyle w:val="Heading1"/>
      </w:pPr>
      <w:bookmarkStart w:id="66" w:name="_Toc476167714"/>
      <w:bookmarkStart w:id="67" w:name="_Toc476168052"/>
      <w:bookmarkStart w:id="68" w:name="_Toc37750185"/>
      <w:r>
        <w:t>Customer responsibilities and project assumptions</w:t>
      </w:r>
      <w:bookmarkEnd w:id="66"/>
      <w:bookmarkEnd w:id="67"/>
      <w:bookmarkEnd w:id="68"/>
    </w:p>
    <w:p w14:paraId="4EAF2918" w14:textId="77777777" w:rsidR="002F1155" w:rsidRPr="00D30E59" w:rsidRDefault="00737D61" w:rsidP="00737D61">
      <w:pPr>
        <w:pStyle w:val="Heading2"/>
      </w:pPr>
      <w:bookmarkStart w:id="69" w:name="_Toc476167715"/>
      <w:bookmarkStart w:id="70" w:name="_Toc476168053"/>
      <w:bookmarkStart w:id="71" w:name="_Toc37750186"/>
      <w:r w:rsidRPr="00D30E59">
        <w:t>Customer responsibilities</w:t>
      </w:r>
      <w:bookmarkEnd w:id="69"/>
      <w:bookmarkEnd w:id="70"/>
      <w:bookmarkEnd w:id="71"/>
    </w:p>
    <w:p w14:paraId="1420F49A" w14:textId="094664B3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</w:p>
    <w:p w14:paraId="4F547B01" w14:textId="50FC5E5E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>:</w:t>
      </w:r>
    </w:p>
    <w:p w14:paraId="76FFC501" w14:textId="03287E85" w:rsidR="004D04B9" w:rsidRPr="006679AB" w:rsidRDefault="00CE5B67" w:rsidP="00EF4391">
      <w:pPr>
        <w:pStyle w:val="Bulletlist"/>
        <w:numPr>
          <w:ilvl w:val="1"/>
          <w:numId w:val="9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 w:rsidR="0043213C">
        <w:t xml:space="preserve"> </w:t>
      </w:r>
      <w:r>
        <w:t>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D35A9EE" w14:textId="0CDBED21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>.</w:t>
      </w:r>
    </w:p>
    <w:p w14:paraId="1EC4DEF6" w14:textId="7A6D78AA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knowledgeable </w:t>
      </w:r>
      <w:r w:rsidR="00517604">
        <w:t>C</w:t>
      </w:r>
      <w:r w:rsidR="00A26C0D">
        <w:t>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01AA527F" w14:textId="5E4863F5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>.</w:t>
      </w:r>
    </w:p>
    <w:p w14:paraId="7E2B7E6A" w14:textId="08C034C8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all necessary </w:t>
      </w:r>
      <w:r w:rsidR="00517604">
        <w:t>C</w:t>
      </w:r>
      <w:r w:rsidR="00A26C0D">
        <w:t>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659DB61F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E60B42D" w14:textId="52AC6771" w:rsidR="004D04B9" w:rsidRDefault="00C35540" w:rsidP="00EF4391">
      <w:pPr>
        <w:pStyle w:val="Bulletlist"/>
        <w:numPr>
          <w:ilvl w:val="1"/>
          <w:numId w:val="9"/>
        </w:numPr>
      </w:pPr>
      <w:r>
        <w:t>This consists of s</w:t>
      </w:r>
      <w:r w:rsidRPr="006679AB">
        <w:t xml:space="preserve">uitable </w:t>
      </w:r>
      <w:proofErr w:type="gramStart"/>
      <w:r w:rsidR="004D04B9" w:rsidRPr="006679AB">
        <w:t>work spaces</w:t>
      </w:r>
      <w:proofErr w:type="gramEnd"/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3B093E15" w14:textId="38BC0793" w:rsidR="00A85B61" w:rsidRPr="006679AB" w:rsidRDefault="00A85B61" w:rsidP="00EF4391">
      <w:pPr>
        <w:pStyle w:val="Bulletlist"/>
        <w:numPr>
          <w:ilvl w:val="1"/>
          <w:numId w:val="9"/>
        </w:numPr>
      </w:pPr>
      <w:r>
        <w:t>Remote Access to enable remote work</w:t>
      </w:r>
    </w:p>
    <w:p w14:paraId="0EED184A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38C97EC3" w14:textId="2AB803A2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517604">
        <w:t>C</w:t>
      </w:r>
      <w:r w:rsidR="00A26C0D">
        <w:t>ustomer</w:t>
      </w:r>
      <w:r w:rsidR="004D04B9" w:rsidRPr="006679AB">
        <w:t xml:space="preserve"> personnel and vendors </w:t>
      </w:r>
      <w:r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2510DB4E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12B9F85C" w14:textId="3E1B5C58" w:rsidR="004D04B9" w:rsidRPr="006679AB" w:rsidRDefault="004B1433" w:rsidP="00EF4391">
      <w:pPr>
        <w:pStyle w:val="Bulletlist"/>
        <w:numPr>
          <w:ilvl w:val="1"/>
          <w:numId w:val="9"/>
        </w:numPr>
      </w:pPr>
      <w:r>
        <w:t xml:space="preserve">The </w:t>
      </w:r>
      <w:r w:rsidR="00517604">
        <w:t>C</w:t>
      </w:r>
      <w:r>
        <w:t>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proofErr w:type="gramStart"/>
      <w:r>
        <w:t>in order to</w:t>
      </w:r>
      <w:proofErr w:type="gramEnd"/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03799DAB" w14:textId="77777777" w:rsidR="007D3787" w:rsidRPr="00D30E59" w:rsidRDefault="007D3787" w:rsidP="007D3787">
      <w:pPr>
        <w:pStyle w:val="Heading2"/>
      </w:pPr>
      <w:bookmarkStart w:id="72" w:name="_Toc476167716"/>
      <w:bookmarkStart w:id="73" w:name="_Toc476168054"/>
      <w:bookmarkStart w:id="74" w:name="_Toc37750187"/>
      <w:r w:rsidRPr="00D30E59">
        <w:t xml:space="preserve">Project </w:t>
      </w:r>
      <w:bookmarkEnd w:id="72"/>
      <w:bookmarkEnd w:id="73"/>
      <w:r w:rsidR="006209A1" w:rsidRPr="00D30E59">
        <w:t>assumptions</w:t>
      </w:r>
      <w:bookmarkEnd w:id="74"/>
    </w:p>
    <w:p w14:paraId="4F00A8AB" w14:textId="7CD96585" w:rsidR="00EC7993" w:rsidRDefault="007D3787" w:rsidP="00EC7993">
      <w:r>
        <w:t>The project sc</w:t>
      </w:r>
      <w:r w:rsidR="00884E0D">
        <w:t xml:space="preserve">ope, </w:t>
      </w:r>
      <w:r w:rsidR="00C87A54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</w:t>
      </w:r>
      <w:r w:rsidR="00EC7993">
        <w:lastRenderedPageBreak/>
        <w:t xml:space="preserve">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7537BF7" w14:textId="022FAC4C" w:rsidR="003D158B" w:rsidRDefault="000F1748" w:rsidP="002E3D1B">
      <w:pPr>
        <w:pStyle w:val="Bulletlist"/>
      </w:pPr>
      <w:proofErr w:type="gramStart"/>
      <w:r>
        <w:t>Work day</w:t>
      </w:r>
      <w:proofErr w:type="gramEnd"/>
      <w:r>
        <w:t>:</w:t>
      </w:r>
    </w:p>
    <w:p w14:paraId="08C79664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proofErr w:type="gramStart"/>
      <w:r w:rsidR="004D04B9" w:rsidRPr="006679AB">
        <w:t>work day</w:t>
      </w:r>
      <w:proofErr w:type="gramEnd"/>
      <w:r w:rsidR="004D04B9" w:rsidRPr="006679AB">
        <w:t xml:space="preserve">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6BE11DC4" w14:textId="77777777" w:rsidR="009E719B" w:rsidRDefault="009E719B" w:rsidP="009E719B">
      <w:pPr>
        <w:pStyle w:val="Bulletlist"/>
      </w:pPr>
      <w:r>
        <w:t>Standard holidays:</w:t>
      </w:r>
    </w:p>
    <w:p w14:paraId="363FE52F" w14:textId="77777777" w:rsidR="009E719B" w:rsidRPr="006679AB" w:rsidRDefault="009E719B" w:rsidP="009E719B">
      <w:pPr>
        <w:pStyle w:val="Bulletlist"/>
        <w:numPr>
          <w:ilvl w:val="1"/>
          <w:numId w:val="9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4C481504" w14:textId="77777777" w:rsidR="003D158B" w:rsidRPr="006B13B4" w:rsidRDefault="003D158B" w:rsidP="002E3D1B">
      <w:pPr>
        <w:pStyle w:val="Bulletlist"/>
        <w:rPr>
          <w:b/>
          <w:bCs/>
        </w:rPr>
      </w:pPr>
      <w:r w:rsidRPr="006B13B4">
        <w:rPr>
          <w:b/>
          <w:bCs/>
        </w:rPr>
        <w:t>Remote working:</w:t>
      </w:r>
    </w:p>
    <w:p w14:paraId="045B053C" w14:textId="7B7AA5C3" w:rsidR="004D04B9" w:rsidRPr="006B13B4" w:rsidRDefault="00BB19E5" w:rsidP="003D158B">
      <w:pPr>
        <w:pStyle w:val="Bulletlist"/>
        <w:numPr>
          <w:ilvl w:val="1"/>
          <w:numId w:val="9"/>
        </w:numPr>
        <w:rPr>
          <w:b/>
          <w:bCs/>
        </w:rPr>
      </w:pPr>
      <w:r w:rsidRPr="006B13B4">
        <w:rPr>
          <w:b/>
          <w:bCs/>
        </w:rPr>
        <w:t>T</w:t>
      </w:r>
      <w:r w:rsidR="004D04B9" w:rsidRPr="006B13B4">
        <w:rPr>
          <w:b/>
          <w:bCs/>
        </w:rPr>
        <w:t xml:space="preserve">he Microsoft project team </w:t>
      </w:r>
      <w:r w:rsidR="001C00BA" w:rsidRPr="006B13B4">
        <w:rPr>
          <w:b/>
          <w:bCs/>
        </w:rPr>
        <w:t>may</w:t>
      </w:r>
      <w:r w:rsidR="007104D0" w:rsidRPr="006B13B4">
        <w:rPr>
          <w:b/>
          <w:bCs/>
        </w:rPr>
        <w:t xml:space="preserve"> </w:t>
      </w:r>
      <w:r w:rsidR="004D04B9" w:rsidRPr="006B13B4">
        <w:rPr>
          <w:b/>
          <w:bCs/>
        </w:rPr>
        <w:t xml:space="preserve">perform </w:t>
      </w:r>
      <w:r w:rsidR="00C87A54" w:rsidRPr="006B13B4">
        <w:rPr>
          <w:b/>
          <w:bCs/>
        </w:rPr>
        <w:t>S</w:t>
      </w:r>
      <w:r w:rsidR="00A26C0D" w:rsidRPr="006B13B4">
        <w:rPr>
          <w:b/>
          <w:bCs/>
        </w:rPr>
        <w:t>ervices</w:t>
      </w:r>
      <w:r w:rsidR="004D04B9" w:rsidRPr="006B13B4">
        <w:rPr>
          <w:b/>
          <w:bCs/>
        </w:rPr>
        <w:t xml:space="preserve"> remotely</w:t>
      </w:r>
      <w:r w:rsidR="00636B13" w:rsidRPr="006B13B4">
        <w:rPr>
          <w:b/>
          <w:bCs/>
        </w:rPr>
        <w:t>.</w:t>
      </w:r>
    </w:p>
    <w:p w14:paraId="32E48CEA" w14:textId="548583C1" w:rsidR="004D04B9" w:rsidRPr="006B13B4" w:rsidRDefault="00BB19E5" w:rsidP="003D158B">
      <w:pPr>
        <w:pStyle w:val="Bulletlist"/>
        <w:numPr>
          <w:ilvl w:val="1"/>
          <w:numId w:val="9"/>
        </w:numPr>
        <w:rPr>
          <w:b/>
          <w:bCs/>
        </w:rPr>
      </w:pPr>
      <w:r w:rsidRPr="006B13B4">
        <w:rPr>
          <w:b/>
          <w:bCs/>
        </w:rPr>
        <w:t>I</w:t>
      </w:r>
      <w:r w:rsidR="0058051C" w:rsidRPr="006B13B4">
        <w:rPr>
          <w:b/>
          <w:bCs/>
        </w:rPr>
        <w:t xml:space="preserve">f the </w:t>
      </w:r>
      <w:r w:rsidR="004D04B9" w:rsidRPr="006B13B4">
        <w:rPr>
          <w:b/>
          <w:bCs/>
        </w:rPr>
        <w:t xml:space="preserve">Microsoft project team </w:t>
      </w:r>
      <w:r w:rsidR="0058051C" w:rsidRPr="006B13B4">
        <w:rPr>
          <w:b/>
          <w:bCs/>
        </w:rPr>
        <w:t xml:space="preserve">is </w:t>
      </w:r>
      <w:r w:rsidR="004D04B9" w:rsidRPr="006B13B4">
        <w:rPr>
          <w:b/>
          <w:bCs/>
        </w:rPr>
        <w:t xml:space="preserve">required to be present at the </w:t>
      </w:r>
      <w:r w:rsidR="00517604" w:rsidRPr="006B13B4">
        <w:rPr>
          <w:b/>
          <w:bCs/>
        </w:rPr>
        <w:t>C</w:t>
      </w:r>
      <w:r w:rsidR="00A26C0D" w:rsidRPr="006B13B4">
        <w:rPr>
          <w:b/>
          <w:bCs/>
        </w:rPr>
        <w:t>ustomer</w:t>
      </w:r>
      <w:r w:rsidR="004D04B9" w:rsidRPr="006B13B4">
        <w:rPr>
          <w:b/>
          <w:bCs/>
        </w:rPr>
        <w:t xml:space="preserve"> location on a weekly basis, resources</w:t>
      </w:r>
      <w:r w:rsidR="006F0E0E" w:rsidRPr="006B13B4">
        <w:rPr>
          <w:b/>
          <w:bCs/>
        </w:rPr>
        <w:t xml:space="preserve"> will typically be on site for three nights</w:t>
      </w:r>
      <w:r w:rsidR="0058051C" w:rsidRPr="006B13B4">
        <w:rPr>
          <w:b/>
          <w:bCs/>
        </w:rPr>
        <w:t xml:space="preserve"> and </w:t>
      </w:r>
      <w:r w:rsidR="006F0E0E" w:rsidRPr="006B13B4">
        <w:rPr>
          <w:b/>
          <w:bCs/>
        </w:rPr>
        <w:t>four</w:t>
      </w:r>
      <w:r w:rsidR="004D04B9" w:rsidRPr="006B13B4">
        <w:rPr>
          <w:b/>
          <w:bCs/>
        </w:rPr>
        <w:t xml:space="preserve"> days</w:t>
      </w:r>
      <w:r w:rsidR="0058051C" w:rsidRPr="006B13B4">
        <w:rPr>
          <w:b/>
          <w:bCs/>
        </w:rPr>
        <w:t xml:space="preserve">, </w:t>
      </w:r>
      <w:r w:rsidR="004D04B9" w:rsidRPr="006B13B4">
        <w:rPr>
          <w:b/>
          <w:bCs/>
        </w:rPr>
        <w:t xml:space="preserve">arriving on </w:t>
      </w:r>
      <w:r w:rsidR="0058051C" w:rsidRPr="006B13B4">
        <w:rPr>
          <w:b/>
          <w:bCs/>
        </w:rPr>
        <w:t xml:space="preserve">a </w:t>
      </w:r>
      <w:r w:rsidR="004D04B9" w:rsidRPr="006B13B4">
        <w:rPr>
          <w:b/>
          <w:bCs/>
        </w:rPr>
        <w:t xml:space="preserve">Monday and leaving </w:t>
      </w:r>
      <w:r w:rsidR="0058051C" w:rsidRPr="006B13B4">
        <w:rPr>
          <w:b/>
          <w:bCs/>
        </w:rPr>
        <w:t xml:space="preserve">on a </w:t>
      </w:r>
      <w:r w:rsidR="004D04B9" w:rsidRPr="006B13B4">
        <w:rPr>
          <w:b/>
          <w:bCs/>
        </w:rPr>
        <w:t>Thursday</w:t>
      </w:r>
      <w:r w:rsidR="00636B13" w:rsidRPr="006B13B4">
        <w:rPr>
          <w:b/>
          <w:bCs/>
        </w:rPr>
        <w:t>.</w:t>
      </w:r>
    </w:p>
    <w:p w14:paraId="04FEB6BE" w14:textId="77777777" w:rsidR="003D158B" w:rsidRDefault="003D158B" w:rsidP="002E3D1B">
      <w:pPr>
        <w:pStyle w:val="Bulletlist"/>
      </w:pPr>
      <w:r>
        <w:t>Language:</w:t>
      </w:r>
    </w:p>
    <w:p w14:paraId="3AB5404F" w14:textId="459B1F44" w:rsidR="004D04B9" w:rsidRPr="006679AB" w:rsidRDefault="00BB19E5" w:rsidP="003D158B">
      <w:pPr>
        <w:pStyle w:val="Bulletlist"/>
        <w:numPr>
          <w:ilvl w:val="1"/>
          <w:numId w:val="9"/>
        </w:numPr>
      </w:pPr>
      <w:r>
        <w:t>A</w:t>
      </w:r>
      <w:r w:rsidR="0072174A" w:rsidRPr="006679AB">
        <w:t>ll p</w:t>
      </w:r>
      <w:r w:rsidR="004D04B9" w:rsidRPr="006679AB">
        <w:t>roject communications and documentation will be in</w:t>
      </w:r>
      <w:r w:rsidR="001737E2">
        <w:rPr>
          <w:rStyle w:val="InstructionalChar"/>
        </w:rPr>
        <w:t xml:space="preserve"> </w:t>
      </w:r>
      <w:r w:rsidR="001737E2" w:rsidRPr="004E169D">
        <w:t>English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5670F3C2" w14:textId="77777777" w:rsidR="003D158B" w:rsidRDefault="003D158B" w:rsidP="003D158B">
      <w:pPr>
        <w:pStyle w:val="Bulletlist"/>
      </w:pPr>
      <w:r>
        <w:t>Staffing:</w:t>
      </w:r>
    </w:p>
    <w:p w14:paraId="46444A3E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44E1148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09DD3705" w14:textId="77777777" w:rsidR="007B1F4C" w:rsidRPr="007B1F4C" w:rsidRDefault="00BB19E5" w:rsidP="007B1F4C">
      <w:pPr>
        <w:pStyle w:val="Bulletlist"/>
        <w:numPr>
          <w:ilvl w:val="1"/>
          <w:numId w:val="9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sectPr w:rsidR="007B1F4C" w:rsidRPr="007B1F4C" w:rsidSect="00812548">
      <w:footerReference w:type="default" r:id="rId20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DC708" w14:textId="77777777" w:rsidR="007C5CB7" w:rsidRDefault="007C5CB7" w:rsidP="000D404A">
      <w:pPr>
        <w:spacing w:after="0" w:line="240" w:lineRule="auto"/>
      </w:pPr>
      <w:r>
        <w:separator/>
      </w:r>
    </w:p>
    <w:p w14:paraId="02196383" w14:textId="77777777" w:rsidR="007C5CB7" w:rsidRDefault="007C5CB7"/>
  </w:endnote>
  <w:endnote w:type="continuationSeparator" w:id="0">
    <w:p w14:paraId="053265AE" w14:textId="77777777" w:rsidR="007C5CB7" w:rsidRDefault="007C5CB7" w:rsidP="000D404A">
      <w:pPr>
        <w:spacing w:after="0" w:line="240" w:lineRule="auto"/>
      </w:pPr>
      <w:r>
        <w:continuationSeparator/>
      </w:r>
    </w:p>
    <w:p w14:paraId="7973712A" w14:textId="77777777" w:rsidR="007C5CB7" w:rsidRDefault="007C5CB7"/>
  </w:endnote>
  <w:endnote w:type="continuationNotice" w:id="1">
    <w:p w14:paraId="333C79A6" w14:textId="77777777" w:rsidR="007C5CB7" w:rsidRDefault="007C5CB7">
      <w:pPr>
        <w:spacing w:after="0" w:line="240" w:lineRule="auto"/>
      </w:pPr>
    </w:p>
    <w:p w14:paraId="3213B045" w14:textId="77777777" w:rsidR="007C5CB7" w:rsidRDefault="007C5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063F" w14:textId="368B855A" w:rsidR="000D6220" w:rsidRPr="00C17A9A" w:rsidRDefault="000D6220" w:rsidP="00C17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3075" w14:textId="77777777" w:rsidR="000D6220" w:rsidRPr="00C17A9A" w:rsidRDefault="000D6220" w:rsidP="00C17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F2E22" w14:textId="77777777" w:rsidR="007C5CB7" w:rsidRDefault="007C5CB7" w:rsidP="000D404A">
      <w:pPr>
        <w:spacing w:after="0" w:line="240" w:lineRule="auto"/>
      </w:pPr>
      <w:r>
        <w:separator/>
      </w:r>
    </w:p>
    <w:p w14:paraId="54D98918" w14:textId="77777777" w:rsidR="007C5CB7" w:rsidRDefault="007C5CB7"/>
  </w:footnote>
  <w:footnote w:type="continuationSeparator" w:id="0">
    <w:p w14:paraId="534F1FB8" w14:textId="77777777" w:rsidR="007C5CB7" w:rsidRDefault="007C5CB7" w:rsidP="000D404A">
      <w:pPr>
        <w:spacing w:after="0" w:line="240" w:lineRule="auto"/>
      </w:pPr>
      <w:r>
        <w:continuationSeparator/>
      </w:r>
    </w:p>
    <w:p w14:paraId="1D80C869" w14:textId="77777777" w:rsidR="007C5CB7" w:rsidRDefault="007C5CB7"/>
  </w:footnote>
  <w:footnote w:type="continuationNotice" w:id="1">
    <w:p w14:paraId="26E83032" w14:textId="77777777" w:rsidR="007C5CB7" w:rsidRDefault="007C5CB7">
      <w:pPr>
        <w:spacing w:after="0" w:line="240" w:lineRule="auto"/>
      </w:pPr>
    </w:p>
    <w:p w14:paraId="348DC502" w14:textId="77777777" w:rsidR="007C5CB7" w:rsidRDefault="007C5C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F9"/>
    <w:multiLevelType w:val="hybridMultilevel"/>
    <w:tmpl w:val="2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6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2E72D1"/>
    <w:multiLevelType w:val="hybridMultilevel"/>
    <w:tmpl w:val="B52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0E39"/>
    <w:multiLevelType w:val="hybridMultilevel"/>
    <w:tmpl w:val="B74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41"/>
    <w:multiLevelType w:val="hybridMultilevel"/>
    <w:tmpl w:val="75A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C5C8F"/>
    <w:multiLevelType w:val="multilevel"/>
    <w:tmpl w:val="E04AFF44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6C7253"/>
    <w:multiLevelType w:val="hybridMultilevel"/>
    <w:tmpl w:val="30BA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CE0C49E"/>
    <w:lvl w:ilvl="0" w:tplc="7166CD82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A5A77"/>
    <w:multiLevelType w:val="hybridMultilevel"/>
    <w:tmpl w:val="BDC4B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72B631D"/>
    <w:multiLevelType w:val="hybridMultilevel"/>
    <w:tmpl w:val="36747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3651C"/>
    <w:multiLevelType w:val="hybridMultilevel"/>
    <w:tmpl w:val="7FCE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44145C"/>
    <w:multiLevelType w:val="hybridMultilevel"/>
    <w:tmpl w:val="5E545168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478"/>
    <w:multiLevelType w:val="multilevel"/>
    <w:tmpl w:val="E05608B0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"/>
      <w:lvlJc w:val="left"/>
      <w:pPr>
        <w:ind w:left="432" w:hanging="216"/>
      </w:pPr>
      <w:rPr>
        <w:rFonts w:ascii="Symbol" w:hAnsi="Symbol" w:hint="default"/>
        <w:b w:val="0"/>
        <w:i w:val="0"/>
        <w:color w:val="auto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DA5B31"/>
    <w:multiLevelType w:val="hybridMultilevel"/>
    <w:tmpl w:val="4EE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0" w15:restartNumberingAfterBreak="0">
    <w:nsid w:val="34CE7F43"/>
    <w:multiLevelType w:val="hybridMultilevel"/>
    <w:tmpl w:val="1F5C8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1CB9"/>
    <w:multiLevelType w:val="multilevel"/>
    <w:tmpl w:val="0409001F"/>
    <w:numStyleLink w:val="Style1"/>
  </w:abstractNum>
  <w:abstractNum w:abstractNumId="22" w15:restartNumberingAfterBreak="0">
    <w:nsid w:val="38932CCC"/>
    <w:multiLevelType w:val="hybridMultilevel"/>
    <w:tmpl w:val="8654E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E56A75"/>
    <w:multiLevelType w:val="hybridMultilevel"/>
    <w:tmpl w:val="B7B427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6" w15:restartNumberingAfterBreak="0">
    <w:nsid w:val="436967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5187285"/>
    <w:multiLevelType w:val="hybridMultilevel"/>
    <w:tmpl w:val="4D088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48DB309A"/>
    <w:multiLevelType w:val="hybridMultilevel"/>
    <w:tmpl w:val="09CA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76B48"/>
    <w:multiLevelType w:val="hybridMultilevel"/>
    <w:tmpl w:val="7DE2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5223D"/>
    <w:multiLevelType w:val="multilevel"/>
    <w:tmpl w:val="2EC0C29C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1F5688B"/>
    <w:multiLevelType w:val="hybridMultilevel"/>
    <w:tmpl w:val="F1AE3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5E621B27"/>
    <w:multiLevelType w:val="hybridMultilevel"/>
    <w:tmpl w:val="DDC8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28189B"/>
    <w:multiLevelType w:val="hybridMultilevel"/>
    <w:tmpl w:val="33187F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0472A"/>
    <w:multiLevelType w:val="hybridMultilevel"/>
    <w:tmpl w:val="4C6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751CF"/>
    <w:multiLevelType w:val="hybridMultilevel"/>
    <w:tmpl w:val="96B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5134"/>
    <w:multiLevelType w:val="hybridMultilevel"/>
    <w:tmpl w:val="1386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1878"/>
    <w:multiLevelType w:val="hybridMultilevel"/>
    <w:tmpl w:val="E0DCE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A5C05"/>
    <w:multiLevelType w:val="hybridMultilevel"/>
    <w:tmpl w:val="0D4EE914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15EDE"/>
    <w:multiLevelType w:val="hybridMultilevel"/>
    <w:tmpl w:val="7C429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5"/>
  </w:num>
  <w:num w:numId="4">
    <w:abstractNumId w:val="26"/>
  </w:num>
  <w:num w:numId="5">
    <w:abstractNumId w:val="37"/>
  </w:num>
  <w:num w:numId="6">
    <w:abstractNumId w:val="21"/>
  </w:num>
  <w:num w:numId="7">
    <w:abstractNumId w:val="12"/>
  </w:num>
  <w:num w:numId="8">
    <w:abstractNumId w:val="44"/>
  </w:num>
  <w:num w:numId="9">
    <w:abstractNumId w:val="10"/>
  </w:num>
  <w:num w:numId="10">
    <w:abstractNumId w:val="0"/>
  </w:num>
  <w:num w:numId="11">
    <w:abstractNumId w:val="34"/>
  </w:num>
  <w:num w:numId="12">
    <w:abstractNumId w:val="2"/>
  </w:num>
  <w:num w:numId="13">
    <w:abstractNumId w:val="31"/>
  </w:num>
  <w:num w:numId="14">
    <w:abstractNumId w:val="27"/>
  </w:num>
  <w:num w:numId="15">
    <w:abstractNumId w:val="9"/>
  </w:num>
  <w:num w:numId="16">
    <w:abstractNumId w:val="20"/>
  </w:num>
  <w:num w:numId="17">
    <w:abstractNumId w:val="33"/>
  </w:num>
  <w:num w:numId="18">
    <w:abstractNumId w:val="42"/>
  </w:num>
  <w:num w:numId="19">
    <w:abstractNumId w:val="11"/>
  </w:num>
  <w:num w:numId="20">
    <w:abstractNumId w:val="17"/>
  </w:num>
  <w:num w:numId="21">
    <w:abstractNumId w:val="14"/>
  </w:num>
  <w:num w:numId="22">
    <w:abstractNumId w:val="32"/>
  </w:num>
  <w:num w:numId="23">
    <w:abstractNumId w:val="29"/>
  </w:num>
  <w:num w:numId="24">
    <w:abstractNumId w:val="43"/>
  </w:num>
  <w:num w:numId="25">
    <w:abstractNumId w:val="15"/>
  </w:num>
  <w:num w:numId="26">
    <w:abstractNumId w:val="39"/>
  </w:num>
  <w:num w:numId="27">
    <w:abstractNumId w:val="23"/>
  </w:num>
  <w:num w:numId="28">
    <w:abstractNumId w:val="36"/>
  </w:num>
  <w:num w:numId="29">
    <w:abstractNumId w:val="38"/>
  </w:num>
  <w:num w:numId="30">
    <w:abstractNumId w:val="38"/>
    <w:lvlOverride w:ilvl="0">
      <w:startOverride w:val="1"/>
    </w:lvlOverride>
  </w:num>
  <w:num w:numId="31">
    <w:abstractNumId w:val="38"/>
    <w:lvlOverride w:ilvl="0">
      <w:startOverride w:val="1"/>
    </w:lvlOverride>
  </w:num>
  <w:num w:numId="32">
    <w:abstractNumId w:val="5"/>
  </w:num>
  <w:num w:numId="33">
    <w:abstractNumId w:val="38"/>
    <w:lvlOverride w:ilvl="0">
      <w:startOverride w:val="1"/>
    </w:lvlOverride>
  </w:num>
  <w:num w:numId="34">
    <w:abstractNumId w:val="40"/>
  </w:num>
  <w:num w:numId="35">
    <w:abstractNumId w:val="24"/>
  </w:num>
  <w:num w:numId="36">
    <w:abstractNumId w:val="4"/>
  </w:num>
  <w:num w:numId="37">
    <w:abstractNumId w:val="18"/>
  </w:num>
  <w:num w:numId="38">
    <w:abstractNumId w:val="7"/>
  </w:num>
  <w:num w:numId="39">
    <w:abstractNumId w:val="19"/>
  </w:num>
  <w:num w:numId="40">
    <w:abstractNumId w:val="30"/>
  </w:num>
  <w:num w:numId="41">
    <w:abstractNumId w:val="3"/>
  </w:num>
  <w:num w:numId="42">
    <w:abstractNumId w:val="8"/>
  </w:num>
  <w:num w:numId="43">
    <w:abstractNumId w:val="13"/>
  </w:num>
  <w:num w:numId="44">
    <w:abstractNumId w:val="6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25"/>
  </w:num>
  <w:num w:numId="48">
    <w:abstractNumId w:val="10"/>
  </w:num>
  <w:num w:numId="49">
    <w:abstractNumId w:val="10"/>
  </w:num>
  <w:num w:numId="50">
    <w:abstractNumId w:val="10"/>
  </w:num>
  <w:num w:numId="51">
    <w:abstractNumId w:val="10"/>
  </w:num>
  <w:num w:numId="52">
    <w:abstractNumId w:val="10"/>
  </w:num>
  <w:num w:numId="53">
    <w:abstractNumId w:val="16"/>
  </w:num>
  <w:num w:numId="54">
    <w:abstractNumId w:val="41"/>
  </w:num>
  <w:num w:numId="55">
    <w:abstractNumId w:val="10"/>
  </w:num>
  <w:num w:numId="56">
    <w:abstractNumId w:val="10"/>
  </w:num>
  <w:num w:numId="57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6605"/>
    <w:rsid w:val="00006794"/>
    <w:rsid w:val="00006950"/>
    <w:rsid w:val="00007020"/>
    <w:rsid w:val="00011E38"/>
    <w:rsid w:val="00012220"/>
    <w:rsid w:val="00012C5A"/>
    <w:rsid w:val="00013ABD"/>
    <w:rsid w:val="000149FA"/>
    <w:rsid w:val="000163EF"/>
    <w:rsid w:val="00016654"/>
    <w:rsid w:val="0001741F"/>
    <w:rsid w:val="00017EE6"/>
    <w:rsid w:val="000251D3"/>
    <w:rsid w:val="00031658"/>
    <w:rsid w:val="00032039"/>
    <w:rsid w:val="00032306"/>
    <w:rsid w:val="0003395C"/>
    <w:rsid w:val="00033DF4"/>
    <w:rsid w:val="00033E27"/>
    <w:rsid w:val="00034943"/>
    <w:rsid w:val="000352F9"/>
    <w:rsid w:val="00036CDA"/>
    <w:rsid w:val="000374A4"/>
    <w:rsid w:val="000377BD"/>
    <w:rsid w:val="000417FD"/>
    <w:rsid w:val="00041DE1"/>
    <w:rsid w:val="0004207A"/>
    <w:rsid w:val="00043018"/>
    <w:rsid w:val="0004420C"/>
    <w:rsid w:val="000468D5"/>
    <w:rsid w:val="00046970"/>
    <w:rsid w:val="0005205F"/>
    <w:rsid w:val="000522B4"/>
    <w:rsid w:val="00053809"/>
    <w:rsid w:val="00056ECB"/>
    <w:rsid w:val="00057271"/>
    <w:rsid w:val="00057EFF"/>
    <w:rsid w:val="00060E57"/>
    <w:rsid w:val="000618C7"/>
    <w:rsid w:val="00062796"/>
    <w:rsid w:val="00062B8E"/>
    <w:rsid w:val="00062D61"/>
    <w:rsid w:val="000633B5"/>
    <w:rsid w:val="00066F57"/>
    <w:rsid w:val="00067C64"/>
    <w:rsid w:val="00072506"/>
    <w:rsid w:val="000730ED"/>
    <w:rsid w:val="00073CDE"/>
    <w:rsid w:val="0007464A"/>
    <w:rsid w:val="0007565A"/>
    <w:rsid w:val="000819CF"/>
    <w:rsid w:val="00081E97"/>
    <w:rsid w:val="0008641F"/>
    <w:rsid w:val="00087713"/>
    <w:rsid w:val="0009058B"/>
    <w:rsid w:val="00092649"/>
    <w:rsid w:val="000926FA"/>
    <w:rsid w:val="00093876"/>
    <w:rsid w:val="00094884"/>
    <w:rsid w:val="0009794E"/>
    <w:rsid w:val="000A1CA3"/>
    <w:rsid w:val="000A3544"/>
    <w:rsid w:val="000A4DD1"/>
    <w:rsid w:val="000A5694"/>
    <w:rsid w:val="000A6144"/>
    <w:rsid w:val="000A6BD9"/>
    <w:rsid w:val="000A6BFD"/>
    <w:rsid w:val="000A79F4"/>
    <w:rsid w:val="000B12C4"/>
    <w:rsid w:val="000B25F2"/>
    <w:rsid w:val="000B2797"/>
    <w:rsid w:val="000B28BA"/>
    <w:rsid w:val="000B3436"/>
    <w:rsid w:val="000B476E"/>
    <w:rsid w:val="000B4BB6"/>
    <w:rsid w:val="000B5C7F"/>
    <w:rsid w:val="000B62A5"/>
    <w:rsid w:val="000C1BB1"/>
    <w:rsid w:val="000C21C3"/>
    <w:rsid w:val="000C27BE"/>
    <w:rsid w:val="000C3C6C"/>
    <w:rsid w:val="000C3FCD"/>
    <w:rsid w:val="000C4A75"/>
    <w:rsid w:val="000C591B"/>
    <w:rsid w:val="000C686C"/>
    <w:rsid w:val="000D03E9"/>
    <w:rsid w:val="000D1DE6"/>
    <w:rsid w:val="000D3AD5"/>
    <w:rsid w:val="000D404A"/>
    <w:rsid w:val="000D4E93"/>
    <w:rsid w:val="000D6220"/>
    <w:rsid w:val="000D761C"/>
    <w:rsid w:val="000E0521"/>
    <w:rsid w:val="000E06B0"/>
    <w:rsid w:val="000E21C9"/>
    <w:rsid w:val="000E3FF1"/>
    <w:rsid w:val="000E4DDD"/>
    <w:rsid w:val="000E68EB"/>
    <w:rsid w:val="000E7924"/>
    <w:rsid w:val="000F051E"/>
    <w:rsid w:val="000F164C"/>
    <w:rsid w:val="000F1748"/>
    <w:rsid w:val="000F215E"/>
    <w:rsid w:val="000F230A"/>
    <w:rsid w:val="000F38CE"/>
    <w:rsid w:val="000F5A4B"/>
    <w:rsid w:val="000F5B31"/>
    <w:rsid w:val="000F6B41"/>
    <w:rsid w:val="00100A82"/>
    <w:rsid w:val="00104009"/>
    <w:rsid w:val="0010406A"/>
    <w:rsid w:val="00104AB3"/>
    <w:rsid w:val="00104E74"/>
    <w:rsid w:val="00104F35"/>
    <w:rsid w:val="00107A71"/>
    <w:rsid w:val="00107E85"/>
    <w:rsid w:val="001109CA"/>
    <w:rsid w:val="00110CAA"/>
    <w:rsid w:val="00111EBA"/>
    <w:rsid w:val="00111F6F"/>
    <w:rsid w:val="00112EB1"/>
    <w:rsid w:val="001146EB"/>
    <w:rsid w:val="00115347"/>
    <w:rsid w:val="00117AE2"/>
    <w:rsid w:val="0012088D"/>
    <w:rsid w:val="001223BA"/>
    <w:rsid w:val="00122DAB"/>
    <w:rsid w:val="00124716"/>
    <w:rsid w:val="00125AAE"/>
    <w:rsid w:val="00126FC7"/>
    <w:rsid w:val="001277FF"/>
    <w:rsid w:val="00127B5B"/>
    <w:rsid w:val="00130877"/>
    <w:rsid w:val="00131718"/>
    <w:rsid w:val="00133C93"/>
    <w:rsid w:val="00134115"/>
    <w:rsid w:val="0013452E"/>
    <w:rsid w:val="001350DA"/>
    <w:rsid w:val="00137A1A"/>
    <w:rsid w:val="00137B57"/>
    <w:rsid w:val="00137F0F"/>
    <w:rsid w:val="00140C9E"/>
    <w:rsid w:val="00140F8B"/>
    <w:rsid w:val="00145A84"/>
    <w:rsid w:val="00146A9C"/>
    <w:rsid w:val="00147509"/>
    <w:rsid w:val="00150981"/>
    <w:rsid w:val="0015119E"/>
    <w:rsid w:val="00151DD2"/>
    <w:rsid w:val="00152B24"/>
    <w:rsid w:val="00160775"/>
    <w:rsid w:val="00160C66"/>
    <w:rsid w:val="0016220E"/>
    <w:rsid w:val="001646DA"/>
    <w:rsid w:val="00164A72"/>
    <w:rsid w:val="00165C84"/>
    <w:rsid w:val="00167F49"/>
    <w:rsid w:val="00171B62"/>
    <w:rsid w:val="00172AE4"/>
    <w:rsid w:val="00172F0C"/>
    <w:rsid w:val="001735F1"/>
    <w:rsid w:val="00173661"/>
    <w:rsid w:val="00173761"/>
    <w:rsid w:val="001737E2"/>
    <w:rsid w:val="001758E5"/>
    <w:rsid w:val="001759D4"/>
    <w:rsid w:val="0017674D"/>
    <w:rsid w:val="00181485"/>
    <w:rsid w:val="001820B5"/>
    <w:rsid w:val="001824D2"/>
    <w:rsid w:val="00182C8C"/>
    <w:rsid w:val="00182FA1"/>
    <w:rsid w:val="001834E0"/>
    <w:rsid w:val="00183788"/>
    <w:rsid w:val="00186870"/>
    <w:rsid w:val="00186C17"/>
    <w:rsid w:val="00186E72"/>
    <w:rsid w:val="00187294"/>
    <w:rsid w:val="00190796"/>
    <w:rsid w:val="001909AA"/>
    <w:rsid w:val="00191055"/>
    <w:rsid w:val="001910CF"/>
    <w:rsid w:val="001912C7"/>
    <w:rsid w:val="0019440A"/>
    <w:rsid w:val="001958DC"/>
    <w:rsid w:val="001967E6"/>
    <w:rsid w:val="00197A02"/>
    <w:rsid w:val="001A12A0"/>
    <w:rsid w:val="001A145A"/>
    <w:rsid w:val="001A1C06"/>
    <w:rsid w:val="001A43B9"/>
    <w:rsid w:val="001A48D0"/>
    <w:rsid w:val="001A4980"/>
    <w:rsid w:val="001A4D61"/>
    <w:rsid w:val="001A5A64"/>
    <w:rsid w:val="001A668B"/>
    <w:rsid w:val="001A7AF1"/>
    <w:rsid w:val="001B35F8"/>
    <w:rsid w:val="001B7C82"/>
    <w:rsid w:val="001C00BA"/>
    <w:rsid w:val="001C0C18"/>
    <w:rsid w:val="001C1C66"/>
    <w:rsid w:val="001C2BCB"/>
    <w:rsid w:val="001C2C11"/>
    <w:rsid w:val="001C308F"/>
    <w:rsid w:val="001C4CD2"/>
    <w:rsid w:val="001C5050"/>
    <w:rsid w:val="001D175A"/>
    <w:rsid w:val="001D2C5D"/>
    <w:rsid w:val="001D31C8"/>
    <w:rsid w:val="001D37A0"/>
    <w:rsid w:val="001D47B2"/>
    <w:rsid w:val="001D714E"/>
    <w:rsid w:val="001E1411"/>
    <w:rsid w:val="001E20E3"/>
    <w:rsid w:val="001E2B48"/>
    <w:rsid w:val="001E4358"/>
    <w:rsid w:val="001E5D0E"/>
    <w:rsid w:val="001E7954"/>
    <w:rsid w:val="001F561F"/>
    <w:rsid w:val="001F5AFD"/>
    <w:rsid w:val="001F6AAE"/>
    <w:rsid w:val="001F7F9E"/>
    <w:rsid w:val="0020098C"/>
    <w:rsid w:val="00200A78"/>
    <w:rsid w:val="002019DC"/>
    <w:rsid w:val="00202123"/>
    <w:rsid w:val="00202167"/>
    <w:rsid w:val="00202F45"/>
    <w:rsid w:val="00203434"/>
    <w:rsid w:val="0020647D"/>
    <w:rsid w:val="00207450"/>
    <w:rsid w:val="002102FA"/>
    <w:rsid w:val="002109C3"/>
    <w:rsid w:val="00210EF0"/>
    <w:rsid w:val="00211DE5"/>
    <w:rsid w:val="00213542"/>
    <w:rsid w:val="002146FC"/>
    <w:rsid w:val="00214FF6"/>
    <w:rsid w:val="00215D19"/>
    <w:rsid w:val="00216273"/>
    <w:rsid w:val="0021649A"/>
    <w:rsid w:val="00217E33"/>
    <w:rsid w:val="00222A32"/>
    <w:rsid w:val="00223188"/>
    <w:rsid w:val="00224329"/>
    <w:rsid w:val="00224C1C"/>
    <w:rsid w:val="00225608"/>
    <w:rsid w:val="00227900"/>
    <w:rsid w:val="00230249"/>
    <w:rsid w:val="00230503"/>
    <w:rsid w:val="00230B93"/>
    <w:rsid w:val="002317CD"/>
    <w:rsid w:val="00232419"/>
    <w:rsid w:val="0023246C"/>
    <w:rsid w:val="002338D4"/>
    <w:rsid w:val="002342C0"/>
    <w:rsid w:val="00234B59"/>
    <w:rsid w:val="00236678"/>
    <w:rsid w:val="002367F0"/>
    <w:rsid w:val="00236B5C"/>
    <w:rsid w:val="00236E54"/>
    <w:rsid w:val="00240478"/>
    <w:rsid w:val="00241542"/>
    <w:rsid w:val="00241661"/>
    <w:rsid w:val="002420ED"/>
    <w:rsid w:val="00243F9A"/>
    <w:rsid w:val="00244B75"/>
    <w:rsid w:val="00245311"/>
    <w:rsid w:val="002455C5"/>
    <w:rsid w:val="00246AC9"/>
    <w:rsid w:val="00246EA4"/>
    <w:rsid w:val="00247A3E"/>
    <w:rsid w:val="002504D8"/>
    <w:rsid w:val="00250762"/>
    <w:rsid w:val="00250CA8"/>
    <w:rsid w:val="00251613"/>
    <w:rsid w:val="002527C7"/>
    <w:rsid w:val="00252C88"/>
    <w:rsid w:val="00253BD0"/>
    <w:rsid w:val="00254CDF"/>
    <w:rsid w:val="0025535A"/>
    <w:rsid w:val="0025590D"/>
    <w:rsid w:val="00256AF5"/>
    <w:rsid w:val="00260B3B"/>
    <w:rsid w:val="00262BD0"/>
    <w:rsid w:val="00263C03"/>
    <w:rsid w:val="00265035"/>
    <w:rsid w:val="002664EE"/>
    <w:rsid w:val="00266CF0"/>
    <w:rsid w:val="00266F61"/>
    <w:rsid w:val="00267D79"/>
    <w:rsid w:val="00267ED0"/>
    <w:rsid w:val="002702C8"/>
    <w:rsid w:val="0027191D"/>
    <w:rsid w:val="00271A0B"/>
    <w:rsid w:val="002722D6"/>
    <w:rsid w:val="0027421F"/>
    <w:rsid w:val="00275DE5"/>
    <w:rsid w:val="0027741D"/>
    <w:rsid w:val="00277730"/>
    <w:rsid w:val="00277FE9"/>
    <w:rsid w:val="0028028F"/>
    <w:rsid w:val="00280378"/>
    <w:rsid w:val="0028103B"/>
    <w:rsid w:val="00281322"/>
    <w:rsid w:val="00285CBE"/>
    <w:rsid w:val="002873EF"/>
    <w:rsid w:val="0029185F"/>
    <w:rsid w:val="00292CBA"/>
    <w:rsid w:val="00292F2E"/>
    <w:rsid w:val="00292FE1"/>
    <w:rsid w:val="00294596"/>
    <w:rsid w:val="002952F0"/>
    <w:rsid w:val="002967F9"/>
    <w:rsid w:val="002A4AE8"/>
    <w:rsid w:val="002A54E4"/>
    <w:rsid w:val="002A5634"/>
    <w:rsid w:val="002A5AD1"/>
    <w:rsid w:val="002A6216"/>
    <w:rsid w:val="002A788F"/>
    <w:rsid w:val="002A7BB3"/>
    <w:rsid w:val="002B1792"/>
    <w:rsid w:val="002B3289"/>
    <w:rsid w:val="002B495A"/>
    <w:rsid w:val="002B535B"/>
    <w:rsid w:val="002C0C04"/>
    <w:rsid w:val="002C3379"/>
    <w:rsid w:val="002C44C6"/>
    <w:rsid w:val="002C479A"/>
    <w:rsid w:val="002C4FA5"/>
    <w:rsid w:val="002C6A9C"/>
    <w:rsid w:val="002D25D3"/>
    <w:rsid w:val="002D307C"/>
    <w:rsid w:val="002D3C52"/>
    <w:rsid w:val="002D4C6D"/>
    <w:rsid w:val="002D6091"/>
    <w:rsid w:val="002D690B"/>
    <w:rsid w:val="002E0950"/>
    <w:rsid w:val="002E16FC"/>
    <w:rsid w:val="002E1E13"/>
    <w:rsid w:val="002E2D88"/>
    <w:rsid w:val="002E3D1B"/>
    <w:rsid w:val="002E555E"/>
    <w:rsid w:val="002E57A0"/>
    <w:rsid w:val="002E57DD"/>
    <w:rsid w:val="002E59DC"/>
    <w:rsid w:val="002E69CA"/>
    <w:rsid w:val="002E6D86"/>
    <w:rsid w:val="002E7ACB"/>
    <w:rsid w:val="002F1155"/>
    <w:rsid w:val="002F11C0"/>
    <w:rsid w:val="002F167C"/>
    <w:rsid w:val="002F23B9"/>
    <w:rsid w:val="002F3F3B"/>
    <w:rsid w:val="0030054A"/>
    <w:rsid w:val="00300CF1"/>
    <w:rsid w:val="0030297C"/>
    <w:rsid w:val="0030327F"/>
    <w:rsid w:val="00306450"/>
    <w:rsid w:val="00306465"/>
    <w:rsid w:val="0030702A"/>
    <w:rsid w:val="00307A4C"/>
    <w:rsid w:val="00307C96"/>
    <w:rsid w:val="00310F01"/>
    <w:rsid w:val="00311B84"/>
    <w:rsid w:val="0031234C"/>
    <w:rsid w:val="0031303E"/>
    <w:rsid w:val="003140CD"/>
    <w:rsid w:val="00314265"/>
    <w:rsid w:val="00314BFF"/>
    <w:rsid w:val="00315C2F"/>
    <w:rsid w:val="00315E98"/>
    <w:rsid w:val="00316690"/>
    <w:rsid w:val="00317174"/>
    <w:rsid w:val="0031773E"/>
    <w:rsid w:val="00317FDC"/>
    <w:rsid w:val="00320CE9"/>
    <w:rsid w:val="0032686E"/>
    <w:rsid w:val="00326C25"/>
    <w:rsid w:val="00330823"/>
    <w:rsid w:val="003313E4"/>
    <w:rsid w:val="00332BB5"/>
    <w:rsid w:val="00333445"/>
    <w:rsid w:val="00333B64"/>
    <w:rsid w:val="00333C15"/>
    <w:rsid w:val="00335083"/>
    <w:rsid w:val="00335670"/>
    <w:rsid w:val="003400ED"/>
    <w:rsid w:val="003403CB"/>
    <w:rsid w:val="00340A70"/>
    <w:rsid w:val="003424CE"/>
    <w:rsid w:val="003426C9"/>
    <w:rsid w:val="00345F21"/>
    <w:rsid w:val="003461A6"/>
    <w:rsid w:val="003464FB"/>
    <w:rsid w:val="00346718"/>
    <w:rsid w:val="00351B2F"/>
    <w:rsid w:val="00354F3B"/>
    <w:rsid w:val="00355F40"/>
    <w:rsid w:val="003604E6"/>
    <w:rsid w:val="00361B79"/>
    <w:rsid w:val="00364836"/>
    <w:rsid w:val="00366940"/>
    <w:rsid w:val="003674EC"/>
    <w:rsid w:val="0036776F"/>
    <w:rsid w:val="003677BA"/>
    <w:rsid w:val="00367BA6"/>
    <w:rsid w:val="00370242"/>
    <w:rsid w:val="00371377"/>
    <w:rsid w:val="00371AF2"/>
    <w:rsid w:val="00376083"/>
    <w:rsid w:val="00380605"/>
    <w:rsid w:val="00380A0B"/>
    <w:rsid w:val="00383D84"/>
    <w:rsid w:val="003840B4"/>
    <w:rsid w:val="003845C1"/>
    <w:rsid w:val="00384A87"/>
    <w:rsid w:val="00385279"/>
    <w:rsid w:val="003862AA"/>
    <w:rsid w:val="00390A88"/>
    <w:rsid w:val="003925C9"/>
    <w:rsid w:val="00394BAF"/>
    <w:rsid w:val="00396E20"/>
    <w:rsid w:val="00396E53"/>
    <w:rsid w:val="00397E85"/>
    <w:rsid w:val="003A1152"/>
    <w:rsid w:val="003A18DC"/>
    <w:rsid w:val="003A227F"/>
    <w:rsid w:val="003A2B39"/>
    <w:rsid w:val="003A5147"/>
    <w:rsid w:val="003A58A8"/>
    <w:rsid w:val="003A5C3F"/>
    <w:rsid w:val="003A696B"/>
    <w:rsid w:val="003B06EF"/>
    <w:rsid w:val="003B1D40"/>
    <w:rsid w:val="003B3321"/>
    <w:rsid w:val="003B725E"/>
    <w:rsid w:val="003B7D9E"/>
    <w:rsid w:val="003C01DC"/>
    <w:rsid w:val="003C08C8"/>
    <w:rsid w:val="003C1EDE"/>
    <w:rsid w:val="003C2E1F"/>
    <w:rsid w:val="003C5286"/>
    <w:rsid w:val="003C53BD"/>
    <w:rsid w:val="003C6FE0"/>
    <w:rsid w:val="003C72CF"/>
    <w:rsid w:val="003C745A"/>
    <w:rsid w:val="003C7B9B"/>
    <w:rsid w:val="003C7FAC"/>
    <w:rsid w:val="003D0690"/>
    <w:rsid w:val="003D075F"/>
    <w:rsid w:val="003D0CB5"/>
    <w:rsid w:val="003D158B"/>
    <w:rsid w:val="003D2CBA"/>
    <w:rsid w:val="003D326B"/>
    <w:rsid w:val="003D6E88"/>
    <w:rsid w:val="003D7A8E"/>
    <w:rsid w:val="003E013E"/>
    <w:rsid w:val="003E0AF9"/>
    <w:rsid w:val="003E129C"/>
    <w:rsid w:val="003E1A17"/>
    <w:rsid w:val="003E1B4E"/>
    <w:rsid w:val="003E1C68"/>
    <w:rsid w:val="003E2509"/>
    <w:rsid w:val="003E260B"/>
    <w:rsid w:val="003E2B6C"/>
    <w:rsid w:val="003E377E"/>
    <w:rsid w:val="003E4ED2"/>
    <w:rsid w:val="003E5519"/>
    <w:rsid w:val="003E55C6"/>
    <w:rsid w:val="003E5E12"/>
    <w:rsid w:val="003E6197"/>
    <w:rsid w:val="003E6C5F"/>
    <w:rsid w:val="003E7B6A"/>
    <w:rsid w:val="003F121D"/>
    <w:rsid w:val="003F2B0C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645F"/>
    <w:rsid w:val="00407A8B"/>
    <w:rsid w:val="00410CDC"/>
    <w:rsid w:val="00410DC2"/>
    <w:rsid w:val="00411EE6"/>
    <w:rsid w:val="00412536"/>
    <w:rsid w:val="00412D4E"/>
    <w:rsid w:val="00413B06"/>
    <w:rsid w:val="00413EDB"/>
    <w:rsid w:val="004141E5"/>
    <w:rsid w:val="004171D2"/>
    <w:rsid w:val="0042019B"/>
    <w:rsid w:val="00420211"/>
    <w:rsid w:val="00421A8D"/>
    <w:rsid w:val="0042235A"/>
    <w:rsid w:val="004230B2"/>
    <w:rsid w:val="00425828"/>
    <w:rsid w:val="00431A4A"/>
    <w:rsid w:val="0043213C"/>
    <w:rsid w:val="00432528"/>
    <w:rsid w:val="00432DB2"/>
    <w:rsid w:val="0043613E"/>
    <w:rsid w:val="004370A7"/>
    <w:rsid w:val="0044457A"/>
    <w:rsid w:val="004446A6"/>
    <w:rsid w:val="00444C79"/>
    <w:rsid w:val="00444CCA"/>
    <w:rsid w:val="00444EC7"/>
    <w:rsid w:val="004457AB"/>
    <w:rsid w:val="00445BE8"/>
    <w:rsid w:val="00446BAE"/>
    <w:rsid w:val="00447682"/>
    <w:rsid w:val="00450829"/>
    <w:rsid w:val="0045100B"/>
    <w:rsid w:val="0045125A"/>
    <w:rsid w:val="004515F1"/>
    <w:rsid w:val="00452159"/>
    <w:rsid w:val="004526B5"/>
    <w:rsid w:val="00453357"/>
    <w:rsid w:val="0045347E"/>
    <w:rsid w:val="00454AB1"/>
    <w:rsid w:val="00454D1E"/>
    <w:rsid w:val="00455CE1"/>
    <w:rsid w:val="00455F61"/>
    <w:rsid w:val="00460480"/>
    <w:rsid w:val="00461145"/>
    <w:rsid w:val="00462282"/>
    <w:rsid w:val="004625BA"/>
    <w:rsid w:val="00463375"/>
    <w:rsid w:val="00464690"/>
    <w:rsid w:val="0046600A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80165"/>
    <w:rsid w:val="004806DB"/>
    <w:rsid w:val="00483764"/>
    <w:rsid w:val="00485751"/>
    <w:rsid w:val="00490745"/>
    <w:rsid w:val="0049279F"/>
    <w:rsid w:val="004944C2"/>
    <w:rsid w:val="00494C38"/>
    <w:rsid w:val="00496696"/>
    <w:rsid w:val="004969CF"/>
    <w:rsid w:val="004A4F8D"/>
    <w:rsid w:val="004A6D96"/>
    <w:rsid w:val="004A726E"/>
    <w:rsid w:val="004A767A"/>
    <w:rsid w:val="004B0557"/>
    <w:rsid w:val="004B1433"/>
    <w:rsid w:val="004B50D9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5F6"/>
    <w:rsid w:val="004D092D"/>
    <w:rsid w:val="004D153A"/>
    <w:rsid w:val="004D1D46"/>
    <w:rsid w:val="004D27CB"/>
    <w:rsid w:val="004D3444"/>
    <w:rsid w:val="004D3FC7"/>
    <w:rsid w:val="004D4E74"/>
    <w:rsid w:val="004D5577"/>
    <w:rsid w:val="004D5911"/>
    <w:rsid w:val="004D5D6A"/>
    <w:rsid w:val="004D72C5"/>
    <w:rsid w:val="004D755E"/>
    <w:rsid w:val="004E169D"/>
    <w:rsid w:val="004E1E92"/>
    <w:rsid w:val="004E5105"/>
    <w:rsid w:val="004E7A9C"/>
    <w:rsid w:val="004F09B9"/>
    <w:rsid w:val="004F30BF"/>
    <w:rsid w:val="004F4BCE"/>
    <w:rsid w:val="004F6A91"/>
    <w:rsid w:val="00502B50"/>
    <w:rsid w:val="0050471B"/>
    <w:rsid w:val="005054FD"/>
    <w:rsid w:val="005055CC"/>
    <w:rsid w:val="005065E6"/>
    <w:rsid w:val="00506D70"/>
    <w:rsid w:val="00507494"/>
    <w:rsid w:val="00507953"/>
    <w:rsid w:val="00507CF2"/>
    <w:rsid w:val="00510034"/>
    <w:rsid w:val="00510B99"/>
    <w:rsid w:val="00512ACF"/>
    <w:rsid w:val="00514BD1"/>
    <w:rsid w:val="005152A6"/>
    <w:rsid w:val="0051565E"/>
    <w:rsid w:val="00515681"/>
    <w:rsid w:val="00515713"/>
    <w:rsid w:val="00515BD1"/>
    <w:rsid w:val="005162DE"/>
    <w:rsid w:val="005164D3"/>
    <w:rsid w:val="00517604"/>
    <w:rsid w:val="005210FC"/>
    <w:rsid w:val="005218CD"/>
    <w:rsid w:val="00522256"/>
    <w:rsid w:val="00522C1F"/>
    <w:rsid w:val="0052546A"/>
    <w:rsid w:val="00525EBE"/>
    <w:rsid w:val="0053020A"/>
    <w:rsid w:val="00530C5F"/>
    <w:rsid w:val="0053124B"/>
    <w:rsid w:val="005322AA"/>
    <w:rsid w:val="00534A58"/>
    <w:rsid w:val="005354EE"/>
    <w:rsid w:val="00537AF1"/>
    <w:rsid w:val="00542264"/>
    <w:rsid w:val="00542A04"/>
    <w:rsid w:val="00542F2D"/>
    <w:rsid w:val="005439A6"/>
    <w:rsid w:val="00543B8B"/>
    <w:rsid w:val="00544B47"/>
    <w:rsid w:val="00544EC4"/>
    <w:rsid w:val="005506FD"/>
    <w:rsid w:val="00550C05"/>
    <w:rsid w:val="00550DD8"/>
    <w:rsid w:val="0055339D"/>
    <w:rsid w:val="00553FDB"/>
    <w:rsid w:val="00554772"/>
    <w:rsid w:val="005549FF"/>
    <w:rsid w:val="00555526"/>
    <w:rsid w:val="00557299"/>
    <w:rsid w:val="00561C3E"/>
    <w:rsid w:val="005624CB"/>
    <w:rsid w:val="00563AAE"/>
    <w:rsid w:val="00565011"/>
    <w:rsid w:val="00565B34"/>
    <w:rsid w:val="005662A3"/>
    <w:rsid w:val="005663DE"/>
    <w:rsid w:val="00567F8C"/>
    <w:rsid w:val="005729DB"/>
    <w:rsid w:val="00572D85"/>
    <w:rsid w:val="00572EAB"/>
    <w:rsid w:val="005730D1"/>
    <w:rsid w:val="005730DB"/>
    <w:rsid w:val="0058051C"/>
    <w:rsid w:val="00580CA7"/>
    <w:rsid w:val="00585932"/>
    <w:rsid w:val="00585C68"/>
    <w:rsid w:val="005874F7"/>
    <w:rsid w:val="0059088F"/>
    <w:rsid w:val="0059335F"/>
    <w:rsid w:val="00594027"/>
    <w:rsid w:val="005973B0"/>
    <w:rsid w:val="005975FA"/>
    <w:rsid w:val="005A0B09"/>
    <w:rsid w:val="005A0FA4"/>
    <w:rsid w:val="005A17F4"/>
    <w:rsid w:val="005A1C5E"/>
    <w:rsid w:val="005A28D3"/>
    <w:rsid w:val="005A34B2"/>
    <w:rsid w:val="005A60B4"/>
    <w:rsid w:val="005A60F0"/>
    <w:rsid w:val="005A712B"/>
    <w:rsid w:val="005A7F9F"/>
    <w:rsid w:val="005B0F3A"/>
    <w:rsid w:val="005B2E7C"/>
    <w:rsid w:val="005B3238"/>
    <w:rsid w:val="005B4C28"/>
    <w:rsid w:val="005B58AE"/>
    <w:rsid w:val="005B593E"/>
    <w:rsid w:val="005B7A04"/>
    <w:rsid w:val="005C124A"/>
    <w:rsid w:val="005C14DF"/>
    <w:rsid w:val="005C31B4"/>
    <w:rsid w:val="005C34DC"/>
    <w:rsid w:val="005C38D2"/>
    <w:rsid w:val="005C66A2"/>
    <w:rsid w:val="005C72F1"/>
    <w:rsid w:val="005D0E22"/>
    <w:rsid w:val="005D19D2"/>
    <w:rsid w:val="005D1CB2"/>
    <w:rsid w:val="005D20EF"/>
    <w:rsid w:val="005D2C77"/>
    <w:rsid w:val="005D3247"/>
    <w:rsid w:val="005D7CEF"/>
    <w:rsid w:val="005E0201"/>
    <w:rsid w:val="005E2689"/>
    <w:rsid w:val="005E3472"/>
    <w:rsid w:val="005E4CEF"/>
    <w:rsid w:val="005E5250"/>
    <w:rsid w:val="005E7CAE"/>
    <w:rsid w:val="005F11B8"/>
    <w:rsid w:val="005F165E"/>
    <w:rsid w:val="005F1EDE"/>
    <w:rsid w:val="005F2BC2"/>
    <w:rsid w:val="005F4A62"/>
    <w:rsid w:val="005F76AD"/>
    <w:rsid w:val="006001F3"/>
    <w:rsid w:val="0060052B"/>
    <w:rsid w:val="00601C8C"/>
    <w:rsid w:val="00603269"/>
    <w:rsid w:val="00605831"/>
    <w:rsid w:val="00605E33"/>
    <w:rsid w:val="00606B74"/>
    <w:rsid w:val="006101CB"/>
    <w:rsid w:val="00610235"/>
    <w:rsid w:val="00610856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482"/>
    <w:rsid w:val="00622E17"/>
    <w:rsid w:val="00622FBE"/>
    <w:rsid w:val="006231FB"/>
    <w:rsid w:val="00623BDA"/>
    <w:rsid w:val="00626CA4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36F96"/>
    <w:rsid w:val="00643932"/>
    <w:rsid w:val="00647259"/>
    <w:rsid w:val="006473C4"/>
    <w:rsid w:val="00651C48"/>
    <w:rsid w:val="0065309E"/>
    <w:rsid w:val="00653C65"/>
    <w:rsid w:val="00654073"/>
    <w:rsid w:val="0065416B"/>
    <w:rsid w:val="00655F07"/>
    <w:rsid w:val="00660DAD"/>
    <w:rsid w:val="006629DF"/>
    <w:rsid w:val="0066513F"/>
    <w:rsid w:val="00665531"/>
    <w:rsid w:val="00666831"/>
    <w:rsid w:val="00666DA4"/>
    <w:rsid w:val="006679AB"/>
    <w:rsid w:val="00667E45"/>
    <w:rsid w:val="006714EE"/>
    <w:rsid w:val="006778D7"/>
    <w:rsid w:val="006778E7"/>
    <w:rsid w:val="0068384F"/>
    <w:rsid w:val="0068444A"/>
    <w:rsid w:val="0068468C"/>
    <w:rsid w:val="00685025"/>
    <w:rsid w:val="00686ED3"/>
    <w:rsid w:val="0068707D"/>
    <w:rsid w:val="00690C5C"/>
    <w:rsid w:val="006964B5"/>
    <w:rsid w:val="006965B5"/>
    <w:rsid w:val="00697ACE"/>
    <w:rsid w:val="006A19F3"/>
    <w:rsid w:val="006A70E3"/>
    <w:rsid w:val="006A7AB4"/>
    <w:rsid w:val="006B0099"/>
    <w:rsid w:val="006B13B4"/>
    <w:rsid w:val="006B1712"/>
    <w:rsid w:val="006B18CC"/>
    <w:rsid w:val="006B2053"/>
    <w:rsid w:val="006B37F3"/>
    <w:rsid w:val="006B41D9"/>
    <w:rsid w:val="006C0011"/>
    <w:rsid w:val="006C0F6A"/>
    <w:rsid w:val="006C147B"/>
    <w:rsid w:val="006C1CBD"/>
    <w:rsid w:val="006C6051"/>
    <w:rsid w:val="006C6C2D"/>
    <w:rsid w:val="006D205C"/>
    <w:rsid w:val="006D3F65"/>
    <w:rsid w:val="006D4DC5"/>
    <w:rsid w:val="006D5EB8"/>
    <w:rsid w:val="006D6710"/>
    <w:rsid w:val="006D6E88"/>
    <w:rsid w:val="006E07A0"/>
    <w:rsid w:val="006E1280"/>
    <w:rsid w:val="006E140C"/>
    <w:rsid w:val="006E1E37"/>
    <w:rsid w:val="006E3440"/>
    <w:rsid w:val="006E3D8A"/>
    <w:rsid w:val="006E7700"/>
    <w:rsid w:val="006E7E71"/>
    <w:rsid w:val="006F0E0E"/>
    <w:rsid w:val="006F3D43"/>
    <w:rsid w:val="006F44B6"/>
    <w:rsid w:val="006F7251"/>
    <w:rsid w:val="00700625"/>
    <w:rsid w:val="007019F5"/>
    <w:rsid w:val="00702256"/>
    <w:rsid w:val="00705B6A"/>
    <w:rsid w:val="007077C2"/>
    <w:rsid w:val="00707D7E"/>
    <w:rsid w:val="00710159"/>
    <w:rsid w:val="007104D0"/>
    <w:rsid w:val="007104DD"/>
    <w:rsid w:val="00711CDF"/>
    <w:rsid w:val="00712F4A"/>
    <w:rsid w:val="00713406"/>
    <w:rsid w:val="00717048"/>
    <w:rsid w:val="00717F2C"/>
    <w:rsid w:val="00721655"/>
    <w:rsid w:val="0072174A"/>
    <w:rsid w:val="00727052"/>
    <w:rsid w:val="00727058"/>
    <w:rsid w:val="007306AC"/>
    <w:rsid w:val="00731602"/>
    <w:rsid w:val="00732BE3"/>
    <w:rsid w:val="007339A0"/>
    <w:rsid w:val="00737D61"/>
    <w:rsid w:val="00740866"/>
    <w:rsid w:val="007408BA"/>
    <w:rsid w:val="007446FA"/>
    <w:rsid w:val="00745BE7"/>
    <w:rsid w:val="00745DFF"/>
    <w:rsid w:val="00751038"/>
    <w:rsid w:val="007522C5"/>
    <w:rsid w:val="00752D42"/>
    <w:rsid w:val="00753C0F"/>
    <w:rsid w:val="007541E4"/>
    <w:rsid w:val="007542A4"/>
    <w:rsid w:val="007551DD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16EE"/>
    <w:rsid w:val="00772DD8"/>
    <w:rsid w:val="00772FC2"/>
    <w:rsid w:val="00773666"/>
    <w:rsid w:val="00777494"/>
    <w:rsid w:val="00777CF3"/>
    <w:rsid w:val="00781059"/>
    <w:rsid w:val="007828C9"/>
    <w:rsid w:val="00784570"/>
    <w:rsid w:val="00785B47"/>
    <w:rsid w:val="00787114"/>
    <w:rsid w:val="00792830"/>
    <w:rsid w:val="00793305"/>
    <w:rsid w:val="0079358C"/>
    <w:rsid w:val="00794F98"/>
    <w:rsid w:val="007952F7"/>
    <w:rsid w:val="00796046"/>
    <w:rsid w:val="007A0846"/>
    <w:rsid w:val="007A20C5"/>
    <w:rsid w:val="007A32E0"/>
    <w:rsid w:val="007A3880"/>
    <w:rsid w:val="007A4F07"/>
    <w:rsid w:val="007A6CF4"/>
    <w:rsid w:val="007A79E3"/>
    <w:rsid w:val="007B1F4C"/>
    <w:rsid w:val="007B27A2"/>
    <w:rsid w:val="007B36F6"/>
    <w:rsid w:val="007B4761"/>
    <w:rsid w:val="007B5903"/>
    <w:rsid w:val="007C27D7"/>
    <w:rsid w:val="007C32D0"/>
    <w:rsid w:val="007C366E"/>
    <w:rsid w:val="007C3931"/>
    <w:rsid w:val="007C3D5E"/>
    <w:rsid w:val="007C42CA"/>
    <w:rsid w:val="007C4BA3"/>
    <w:rsid w:val="007C5CB7"/>
    <w:rsid w:val="007D149B"/>
    <w:rsid w:val="007D1F8C"/>
    <w:rsid w:val="007D25D7"/>
    <w:rsid w:val="007D2A16"/>
    <w:rsid w:val="007D3787"/>
    <w:rsid w:val="007D4496"/>
    <w:rsid w:val="007D52B8"/>
    <w:rsid w:val="007D55E3"/>
    <w:rsid w:val="007D713D"/>
    <w:rsid w:val="007D7140"/>
    <w:rsid w:val="007E0975"/>
    <w:rsid w:val="007E0B6F"/>
    <w:rsid w:val="007E0C22"/>
    <w:rsid w:val="007E11C3"/>
    <w:rsid w:val="007E1C98"/>
    <w:rsid w:val="007E3AD4"/>
    <w:rsid w:val="007E636A"/>
    <w:rsid w:val="007E6E32"/>
    <w:rsid w:val="007E74AE"/>
    <w:rsid w:val="007E765B"/>
    <w:rsid w:val="007E7F79"/>
    <w:rsid w:val="007F03DB"/>
    <w:rsid w:val="007F0871"/>
    <w:rsid w:val="007F148A"/>
    <w:rsid w:val="007F29E7"/>
    <w:rsid w:val="007F2DE1"/>
    <w:rsid w:val="007F3384"/>
    <w:rsid w:val="007F4951"/>
    <w:rsid w:val="007F4B19"/>
    <w:rsid w:val="007F5153"/>
    <w:rsid w:val="007F63BD"/>
    <w:rsid w:val="007F6A2B"/>
    <w:rsid w:val="007F7420"/>
    <w:rsid w:val="007F78C2"/>
    <w:rsid w:val="008010C1"/>
    <w:rsid w:val="0080133B"/>
    <w:rsid w:val="00801CC4"/>
    <w:rsid w:val="008039CC"/>
    <w:rsid w:val="008056B6"/>
    <w:rsid w:val="008065C7"/>
    <w:rsid w:val="008073C8"/>
    <w:rsid w:val="00807E46"/>
    <w:rsid w:val="00811F1B"/>
    <w:rsid w:val="008122B2"/>
    <w:rsid w:val="00812548"/>
    <w:rsid w:val="008128FA"/>
    <w:rsid w:val="0081297E"/>
    <w:rsid w:val="0081347A"/>
    <w:rsid w:val="008134B2"/>
    <w:rsid w:val="00814D2C"/>
    <w:rsid w:val="0082154B"/>
    <w:rsid w:val="00823BFF"/>
    <w:rsid w:val="00824980"/>
    <w:rsid w:val="00825603"/>
    <w:rsid w:val="008258CC"/>
    <w:rsid w:val="00827B6C"/>
    <w:rsid w:val="00827EA7"/>
    <w:rsid w:val="0083093C"/>
    <w:rsid w:val="00832FE0"/>
    <w:rsid w:val="00833678"/>
    <w:rsid w:val="00833879"/>
    <w:rsid w:val="00834CC4"/>
    <w:rsid w:val="00834D96"/>
    <w:rsid w:val="00835927"/>
    <w:rsid w:val="0083628A"/>
    <w:rsid w:val="008364C2"/>
    <w:rsid w:val="00836B6D"/>
    <w:rsid w:val="00840E9D"/>
    <w:rsid w:val="00840F43"/>
    <w:rsid w:val="00841066"/>
    <w:rsid w:val="00841CFA"/>
    <w:rsid w:val="00843775"/>
    <w:rsid w:val="00843A58"/>
    <w:rsid w:val="008444E6"/>
    <w:rsid w:val="008462BB"/>
    <w:rsid w:val="00850EB1"/>
    <w:rsid w:val="00854F42"/>
    <w:rsid w:val="00855B36"/>
    <w:rsid w:val="00855E33"/>
    <w:rsid w:val="008572F4"/>
    <w:rsid w:val="00857796"/>
    <w:rsid w:val="00861945"/>
    <w:rsid w:val="00861E31"/>
    <w:rsid w:val="00862210"/>
    <w:rsid w:val="00862FD0"/>
    <w:rsid w:val="00863400"/>
    <w:rsid w:val="00865317"/>
    <w:rsid w:val="008708A6"/>
    <w:rsid w:val="008708C7"/>
    <w:rsid w:val="00872F10"/>
    <w:rsid w:val="008761D2"/>
    <w:rsid w:val="00876DAE"/>
    <w:rsid w:val="0087717A"/>
    <w:rsid w:val="008803B7"/>
    <w:rsid w:val="00880C6C"/>
    <w:rsid w:val="008815BD"/>
    <w:rsid w:val="00881C33"/>
    <w:rsid w:val="00883524"/>
    <w:rsid w:val="0088352D"/>
    <w:rsid w:val="008849B7"/>
    <w:rsid w:val="00884CE7"/>
    <w:rsid w:val="00884E0D"/>
    <w:rsid w:val="00884FB5"/>
    <w:rsid w:val="008864E1"/>
    <w:rsid w:val="0088786F"/>
    <w:rsid w:val="0089268B"/>
    <w:rsid w:val="00892C8C"/>
    <w:rsid w:val="00892DBF"/>
    <w:rsid w:val="00892E50"/>
    <w:rsid w:val="00892EE4"/>
    <w:rsid w:val="00894B59"/>
    <w:rsid w:val="00895638"/>
    <w:rsid w:val="00895AD2"/>
    <w:rsid w:val="00896AE8"/>
    <w:rsid w:val="008A087E"/>
    <w:rsid w:val="008A10EA"/>
    <w:rsid w:val="008A1D80"/>
    <w:rsid w:val="008A1F73"/>
    <w:rsid w:val="008A368A"/>
    <w:rsid w:val="008A654C"/>
    <w:rsid w:val="008A704F"/>
    <w:rsid w:val="008B1E0D"/>
    <w:rsid w:val="008B25AD"/>
    <w:rsid w:val="008B279A"/>
    <w:rsid w:val="008B3EAE"/>
    <w:rsid w:val="008B7DF3"/>
    <w:rsid w:val="008C1B10"/>
    <w:rsid w:val="008C31E3"/>
    <w:rsid w:val="008C37B7"/>
    <w:rsid w:val="008C411B"/>
    <w:rsid w:val="008C6736"/>
    <w:rsid w:val="008C6B1A"/>
    <w:rsid w:val="008C6C06"/>
    <w:rsid w:val="008C75DA"/>
    <w:rsid w:val="008D151D"/>
    <w:rsid w:val="008D1D06"/>
    <w:rsid w:val="008D216F"/>
    <w:rsid w:val="008D2374"/>
    <w:rsid w:val="008D2EF9"/>
    <w:rsid w:val="008D40F2"/>
    <w:rsid w:val="008D41E3"/>
    <w:rsid w:val="008D5EA5"/>
    <w:rsid w:val="008D686C"/>
    <w:rsid w:val="008D76F2"/>
    <w:rsid w:val="008E13B2"/>
    <w:rsid w:val="008E2356"/>
    <w:rsid w:val="008E304D"/>
    <w:rsid w:val="008E32B0"/>
    <w:rsid w:val="008E4CE7"/>
    <w:rsid w:val="008E6137"/>
    <w:rsid w:val="008E6791"/>
    <w:rsid w:val="008E6B79"/>
    <w:rsid w:val="008E75E5"/>
    <w:rsid w:val="008F05A6"/>
    <w:rsid w:val="008F05AA"/>
    <w:rsid w:val="008F0C83"/>
    <w:rsid w:val="008F346A"/>
    <w:rsid w:val="008F3D52"/>
    <w:rsid w:val="008F59D7"/>
    <w:rsid w:val="008F6487"/>
    <w:rsid w:val="008F6717"/>
    <w:rsid w:val="008F6EB6"/>
    <w:rsid w:val="008F7CD0"/>
    <w:rsid w:val="008F7DA4"/>
    <w:rsid w:val="008F7FBF"/>
    <w:rsid w:val="00900634"/>
    <w:rsid w:val="009010C3"/>
    <w:rsid w:val="0090148D"/>
    <w:rsid w:val="00904476"/>
    <w:rsid w:val="009048A1"/>
    <w:rsid w:val="00904F10"/>
    <w:rsid w:val="00906158"/>
    <w:rsid w:val="00906975"/>
    <w:rsid w:val="00906E97"/>
    <w:rsid w:val="00906FE5"/>
    <w:rsid w:val="009079E1"/>
    <w:rsid w:val="009123A0"/>
    <w:rsid w:val="00913AD0"/>
    <w:rsid w:val="009140ED"/>
    <w:rsid w:val="00914164"/>
    <w:rsid w:val="00915512"/>
    <w:rsid w:val="009177EC"/>
    <w:rsid w:val="0091791A"/>
    <w:rsid w:val="00917E02"/>
    <w:rsid w:val="009208FB"/>
    <w:rsid w:val="00920E43"/>
    <w:rsid w:val="00921280"/>
    <w:rsid w:val="00922416"/>
    <w:rsid w:val="00923717"/>
    <w:rsid w:val="00924229"/>
    <w:rsid w:val="00924CAF"/>
    <w:rsid w:val="00925569"/>
    <w:rsid w:val="00925615"/>
    <w:rsid w:val="00926157"/>
    <w:rsid w:val="00926639"/>
    <w:rsid w:val="00930597"/>
    <w:rsid w:val="00930F5A"/>
    <w:rsid w:val="0093390B"/>
    <w:rsid w:val="0093526F"/>
    <w:rsid w:val="00935FE4"/>
    <w:rsid w:val="00936191"/>
    <w:rsid w:val="009367E3"/>
    <w:rsid w:val="009403CC"/>
    <w:rsid w:val="009414A5"/>
    <w:rsid w:val="0094258F"/>
    <w:rsid w:val="00942632"/>
    <w:rsid w:val="00942AC5"/>
    <w:rsid w:val="009432C9"/>
    <w:rsid w:val="009440AF"/>
    <w:rsid w:val="0094588A"/>
    <w:rsid w:val="00946E33"/>
    <w:rsid w:val="00947D02"/>
    <w:rsid w:val="0095111C"/>
    <w:rsid w:val="00951176"/>
    <w:rsid w:val="0095140F"/>
    <w:rsid w:val="009527E2"/>
    <w:rsid w:val="00957105"/>
    <w:rsid w:val="00957C3D"/>
    <w:rsid w:val="00957EA8"/>
    <w:rsid w:val="0096002F"/>
    <w:rsid w:val="0096077C"/>
    <w:rsid w:val="00961BD3"/>
    <w:rsid w:val="009620C6"/>
    <w:rsid w:val="00963014"/>
    <w:rsid w:val="00964AA2"/>
    <w:rsid w:val="00965488"/>
    <w:rsid w:val="00965CAD"/>
    <w:rsid w:val="00966495"/>
    <w:rsid w:val="00966679"/>
    <w:rsid w:val="00967874"/>
    <w:rsid w:val="00970795"/>
    <w:rsid w:val="00971558"/>
    <w:rsid w:val="00971FF6"/>
    <w:rsid w:val="00972AF8"/>
    <w:rsid w:val="009750AA"/>
    <w:rsid w:val="00980F8F"/>
    <w:rsid w:val="00982354"/>
    <w:rsid w:val="00982E44"/>
    <w:rsid w:val="00983190"/>
    <w:rsid w:val="009837F6"/>
    <w:rsid w:val="009839C6"/>
    <w:rsid w:val="00984564"/>
    <w:rsid w:val="00984877"/>
    <w:rsid w:val="00984906"/>
    <w:rsid w:val="00984958"/>
    <w:rsid w:val="00985763"/>
    <w:rsid w:val="0099108B"/>
    <w:rsid w:val="00992862"/>
    <w:rsid w:val="009935AC"/>
    <w:rsid w:val="00993A9E"/>
    <w:rsid w:val="00994A5F"/>
    <w:rsid w:val="00995ADE"/>
    <w:rsid w:val="00997FC0"/>
    <w:rsid w:val="009A129E"/>
    <w:rsid w:val="009A1974"/>
    <w:rsid w:val="009A250D"/>
    <w:rsid w:val="009A5E8D"/>
    <w:rsid w:val="009B1142"/>
    <w:rsid w:val="009B1ABA"/>
    <w:rsid w:val="009B1DD4"/>
    <w:rsid w:val="009B386B"/>
    <w:rsid w:val="009B45B2"/>
    <w:rsid w:val="009B4943"/>
    <w:rsid w:val="009B505D"/>
    <w:rsid w:val="009B511D"/>
    <w:rsid w:val="009B545D"/>
    <w:rsid w:val="009B78F8"/>
    <w:rsid w:val="009C33C7"/>
    <w:rsid w:val="009C3A16"/>
    <w:rsid w:val="009C4E0C"/>
    <w:rsid w:val="009C572C"/>
    <w:rsid w:val="009D21A3"/>
    <w:rsid w:val="009D2921"/>
    <w:rsid w:val="009D47FE"/>
    <w:rsid w:val="009D4EBC"/>
    <w:rsid w:val="009D5128"/>
    <w:rsid w:val="009D572C"/>
    <w:rsid w:val="009D5795"/>
    <w:rsid w:val="009E142D"/>
    <w:rsid w:val="009E16E6"/>
    <w:rsid w:val="009E2A86"/>
    <w:rsid w:val="009E316D"/>
    <w:rsid w:val="009E33FC"/>
    <w:rsid w:val="009E356B"/>
    <w:rsid w:val="009E3D20"/>
    <w:rsid w:val="009E4E41"/>
    <w:rsid w:val="009E5679"/>
    <w:rsid w:val="009E61CB"/>
    <w:rsid w:val="009E6DBA"/>
    <w:rsid w:val="009E719B"/>
    <w:rsid w:val="00A03EDF"/>
    <w:rsid w:val="00A04BBC"/>
    <w:rsid w:val="00A04E44"/>
    <w:rsid w:val="00A059E4"/>
    <w:rsid w:val="00A05F52"/>
    <w:rsid w:val="00A06506"/>
    <w:rsid w:val="00A10603"/>
    <w:rsid w:val="00A11459"/>
    <w:rsid w:val="00A11E61"/>
    <w:rsid w:val="00A11F21"/>
    <w:rsid w:val="00A12026"/>
    <w:rsid w:val="00A12437"/>
    <w:rsid w:val="00A166D7"/>
    <w:rsid w:val="00A1743A"/>
    <w:rsid w:val="00A174F0"/>
    <w:rsid w:val="00A213E3"/>
    <w:rsid w:val="00A21A18"/>
    <w:rsid w:val="00A22B37"/>
    <w:rsid w:val="00A22D57"/>
    <w:rsid w:val="00A22F39"/>
    <w:rsid w:val="00A24948"/>
    <w:rsid w:val="00A2511D"/>
    <w:rsid w:val="00A257AE"/>
    <w:rsid w:val="00A25C4E"/>
    <w:rsid w:val="00A26C0D"/>
    <w:rsid w:val="00A308DA"/>
    <w:rsid w:val="00A30C2A"/>
    <w:rsid w:val="00A31FF7"/>
    <w:rsid w:val="00A328AB"/>
    <w:rsid w:val="00A33BF8"/>
    <w:rsid w:val="00A34536"/>
    <w:rsid w:val="00A3468A"/>
    <w:rsid w:val="00A35A6A"/>
    <w:rsid w:val="00A36641"/>
    <w:rsid w:val="00A40E94"/>
    <w:rsid w:val="00A447A3"/>
    <w:rsid w:val="00A52317"/>
    <w:rsid w:val="00A55521"/>
    <w:rsid w:val="00A62301"/>
    <w:rsid w:val="00A62647"/>
    <w:rsid w:val="00A62CC2"/>
    <w:rsid w:val="00A62F3D"/>
    <w:rsid w:val="00A64EC1"/>
    <w:rsid w:val="00A65275"/>
    <w:rsid w:val="00A660E3"/>
    <w:rsid w:val="00A66A95"/>
    <w:rsid w:val="00A66DC0"/>
    <w:rsid w:val="00A673CB"/>
    <w:rsid w:val="00A6780F"/>
    <w:rsid w:val="00A67A54"/>
    <w:rsid w:val="00A67E3B"/>
    <w:rsid w:val="00A71046"/>
    <w:rsid w:val="00A720DE"/>
    <w:rsid w:val="00A768C7"/>
    <w:rsid w:val="00A77419"/>
    <w:rsid w:val="00A77526"/>
    <w:rsid w:val="00A77E42"/>
    <w:rsid w:val="00A804C2"/>
    <w:rsid w:val="00A808C2"/>
    <w:rsid w:val="00A80D68"/>
    <w:rsid w:val="00A80EF6"/>
    <w:rsid w:val="00A81032"/>
    <w:rsid w:val="00A8149E"/>
    <w:rsid w:val="00A82231"/>
    <w:rsid w:val="00A82A78"/>
    <w:rsid w:val="00A82EF5"/>
    <w:rsid w:val="00A850FA"/>
    <w:rsid w:val="00A85B61"/>
    <w:rsid w:val="00A86A5C"/>
    <w:rsid w:val="00A87963"/>
    <w:rsid w:val="00A90871"/>
    <w:rsid w:val="00A910DF"/>
    <w:rsid w:val="00A94EA4"/>
    <w:rsid w:val="00A96647"/>
    <w:rsid w:val="00A969B4"/>
    <w:rsid w:val="00A97289"/>
    <w:rsid w:val="00AA082F"/>
    <w:rsid w:val="00AA09CF"/>
    <w:rsid w:val="00AA37C8"/>
    <w:rsid w:val="00AA41A2"/>
    <w:rsid w:val="00AA5133"/>
    <w:rsid w:val="00AA6980"/>
    <w:rsid w:val="00AB0E80"/>
    <w:rsid w:val="00AB104A"/>
    <w:rsid w:val="00AB189B"/>
    <w:rsid w:val="00AB4AF1"/>
    <w:rsid w:val="00AB4D70"/>
    <w:rsid w:val="00AB5A00"/>
    <w:rsid w:val="00AB5F69"/>
    <w:rsid w:val="00AB6A86"/>
    <w:rsid w:val="00AB6C02"/>
    <w:rsid w:val="00AC0E33"/>
    <w:rsid w:val="00AC1B81"/>
    <w:rsid w:val="00AC2C70"/>
    <w:rsid w:val="00AC4079"/>
    <w:rsid w:val="00AC542D"/>
    <w:rsid w:val="00AC5849"/>
    <w:rsid w:val="00AC6527"/>
    <w:rsid w:val="00AC6BF1"/>
    <w:rsid w:val="00AD1504"/>
    <w:rsid w:val="00AD370E"/>
    <w:rsid w:val="00AD3CAD"/>
    <w:rsid w:val="00AD3E30"/>
    <w:rsid w:val="00AD511E"/>
    <w:rsid w:val="00AD53EF"/>
    <w:rsid w:val="00AD56CE"/>
    <w:rsid w:val="00AD5896"/>
    <w:rsid w:val="00AD6192"/>
    <w:rsid w:val="00AD6919"/>
    <w:rsid w:val="00AD6C74"/>
    <w:rsid w:val="00AD733D"/>
    <w:rsid w:val="00AD77F5"/>
    <w:rsid w:val="00AD7B0F"/>
    <w:rsid w:val="00AD7B88"/>
    <w:rsid w:val="00AE00F8"/>
    <w:rsid w:val="00AE12ED"/>
    <w:rsid w:val="00AE1D01"/>
    <w:rsid w:val="00AE308B"/>
    <w:rsid w:val="00AE32FC"/>
    <w:rsid w:val="00AE3CCD"/>
    <w:rsid w:val="00AE530E"/>
    <w:rsid w:val="00AE61D2"/>
    <w:rsid w:val="00AF0F24"/>
    <w:rsid w:val="00AF28DD"/>
    <w:rsid w:val="00AF4DFA"/>
    <w:rsid w:val="00AF7996"/>
    <w:rsid w:val="00B001C8"/>
    <w:rsid w:val="00B00A6C"/>
    <w:rsid w:val="00B00FFB"/>
    <w:rsid w:val="00B02923"/>
    <w:rsid w:val="00B02EB8"/>
    <w:rsid w:val="00B035DD"/>
    <w:rsid w:val="00B03ED8"/>
    <w:rsid w:val="00B05FB9"/>
    <w:rsid w:val="00B11421"/>
    <w:rsid w:val="00B14031"/>
    <w:rsid w:val="00B14249"/>
    <w:rsid w:val="00B15449"/>
    <w:rsid w:val="00B158A1"/>
    <w:rsid w:val="00B16DB4"/>
    <w:rsid w:val="00B230B1"/>
    <w:rsid w:val="00B231A6"/>
    <w:rsid w:val="00B241EC"/>
    <w:rsid w:val="00B2471A"/>
    <w:rsid w:val="00B2525A"/>
    <w:rsid w:val="00B27586"/>
    <w:rsid w:val="00B2770C"/>
    <w:rsid w:val="00B32843"/>
    <w:rsid w:val="00B3360D"/>
    <w:rsid w:val="00B3377F"/>
    <w:rsid w:val="00B34898"/>
    <w:rsid w:val="00B34966"/>
    <w:rsid w:val="00B34CD6"/>
    <w:rsid w:val="00B3512B"/>
    <w:rsid w:val="00B36CF8"/>
    <w:rsid w:val="00B4049F"/>
    <w:rsid w:val="00B40F08"/>
    <w:rsid w:val="00B40F77"/>
    <w:rsid w:val="00B41D5B"/>
    <w:rsid w:val="00B42A78"/>
    <w:rsid w:val="00B44F57"/>
    <w:rsid w:val="00B451B6"/>
    <w:rsid w:val="00B466B3"/>
    <w:rsid w:val="00B46E7E"/>
    <w:rsid w:val="00B50263"/>
    <w:rsid w:val="00B529E3"/>
    <w:rsid w:val="00B5324B"/>
    <w:rsid w:val="00B53BDF"/>
    <w:rsid w:val="00B5507E"/>
    <w:rsid w:val="00B565CD"/>
    <w:rsid w:val="00B577BD"/>
    <w:rsid w:val="00B57BAC"/>
    <w:rsid w:val="00B603BF"/>
    <w:rsid w:val="00B61543"/>
    <w:rsid w:val="00B62DB8"/>
    <w:rsid w:val="00B63483"/>
    <w:rsid w:val="00B6372C"/>
    <w:rsid w:val="00B6379D"/>
    <w:rsid w:val="00B649E2"/>
    <w:rsid w:val="00B65AB1"/>
    <w:rsid w:val="00B70E39"/>
    <w:rsid w:val="00B71A01"/>
    <w:rsid w:val="00B763D6"/>
    <w:rsid w:val="00B83EE2"/>
    <w:rsid w:val="00B85036"/>
    <w:rsid w:val="00B85B0E"/>
    <w:rsid w:val="00B86361"/>
    <w:rsid w:val="00B86AEC"/>
    <w:rsid w:val="00B86BE5"/>
    <w:rsid w:val="00B8798D"/>
    <w:rsid w:val="00B91E35"/>
    <w:rsid w:val="00B93343"/>
    <w:rsid w:val="00B9386A"/>
    <w:rsid w:val="00B95A8F"/>
    <w:rsid w:val="00B974D2"/>
    <w:rsid w:val="00BA227E"/>
    <w:rsid w:val="00BA4767"/>
    <w:rsid w:val="00BA4873"/>
    <w:rsid w:val="00BA4E63"/>
    <w:rsid w:val="00BA5306"/>
    <w:rsid w:val="00BA6C42"/>
    <w:rsid w:val="00BA7277"/>
    <w:rsid w:val="00BA7637"/>
    <w:rsid w:val="00BB08EF"/>
    <w:rsid w:val="00BB0E7F"/>
    <w:rsid w:val="00BB173A"/>
    <w:rsid w:val="00BB19E5"/>
    <w:rsid w:val="00BB2091"/>
    <w:rsid w:val="00BB29DD"/>
    <w:rsid w:val="00BB4A4F"/>
    <w:rsid w:val="00BB5FBE"/>
    <w:rsid w:val="00BB633D"/>
    <w:rsid w:val="00BB669A"/>
    <w:rsid w:val="00BC2626"/>
    <w:rsid w:val="00BC296F"/>
    <w:rsid w:val="00BC30AA"/>
    <w:rsid w:val="00BC4E85"/>
    <w:rsid w:val="00BD02F3"/>
    <w:rsid w:val="00BD0449"/>
    <w:rsid w:val="00BD047F"/>
    <w:rsid w:val="00BD1DBE"/>
    <w:rsid w:val="00BD2CE8"/>
    <w:rsid w:val="00BD31FD"/>
    <w:rsid w:val="00BD3C0A"/>
    <w:rsid w:val="00BD3DB0"/>
    <w:rsid w:val="00BD419A"/>
    <w:rsid w:val="00BD48BA"/>
    <w:rsid w:val="00BD4962"/>
    <w:rsid w:val="00BD4D71"/>
    <w:rsid w:val="00BD4DCD"/>
    <w:rsid w:val="00BD593A"/>
    <w:rsid w:val="00BD7957"/>
    <w:rsid w:val="00BE40E6"/>
    <w:rsid w:val="00BE4720"/>
    <w:rsid w:val="00BE5FB7"/>
    <w:rsid w:val="00BE7980"/>
    <w:rsid w:val="00BF1F5C"/>
    <w:rsid w:val="00BF27F7"/>
    <w:rsid w:val="00BF5A79"/>
    <w:rsid w:val="00BF7284"/>
    <w:rsid w:val="00C00181"/>
    <w:rsid w:val="00C01880"/>
    <w:rsid w:val="00C03C00"/>
    <w:rsid w:val="00C04388"/>
    <w:rsid w:val="00C04668"/>
    <w:rsid w:val="00C04925"/>
    <w:rsid w:val="00C04D63"/>
    <w:rsid w:val="00C058FF"/>
    <w:rsid w:val="00C06364"/>
    <w:rsid w:val="00C06A95"/>
    <w:rsid w:val="00C06CDA"/>
    <w:rsid w:val="00C1206D"/>
    <w:rsid w:val="00C131C8"/>
    <w:rsid w:val="00C158F4"/>
    <w:rsid w:val="00C17A9A"/>
    <w:rsid w:val="00C17EF0"/>
    <w:rsid w:val="00C2132E"/>
    <w:rsid w:val="00C21CF4"/>
    <w:rsid w:val="00C23090"/>
    <w:rsid w:val="00C23371"/>
    <w:rsid w:val="00C25690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47B02"/>
    <w:rsid w:val="00C50685"/>
    <w:rsid w:val="00C529CE"/>
    <w:rsid w:val="00C5390A"/>
    <w:rsid w:val="00C53F61"/>
    <w:rsid w:val="00C565E3"/>
    <w:rsid w:val="00C567B6"/>
    <w:rsid w:val="00C61831"/>
    <w:rsid w:val="00C62FD2"/>
    <w:rsid w:val="00C63377"/>
    <w:rsid w:val="00C64820"/>
    <w:rsid w:val="00C648CD"/>
    <w:rsid w:val="00C65598"/>
    <w:rsid w:val="00C666C6"/>
    <w:rsid w:val="00C66E0F"/>
    <w:rsid w:val="00C70312"/>
    <w:rsid w:val="00C71005"/>
    <w:rsid w:val="00C7208A"/>
    <w:rsid w:val="00C73AFD"/>
    <w:rsid w:val="00C7505A"/>
    <w:rsid w:val="00C75DFF"/>
    <w:rsid w:val="00C76EA2"/>
    <w:rsid w:val="00C77023"/>
    <w:rsid w:val="00C80382"/>
    <w:rsid w:val="00C81329"/>
    <w:rsid w:val="00C8140A"/>
    <w:rsid w:val="00C83ADF"/>
    <w:rsid w:val="00C84DD9"/>
    <w:rsid w:val="00C862D6"/>
    <w:rsid w:val="00C86572"/>
    <w:rsid w:val="00C871BA"/>
    <w:rsid w:val="00C87A54"/>
    <w:rsid w:val="00C87C9D"/>
    <w:rsid w:val="00C9059F"/>
    <w:rsid w:val="00C9086A"/>
    <w:rsid w:val="00C91FF1"/>
    <w:rsid w:val="00C93173"/>
    <w:rsid w:val="00C9356E"/>
    <w:rsid w:val="00C946DF"/>
    <w:rsid w:val="00C94C9E"/>
    <w:rsid w:val="00C96D03"/>
    <w:rsid w:val="00CA0394"/>
    <w:rsid w:val="00CA10D8"/>
    <w:rsid w:val="00CA316C"/>
    <w:rsid w:val="00CA3684"/>
    <w:rsid w:val="00CA693D"/>
    <w:rsid w:val="00CA7D28"/>
    <w:rsid w:val="00CB069D"/>
    <w:rsid w:val="00CB0BCC"/>
    <w:rsid w:val="00CB2B26"/>
    <w:rsid w:val="00CB369B"/>
    <w:rsid w:val="00CB385F"/>
    <w:rsid w:val="00CB419B"/>
    <w:rsid w:val="00CB4527"/>
    <w:rsid w:val="00CB5378"/>
    <w:rsid w:val="00CB6EE9"/>
    <w:rsid w:val="00CB710A"/>
    <w:rsid w:val="00CB7754"/>
    <w:rsid w:val="00CB7FE3"/>
    <w:rsid w:val="00CC09D9"/>
    <w:rsid w:val="00CC0EDA"/>
    <w:rsid w:val="00CC1CE9"/>
    <w:rsid w:val="00CC2103"/>
    <w:rsid w:val="00CC33C1"/>
    <w:rsid w:val="00CC47C9"/>
    <w:rsid w:val="00CC693C"/>
    <w:rsid w:val="00CC73D1"/>
    <w:rsid w:val="00CC783C"/>
    <w:rsid w:val="00CD03F6"/>
    <w:rsid w:val="00CD109C"/>
    <w:rsid w:val="00CD18DE"/>
    <w:rsid w:val="00CD318F"/>
    <w:rsid w:val="00CD6BD2"/>
    <w:rsid w:val="00CD6E63"/>
    <w:rsid w:val="00CE1F8C"/>
    <w:rsid w:val="00CE3E90"/>
    <w:rsid w:val="00CE43BF"/>
    <w:rsid w:val="00CE5743"/>
    <w:rsid w:val="00CE5B67"/>
    <w:rsid w:val="00CE6773"/>
    <w:rsid w:val="00CE740A"/>
    <w:rsid w:val="00CF0326"/>
    <w:rsid w:val="00CF0749"/>
    <w:rsid w:val="00CF0756"/>
    <w:rsid w:val="00CF113A"/>
    <w:rsid w:val="00CF2B41"/>
    <w:rsid w:val="00CF3D84"/>
    <w:rsid w:val="00CF3FF1"/>
    <w:rsid w:val="00CF5EEA"/>
    <w:rsid w:val="00CF7AE9"/>
    <w:rsid w:val="00D014F0"/>
    <w:rsid w:val="00D01E9C"/>
    <w:rsid w:val="00D0227D"/>
    <w:rsid w:val="00D03CF1"/>
    <w:rsid w:val="00D04CA6"/>
    <w:rsid w:val="00D06028"/>
    <w:rsid w:val="00D106D0"/>
    <w:rsid w:val="00D140D4"/>
    <w:rsid w:val="00D142D6"/>
    <w:rsid w:val="00D14542"/>
    <w:rsid w:val="00D14840"/>
    <w:rsid w:val="00D1511F"/>
    <w:rsid w:val="00D152DF"/>
    <w:rsid w:val="00D16D9C"/>
    <w:rsid w:val="00D173FD"/>
    <w:rsid w:val="00D1740A"/>
    <w:rsid w:val="00D17C12"/>
    <w:rsid w:val="00D218A5"/>
    <w:rsid w:val="00D21FFD"/>
    <w:rsid w:val="00D22347"/>
    <w:rsid w:val="00D2555E"/>
    <w:rsid w:val="00D25613"/>
    <w:rsid w:val="00D274FF"/>
    <w:rsid w:val="00D30344"/>
    <w:rsid w:val="00D307F0"/>
    <w:rsid w:val="00D30E59"/>
    <w:rsid w:val="00D31454"/>
    <w:rsid w:val="00D32EBC"/>
    <w:rsid w:val="00D33D1D"/>
    <w:rsid w:val="00D3480E"/>
    <w:rsid w:val="00D3601C"/>
    <w:rsid w:val="00D406C1"/>
    <w:rsid w:val="00D406F8"/>
    <w:rsid w:val="00D40ACE"/>
    <w:rsid w:val="00D428CE"/>
    <w:rsid w:val="00D429F9"/>
    <w:rsid w:val="00D43C23"/>
    <w:rsid w:val="00D44A6B"/>
    <w:rsid w:val="00D44BCD"/>
    <w:rsid w:val="00D4583D"/>
    <w:rsid w:val="00D47771"/>
    <w:rsid w:val="00D479B7"/>
    <w:rsid w:val="00D479B8"/>
    <w:rsid w:val="00D508C2"/>
    <w:rsid w:val="00D51689"/>
    <w:rsid w:val="00D520B1"/>
    <w:rsid w:val="00D52941"/>
    <w:rsid w:val="00D54278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2BEF"/>
    <w:rsid w:val="00D73D51"/>
    <w:rsid w:val="00D743DB"/>
    <w:rsid w:val="00D74F5D"/>
    <w:rsid w:val="00D7584D"/>
    <w:rsid w:val="00D775EA"/>
    <w:rsid w:val="00D77863"/>
    <w:rsid w:val="00D77E1E"/>
    <w:rsid w:val="00D812F8"/>
    <w:rsid w:val="00D83D8E"/>
    <w:rsid w:val="00D8456D"/>
    <w:rsid w:val="00D84B57"/>
    <w:rsid w:val="00D85C04"/>
    <w:rsid w:val="00D864E8"/>
    <w:rsid w:val="00D87341"/>
    <w:rsid w:val="00D8752C"/>
    <w:rsid w:val="00D91A3C"/>
    <w:rsid w:val="00D92B62"/>
    <w:rsid w:val="00D933F5"/>
    <w:rsid w:val="00D94234"/>
    <w:rsid w:val="00D9562C"/>
    <w:rsid w:val="00D96925"/>
    <w:rsid w:val="00D96EC6"/>
    <w:rsid w:val="00DA0C62"/>
    <w:rsid w:val="00DA2664"/>
    <w:rsid w:val="00DA2D97"/>
    <w:rsid w:val="00DA39AB"/>
    <w:rsid w:val="00DA5140"/>
    <w:rsid w:val="00DA5DF2"/>
    <w:rsid w:val="00DA5F88"/>
    <w:rsid w:val="00DA7FE6"/>
    <w:rsid w:val="00DB09E6"/>
    <w:rsid w:val="00DB1C9C"/>
    <w:rsid w:val="00DB23A1"/>
    <w:rsid w:val="00DB3CDA"/>
    <w:rsid w:val="00DB42D0"/>
    <w:rsid w:val="00DB442D"/>
    <w:rsid w:val="00DB7080"/>
    <w:rsid w:val="00DB7341"/>
    <w:rsid w:val="00DC319F"/>
    <w:rsid w:val="00DC3BC7"/>
    <w:rsid w:val="00DD0186"/>
    <w:rsid w:val="00DD0AE1"/>
    <w:rsid w:val="00DD0FE8"/>
    <w:rsid w:val="00DD2103"/>
    <w:rsid w:val="00DD2CBA"/>
    <w:rsid w:val="00DD414A"/>
    <w:rsid w:val="00DD417E"/>
    <w:rsid w:val="00DD4F26"/>
    <w:rsid w:val="00DE0128"/>
    <w:rsid w:val="00DE1F95"/>
    <w:rsid w:val="00DE2832"/>
    <w:rsid w:val="00DE499F"/>
    <w:rsid w:val="00DE4FD2"/>
    <w:rsid w:val="00DE5589"/>
    <w:rsid w:val="00DE6D2F"/>
    <w:rsid w:val="00DF3586"/>
    <w:rsid w:val="00DF5C21"/>
    <w:rsid w:val="00DF7148"/>
    <w:rsid w:val="00DF7C73"/>
    <w:rsid w:val="00E0191C"/>
    <w:rsid w:val="00E02353"/>
    <w:rsid w:val="00E0266B"/>
    <w:rsid w:val="00E038D5"/>
    <w:rsid w:val="00E05D3D"/>
    <w:rsid w:val="00E06254"/>
    <w:rsid w:val="00E10022"/>
    <w:rsid w:val="00E104BE"/>
    <w:rsid w:val="00E11F7D"/>
    <w:rsid w:val="00E12905"/>
    <w:rsid w:val="00E12960"/>
    <w:rsid w:val="00E12D6D"/>
    <w:rsid w:val="00E14351"/>
    <w:rsid w:val="00E153EE"/>
    <w:rsid w:val="00E1732C"/>
    <w:rsid w:val="00E21180"/>
    <w:rsid w:val="00E21DBF"/>
    <w:rsid w:val="00E236E0"/>
    <w:rsid w:val="00E2535B"/>
    <w:rsid w:val="00E25BBF"/>
    <w:rsid w:val="00E30463"/>
    <w:rsid w:val="00E30607"/>
    <w:rsid w:val="00E30A2F"/>
    <w:rsid w:val="00E32E5D"/>
    <w:rsid w:val="00E341DF"/>
    <w:rsid w:val="00E345D8"/>
    <w:rsid w:val="00E36665"/>
    <w:rsid w:val="00E402C4"/>
    <w:rsid w:val="00E40CE7"/>
    <w:rsid w:val="00E420C8"/>
    <w:rsid w:val="00E42249"/>
    <w:rsid w:val="00E42FEC"/>
    <w:rsid w:val="00E44EE4"/>
    <w:rsid w:val="00E45928"/>
    <w:rsid w:val="00E45B0A"/>
    <w:rsid w:val="00E464E2"/>
    <w:rsid w:val="00E4671A"/>
    <w:rsid w:val="00E46A23"/>
    <w:rsid w:val="00E51042"/>
    <w:rsid w:val="00E51C33"/>
    <w:rsid w:val="00E5323B"/>
    <w:rsid w:val="00E53AAE"/>
    <w:rsid w:val="00E54029"/>
    <w:rsid w:val="00E54AE8"/>
    <w:rsid w:val="00E5632B"/>
    <w:rsid w:val="00E60F84"/>
    <w:rsid w:val="00E618D7"/>
    <w:rsid w:val="00E62228"/>
    <w:rsid w:val="00E62921"/>
    <w:rsid w:val="00E6391E"/>
    <w:rsid w:val="00E65BB3"/>
    <w:rsid w:val="00E66A2F"/>
    <w:rsid w:val="00E66E4C"/>
    <w:rsid w:val="00E67C2C"/>
    <w:rsid w:val="00E703C5"/>
    <w:rsid w:val="00E70643"/>
    <w:rsid w:val="00E70B5D"/>
    <w:rsid w:val="00E71469"/>
    <w:rsid w:val="00E72A8D"/>
    <w:rsid w:val="00E73322"/>
    <w:rsid w:val="00E73820"/>
    <w:rsid w:val="00E75058"/>
    <w:rsid w:val="00E75E52"/>
    <w:rsid w:val="00E765BC"/>
    <w:rsid w:val="00E76DA2"/>
    <w:rsid w:val="00E81896"/>
    <w:rsid w:val="00E8380F"/>
    <w:rsid w:val="00E84455"/>
    <w:rsid w:val="00E8475E"/>
    <w:rsid w:val="00E86F65"/>
    <w:rsid w:val="00E877E1"/>
    <w:rsid w:val="00E87CC4"/>
    <w:rsid w:val="00E915AA"/>
    <w:rsid w:val="00E925B1"/>
    <w:rsid w:val="00E92825"/>
    <w:rsid w:val="00E9316B"/>
    <w:rsid w:val="00E936C2"/>
    <w:rsid w:val="00E939E2"/>
    <w:rsid w:val="00E93D08"/>
    <w:rsid w:val="00E940DC"/>
    <w:rsid w:val="00E952FF"/>
    <w:rsid w:val="00E959C0"/>
    <w:rsid w:val="00E95DD6"/>
    <w:rsid w:val="00E95E4C"/>
    <w:rsid w:val="00E965E9"/>
    <w:rsid w:val="00E96B22"/>
    <w:rsid w:val="00E96C03"/>
    <w:rsid w:val="00EA0C33"/>
    <w:rsid w:val="00EA0D78"/>
    <w:rsid w:val="00EA1C68"/>
    <w:rsid w:val="00EA25BD"/>
    <w:rsid w:val="00EA26FD"/>
    <w:rsid w:val="00EA2F1F"/>
    <w:rsid w:val="00EA40DB"/>
    <w:rsid w:val="00EA4294"/>
    <w:rsid w:val="00EA4941"/>
    <w:rsid w:val="00EA5F30"/>
    <w:rsid w:val="00EB06B3"/>
    <w:rsid w:val="00EB1614"/>
    <w:rsid w:val="00EB2E9A"/>
    <w:rsid w:val="00EB3717"/>
    <w:rsid w:val="00EB3719"/>
    <w:rsid w:val="00EB3AAF"/>
    <w:rsid w:val="00EB41E6"/>
    <w:rsid w:val="00EB666E"/>
    <w:rsid w:val="00EB6C8B"/>
    <w:rsid w:val="00EC0B9C"/>
    <w:rsid w:val="00EC4E39"/>
    <w:rsid w:val="00EC5893"/>
    <w:rsid w:val="00EC7993"/>
    <w:rsid w:val="00ED1063"/>
    <w:rsid w:val="00ED1AFE"/>
    <w:rsid w:val="00ED234B"/>
    <w:rsid w:val="00ED3E96"/>
    <w:rsid w:val="00ED4057"/>
    <w:rsid w:val="00ED467B"/>
    <w:rsid w:val="00ED5F66"/>
    <w:rsid w:val="00ED6D7E"/>
    <w:rsid w:val="00ED6F49"/>
    <w:rsid w:val="00ED7049"/>
    <w:rsid w:val="00ED734A"/>
    <w:rsid w:val="00ED7FC4"/>
    <w:rsid w:val="00EE1A49"/>
    <w:rsid w:val="00EE2FED"/>
    <w:rsid w:val="00EE332C"/>
    <w:rsid w:val="00EE3729"/>
    <w:rsid w:val="00EE438D"/>
    <w:rsid w:val="00EE5CA3"/>
    <w:rsid w:val="00EE6188"/>
    <w:rsid w:val="00EE75B9"/>
    <w:rsid w:val="00EE7940"/>
    <w:rsid w:val="00EF0756"/>
    <w:rsid w:val="00EF21FB"/>
    <w:rsid w:val="00EF2787"/>
    <w:rsid w:val="00EF4391"/>
    <w:rsid w:val="00EF5899"/>
    <w:rsid w:val="00F00A80"/>
    <w:rsid w:val="00F025D7"/>
    <w:rsid w:val="00F07221"/>
    <w:rsid w:val="00F072B0"/>
    <w:rsid w:val="00F10BB5"/>
    <w:rsid w:val="00F1130E"/>
    <w:rsid w:val="00F15147"/>
    <w:rsid w:val="00F15185"/>
    <w:rsid w:val="00F152A2"/>
    <w:rsid w:val="00F1643D"/>
    <w:rsid w:val="00F164AD"/>
    <w:rsid w:val="00F177FA"/>
    <w:rsid w:val="00F17C19"/>
    <w:rsid w:val="00F2177A"/>
    <w:rsid w:val="00F21D6F"/>
    <w:rsid w:val="00F23183"/>
    <w:rsid w:val="00F2379F"/>
    <w:rsid w:val="00F24393"/>
    <w:rsid w:val="00F25B08"/>
    <w:rsid w:val="00F26D4C"/>
    <w:rsid w:val="00F271F2"/>
    <w:rsid w:val="00F2754E"/>
    <w:rsid w:val="00F27BC1"/>
    <w:rsid w:val="00F3073E"/>
    <w:rsid w:val="00F324EC"/>
    <w:rsid w:val="00F32FD2"/>
    <w:rsid w:val="00F33C7A"/>
    <w:rsid w:val="00F34D06"/>
    <w:rsid w:val="00F359C3"/>
    <w:rsid w:val="00F35D91"/>
    <w:rsid w:val="00F35F0A"/>
    <w:rsid w:val="00F364B6"/>
    <w:rsid w:val="00F37420"/>
    <w:rsid w:val="00F3767B"/>
    <w:rsid w:val="00F37E75"/>
    <w:rsid w:val="00F41BDB"/>
    <w:rsid w:val="00F445FA"/>
    <w:rsid w:val="00F45F30"/>
    <w:rsid w:val="00F46759"/>
    <w:rsid w:val="00F46ACE"/>
    <w:rsid w:val="00F51023"/>
    <w:rsid w:val="00F52BA4"/>
    <w:rsid w:val="00F53A69"/>
    <w:rsid w:val="00F5408A"/>
    <w:rsid w:val="00F55A44"/>
    <w:rsid w:val="00F56EE8"/>
    <w:rsid w:val="00F61942"/>
    <w:rsid w:val="00F64DC5"/>
    <w:rsid w:val="00F66677"/>
    <w:rsid w:val="00F67E91"/>
    <w:rsid w:val="00F67EAD"/>
    <w:rsid w:val="00F70415"/>
    <w:rsid w:val="00F705E0"/>
    <w:rsid w:val="00F708E7"/>
    <w:rsid w:val="00F713A6"/>
    <w:rsid w:val="00F71F27"/>
    <w:rsid w:val="00F723D4"/>
    <w:rsid w:val="00F743B8"/>
    <w:rsid w:val="00F758BD"/>
    <w:rsid w:val="00F765DF"/>
    <w:rsid w:val="00F80C4C"/>
    <w:rsid w:val="00F8308B"/>
    <w:rsid w:val="00F83522"/>
    <w:rsid w:val="00F83F75"/>
    <w:rsid w:val="00F847B8"/>
    <w:rsid w:val="00F8528E"/>
    <w:rsid w:val="00F86C2E"/>
    <w:rsid w:val="00F876E2"/>
    <w:rsid w:val="00F9176B"/>
    <w:rsid w:val="00F91AD0"/>
    <w:rsid w:val="00F92484"/>
    <w:rsid w:val="00F926B8"/>
    <w:rsid w:val="00F945E9"/>
    <w:rsid w:val="00F947E6"/>
    <w:rsid w:val="00F956AA"/>
    <w:rsid w:val="00F97F79"/>
    <w:rsid w:val="00FA0946"/>
    <w:rsid w:val="00FA1355"/>
    <w:rsid w:val="00FA1371"/>
    <w:rsid w:val="00FA1B4F"/>
    <w:rsid w:val="00FA3D21"/>
    <w:rsid w:val="00FA4B88"/>
    <w:rsid w:val="00FA54F1"/>
    <w:rsid w:val="00FA6D7D"/>
    <w:rsid w:val="00FB01F4"/>
    <w:rsid w:val="00FB05B8"/>
    <w:rsid w:val="00FB1E52"/>
    <w:rsid w:val="00FB1F78"/>
    <w:rsid w:val="00FB2A4C"/>
    <w:rsid w:val="00FB2B65"/>
    <w:rsid w:val="00FB7148"/>
    <w:rsid w:val="00FB73E4"/>
    <w:rsid w:val="00FB7474"/>
    <w:rsid w:val="00FC3537"/>
    <w:rsid w:val="00FD3FAD"/>
    <w:rsid w:val="00FD4157"/>
    <w:rsid w:val="00FD5233"/>
    <w:rsid w:val="00FE01EB"/>
    <w:rsid w:val="00FE039C"/>
    <w:rsid w:val="00FE1706"/>
    <w:rsid w:val="00FE2345"/>
    <w:rsid w:val="00FE23ED"/>
    <w:rsid w:val="00FE663F"/>
    <w:rsid w:val="00FE739B"/>
    <w:rsid w:val="00FF16CA"/>
    <w:rsid w:val="00FF45FD"/>
    <w:rsid w:val="00FF4E50"/>
    <w:rsid w:val="00FF5C96"/>
    <w:rsid w:val="00FF61CB"/>
    <w:rsid w:val="00FF6A47"/>
    <w:rsid w:val="00FF6E96"/>
    <w:rsid w:val="00FF7677"/>
    <w:rsid w:val="04CD2D1A"/>
    <w:rsid w:val="0B1FD92D"/>
    <w:rsid w:val="5C7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6AF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4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6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E0F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0645F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0645F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"/>
    <w:basedOn w:val="TableNormal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66E0F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7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9"/>
      </w:numPr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12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12"/>
      </w:numPr>
      <w:spacing w:before="0" w:after="0"/>
    </w:pPr>
  </w:style>
  <w:style w:type="paragraph" w:customStyle="1" w:styleId="TableBullet2MS">
    <w:name w:val="Table Bullet 2 MS"/>
    <w:basedOn w:val="TableText"/>
    <w:rsid w:val="001A7AF1"/>
    <w:pPr>
      <w:numPr>
        <w:ilvl w:val="1"/>
        <w:numId w:val="53"/>
      </w:numPr>
      <w:spacing w:before="0" w:after="0"/>
      <w:ind w:left="720" w:hanging="36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1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29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table" w:customStyle="1" w:styleId="TableGrid11">
    <w:name w:val="Table Grid11"/>
    <w:basedOn w:val="TableNormal"/>
    <w:next w:val="TableGrid"/>
    <w:uiPriority w:val="39"/>
    <w:rsid w:val="0040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Heading1">
    <w:name w:val="Num Heading 1"/>
    <w:basedOn w:val="Heading1"/>
    <w:next w:val="Normal"/>
    <w:semiHidden/>
    <w:rsid w:val="0040645F"/>
    <w:pPr>
      <w:keepLines w:val="0"/>
      <w:pageBreakBefore/>
      <w:numPr>
        <w:numId w:val="0"/>
      </w:numPr>
      <w:tabs>
        <w:tab w:val="left" w:pos="1440"/>
      </w:tabs>
      <w:spacing w:before="120" w:after="120" w:line="240" w:lineRule="auto"/>
    </w:pPr>
    <w:rPr>
      <w:rFonts w:ascii="Segoe Black" w:eastAsia="Segoe Black" w:hAnsi="Segoe Black" w:cs="Segoe Black"/>
      <w:b/>
      <w:bCs/>
      <w:smallCaps/>
      <w:color w:val="333333"/>
      <w:kern w:val="32"/>
      <w:lang w:eastAsia="en-AU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1A43B9"/>
    <w:pPr>
      <w:keepNext/>
      <w:keepLines/>
      <w:pageBreakBefore/>
      <w:numPr>
        <w:numId w:val="44"/>
      </w:numPr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1A43B9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1A43B9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qFormat/>
    <w:rsid w:val="001A43B9"/>
    <w:pPr>
      <w:numPr>
        <w:ilvl w:val="3"/>
      </w:numPr>
      <w:outlineLvl w:val="3"/>
    </w:pPr>
    <w:rPr>
      <w:sz w:val="24"/>
    </w:rPr>
  </w:style>
  <w:style w:type="paragraph" w:customStyle="1" w:styleId="NumHeading3">
    <w:name w:val="Num Heading 3"/>
    <w:basedOn w:val="Heading3"/>
    <w:next w:val="Normal"/>
    <w:rsid w:val="001A43B9"/>
    <w:pPr>
      <w:keepNext w:val="0"/>
      <w:keepLines w:val="0"/>
      <w:widowControl w:val="0"/>
      <w:numPr>
        <w:ilvl w:val="5"/>
        <w:numId w:val="44"/>
      </w:numPr>
      <w:tabs>
        <w:tab w:val="left" w:pos="1440"/>
      </w:tabs>
      <w:spacing w:before="120" w:after="60" w:line="240" w:lineRule="auto"/>
      <w:outlineLvl w:val="9"/>
    </w:pPr>
    <w:rPr>
      <w:rFonts w:ascii="Segoe UI" w:eastAsia="Segoe Semibold" w:hAnsi="Segoe UI" w:cs="Segoe Semibold"/>
      <w:bCs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rsid w:val="001A43B9"/>
    <w:pPr>
      <w:keepNext w:val="0"/>
      <w:keepLines w:val="0"/>
      <w:widowControl w:val="0"/>
      <w:numPr>
        <w:ilvl w:val="6"/>
        <w:numId w:val="44"/>
      </w:numPr>
      <w:tabs>
        <w:tab w:val="left" w:pos="1440"/>
      </w:tabs>
      <w:spacing w:before="120" w:after="60" w:line="240" w:lineRule="auto"/>
      <w:outlineLvl w:val="9"/>
    </w:pPr>
    <w:rPr>
      <w:rFonts w:eastAsia="Segoe Semibold" w:cs="Segoe Semibold"/>
      <w:b w:val="0"/>
      <w:bCs/>
      <w:i/>
      <w:color w:val="333333"/>
      <w:sz w:val="16"/>
      <w:szCs w:val="24"/>
      <w:lang w:eastAsia="en-AU"/>
    </w:rPr>
  </w:style>
  <w:style w:type="table" w:customStyle="1" w:styleId="TableGrid12">
    <w:name w:val="Table Grid12"/>
    <w:basedOn w:val="TableNormal"/>
    <w:next w:val="TableGrid"/>
    <w:uiPriority w:val="39"/>
    <w:rsid w:val="007E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">
    <w:name w:val="Table List Bullet"/>
    <w:basedOn w:val="Normal"/>
    <w:uiPriority w:val="99"/>
    <w:qFormat/>
    <w:rsid w:val="008B25AD"/>
    <w:pPr>
      <w:numPr>
        <w:numId w:val="47"/>
      </w:numPr>
      <w:spacing w:before="60" w:line="240" w:lineRule="auto"/>
      <w:ind w:left="317" w:hanging="187"/>
      <w:contextualSpacing/>
    </w:pPr>
    <w:rPr>
      <w:rFonts w:eastAsiaTheme="minorEastAsia"/>
      <w:sz w:val="16"/>
      <w:szCs w:val="16"/>
    </w:rPr>
  </w:style>
  <w:style w:type="character" w:customStyle="1" w:styleId="normaltextrun">
    <w:name w:val="normaltextrun"/>
    <w:basedOn w:val="DefaultParagraphFont"/>
    <w:rsid w:val="00A2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customXml" Target="../customXml/item2.xml"/><Relationship Id="rId10" Type="http://schemas.openxmlformats.org/officeDocument/2006/relationships/hyperlink" Target="https://docs.microsoft.com/en-us/azure/active-directory/application-proxy-publish-remote-desktop" TargetMode="Externa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ctive-directory/application-proxy-ping-acces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algn="l"/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3 Days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FA1A7BC-2E19-4CE0-BE50-35CD7C227C0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gm:t>
    </dgm:pt>
    <dgm:pt modelId="{BC17A68F-1B69-46E8-A877-34A63B499054}" type="parTrans" cxnId="{0886BB59-02F1-4C87-A0E2-8997E8C91723}">
      <dgm:prSet/>
      <dgm:spPr/>
      <dgm:t>
        <a:bodyPr/>
        <a:lstStyle/>
        <a:p>
          <a:endParaRPr lang="en-US"/>
        </a:p>
      </dgm:t>
    </dgm:pt>
    <dgm:pt modelId="{5FFB68D2-2BCC-4BBC-98A7-5A5998CB84C2}" type="sibTrans" cxnId="{0886BB59-02F1-4C87-A0E2-8997E8C91723}">
      <dgm:prSet/>
      <dgm:spPr/>
      <dgm:t>
        <a:bodyPr/>
        <a:lstStyle/>
        <a:p>
          <a:endParaRPr lang="en-US"/>
        </a:p>
      </dgm:t>
    </dgm:pt>
    <dgm:pt modelId="{E3B1F2A7-5E11-41E3-BABD-6F319CD13B93}">
      <dgm:prSet phldrT="[Text]" custT="1"/>
      <dgm:spPr>
        <a:solidFill>
          <a:srgbClr val="008272"/>
        </a:solidFill>
      </dgm:spPr>
      <dgm:t>
        <a:bodyPr/>
        <a:lstStyle/>
        <a:p>
          <a:r>
            <a:rPr lang="en-US" sz="18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r>
            <a:rPr lang="en-US" sz="1400" dirty="0">
              <a:latin typeface="Segoe UI" panose="020B0502040204020203" pitchFamily="34" charset="0"/>
              <a:cs typeface="Segoe UI" panose="020B0502040204020203" pitchFamily="34" charset="0"/>
            </a:rPr>
            <a:t>10 Days</a:t>
          </a:r>
        </a:p>
      </dgm:t>
    </dgm:pt>
    <dgm:pt modelId="{A5FFBB5A-6FFA-403B-9179-C3DD256F5313}" type="parTrans" cxnId="{2CEDFC1E-BCBF-4172-ADF9-10CBD62B0096}">
      <dgm:prSet/>
      <dgm:spPr/>
      <dgm:t>
        <a:bodyPr/>
        <a:lstStyle/>
        <a:p>
          <a:endParaRPr lang="en-US"/>
        </a:p>
      </dgm:t>
    </dgm:pt>
    <dgm:pt modelId="{E4BC7BDE-B9AC-4F1C-850A-23819952AF4B}" type="sibTrans" cxnId="{2CEDFC1E-BCBF-4172-ADF9-10CBD62B0096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3" custScaleX="80263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771E5126-23A5-474A-AA69-1FE8205B1F19}" type="pres">
      <dgm:prSet presAssocID="{CFA1A7BC-2E19-4CE0-BE50-35CD7C227C03}" presName="parTxOnly" presStyleLbl="node1" presStyleIdx="1" presStyleCnt="3">
        <dgm:presLayoutVars>
          <dgm:bulletEnabled val="1"/>
        </dgm:presLayoutVars>
      </dgm:prSet>
      <dgm:spPr/>
    </dgm:pt>
    <dgm:pt modelId="{308FFBCB-C01E-4B91-9230-3143ADB1C6A7}" type="pres">
      <dgm:prSet presAssocID="{5FFB68D2-2BCC-4BBC-98A7-5A5998CB84C2}" presName="parSpace" presStyleCnt="0"/>
      <dgm:spPr/>
    </dgm:pt>
    <dgm:pt modelId="{4A9C7B96-A886-4AEA-9035-ADBB4B504051}" type="pres">
      <dgm:prSet presAssocID="{E3B1F2A7-5E11-41E3-BABD-6F319CD13B93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2CEDFC1E-BCBF-4172-ADF9-10CBD62B0096}" srcId="{61E46EC6-57B4-4B7F-BC5C-4C518199A8E5}" destId="{E3B1F2A7-5E11-41E3-BABD-6F319CD13B93}" srcOrd="2" destOrd="0" parTransId="{A5FFBB5A-6FFA-403B-9179-C3DD256F5313}" sibTransId="{E4BC7BDE-B9AC-4F1C-850A-23819952AF4B}"/>
    <dgm:cxn modelId="{5AB66541-4A71-4E4E-B893-3C518408D36D}" type="presOf" srcId="{CFA1A7BC-2E19-4CE0-BE50-35CD7C227C03}" destId="{771E5126-23A5-474A-AA69-1FE8205B1F19}" srcOrd="0" destOrd="0" presId="urn:microsoft.com/office/officeart/2005/8/layout/hChevron3"/>
    <dgm:cxn modelId="{0886BB59-02F1-4C87-A0E2-8997E8C91723}" srcId="{61E46EC6-57B4-4B7F-BC5C-4C518199A8E5}" destId="{CFA1A7BC-2E19-4CE0-BE50-35CD7C227C03}" srcOrd="1" destOrd="0" parTransId="{BC17A68F-1B69-46E8-A877-34A63B499054}" sibTransId="{5FFB68D2-2BCC-4BBC-98A7-5A5998CB84C2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5949C4C1-1228-4C57-BD5F-A916D37D8BCC}" type="presOf" srcId="{E3B1F2A7-5E11-41E3-BABD-6F319CD13B93}" destId="{4A9C7B96-A886-4AEA-9035-ADBB4B504051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621654C9-A756-4185-A41E-6858315F934D}" type="presParOf" srcId="{3F7B5799-7635-47FC-9C94-5E0EBC20D49C}" destId="{771E5126-23A5-474A-AA69-1FE8205B1F19}" srcOrd="2" destOrd="0" presId="urn:microsoft.com/office/officeart/2005/8/layout/hChevron3"/>
    <dgm:cxn modelId="{62183583-F5B9-43F2-B145-15C306527FEE}" type="presParOf" srcId="{3F7B5799-7635-47FC-9C94-5E0EBC20D49C}" destId="{308FFBCB-C01E-4B91-9230-3143ADB1C6A7}" srcOrd="3" destOrd="0" presId="urn:microsoft.com/office/officeart/2005/8/layout/hChevron3"/>
    <dgm:cxn modelId="{0ED60076-0810-42B5-A56E-B5D207344622}" type="presParOf" srcId="{3F7B5799-7635-47FC-9C94-5E0EBC20D49C}" destId="{4A9C7B96-A886-4AEA-9035-ADBB4B504051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1335" y="0"/>
          <a:ext cx="1904641" cy="829944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48006" rIns="24003" bIns="48006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Assess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3 Days</a:t>
          </a:r>
        </a:p>
      </dsp:txBody>
      <dsp:txXfrm>
        <a:off x="1335" y="0"/>
        <a:ext cx="1697155" cy="829944"/>
      </dsp:txXfrm>
    </dsp:sp>
    <dsp:sp modelId="{771E5126-23A5-474A-AA69-1FE8205B1F19}">
      <dsp:nvSpPr>
        <dsp:cNvPr id="0" name=""/>
        <dsp:cNvSpPr/>
      </dsp:nvSpPr>
      <dsp:spPr>
        <a:xfrm>
          <a:off x="14313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Remediate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2 Days</a:t>
          </a:r>
        </a:p>
      </dsp:txBody>
      <dsp:txXfrm>
        <a:off x="1846349" y="0"/>
        <a:ext cx="1543056" cy="829944"/>
      </dsp:txXfrm>
    </dsp:sp>
    <dsp:sp modelId="{4A9C7B96-A886-4AEA-9035-ADBB4B504051}">
      <dsp:nvSpPr>
        <dsp:cNvPr id="0" name=""/>
        <dsp:cNvSpPr/>
      </dsp:nvSpPr>
      <dsp:spPr>
        <a:xfrm>
          <a:off x="3329777" y="0"/>
          <a:ext cx="2373000" cy="829944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48006" rIns="24003" bIns="4800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latin typeface="Segoe UI" panose="020B0502040204020203" pitchFamily="34" charset="0"/>
              <a:cs typeface="Segoe UI" panose="020B0502040204020203" pitchFamily="34" charset="0"/>
            </a:rPr>
            <a:t>Enable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Segoe UI" panose="020B0502040204020203" pitchFamily="34" charset="0"/>
              <a:cs typeface="Segoe UI" panose="020B0502040204020203" pitchFamily="34" charset="0"/>
            </a:rPr>
            <a:t>10 Days</a:t>
          </a:r>
        </a:p>
      </dsp:txBody>
      <dsp:txXfrm>
        <a:off x="3744749" y="0"/>
        <a:ext cx="1543056" cy="829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D6814-9013-49A5-BE84-5AA776B54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1140EA-566E-41AA-AC98-A67E0BBB5E6F}"/>
</file>

<file path=customXml/itemProps3.xml><?xml version="1.0" encoding="utf-8"?>
<ds:datastoreItem xmlns:ds="http://schemas.openxmlformats.org/officeDocument/2006/customXml" ds:itemID="{D251DFB9-F4CF-482E-B094-4C3A7C514C87}"/>
</file>

<file path=customXml/itemProps4.xml><?xml version="1.0" encoding="utf-8"?>
<ds:datastoreItem xmlns:ds="http://schemas.openxmlformats.org/officeDocument/2006/customXml" ds:itemID="{56914A00-B355-4B64-AFEB-A56C1CF19B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4007</Words>
  <Characters>22840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2020-06-22T16:15:00Z</dcterms:created>
  <dcterms:modified xsi:type="dcterms:W3CDTF">2020-06-22T16:15:00Z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Sensitivity">
    <vt:lpwstr>General</vt:lpwstr>
  </property>
  <property fmtid="{D5CDD505-2E9C-101B-9397-08002B2CF9AE}" pid="5" name="ContentType1">
    <vt:lpwstr>14;#Document|64c15061-4ecf-4866-9082-c78643db035d</vt:lpwstr>
  </property>
  <property fmtid="{D5CDD505-2E9C-101B-9397-08002B2CF9AE}" pid="6" name="MSIP_Label_f42aa342-8706-4288-bd11-ebb85995028c_Enabled">
    <vt:lpwstr>True</vt:lpwstr>
  </property>
  <property fmtid="{D5CDD505-2E9C-101B-9397-08002B2CF9AE}" pid="7" name="ContentTypeId">
    <vt:lpwstr>0x0101004CEC02E0258A27448A29FB0FC0148545</vt:lpwstr>
  </property>
  <property fmtid="{D5CDD505-2E9C-101B-9397-08002B2CF9AE}" pid="8" name="Account">
    <vt:lpwstr>15;#Microsoft|d841e977-0b57-4f5c-bd13-db9e556048b6</vt:lpwstr>
  </property>
  <property fmtid="{D5CDD505-2E9C-101B-9397-08002B2CF9AE}" pid="9" name="MSIP_Label_f42aa342-8706-4288-bd11-ebb85995028c_SetDate">
    <vt:lpwstr>2018-02-26T20:26:29.5074845Z</vt:lpwstr>
  </property>
  <property fmtid="{D5CDD505-2E9C-101B-9397-08002B2CF9AE}" pid="10" name="_dlc_DocIdItemGuid">
    <vt:lpwstr>dceeda06-2e2c-41ef-b022-2c221b9b8ea1</vt:lpwstr>
  </property>
  <property fmtid="{D5CDD505-2E9C-101B-9397-08002B2CF9AE}" pid="11" name="Division">
    <vt:lpwstr/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ItemTypeTag">
    <vt:lpwstr/>
  </property>
  <property fmtid="{D5CDD505-2E9C-101B-9397-08002B2CF9AE}" pid="16" name="MSIP_Label_f42aa342-8706-4288-bd11-ebb85995028c_Owner">
    <vt:lpwstr>v-ritam@microsoft.com</vt:lpwstr>
  </property>
  <property fmtid="{D5CDD505-2E9C-101B-9397-08002B2CF9AE}" pid="17" name="Audience1">
    <vt:lpwstr/>
  </property>
</Properties>
</file>