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6C4B1" w14:textId="77777777" w:rsidR="00A86A5C" w:rsidRPr="008E6137" w:rsidRDefault="00A86A5C" w:rsidP="00BE4720">
      <w:pPr>
        <w:spacing w:after="0"/>
        <w:rPr>
          <w:sz w:val="2"/>
          <w:szCs w:val="2"/>
        </w:rPr>
      </w:pPr>
    </w:p>
    <w:p w14:paraId="5836C4B2" w14:textId="77777777" w:rsidR="00A059E4" w:rsidRDefault="00A059E4" w:rsidP="003E260B"/>
    <w:p w14:paraId="5836C4B3" w14:textId="77777777" w:rsidR="00A059E4" w:rsidRDefault="00A059E4" w:rsidP="003E260B"/>
    <w:p w14:paraId="5836C4B4" w14:textId="77777777" w:rsidR="00A059E4" w:rsidRDefault="00A059E4" w:rsidP="003E260B"/>
    <w:p w14:paraId="5836C4B5" w14:textId="77777777" w:rsidR="00A059E4" w:rsidRDefault="00A059E4" w:rsidP="003E260B"/>
    <w:p w14:paraId="5836C4B6" w14:textId="77777777" w:rsidR="00717F2C" w:rsidRDefault="008E6137" w:rsidP="003E260B">
      <w:r w:rsidRPr="008E6137">
        <w:rPr>
          <w:noProof/>
          <w:sz w:val="2"/>
          <w:szCs w:val="2"/>
        </w:rPr>
        <mc:AlternateContent>
          <mc:Choice Requires="wps">
            <w:drawing>
              <wp:anchor distT="0" distB="0" distL="114300" distR="114300" simplePos="0" relativeHeight="251658240" behindDoc="0" locked="0" layoutInCell="1" allowOverlap="1" wp14:anchorId="5836C74E" wp14:editId="5836C74F">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5836C777" w14:textId="77777777" w:rsidR="00D631A7" w:rsidRDefault="00D631A7" w:rsidP="00636570">
                            <w:pPr>
                              <w:pStyle w:val="Heading1"/>
                              <w:numPr>
                                <w:ilvl w:val="0"/>
                                <w:numId w:val="0"/>
                              </w:numPr>
                            </w:pPr>
                            <w:bookmarkStart w:id="0" w:name="_Toc475028472"/>
                            <w:bookmarkStart w:id="1" w:name="_Toc476167700"/>
                            <w:bookmarkEnd w:id="0"/>
                            <w:bookmarkEnd w:id="1"/>
                          </w:p>
                          <w:p w14:paraId="5836C778" w14:textId="77777777" w:rsidR="00D631A7" w:rsidRPr="0052546A" w:rsidRDefault="00D631A7"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6C74E"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5836C777" w14:textId="77777777" w:rsidR="00D631A7" w:rsidRDefault="00D631A7" w:rsidP="00636570">
                      <w:pPr>
                        <w:pStyle w:val="Heading1"/>
                        <w:numPr>
                          <w:ilvl w:val="0"/>
                          <w:numId w:val="0"/>
                        </w:numPr>
                      </w:pPr>
                      <w:bookmarkStart w:id="2" w:name="_Toc475028472"/>
                      <w:bookmarkStart w:id="3" w:name="_Toc476167700"/>
                      <w:bookmarkEnd w:id="2"/>
                      <w:bookmarkEnd w:id="3"/>
                    </w:p>
                    <w:p w14:paraId="5836C778" w14:textId="77777777" w:rsidR="00D631A7" w:rsidRPr="0052546A" w:rsidRDefault="00D631A7" w:rsidP="0052546A">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5836C4B7" w14:textId="77777777" w:rsidR="00A86A5C" w:rsidRDefault="00A86A5C" w:rsidP="003E260B"/>
    <w:p w14:paraId="5836C4B9" w14:textId="3CF70DFE" w:rsidR="0043613E" w:rsidRPr="00CF7AE9" w:rsidRDefault="00C81AB8" w:rsidP="00CF7AE9">
      <w:pPr>
        <w:rPr>
          <w:rFonts w:ascii="Segoe UI Semibold" w:hAnsi="Segoe UI Semibold" w:cs="Segoe UI Semibold"/>
          <w:color w:val="008272"/>
          <w:sz w:val="32"/>
        </w:rPr>
      </w:pPr>
      <w:r>
        <w:rPr>
          <w:rFonts w:ascii="Segoe UI Semibold" w:hAnsi="Segoe UI Semibold" w:cs="Segoe UI Semibold"/>
          <w:color w:val="008272"/>
          <w:sz w:val="32"/>
        </w:rPr>
        <w:t xml:space="preserve"> </w:t>
      </w:r>
    </w:p>
    <w:p w14:paraId="5836C4BA" w14:textId="77777777" w:rsidR="0043613E" w:rsidRDefault="0043613E" w:rsidP="003E260B"/>
    <w:p w14:paraId="5836C4BB" w14:textId="77777777" w:rsidR="00717F2C" w:rsidRDefault="00717F2C" w:rsidP="003E260B">
      <w:r>
        <w:t>Prepared for</w:t>
      </w:r>
    </w:p>
    <w:p w14:paraId="682FE191" w14:textId="2850F79B" w:rsidR="00DC0434" w:rsidRPr="00B231A6" w:rsidRDefault="00DC0434" w:rsidP="00793002"/>
    <w:p w14:paraId="5836C4BD" w14:textId="77777777" w:rsidR="00B40F77" w:rsidRDefault="00B40F77" w:rsidP="003E260B"/>
    <w:p w14:paraId="5836C4BE" w14:textId="77777777" w:rsidR="007F148A" w:rsidRPr="00452720" w:rsidRDefault="007F148A" w:rsidP="003E260B">
      <w:pPr>
        <w:rPr>
          <w:lang w:val="es-PR"/>
        </w:rPr>
      </w:pPr>
      <w:r w:rsidRPr="00452720">
        <w:rPr>
          <w:lang w:val="es-PR"/>
        </w:rPr>
        <w:t>Prepared by</w:t>
      </w:r>
    </w:p>
    <w:p w14:paraId="5836C4C0" w14:textId="77777777" w:rsidR="007F148A" w:rsidRPr="00452720" w:rsidRDefault="007F148A" w:rsidP="003E260B">
      <w:pPr>
        <w:rPr>
          <w:lang w:val="es-PR"/>
        </w:rPr>
      </w:pPr>
    </w:p>
    <w:p w14:paraId="5836C4C1" w14:textId="540549BA" w:rsidR="00717F2C" w:rsidRDefault="00717F2C" w:rsidP="003E260B">
      <w:r>
        <w:t xml:space="preserve">Date: </w:t>
      </w:r>
      <w:r w:rsidR="00BB29DD">
        <w:fldChar w:fldCharType="begin"/>
      </w:r>
      <w:r w:rsidR="00BB29DD">
        <w:instrText xml:space="preserve"> DATE  \@ "d MMMM yyyy"  \* MERGEFORMAT </w:instrText>
      </w:r>
      <w:r w:rsidR="00BB29DD">
        <w:fldChar w:fldCharType="separate"/>
      </w:r>
      <w:r w:rsidR="00903136">
        <w:rPr>
          <w:noProof/>
        </w:rPr>
        <w:t>22 June 2020</w:t>
      </w:r>
      <w:r w:rsidR="00BB29DD">
        <w:fldChar w:fldCharType="end"/>
      </w:r>
    </w:p>
    <w:p w14:paraId="5836C4C2" w14:textId="07E680E2" w:rsidR="00717F2C" w:rsidRPr="00793002" w:rsidRDefault="00717F2C" w:rsidP="003E260B">
      <w:r>
        <w:t>Version</w:t>
      </w:r>
      <w:r w:rsidR="00215350" w:rsidRPr="00793002">
        <w:t>: 1.0</w:t>
      </w:r>
    </w:p>
    <w:p w14:paraId="5836C4C3" w14:textId="77777777" w:rsidR="007F148A" w:rsidRDefault="007F148A" w:rsidP="003E260B"/>
    <w:p w14:paraId="5836C4C4" w14:textId="77777777" w:rsidR="007F148A" w:rsidRDefault="007F148A" w:rsidP="003E260B">
      <w:pPr>
        <w:sectPr w:rsidR="007F148A"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5836C4C5" w14:textId="77777777" w:rsidR="00C23371" w:rsidRPr="00522696" w:rsidRDefault="00C23371" w:rsidP="00C158F4">
          <w:pPr>
            <w:pStyle w:val="TOCHeading"/>
            <w:numPr>
              <w:ilvl w:val="0"/>
              <w:numId w:val="0"/>
            </w:numPr>
            <w:ind w:left="360" w:hanging="360"/>
            <w:rPr>
              <w:rFonts w:ascii="Segoe UI" w:hAnsi="Segoe UI" w:cs="Segoe UI"/>
            </w:rPr>
          </w:pPr>
          <w:r w:rsidRPr="00522696">
            <w:rPr>
              <w:rFonts w:ascii="Segoe UI" w:hAnsi="Segoe UI" w:cs="Segoe UI"/>
            </w:rPr>
            <w:t xml:space="preserve">Table of </w:t>
          </w:r>
          <w:r w:rsidR="006209A1" w:rsidRPr="00522696">
            <w:rPr>
              <w:rFonts w:ascii="Segoe UI" w:hAnsi="Segoe UI" w:cs="Segoe UI"/>
            </w:rPr>
            <w:t>contents</w:t>
          </w:r>
        </w:p>
        <w:p w14:paraId="15CBF3AE" w14:textId="4B6C591F" w:rsidR="00452720" w:rsidRDefault="00EF21FB">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7701759" w:history="1">
            <w:r w:rsidR="00452720" w:rsidRPr="00E058D5">
              <w:rPr>
                <w:rStyle w:val="Hyperlink"/>
                <w:noProof/>
              </w:rPr>
              <w:t>Introduction</w:t>
            </w:r>
            <w:r w:rsidR="00452720">
              <w:rPr>
                <w:noProof/>
                <w:webHidden/>
              </w:rPr>
              <w:tab/>
            </w:r>
            <w:r w:rsidR="00452720">
              <w:rPr>
                <w:noProof/>
                <w:webHidden/>
              </w:rPr>
              <w:fldChar w:fldCharType="begin"/>
            </w:r>
            <w:r w:rsidR="00452720">
              <w:rPr>
                <w:noProof/>
                <w:webHidden/>
              </w:rPr>
              <w:instrText xml:space="preserve"> PAGEREF _Toc7701759 \h </w:instrText>
            </w:r>
            <w:r w:rsidR="00452720">
              <w:rPr>
                <w:noProof/>
                <w:webHidden/>
              </w:rPr>
            </w:r>
            <w:r w:rsidR="00452720">
              <w:rPr>
                <w:noProof/>
                <w:webHidden/>
              </w:rPr>
              <w:fldChar w:fldCharType="separate"/>
            </w:r>
            <w:r w:rsidR="00452720">
              <w:rPr>
                <w:noProof/>
                <w:webHidden/>
              </w:rPr>
              <w:t>1</w:t>
            </w:r>
            <w:r w:rsidR="00452720">
              <w:rPr>
                <w:noProof/>
                <w:webHidden/>
              </w:rPr>
              <w:fldChar w:fldCharType="end"/>
            </w:r>
          </w:hyperlink>
        </w:p>
        <w:p w14:paraId="4C502729" w14:textId="4B742714" w:rsidR="00452720" w:rsidRDefault="00DE5AFD">
          <w:pPr>
            <w:pStyle w:val="TOC1"/>
            <w:tabs>
              <w:tab w:val="left" w:pos="400"/>
              <w:tab w:val="right" w:leader="dot" w:pos="9350"/>
            </w:tabs>
            <w:rPr>
              <w:rFonts w:asciiTheme="minorHAnsi" w:eastAsiaTheme="minorEastAsia" w:hAnsiTheme="minorHAnsi"/>
              <w:noProof/>
              <w:sz w:val="22"/>
            </w:rPr>
          </w:pPr>
          <w:hyperlink w:anchor="_Toc7701760" w:history="1">
            <w:r w:rsidR="00452720" w:rsidRPr="00E058D5">
              <w:rPr>
                <w:rStyle w:val="Hyperlink"/>
                <w:noProof/>
              </w:rPr>
              <w:t>1.</w:t>
            </w:r>
            <w:r w:rsidR="00452720">
              <w:rPr>
                <w:rFonts w:asciiTheme="minorHAnsi" w:eastAsiaTheme="minorEastAsia" w:hAnsiTheme="minorHAnsi"/>
                <w:noProof/>
                <w:sz w:val="22"/>
              </w:rPr>
              <w:tab/>
            </w:r>
            <w:r w:rsidR="00452720" w:rsidRPr="00E058D5">
              <w:rPr>
                <w:rStyle w:val="Hyperlink"/>
                <w:noProof/>
              </w:rPr>
              <w:t>Project objectives and scope</w:t>
            </w:r>
            <w:r w:rsidR="00452720">
              <w:rPr>
                <w:noProof/>
                <w:webHidden/>
              </w:rPr>
              <w:tab/>
            </w:r>
            <w:r w:rsidR="00452720">
              <w:rPr>
                <w:noProof/>
                <w:webHidden/>
              </w:rPr>
              <w:fldChar w:fldCharType="begin"/>
            </w:r>
            <w:r w:rsidR="00452720">
              <w:rPr>
                <w:noProof/>
                <w:webHidden/>
              </w:rPr>
              <w:instrText xml:space="preserve"> PAGEREF _Toc7701760 \h </w:instrText>
            </w:r>
            <w:r w:rsidR="00452720">
              <w:rPr>
                <w:noProof/>
                <w:webHidden/>
              </w:rPr>
            </w:r>
            <w:r w:rsidR="00452720">
              <w:rPr>
                <w:noProof/>
                <w:webHidden/>
              </w:rPr>
              <w:fldChar w:fldCharType="separate"/>
            </w:r>
            <w:r w:rsidR="00452720">
              <w:rPr>
                <w:noProof/>
                <w:webHidden/>
              </w:rPr>
              <w:t>1</w:t>
            </w:r>
            <w:r w:rsidR="00452720">
              <w:rPr>
                <w:noProof/>
                <w:webHidden/>
              </w:rPr>
              <w:fldChar w:fldCharType="end"/>
            </w:r>
          </w:hyperlink>
        </w:p>
        <w:p w14:paraId="39FB3EA4" w14:textId="28C392F2" w:rsidR="00452720" w:rsidRDefault="00DE5AFD">
          <w:pPr>
            <w:pStyle w:val="TOC2"/>
            <w:tabs>
              <w:tab w:val="left" w:pos="800"/>
              <w:tab w:val="right" w:leader="dot" w:pos="9350"/>
            </w:tabs>
            <w:rPr>
              <w:rFonts w:asciiTheme="minorHAnsi" w:eastAsiaTheme="minorEastAsia" w:hAnsiTheme="minorHAnsi"/>
              <w:noProof/>
              <w:sz w:val="22"/>
            </w:rPr>
          </w:pPr>
          <w:hyperlink w:anchor="_Toc7701761" w:history="1">
            <w:r w:rsidR="00452720" w:rsidRPr="00E058D5">
              <w:rPr>
                <w:rStyle w:val="Hyperlink"/>
                <w:noProof/>
              </w:rPr>
              <w:t>1.1.</w:t>
            </w:r>
            <w:r w:rsidR="00452720">
              <w:rPr>
                <w:rFonts w:asciiTheme="minorHAnsi" w:eastAsiaTheme="minorEastAsia" w:hAnsiTheme="minorHAnsi"/>
                <w:noProof/>
                <w:sz w:val="22"/>
              </w:rPr>
              <w:tab/>
            </w:r>
            <w:r w:rsidR="00452720" w:rsidRPr="00E058D5">
              <w:rPr>
                <w:rStyle w:val="Hyperlink"/>
                <w:noProof/>
              </w:rPr>
              <w:t>Objectives</w:t>
            </w:r>
            <w:r w:rsidR="00452720">
              <w:rPr>
                <w:noProof/>
                <w:webHidden/>
              </w:rPr>
              <w:tab/>
            </w:r>
            <w:r w:rsidR="00452720">
              <w:rPr>
                <w:noProof/>
                <w:webHidden/>
              </w:rPr>
              <w:fldChar w:fldCharType="begin"/>
            </w:r>
            <w:r w:rsidR="00452720">
              <w:rPr>
                <w:noProof/>
                <w:webHidden/>
              </w:rPr>
              <w:instrText xml:space="preserve"> PAGEREF _Toc7701761 \h </w:instrText>
            </w:r>
            <w:r w:rsidR="00452720">
              <w:rPr>
                <w:noProof/>
                <w:webHidden/>
              </w:rPr>
            </w:r>
            <w:r w:rsidR="00452720">
              <w:rPr>
                <w:noProof/>
                <w:webHidden/>
              </w:rPr>
              <w:fldChar w:fldCharType="separate"/>
            </w:r>
            <w:r w:rsidR="00452720">
              <w:rPr>
                <w:noProof/>
                <w:webHidden/>
              </w:rPr>
              <w:t>1</w:t>
            </w:r>
            <w:r w:rsidR="00452720">
              <w:rPr>
                <w:noProof/>
                <w:webHidden/>
              </w:rPr>
              <w:fldChar w:fldCharType="end"/>
            </w:r>
          </w:hyperlink>
        </w:p>
        <w:p w14:paraId="769EDEE2" w14:textId="7EFA4808" w:rsidR="00452720" w:rsidRDefault="00DE5AFD">
          <w:pPr>
            <w:pStyle w:val="TOC2"/>
            <w:tabs>
              <w:tab w:val="left" w:pos="800"/>
              <w:tab w:val="right" w:leader="dot" w:pos="9350"/>
            </w:tabs>
            <w:rPr>
              <w:rFonts w:asciiTheme="minorHAnsi" w:eastAsiaTheme="minorEastAsia" w:hAnsiTheme="minorHAnsi"/>
              <w:noProof/>
              <w:sz w:val="22"/>
            </w:rPr>
          </w:pPr>
          <w:hyperlink w:anchor="_Toc7701762" w:history="1">
            <w:r w:rsidR="00452720" w:rsidRPr="00E058D5">
              <w:rPr>
                <w:rStyle w:val="Hyperlink"/>
                <w:noProof/>
              </w:rPr>
              <w:t>1.2.</w:t>
            </w:r>
            <w:r w:rsidR="00452720">
              <w:rPr>
                <w:rFonts w:asciiTheme="minorHAnsi" w:eastAsiaTheme="minorEastAsia" w:hAnsiTheme="minorHAnsi"/>
                <w:noProof/>
                <w:sz w:val="22"/>
              </w:rPr>
              <w:tab/>
            </w:r>
            <w:r w:rsidR="00452720" w:rsidRPr="00E058D5">
              <w:rPr>
                <w:rStyle w:val="Hyperlink"/>
                <w:noProof/>
              </w:rPr>
              <w:t>Areas in scope</w:t>
            </w:r>
            <w:r w:rsidR="00452720">
              <w:rPr>
                <w:noProof/>
                <w:webHidden/>
              </w:rPr>
              <w:tab/>
            </w:r>
            <w:r w:rsidR="00452720">
              <w:rPr>
                <w:noProof/>
                <w:webHidden/>
              </w:rPr>
              <w:fldChar w:fldCharType="begin"/>
            </w:r>
            <w:r w:rsidR="00452720">
              <w:rPr>
                <w:noProof/>
                <w:webHidden/>
              </w:rPr>
              <w:instrText xml:space="preserve"> PAGEREF _Toc7701762 \h </w:instrText>
            </w:r>
            <w:r w:rsidR="00452720">
              <w:rPr>
                <w:noProof/>
                <w:webHidden/>
              </w:rPr>
            </w:r>
            <w:r w:rsidR="00452720">
              <w:rPr>
                <w:noProof/>
                <w:webHidden/>
              </w:rPr>
              <w:fldChar w:fldCharType="separate"/>
            </w:r>
            <w:r w:rsidR="00452720">
              <w:rPr>
                <w:noProof/>
                <w:webHidden/>
              </w:rPr>
              <w:t>1</w:t>
            </w:r>
            <w:r w:rsidR="00452720">
              <w:rPr>
                <w:noProof/>
                <w:webHidden/>
              </w:rPr>
              <w:fldChar w:fldCharType="end"/>
            </w:r>
          </w:hyperlink>
        </w:p>
        <w:p w14:paraId="47D984FA" w14:textId="5E99B0E2" w:rsidR="00452720" w:rsidRDefault="00DE5AFD">
          <w:pPr>
            <w:pStyle w:val="TOC2"/>
            <w:tabs>
              <w:tab w:val="left" w:pos="800"/>
              <w:tab w:val="right" w:leader="dot" w:pos="9350"/>
            </w:tabs>
            <w:rPr>
              <w:rFonts w:asciiTheme="minorHAnsi" w:eastAsiaTheme="minorEastAsia" w:hAnsiTheme="minorHAnsi"/>
              <w:noProof/>
              <w:sz w:val="22"/>
            </w:rPr>
          </w:pPr>
          <w:hyperlink w:anchor="_Toc7701763" w:history="1">
            <w:r w:rsidR="00452720" w:rsidRPr="00E058D5">
              <w:rPr>
                <w:rStyle w:val="Hyperlink"/>
                <w:noProof/>
              </w:rPr>
              <w:t>1.3.</w:t>
            </w:r>
            <w:r w:rsidR="00452720">
              <w:rPr>
                <w:rFonts w:asciiTheme="minorHAnsi" w:eastAsiaTheme="minorEastAsia" w:hAnsiTheme="minorHAnsi"/>
                <w:noProof/>
                <w:sz w:val="22"/>
              </w:rPr>
              <w:tab/>
            </w:r>
            <w:r w:rsidR="00452720" w:rsidRPr="00E058D5">
              <w:rPr>
                <w:rStyle w:val="Hyperlink"/>
                <w:noProof/>
              </w:rPr>
              <w:t>Areas out of scope</w:t>
            </w:r>
            <w:r w:rsidR="00452720">
              <w:rPr>
                <w:noProof/>
                <w:webHidden/>
              </w:rPr>
              <w:tab/>
            </w:r>
            <w:r w:rsidR="00452720">
              <w:rPr>
                <w:noProof/>
                <w:webHidden/>
              </w:rPr>
              <w:fldChar w:fldCharType="begin"/>
            </w:r>
            <w:r w:rsidR="00452720">
              <w:rPr>
                <w:noProof/>
                <w:webHidden/>
              </w:rPr>
              <w:instrText xml:space="preserve"> PAGEREF _Toc7701763 \h </w:instrText>
            </w:r>
            <w:r w:rsidR="00452720">
              <w:rPr>
                <w:noProof/>
                <w:webHidden/>
              </w:rPr>
            </w:r>
            <w:r w:rsidR="00452720">
              <w:rPr>
                <w:noProof/>
                <w:webHidden/>
              </w:rPr>
              <w:fldChar w:fldCharType="separate"/>
            </w:r>
            <w:r w:rsidR="00452720">
              <w:rPr>
                <w:noProof/>
                <w:webHidden/>
              </w:rPr>
              <w:t>5</w:t>
            </w:r>
            <w:r w:rsidR="00452720">
              <w:rPr>
                <w:noProof/>
                <w:webHidden/>
              </w:rPr>
              <w:fldChar w:fldCharType="end"/>
            </w:r>
          </w:hyperlink>
        </w:p>
        <w:p w14:paraId="7ECF54D7" w14:textId="0C24E197" w:rsidR="00452720" w:rsidRDefault="00DE5AFD">
          <w:pPr>
            <w:pStyle w:val="TOC1"/>
            <w:tabs>
              <w:tab w:val="left" w:pos="400"/>
              <w:tab w:val="right" w:leader="dot" w:pos="9350"/>
            </w:tabs>
            <w:rPr>
              <w:rFonts w:asciiTheme="minorHAnsi" w:eastAsiaTheme="minorEastAsia" w:hAnsiTheme="minorHAnsi"/>
              <w:noProof/>
              <w:sz w:val="22"/>
            </w:rPr>
          </w:pPr>
          <w:hyperlink w:anchor="_Toc7701764" w:history="1">
            <w:r w:rsidR="00452720" w:rsidRPr="00E058D5">
              <w:rPr>
                <w:rStyle w:val="Hyperlink"/>
                <w:noProof/>
              </w:rPr>
              <w:t>2.</w:t>
            </w:r>
            <w:r w:rsidR="00452720">
              <w:rPr>
                <w:rFonts w:asciiTheme="minorHAnsi" w:eastAsiaTheme="minorEastAsia" w:hAnsiTheme="minorHAnsi"/>
                <w:noProof/>
                <w:sz w:val="22"/>
              </w:rPr>
              <w:tab/>
            </w:r>
            <w:r w:rsidR="00452720" w:rsidRPr="00E058D5">
              <w:rPr>
                <w:rStyle w:val="Hyperlink"/>
                <w:noProof/>
              </w:rPr>
              <w:t>Project approach, timeline, and deliverable acceptance</w:t>
            </w:r>
            <w:r w:rsidR="00452720">
              <w:rPr>
                <w:noProof/>
                <w:webHidden/>
              </w:rPr>
              <w:tab/>
            </w:r>
            <w:r w:rsidR="00452720">
              <w:rPr>
                <w:noProof/>
                <w:webHidden/>
              </w:rPr>
              <w:fldChar w:fldCharType="begin"/>
            </w:r>
            <w:r w:rsidR="00452720">
              <w:rPr>
                <w:noProof/>
                <w:webHidden/>
              </w:rPr>
              <w:instrText xml:space="preserve"> PAGEREF _Toc7701764 \h </w:instrText>
            </w:r>
            <w:r w:rsidR="00452720">
              <w:rPr>
                <w:noProof/>
                <w:webHidden/>
              </w:rPr>
            </w:r>
            <w:r w:rsidR="00452720">
              <w:rPr>
                <w:noProof/>
                <w:webHidden/>
              </w:rPr>
              <w:fldChar w:fldCharType="separate"/>
            </w:r>
            <w:r w:rsidR="00452720">
              <w:rPr>
                <w:noProof/>
                <w:webHidden/>
              </w:rPr>
              <w:t>8</w:t>
            </w:r>
            <w:r w:rsidR="00452720">
              <w:rPr>
                <w:noProof/>
                <w:webHidden/>
              </w:rPr>
              <w:fldChar w:fldCharType="end"/>
            </w:r>
          </w:hyperlink>
        </w:p>
        <w:p w14:paraId="72F6BD21" w14:textId="1C7F3A14" w:rsidR="00452720" w:rsidRDefault="00DE5AFD">
          <w:pPr>
            <w:pStyle w:val="TOC2"/>
            <w:tabs>
              <w:tab w:val="left" w:pos="800"/>
              <w:tab w:val="right" w:leader="dot" w:pos="9350"/>
            </w:tabs>
            <w:rPr>
              <w:rFonts w:asciiTheme="minorHAnsi" w:eastAsiaTheme="minorEastAsia" w:hAnsiTheme="minorHAnsi"/>
              <w:noProof/>
              <w:sz w:val="22"/>
            </w:rPr>
          </w:pPr>
          <w:hyperlink w:anchor="_Toc7701765" w:history="1">
            <w:r w:rsidR="00452720" w:rsidRPr="00E058D5">
              <w:rPr>
                <w:rStyle w:val="Hyperlink"/>
                <w:noProof/>
              </w:rPr>
              <w:t>2.1.</w:t>
            </w:r>
            <w:r w:rsidR="00452720">
              <w:rPr>
                <w:rFonts w:asciiTheme="minorHAnsi" w:eastAsiaTheme="minorEastAsia" w:hAnsiTheme="minorHAnsi"/>
                <w:noProof/>
                <w:sz w:val="22"/>
              </w:rPr>
              <w:tab/>
            </w:r>
            <w:r w:rsidR="00452720" w:rsidRPr="00E058D5">
              <w:rPr>
                <w:rStyle w:val="Hyperlink"/>
                <w:noProof/>
              </w:rPr>
              <w:t>Approach</w:t>
            </w:r>
            <w:r w:rsidR="00452720">
              <w:rPr>
                <w:noProof/>
                <w:webHidden/>
              </w:rPr>
              <w:tab/>
            </w:r>
            <w:r w:rsidR="00452720">
              <w:rPr>
                <w:noProof/>
                <w:webHidden/>
              </w:rPr>
              <w:fldChar w:fldCharType="begin"/>
            </w:r>
            <w:r w:rsidR="00452720">
              <w:rPr>
                <w:noProof/>
                <w:webHidden/>
              </w:rPr>
              <w:instrText xml:space="preserve"> PAGEREF _Toc7701765 \h </w:instrText>
            </w:r>
            <w:r w:rsidR="00452720">
              <w:rPr>
                <w:noProof/>
                <w:webHidden/>
              </w:rPr>
            </w:r>
            <w:r w:rsidR="00452720">
              <w:rPr>
                <w:noProof/>
                <w:webHidden/>
              </w:rPr>
              <w:fldChar w:fldCharType="separate"/>
            </w:r>
            <w:r w:rsidR="00452720">
              <w:rPr>
                <w:noProof/>
                <w:webHidden/>
              </w:rPr>
              <w:t>8</w:t>
            </w:r>
            <w:r w:rsidR="00452720">
              <w:rPr>
                <w:noProof/>
                <w:webHidden/>
              </w:rPr>
              <w:fldChar w:fldCharType="end"/>
            </w:r>
          </w:hyperlink>
        </w:p>
        <w:p w14:paraId="7EC29318" w14:textId="5BF2DDF1" w:rsidR="00452720" w:rsidRDefault="00DE5AFD">
          <w:pPr>
            <w:pStyle w:val="TOC2"/>
            <w:tabs>
              <w:tab w:val="left" w:pos="800"/>
              <w:tab w:val="right" w:leader="dot" w:pos="9350"/>
            </w:tabs>
            <w:rPr>
              <w:rFonts w:asciiTheme="minorHAnsi" w:eastAsiaTheme="minorEastAsia" w:hAnsiTheme="minorHAnsi"/>
              <w:noProof/>
              <w:sz w:val="22"/>
            </w:rPr>
          </w:pPr>
          <w:hyperlink w:anchor="_Toc7701766" w:history="1">
            <w:r w:rsidR="00452720" w:rsidRPr="00E058D5">
              <w:rPr>
                <w:rStyle w:val="Hyperlink"/>
                <w:noProof/>
              </w:rPr>
              <w:t>2.2.</w:t>
            </w:r>
            <w:r w:rsidR="00452720">
              <w:rPr>
                <w:rFonts w:asciiTheme="minorHAnsi" w:eastAsiaTheme="minorEastAsia" w:hAnsiTheme="minorHAnsi"/>
                <w:noProof/>
                <w:sz w:val="22"/>
              </w:rPr>
              <w:tab/>
            </w:r>
            <w:r w:rsidR="00452720" w:rsidRPr="00E058D5">
              <w:rPr>
                <w:rStyle w:val="Hyperlink"/>
                <w:noProof/>
              </w:rPr>
              <w:t>Timeline</w:t>
            </w:r>
            <w:r w:rsidR="00452720">
              <w:rPr>
                <w:noProof/>
                <w:webHidden/>
              </w:rPr>
              <w:tab/>
            </w:r>
            <w:r w:rsidR="00452720">
              <w:rPr>
                <w:noProof/>
                <w:webHidden/>
              </w:rPr>
              <w:fldChar w:fldCharType="begin"/>
            </w:r>
            <w:r w:rsidR="00452720">
              <w:rPr>
                <w:noProof/>
                <w:webHidden/>
              </w:rPr>
              <w:instrText xml:space="preserve"> PAGEREF _Toc7701766 \h </w:instrText>
            </w:r>
            <w:r w:rsidR="00452720">
              <w:rPr>
                <w:noProof/>
                <w:webHidden/>
              </w:rPr>
            </w:r>
            <w:r w:rsidR="00452720">
              <w:rPr>
                <w:noProof/>
                <w:webHidden/>
              </w:rPr>
              <w:fldChar w:fldCharType="separate"/>
            </w:r>
            <w:r w:rsidR="00452720">
              <w:rPr>
                <w:noProof/>
                <w:webHidden/>
              </w:rPr>
              <w:t>12</w:t>
            </w:r>
            <w:r w:rsidR="00452720">
              <w:rPr>
                <w:noProof/>
                <w:webHidden/>
              </w:rPr>
              <w:fldChar w:fldCharType="end"/>
            </w:r>
          </w:hyperlink>
        </w:p>
        <w:p w14:paraId="09920685" w14:textId="6403F4F0" w:rsidR="00452720" w:rsidRDefault="00DE5AFD">
          <w:pPr>
            <w:pStyle w:val="TOC2"/>
            <w:tabs>
              <w:tab w:val="left" w:pos="800"/>
              <w:tab w:val="right" w:leader="dot" w:pos="9350"/>
            </w:tabs>
            <w:rPr>
              <w:rFonts w:asciiTheme="minorHAnsi" w:eastAsiaTheme="minorEastAsia" w:hAnsiTheme="minorHAnsi"/>
              <w:noProof/>
              <w:sz w:val="22"/>
            </w:rPr>
          </w:pPr>
          <w:hyperlink w:anchor="_Toc7701767" w:history="1">
            <w:r w:rsidR="00452720" w:rsidRPr="00E058D5">
              <w:rPr>
                <w:rStyle w:val="Hyperlink"/>
                <w:noProof/>
              </w:rPr>
              <w:t>2.3.</w:t>
            </w:r>
            <w:r w:rsidR="00452720">
              <w:rPr>
                <w:rFonts w:asciiTheme="minorHAnsi" w:eastAsiaTheme="minorEastAsia" w:hAnsiTheme="minorHAnsi"/>
                <w:noProof/>
                <w:sz w:val="22"/>
              </w:rPr>
              <w:tab/>
            </w:r>
            <w:r w:rsidR="00452720" w:rsidRPr="00E058D5">
              <w:rPr>
                <w:rStyle w:val="Hyperlink"/>
                <w:noProof/>
              </w:rPr>
              <w:t>Deliverable acceptance process</w:t>
            </w:r>
            <w:r w:rsidR="00452720">
              <w:rPr>
                <w:noProof/>
                <w:webHidden/>
              </w:rPr>
              <w:tab/>
            </w:r>
            <w:r w:rsidR="00452720">
              <w:rPr>
                <w:noProof/>
                <w:webHidden/>
              </w:rPr>
              <w:fldChar w:fldCharType="begin"/>
            </w:r>
            <w:r w:rsidR="00452720">
              <w:rPr>
                <w:noProof/>
                <w:webHidden/>
              </w:rPr>
              <w:instrText xml:space="preserve"> PAGEREF _Toc7701767 \h </w:instrText>
            </w:r>
            <w:r w:rsidR="00452720">
              <w:rPr>
                <w:noProof/>
                <w:webHidden/>
              </w:rPr>
            </w:r>
            <w:r w:rsidR="00452720">
              <w:rPr>
                <w:noProof/>
                <w:webHidden/>
              </w:rPr>
              <w:fldChar w:fldCharType="separate"/>
            </w:r>
            <w:r w:rsidR="00452720">
              <w:rPr>
                <w:noProof/>
                <w:webHidden/>
              </w:rPr>
              <w:t>12</w:t>
            </w:r>
            <w:r w:rsidR="00452720">
              <w:rPr>
                <w:noProof/>
                <w:webHidden/>
              </w:rPr>
              <w:fldChar w:fldCharType="end"/>
            </w:r>
          </w:hyperlink>
        </w:p>
        <w:p w14:paraId="4210C71A" w14:textId="31EA8BBC" w:rsidR="00452720" w:rsidRDefault="00DE5AFD">
          <w:pPr>
            <w:pStyle w:val="TOC2"/>
            <w:tabs>
              <w:tab w:val="left" w:pos="800"/>
              <w:tab w:val="right" w:leader="dot" w:pos="9350"/>
            </w:tabs>
            <w:rPr>
              <w:rFonts w:asciiTheme="minorHAnsi" w:eastAsiaTheme="minorEastAsia" w:hAnsiTheme="minorHAnsi"/>
              <w:noProof/>
              <w:sz w:val="22"/>
            </w:rPr>
          </w:pPr>
          <w:hyperlink w:anchor="_Toc7701768" w:history="1">
            <w:r w:rsidR="00452720" w:rsidRPr="00E058D5">
              <w:rPr>
                <w:rStyle w:val="Hyperlink"/>
                <w:noProof/>
              </w:rPr>
              <w:t>2.4.</w:t>
            </w:r>
            <w:r w:rsidR="00452720">
              <w:rPr>
                <w:rFonts w:asciiTheme="minorHAnsi" w:eastAsiaTheme="minorEastAsia" w:hAnsiTheme="minorHAnsi"/>
                <w:noProof/>
                <w:sz w:val="22"/>
              </w:rPr>
              <w:tab/>
            </w:r>
            <w:r w:rsidR="00452720" w:rsidRPr="00E058D5">
              <w:rPr>
                <w:rStyle w:val="Hyperlink"/>
                <w:noProof/>
              </w:rPr>
              <w:t>Project governance</w:t>
            </w:r>
            <w:r w:rsidR="00452720">
              <w:rPr>
                <w:noProof/>
                <w:webHidden/>
              </w:rPr>
              <w:tab/>
            </w:r>
            <w:r w:rsidR="00452720">
              <w:rPr>
                <w:noProof/>
                <w:webHidden/>
              </w:rPr>
              <w:fldChar w:fldCharType="begin"/>
            </w:r>
            <w:r w:rsidR="00452720">
              <w:rPr>
                <w:noProof/>
                <w:webHidden/>
              </w:rPr>
              <w:instrText xml:space="preserve"> PAGEREF _Toc7701768 \h </w:instrText>
            </w:r>
            <w:r w:rsidR="00452720">
              <w:rPr>
                <w:noProof/>
                <w:webHidden/>
              </w:rPr>
            </w:r>
            <w:r w:rsidR="00452720">
              <w:rPr>
                <w:noProof/>
                <w:webHidden/>
              </w:rPr>
              <w:fldChar w:fldCharType="separate"/>
            </w:r>
            <w:r w:rsidR="00452720">
              <w:rPr>
                <w:noProof/>
                <w:webHidden/>
              </w:rPr>
              <w:t>13</w:t>
            </w:r>
            <w:r w:rsidR="00452720">
              <w:rPr>
                <w:noProof/>
                <w:webHidden/>
              </w:rPr>
              <w:fldChar w:fldCharType="end"/>
            </w:r>
          </w:hyperlink>
        </w:p>
        <w:p w14:paraId="18B2FF6C" w14:textId="50CEA31C" w:rsidR="00452720" w:rsidRDefault="00DE5AFD">
          <w:pPr>
            <w:pStyle w:val="TOC2"/>
            <w:tabs>
              <w:tab w:val="left" w:pos="800"/>
              <w:tab w:val="right" w:leader="dot" w:pos="9350"/>
            </w:tabs>
            <w:rPr>
              <w:rFonts w:asciiTheme="minorHAnsi" w:eastAsiaTheme="minorEastAsia" w:hAnsiTheme="minorHAnsi"/>
              <w:noProof/>
              <w:sz w:val="22"/>
            </w:rPr>
          </w:pPr>
          <w:hyperlink w:anchor="_Toc7701769" w:history="1">
            <w:r w:rsidR="00452720" w:rsidRPr="00E058D5">
              <w:rPr>
                <w:rStyle w:val="Hyperlink"/>
                <w:noProof/>
              </w:rPr>
              <w:t>2.5.</w:t>
            </w:r>
            <w:r w:rsidR="00452720">
              <w:rPr>
                <w:rFonts w:asciiTheme="minorHAnsi" w:eastAsiaTheme="minorEastAsia" w:hAnsiTheme="minorHAnsi"/>
                <w:noProof/>
                <w:sz w:val="22"/>
              </w:rPr>
              <w:tab/>
            </w:r>
            <w:r w:rsidR="00452720" w:rsidRPr="00E058D5">
              <w:rPr>
                <w:rStyle w:val="Hyperlink"/>
                <w:noProof/>
              </w:rPr>
              <w:t>Project completion</w:t>
            </w:r>
            <w:r w:rsidR="00452720">
              <w:rPr>
                <w:noProof/>
                <w:webHidden/>
              </w:rPr>
              <w:tab/>
            </w:r>
            <w:r w:rsidR="00452720">
              <w:rPr>
                <w:noProof/>
                <w:webHidden/>
              </w:rPr>
              <w:fldChar w:fldCharType="begin"/>
            </w:r>
            <w:r w:rsidR="00452720">
              <w:rPr>
                <w:noProof/>
                <w:webHidden/>
              </w:rPr>
              <w:instrText xml:space="preserve"> PAGEREF _Toc7701769 \h </w:instrText>
            </w:r>
            <w:r w:rsidR="00452720">
              <w:rPr>
                <w:noProof/>
                <w:webHidden/>
              </w:rPr>
            </w:r>
            <w:r w:rsidR="00452720">
              <w:rPr>
                <w:noProof/>
                <w:webHidden/>
              </w:rPr>
              <w:fldChar w:fldCharType="separate"/>
            </w:r>
            <w:r w:rsidR="00452720">
              <w:rPr>
                <w:noProof/>
                <w:webHidden/>
              </w:rPr>
              <w:t>15</w:t>
            </w:r>
            <w:r w:rsidR="00452720">
              <w:rPr>
                <w:noProof/>
                <w:webHidden/>
              </w:rPr>
              <w:fldChar w:fldCharType="end"/>
            </w:r>
          </w:hyperlink>
        </w:p>
        <w:p w14:paraId="25FD96F2" w14:textId="5E8BD82D" w:rsidR="00452720" w:rsidRDefault="00DE5AFD">
          <w:pPr>
            <w:pStyle w:val="TOC1"/>
            <w:tabs>
              <w:tab w:val="left" w:pos="400"/>
              <w:tab w:val="right" w:leader="dot" w:pos="9350"/>
            </w:tabs>
            <w:rPr>
              <w:rFonts w:asciiTheme="minorHAnsi" w:eastAsiaTheme="minorEastAsia" w:hAnsiTheme="minorHAnsi"/>
              <w:noProof/>
              <w:sz w:val="22"/>
            </w:rPr>
          </w:pPr>
          <w:hyperlink w:anchor="_Toc7701770" w:history="1">
            <w:r w:rsidR="00452720" w:rsidRPr="00E058D5">
              <w:rPr>
                <w:rStyle w:val="Hyperlink"/>
                <w:noProof/>
              </w:rPr>
              <w:t>3.</w:t>
            </w:r>
            <w:r w:rsidR="00452720">
              <w:rPr>
                <w:rFonts w:asciiTheme="minorHAnsi" w:eastAsiaTheme="minorEastAsia" w:hAnsiTheme="minorHAnsi"/>
                <w:noProof/>
                <w:sz w:val="22"/>
              </w:rPr>
              <w:tab/>
            </w:r>
            <w:r w:rsidR="00452720" w:rsidRPr="00E058D5">
              <w:rPr>
                <w:rStyle w:val="Hyperlink"/>
                <w:noProof/>
              </w:rPr>
              <w:t>Project organization</w:t>
            </w:r>
            <w:r w:rsidR="00452720">
              <w:rPr>
                <w:noProof/>
                <w:webHidden/>
              </w:rPr>
              <w:tab/>
            </w:r>
            <w:r w:rsidR="00452720">
              <w:rPr>
                <w:noProof/>
                <w:webHidden/>
              </w:rPr>
              <w:fldChar w:fldCharType="begin"/>
            </w:r>
            <w:r w:rsidR="00452720">
              <w:rPr>
                <w:noProof/>
                <w:webHidden/>
              </w:rPr>
              <w:instrText xml:space="preserve"> PAGEREF _Toc7701770 \h </w:instrText>
            </w:r>
            <w:r w:rsidR="00452720">
              <w:rPr>
                <w:noProof/>
                <w:webHidden/>
              </w:rPr>
            </w:r>
            <w:r w:rsidR="00452720">
              <w:rPr>
                <w:noProof/>
                <w:webHidden/>
              </w:rPr>
              <w:fldChar w:fldCharType="separate"/>
            </w:r>
            <w:r w:rsidR="00452720">
              <w:rPr>
                <w:noProof/>
                <w:webHidden/>
              </w:rPr>
              <w:t>15</w:t>
            </w:r>
            <w:r w:rsidR="00452720">
              <w:rPr>
                <w:noProof/>
                <w:webHidden/>
              </w:rPr>
              <w:fldChar w:fldCharType="end"/>
            </w:r>
          </w:hyperlink>
        </w:p>
        <w:p w14:paraId="0C948B0C" w14:textId="0780541F" w:rsidR="00452720" w:rsidRDefault="00DE5AFD">
          <w:pPr>
            <w:pStyle w:val="TOC2"/>
            <w:tabs>
              <w:tab w:val="left" w:pos="800"/>
              <w:tab w:val="right" w:leader="dot" w:pos="9350"/>
            </w:tabs>
            <w:rPr>
              <w:rFonts w:asciiTheme="minorHAnsi" w:eastAsiaTheme="minorEastAsia" w:hAnsiTheme="minorHAnsi"/>
              <w:noProof/>
              <w:sz w:val="22"/>
            </w:rPr>
          </w:pPr>
          <w:hyperlink w:anchor="_Toc7701771" w:history="1">
            <w:r w:rsidR="00452720" w:rsidRPr="00E058D5">
              <w:rPr>
                <w:rStyle w:val="Hyperlink"/>
                <w:noProof/>
              </w:rPr>
              <w:t>3.1.</w:t>
            </w:r>
            <w:r w:rsidR="00452720">
              <w:rPr>
                <w:rFonts w:asciiTheme="minorHAnsi" w:eastAsiaTheme="minorEastAsia" w:hAnsiTheme="minorHAnsi"/>
                <w:noProof/>
                <w:sz w:val="22"/>
              </w:rPr>
              <w:tab/>
            </w:r>
            <w:r w:rsidR="00452720" w:rsidRPr="00E058D5">
              <w:rPr>
                <w:rStyle w:val="Hyperlink"/>
                <w:noProof/>
              </w:rPr>
              <w:t>Project roles and responsibilities</w:t>
            </w:r>
            <w:r w:rsidR="00452720">
              <w:rPr>
                <w:noProof/>
                <w:webHidden/>
              </w:rPr>
              <w:tab/>
            </w:r>
            <w:r w:rsidR="00452720">
              <w:rPr>
                <w:noProof/>
                <w:webHidden/>
              </w:rPr>
              <w:fldChar w:fldCharType="begin"/>
            </w:r>
            <w:r w:rsidR="00452720">
              <w:rPr>
                <w:noProof/>
                <w:webHidden/>
              </w:rPr>
              <w:instrText xml:space="preserve"> PAGEREF _Toc7701771 \h </w:instrText>
            </w:r>
            <w:r w:rsidR="00452720">
              <w:rPr>
                <w:noProof/>
                <w:webHidden/>
              </w:rPr>
            </w:r>
            <w:r w:rsidR="00452720">
              <w:rPr>
                <w:noProof/>
                <w:webHidden/>
              </w:rPr>
              <w:fldChar w:fldCharType="separate"/>
            </w:r>
            <w:r w:rsidR="00452720">
              <w:rPr>
                <w:noProof/>
                <w:webHidden/>
              </w:rPr>
              <w:t>15</w:t>
            </w:r>
            <w:r w:rsidR="00452720">
              <w:rPr>
                <w:noProof/>
                <w:webHidden/>
              </w:rPr>
              <w:fldChar w:fldCharType="end"/>
            </w:r>
          </w:hyperlink>
        </w:p>
        <w:p w14:paraId="39A709A0" w14:textId="36C4685B" w:rsidR="00452720" w:rsidRDefault="00DE5AFD">
          <w:pPr>
            <w:pStyle w:val="TOC1"/>
            <w:tabs>
              <w:tab w:val="left" w:pos="400"/>
              <w:tab w:val="right" w:leader="dot" w:pos="9350"/>
            </w:tabs>
            <w:rPr>
              <w:rFonts w:asciiTheme="minorHAnsi" w:eastAsiaTheme="minorEastAsia" w:hAnsiTheme="minorHAnsi"/>
              <w:noProof/>
              <w:sz w:val="22"/>
            </w:rPr>
          </w:pPr>
          <w:hyperlink w:anchor="_Toc7701772" w:history="1">
            <w:r w:rsidR="00452720" w:rsidRPr="00E058D5">
              <w:rPr>
                <w:rStyle w:val="Hyperlink"/>
                <w:noProof/>
              </w:rPr>
              <w:t>4.</w:t>
            </w:r>
            <w:r w:rsidR="00452720">
              <w:rPr>
                <w:rFonts w:asciiTheme="minorHAnsi" w:eastAsiaTheme="minorEastAsia" w:hAnsiTheme="minorHAnsi"/>
                <w:noProof/>
                <w:sz w:val="22"/>
              </w:rPr>
              <w:tab/>
            </w:r>
            <w:r w:rsidR="00452720" w:rsidRPr="00E058D5">
              <w:rPr>
                <w:rStyle w:val="Hyperlink"/>
                <w:noProof/>
              </w:rPr>
              <w:t>Customer responsibilities and project assumptions</w:t>
            </w:r>
            <w:r w:rsidR="00452720">
              <w:rPr>
                <w:noProof/>
                <w:webHidden/>
              </w:rPr>
              <w:tab/>
            </w:r>
            <w:r w:rsidR="00452720">
              <w:rPr>
                <w:noProof/>
                <w:webHidden/>
              </w:rPr>
              <w:fldChar w:fldCharType="begin"/>
            </w:r>
            <w:r w:rsidR="00452720">
              <w:rPr>
                <w:noProof/>
                <w:webHidden/>
              </w:rPr>
              <w:instrText xml:space="preserve"> PAGEREF _Toc7701772 \h </w:instrText>
            </w:r>
            <w:r w:rsidR="00452720">
              <w:rPr>
                <w:noProof/>
                <w:webHidden/>
              </w:rPr>
            </w:r>
            <w:r w:rsidR="00452720">
              <w:rPr>
                <w:noProof/>
                <w:webHidden/>
              </w:rPr>
              <w:fldChar w:fldCharType="separate"/>
            </w:r>
            <w:r w:rsidR="00452720">
              <w:rPr>
                <w:noProof/>
                <w:webHidden/>
              </w:rPr>
              <w:t>17</w:t>
            </w:r>
            <w:r w:rsidR="00452720">
              <w:rPr>
                <w:noProof/>
                <w:webHidden/>
              </w:rPr>
              <w:fldChar w:fldCharType="end"/>
            </w:r>
          </w:hyperlink>
        </w:p>
        <w:p w14:paraId="582916CA" w14:textId="58C0492F" w:rsidR="00452720" w:rsidRDefault="00DE5AFD">
          <w:pPr>
            <w:pStyle w:val="TOC2"/>
            <w:tabs>
              <w:tab w:val="left" w:pos="800"/>
              <w:tab w:val="right" w:leader="dot" w:pos="9350"/>
            </w:tabs>
            <w:rPr>
              <w:rFonts w:asciiTheme="minorHAnsi" w:eastAsiaTheme="minorEastAsia" w:hAnsiTheme="minorHAnsi"/>
              <w:noProof/>
              <w:sz w:val="22"/>
            </w:rPr>
          </w:pPr>
          <w:hyperlink w:anchor="_Toc7701773" w:history="1">
            <w:r w:rsidR="00452720" w:rsidRPr="00E058D5">
              <w:rPr>
                <w:rStyle w:val="Hyperlink"/>
                <w:noProof/>
              </w:rPr>
              <w:t>4.1.</w:t>
            </w:r>
            <w:r w:rsidR="00452720">
              <w:rPr>
                <w:rFonts w:asciiTheme="minorHAnsi" w:eastAsiaTheme="minorEastAsia" w:hAnsiTheme="minorHAnsi"/>
                <w:noProof/>
                <w:sz w:val="22"/>
              </w:rPr>
              <w:tab/>
            </w:r>
            <w:r w:rsidR="00452720" w:rsidRPr="00E058D5">
              <w:rPr>
                <w:rStyle w:val="Hyperlink"/>
                <w:noProof/>
              </w:rPr>
              <w:t>Customer responsibilities</w:t>
            </w:r>
            <w:r w:rsidR="00452720">
              <w:rPr>
                <w:noProof/>
                <w:webHidden/>
              </w:rPr>
              <w:tab/>
            </w:r>
            <w:r w:rsidR="00452720">
              <w:rPr>
                <w:noProof/>
                <w:webHidden/>
              </w:rPr>
              <w:fldChar w:fldCharType="begin"/>
            </w:r>
            <w:r w:rsidR="00452720">
              <w:rPr>
                <w:noProof/>
                <w:webHidden/>
              </w:rPr>
              <w:instrText xml:space="preserve"> PAGEREF _Toc7701773 \h </w:instrText>
            </w:r>
            <w:r w:rsidR="00452720">
              <w:rPr>
                <w:noProof/>
                <w:webHidden/>
              </w:rPr>
            </w:r>
            <w:r w:rsidR="00452720">
              <w:rPr>
                <w:noProof/>
                <w:webHidden/>
              </w:rPr>
              <w:fldChar w:fldCharType="separate"/>
            </w:r>
            <w:r w:rsidR="00452720">
              <w:rPr>
                <w:noProof/>
                <w:webHidden/>
              </w:rPr>
              <w:t>17</w:t>
            </w:r>
            <w:r w:rsidR="00452720">
              <w:rPr>
                <w:noProof/>
                <w:webHidden/>
              </w:rPr>
              <w:fldChar w:fldCharType="end"/>
            </w:r>
          </w:hyperlink>
        </w:p>
        <w:p w14:paraId="3B5C3127" w14:textId="5F734F30" w:rsidR="00452720" w:rsidRDefault="00DE5AFD">
          <w:pPr>
            <w:pStyle w:val="TOC2"/>
            <w:tabs>
              <w:tab w:val="left" w:pos="800"/>
              <w:tab w:val="right" w:leader="dot" w:pos="9350"/>
            </w:tabs>
            <w:rPr>
              <w:rFonts w:asciiTheme="minorHAnsi" w:eastAsiaTheme="minorEastAsia" w:hAnsiTheme="minorHAnsi"/>
              <w:noProof/>
              <w:sz w:val="22"/>
            </w:rPr>
          </w:pPr>
          <w:hyperlink w:anchor="_Toc7701774" w:history="1">
            <w:r w:rsidR="00452720" w:rsidRPr="00E058D5">
              <w:rPr>
                <w:rStyle w:val="Hyperlink"/>
                <w:noProof/>
              </w:rPr>
              <w:t>4.2.</w:t>
            </w:r>
            <w:r w:rsidR="00452720">
              <w:rPr>
                <w:rFonts w:asciiTheme="minorHAnsi" w:eastAsiaTheme="minorEastAsia" w:hAnsiTheme="minorHAnsi"/>
                <w:noProof/>
                <w:sz w:val="22"/>
              </w:rPr>
              <w:tab/>
            </w:r>
            <w:r w:rsidR="00452720" w:rsidRPr="00E058D5">
              <w:rPr>
                <w:rStyle w:val="Hyperlink"/>
                <w:noProof/>
              </w:rPr>
              <w:t>Project assumptions</w:t>
            </w:r>
            <w:r w:rsidR="00452720">
              <w:rPr>
                <w:noProof/>
                <w:webHidden/>
              </w:rPr>
              <w:tab/>
            </w:r>
            <w:r w:rsidR="00452720">
              <w:rPr>
                <w:noProof/>
                <w:webHidden/>
              </w:rPr>
              <w:fldChar w:fldCharType="begin"/>
            </w:r>
            <w:r w:rsidR="00452720">
              <w:rPr>
                <w:noProof/>
                <w:webHidden/>
              </w:rPr>
              <w:instrText xml:space="preserve"> PAGEREF _Toc7701774 \h </w:instrText>
            </w:r>
            <w:r w:rsidR="00452720">
              <w:rPr>
                <w:noProof/>
                <w:webHidden/>
              </w:rPr>
            </w:r>
            <w:r w:rsidR="00452720">
              <w:rPr>
                <w:noProof/>
                <w:webHidden/>
              </w:rPr>
              <w:fldChar w:fldCharType="separate"/>
            </w:r>
            <w:r w:rsidR="00452720">
              <w:rPr>
                <w:noProof/>
                <w:webHidden/>
              </w:rPr>
              <w:t>17</w:t>
            </w:r>
            <w:r w:rsidR="00452720">
              <w:rPr>
                <w:noProof/>
                <w:webHidden/>
              </w:rPr>
              <w:fldChar w:fldCharType="end"/>
            </w:r>
          </w:hyperlink>
        </w:p>
        <w:p w14:paraId="5836C4D7" w14:textId="35D70AF4" w:rsidR="00C23371" w:rsidRDefault="00EF21FB">
          <w:r>
            <w:fldChar w:fldCharType="end"/>
          </w:r>
        </w:p>
      </w:sdtContent>
    </w:sdt>
    <w:p w14:paraId="5836C4D8" w14:textId="77777777" w:rsidR="00C81329" w:rsidRDefault="00C81329"/>
    <w:p w14:paraId="5836C4D9" w14:textId="77777777" w:rsidR="007E7F79" w:rsidRDefault="007E7F79">
      <w:pPr>
        <w:rPr>
          <w:highlight w:val="yellow"/>
        </w:rPr>
        <w:sectPr w:rsidR="007E7F79" w:rsidSect="00525EBE">
          <w:footerReference w:type="first" r:id="rId8"/>
          <w:pgSz w:w="12240" w:h="15840" w:code="1"/>
          <w:pgMar w:top="1440" w:right="1440" w:bottom="1440" w:left="1440" w:header="720" w:footer="720" w:gutter="0"/>
          <w:pgNumType w:start="1"/>
          <w:cols w:space="720"/>
          <w:docGrid w:linePitch="360"/>
        </w:sectPr>
      </w:pPr>
    </w:p>
    <w:p w14:paraId="5836C4DA" w14:textId="695B1872" w:rsidR="0001741F" w:rsidRDefault="0001741F" w:rsidP="0001741F">
      <w:bookmarkStart w:id="4" w:name="_Toc476167701"/>
      <w:bookmarkStart w:id="5" w:name="_Toc476168021"/>
      <w:r>
        <w:lastRenderedPageBreak/>
        <w:t>This Statement of W</w:t>
      </w:r>
      <w:r w:rsidRPr="00C81329">
        <w:t xml:space="preserve">ork (SOW) and any exhibits, appendices, schedules, and attachments to </w:t>
      </w:r>
      <w:r>
        <w:t xml:space="preserve">it are made pursuant to </w:t>
      </w:r>
      <w:r w:rsidR="0099344B">
        <w:t>this contract</w:t>
      </w:r>
      <w:r>
        <w:t xml:space="preserve"> and describes the work to be performed (Services) by Microsoft (“us,” “we”) for </w:t>
      </w:r>
      <w:r w:rsidR="00CA757F">
        <w:t>“</w:t>
      </w:r>
      <w:r w:rsidR="00CA757F">
        <w:rPr>
          <w:rStyle w:val="InstructionalChar"/>
          <w:color w:val="auto"/>
        </w:rPr>
        <w:t>” or “”</w:t>
      </w:r>
      <w:r>
        <w:t xml:space="preserve"> (“Customer,” “you,” “your”) relating to</w:t>
      </w:r>
      <w:r w:rsidR="00DB351C">
        <w:t xml:space="preserve"> </w:t>
      </w:r>
      <w:r w:rsidR="00154CED">
        <w:rPr>
          <w:highlight w:val="lightGray"/>
          <w:u w:val="single"/>
        </w:rPr>
        <w:t xml:space="preserve"> </w:t>
      </w:r>
      <w:r>
        <w:t xml:space="preserve"> (project).</w:t>
      </w:r>
    </w:p>
    <w:p w14:paraId="5836C4DB" w14:textId="77777777" w:rsidR="0001741F" w:rsidRDefault="0001741F" w:rsidP="0001741F">
      <w:r>
        <w:t xml:space="preserve">This SOW and the associated Work Order expire 30 </w:t>
      </w:r>
      <w:r w:rsidRPr="00C81329">
        <w:t xml:space="preserve">days after their publication date, unless </w:t>
      </w:r>
      <w:r>
        <w:t xml:space="preserve">signed by both parties </w:t>
      </w:r>
      <w:r w:rsidRPr="00C81329">
        <w:t>or formally extended in writing by Microsoft.</w:t>
      </w:r>
    </w:p>
    <w:p w14:paraId="5836C4DC" w14:textId="09610A23" w:rsidR="00C81329" w:rsidRPr="00E27D24" w:rsidRDefault="00C81329" w:rsidP="004737C4">
      <w:pPr>
        <w:pStyle w:val="Heading1nonumbers"/>
      </w:pPr>
      <w:bookmarkStart w:id="6" w:name="_Toc7701759"/>
      <w:r w:rsidRPr="00E27D24">
        <w:t>Introduction</w:t>
      </w:r>
      <w:bookmarkEnd w:id="4"/>
      <w:bookmarkEnd w:id="5"/>
      <w:bookmarkEnd w:id="6"/>
    </w:p>
    <w:p w14:paraId="732CA113" w14:textId="0891EDB3" w:rsidR="005A6CB0" w:rsidRDefault="005A6CB0" w:rsidP="009E4861">
      <w:r>
        <w:t>Microsoft</w:t>
      </w:r>
      <w:r w:rsidR="00D44634">
        <w:t xml:space="preserve"> Consulting Services (MCS)</w:t>
      </w:r>
      <w:r>
        <w:t xml:space="preserve"> has been working with </w:t>
      </w:r>
      <w:r w:rsidR="007F642A">
        <w:t xml:space="preserve">The </w:t>
      </w:r>
      <w:r>
        <w:t xml:space="preserve"> </w:t>
      </w:r>
      <w:r w:rsidR="00BA070C">
        <w:t xml:space="preserve">on </w:t>
      </w:r>
      <w:r w:rsidR="00C20034">
        <w:t>a</w:t>
      </w:r>
      <w:r w:rsidR="00BA070C">
        <w:t xml:space="preserve"> project </w:t>
      </w:r>
      <w:r w:rsidR="00C20034">
        <w:t xml:space="preserve">to build </w:t>
      </w:r>
      <w:r w:rsidR="00BA070C">
        <w:t>the</w:t>
      </w:r>
      <w:r w:rsidR="002F55C5">
        <w:t xml:space="preserve">  (SGD)</w:t>
      </w:r>
      <w:r w:rsidR="00C20034">
        <w:t xml:space="preserve"> and </w:t>
      </w:r>
      <w:r w:rsidR="00A23700">
        <w:t xml:space="preserve">different </w:t>
      </w:r>
      <w:r w:rsidR="00C20034">
        <w:t xml:space="preserve">phases </w:t>
      </w:r>
      <w:r w:rsidR="00A23700">
        <w:t xml:space="preserve">to add more functionalities </w:t>
      </w:r>
      <w:r w:rsidR="00C20034">
        <w:t>since 2010</w:t>
      </w:r>
      <w:r w:rsidR="002F55C5">
        <w:t>.</w:t>
      </w:r>
      <w:r w:rsidR="00AE6919">
        <w:t xml:space="preserve">  In 2013 MCS worked on rebuilding the infrastructure on a new SharePoin</w:t>
      </w:r>
      <w:r w:rsidR="00C11860">
        <w:t>t</w:t>
      </w:r>
      <w:r w:rsidR="00AE6919">
        <w:t xml:space="preserve"> 2013 environment.</w:t>
      </w:r>
    </w:p>
    <w:p w14:paraId="56F2A656" w14:textId="4E8A9907" w:rsidR="009E4861" w:rsidRDefault="009E4861" w:rsidP="009E4861">
      <w:r w:rsidRPr="009E4861">
        <w:t>The   It</w:t>
      </w:r>
      <w:r>
        <w:t>’s currently working with</w:t>
      </w:r>
      <w:r w:rsidRPr="009E4861">
        <w:t xml:space="preserve"> Microsoft </w:t>
      </w:r>
      <w:r w:rsidR="00B11A58">
        <w:t xml:space="preserve">on a project </w:t>
      </w:r>
      <w:r w:rsidRPr="009E4861">
        <w:t>to analyze and update the customizations of the current system for</w:t>
      </w:r>
      <w:r w:rsidR="00B11A58">
        <w:t xml:space="preserve"> an</w:t>
      </w:r>
      <w:r w:rsidRPr="009E4861">
        <w:t xml:space="preserve"> eventual </w:t>
      </w:r>
      <w:r w:rsidR="00B11A58">
        <w:t xml:space="preserve">SharePoint Online </w:t>
      </w:r>
      <w:r w:rsidRPr="009E4861">
        <w:t xml:space="preserve">migration.  </w:t>
      </w:r>
      <w:r w:rsidR="00B11A58">
        <w:t xml:space="preserve">Recently, </w:t>
      </w:r>
      <w:r w:rsidRPr="009E4861">
        <w:t xml:space="preserve"> lost the Document Management System Platform (SGD)</w:t>
      </w:r>
      <w:r w:rsidR="00404A84">
        <w:t xml:space="preserve"> functionalities</w:t>
      </w:r>
      <w:r w:rsidRPr="009E4861">
        <w:t xml:space="preserve"> and much of the data due to a problem with a ransomware (virus that infected  servers and blocked access to all the content, including everything related to the SGD platform).  This problem is forcing the migration to be done as soon as possible.</w:t>
      </w:r>
    </w:p>
    <w:p w14:paraId="6C4E7A13" w14:textId="61589310" w:rsidR="00AD5582" w:rsidRPr="009E4861" w:rsidRDefault="00AD5582" w:rsidP="009E4861">
      <w:r>
        <w:t xml:space="preserve">Microsoft Consulting Services (MCS) has been a key partner to The  </w:t>
      </w:r>
      <w:r w:rsidR="001C6C9C">
        <w:t xml:space="preserve">assisting on the creation and maintenance of the </w:t>
      </w:r>
      <w:r w:rsidR="00CF022C">
        <w:t xml:space="preserve"> (SGD) for </w:t>
      </w:r>
      <w:r w:rsidR="00A24E4B">
        <w:t>many years.</w:t>
      </w:r>
    </w:p>
    <w:p w14:paraId="23FE0AD0" w14:textId="63150D54" w:rsidR="009E4861" w:rsidRPr="009E4861" w:rsidRDefault="009E4861" w:rsidP="009E4861">
      <w:r w:rsidRPr="009E4861">
        <w:t>This statement of work</w:t>
      </w:r>
      <w:r w:rsidR="007360C0">
        <w:t xml:space="preserve"> (SOW)</w:t>
      </w:r>
      <w:r w:rsidRPr="009E4861">
        <w:t xml:space="preserve"> </w:t>
      </w:r>
      <w:r w:rsidR="003149E1">
        <w:t>covers</w:t>
      </w:r>
      <w:r w:rsidRPr="009E4861">
        <w:t xml:space="preserve"> the</w:t>
      </w:r>
      <w:r w:rsidR="003149E1">
        <w:t xml:space="preserve"> </w:t>
      </w:r>
      <w:r w:rsidR="007360C0">
        <w:t xml:space="preserve">SGD </w:t>
      </w:r>
      <w:r w:rsidRPr="009E4861">
        <w:t xml:space="preserve">SharePoint Online (SPO) </w:t>
      </w:r>
      <w:r w:rsidR="003149E1">
        <w:t xml:space="preserve">migration workstream </w:t>
      </w:r>
      <w:r w:rsidRPr="009E4861">
        <w:t xml:space="preserve">as a continuation of the previous project </w:t>
      </w:r>
      <w:r w:rsidR="003149E1">
        <w:t xml:space="preserve">that </w:t>
      </w:r>
      <w:r w:rsidR="000B2F0A">
        <w:t>include</w:t>
      </w:r>
      <w:r w:rsidRPr="009E4861">
        <w:t xml:space="preserve"> the analysis and updat</w:t>
      </w:r>
      <w:r w:rsidR="007360C0">
        <w:t>e</w:t>
      </w:r>
      <w:r w:rsidRPr="009E4861">
        <w:t xml:space="preserve"> of the current system</w:t>
      </w:r>
      <w:r w:rsidR="007360C0" w:rsidRPr="007360C0">
        <w:t xml:space="preserve"> </w:t>
      </w:r>
      <w:r w:rsidR="007360C0" w:rsidRPr="009E4861">
        <w:t>customizations</w:t>
      </w:r>
      <w:r w:rsidRPr="009E4861">
        <w:t>.</w:t>
      </w:r>
    </w:p>
    <w:p w14:paraId="462DC87E" w14:textId="77777777" w:rsidR="009E4861" w:rsidRPr="009E4861" w:rsidRDefault="009E4861" w:rsidP="00611E81"/>
    <w:p w14:paraId="5836C4DE" w14:textId="3AFC9801" w:rsidR="00C81329" w:rsidRPr="005C14DF" w:rsidRDefault="00C81329" w:rsidP="00C84DD9">
      <w:pPr>
        <w:pStyle w:val="Heading1"/>
      </w:pPr>
      <w:bookmarkStart w:id="7" w:name="_Toc476167702"/>
      <w:bookmarkStart w:id="8" w:name="_Toc476168022"/>
      <w:bookmarkStart w:id="9" w:name="_Ref477786305"/>
      <w:bookmarkStart w:id="10" w:name="_Toc7701760"/>
      <w:r w:rsidRPr="005C14DF">
        <w:t xml:space="preserve">Project </w:t>
      </w:r>
      <w:r w:rsidR="00D8456D" w:rsidRPr="005C14DF">
        <w:t>objective</w:t>
      </w:r>
      <w:r w:rsidR="00267D79">
        <w:t>s</w:t>
      </w:r>
      <w:r w:rsidR="00D8456D" w:rsidRPr="005C14DF">
        <w:t xml:space="preserve"> and scope</w:t>
      </w:r>
      <w:bookmarkEnd w:id="7"/>
      <w:bookmarkEnd w:id="8"/>
      <w:bookmarkEnd w:id="9"/>
      <w:bookmarkEnd w:id="10"/>
    </w:p>
    <w:p w14:paraId="5836C4DF" w14:textId="77777777" w:rsidR="005A1C5E" w:rsidRDefault="005A1C5E" w:rsidP="00C84DD9">
      <w:pPr>
        <w:pStyle w:val="Heading2"/>
      </w:pPr>
      <w:bookmarkStart w:id="11" w:name="_Toc476167703"/>
      <w:bookmarkStart w:id="12" w:name="_Toc476168023"/>
      <w:bookmarkStart w:id="13" w:name="_Toc7701761"/>
      <w:r>
        <w:t>Objectives</w:t>
      </w:r>
      <w:bookmarkEnd w:id="11"/>
      <w:bookmarkEnd w:id="12"/>
      <w:bookmarkEnd w:id="13"/>
    </w:p>
    <w:p w14:paraId="58AEB5BC" w14:textId="77777777" w:rsidR="00166089" w:rsidRPr="0001627E" w:rsidRDefault="00166089" w:rsidP="004F61C4">
      <w:bookmarkStart w:id="14" w:name="_Toc476167704"/>
      <w:bookmarkStart w:id="15" w:name="_Toc476168024"/>
      <w:bookmarkStart w:id="16" w:name="_Ref477786310"/>
      <w:r w:rsidRPr="00CD390D">
        <w:rPr>
          <w:lang w:val="en"/>
        </w:rPr>
        <w:t>The objectives of this project are:</w:t>
      </w:r>
    </w:p>
    <w:p w14:paraId="417ED79F" w14:textId="5B946AF6" w:rsidR="00166089" w:rsidRPr="0001627E" w:rsidRDefault="00166089" w:rsidP="005129F9">
      <w:pPr>
        <w:pStyle w:val="ListParagraph"/>
        <w:numPr>
          <w:ilvl w:val="0"/>
          <w:numId w:val="36"/>
        </w:numPr>
      </w:pPr>
      <w:r w:rsidRPr="00CD390D">
        <w:rPr>
          <w:lang w:val="en"/>
        </w:rPr>
        <w:t xml:space="preserve">Implement a new </w:t>
      </w:r>
      <w:r w:rsidR="00EB345D">
        <w:rPr>
          <w:lang w:val="en"/>
        </w:rPr>
        <w:t xml:space="preserve">SharePoint Site </w:t>
      </w:r>
      <w:r w:rsidR="00D54F1D">
        <w:rPr>
          <w:lang w:val="en"/>
        </w:rPr>
        <w:t xml:space="preserve">collection </w:t>
      </w:r>
      <w:r w:rsidR="000B2B85">
        <w:rPr>
          <w:lang w:val="en"/>
        </w:rPr>
        <w:t>o</w:t>
      </w:r>
      <w:r w:rsidR="00EB345D">
        <w:rPr>
          <w:lang w:val="en"/>
        </w:rPr>
        <w:t xml:space="preserve">n the SharePoint </w:t>
      </w:r>
      <w:r w:rsidRPr="00CD390D">
        <w:rPr>
          <w:lang w:val="en"/>
        </w:rPr>
        <w:t>Online (SPO)</w:t>
      </w:r>
      <w:r>
        <w:rPr>
          <w:lang w:val="en"/>
        </w:rPr>
        <w:t xml:space="preserve"> </w:t>
      </w:r>
      <w:r w:rsidR="00EB345D">
        <w:rPr>
          <w:lang w:val="en"/>
        </w:rPr>
        <w:t xml:space="preserve">environment </w:t>
      </w:r>
      <w:r>
        <w:rPr>
          <w:lang w:val="en"/>
        </w:rPr>
        <w:t>for</w:t>
      </w:r>
      <w:r w:rsidR="00EB345D">
        <w:rPr>
          <w:lang w:val="en"/>
        </w:rPr>
        <w:t xml:space="preserve"> the</w:t>
      </w:r>
      <w:r>
        <w:rPr>
          <w:lang w:val="en"/>
        </w:rPr>
        <w:t xml:space="preserve"> </w:t>
      </w:r>
      <w:r w:rsidR="00EB345D">
        <w:rPr>
          <w:lang w:val="en"/>
        </w:rPr>
        <w:t xml:space="preserve">Content </w:t>
      </w:r>
      <w:r>
        <w:rPr>
          <w:lang w:val="en"/>
        </w:rPr>
        <w:t>Migration</w:t>
      </w:r>
      <w:r w:rsidRPr="00CD390D">
        <w:rPr>
          <w:lang w:val="en"/>
        </w:rPr>
        <w:t>.</w:t>
      </w:r>
    </w:p>
    <w:p w14:paraId="60AB98A4" w14:textId="3A4F62D9" w:rsidR="005129F9" w:rsidRPr="005129F9" w:rsidRDefault="00166089" w:rsidP="005129F9">
      <w:pPr>
        <w:pStyle w:val="ListParagraph"/>
        <w:numPr>
          <w:ilvl w:val="0"/>
          <w:numId w:val="36"/>
        </w:numPr>
      </w:pPr>
      <w:r w:rsidRPr="00CD390D">
        <w:rPr>
          <w:lang w:val="en"/>
        </w:rPr>
        <w:t xml:space="preserve">Migrate the content already remedied in the previous project to the new </w:t>
      </w:r>
      <w:r w:rsidR="00614F61">
        <w:rPr>
          <w:lang w:val="en"/>
        </w:rPr>
        <w:t xml:space="preserve">SPO </w:t>
      </w:r>
      <w:r w:rsidRPr="00CD390D">
        <w:rPr>
          <w:lang w:val="en"/>
        </w:rPr>
        <w:t>environment</w:t>
      </w:r>
      <w:r w:rsidR="005129F9">
        <w:rPr>
          <w:lang w:val="en"/>
        </w:rPr>
        <w:t>.</w:t>
      </w:r>
    </w:p>
    <w:p w14:paraId="6203BE4C" w14:textId="195048B0" w:rsidR="00166089" w:rsidRPr="0001627E" w:rsidRDefault="00614F61" w:rsidP="005129F9">
      <w:pPr>
        <w:pStyle w:val="ListParagraph"/>
        <w:numPr>
          <w:ilvl w:val="1"/>
          <w:numId w:val="36"/>
        </w:numPr>
      </w:pPr>
      <w:r w:rsidRPr="001306D7">
        <w:rPr>
          <w:b/>
          <w:lang w:val="en"/>
        </w:rPr>
        <w:t>U</w:t>
      </w:r>
      <w:r w:rsidR="00166089" w:rsidRPr="001306D7">
        <w:rPr>
          <w:b/>
          <w:lang w:val="en"/>
        </w:rPr>
        <w:t>p to 2TB of data from SharePoint 2013</w:t>
      </w:r>
      <w:r w:rsidR="00166089" w:rsidRPr="00CA781F">
        <w:rPr>
          <w:lang w:val="en"/>
        </w:rPr>
        <w:t>.</w:t>
      </w:r>
    </w:p>
    <w:p w14:paraId="44A863E4" w14:textId="5640AACD" w:rsidR="00166089" w:rsidRPr="0001627E" w:rsidRDefault="00166089" w:rsidP="005129F9">
      <w:pPr>
        <w:pStyle w:val="ListParagraph"/>
        <w:numPr>
          <w:ilvl w:val="0"/>
          <w:numId w:val="36"/>
        </w:numPr>
        <w:spacing w:before="240"/>
      </w:pPr>
      <w:r w:rsidRPr="00CD390D">
        <w:rPr>
          <w:lang w:val="en"/>
        </w:rPr>
        <w:t xml:space="preserve">Implement </w:t>
      </w:r>
      <w:r w:rsidR="00AD220B">
        <w:rPr>
          <w:lang w:val="en"/>
        </w:rPr>
        <w:t xml:space="preserve"> D</w:t>
      </w:r>
      <w:r w:rsidRPr="00CD390D">
        <w:rPr>
          <w:lang w:val="en"/>
        </w:rPr>
        <w:t xml:space="preserve">ocumentation Management </w:t>
      </w:r>
      <w:r w:rsidR="00AD220B">
        <w:rPr>
          <w:lang w:val="en"/>
        </w:rPr>
        <w:t>S</w:t>
      </w:r>
      <w:r w:rsidRPr="00CD390D">
        <w:rPr>
          <w:lang w:val="en"/>
        </w:rPr>
        <w:t xml:space="preserve">ystem (SGD) customizations </w:t>
      </w:r>
      <w:r w:rsidR="003D76C9">
        <w:rPr>
          <w:lang w:val="en"/>
        </w:rPr>
        <w:t>(</w:t>
      </w:r>
      <w:r w:rsidR="003D76C9" w:rsidRPr="001306D7">
        <w:rPr>
          <w:b/>
          <w:lang w:val="en"/>
        </w:rPr>
        <w:t>A</w:t>
      </w:r>
      <w:r w:rsidRPr="001306D7">
        <w:rPr>
          <w:b/>
          <w:lang w:val="en"/>
        </w:rPr>
        <w:t>lready remedied in the previous project</w:t>
      </w:r>
      <w:r w:rsidR="003D76C9">
        <w:rPr>
          <w:lang w:val="en"/>
        </w:rPr>
        <w:t>)</w:t>
      </w:r>
      <w:r w:rsidRPr="00CD390D">
        <w:rPr>
          <w:lang w:val="en"/>
        </w:rPr>
        <w:t xml:space="preserve"> in the new </w:t>
      </w:r>
      <w:r w:rsidR="00543CD2">
        <w:rPr>
          <w:lang w:val="en"/>
        </w:rPr>
        <w:t xml:space="preserve">SPO </w:t>
      </w:r>
      <w:r w:rsidRPr="00CD390D">
        <w:rPr>
          <w:lang w:val="en"/>
        </w:rPr>
        <w:t>environmen</w:t>
      </w:r>
      <w:r w:rsidR="00543CD2">
        <w:rPr>
          <w:lang w:val="en"/>
        </w:rPr>
        <w:t>t</w:t>
      </w:r>
      <w:r w:rsidRPr="00CD390D">
        <w:rPr>
          <w:lang w:val="en"/>
        </w:rPr>
        <w:t>.</w:t>
      </w:r>
    </w:p>
    <w:p w14:paraId="5836C4E1" w14:textId="77777777" w:rsidR="00D8456D" w:rsidRDefault="004C2A6F" w:rsidP="00C84DD9">
      <w:pPr>
        <w:pStyle w:val="Heading2"/>
      </w:pPr>
      <w:bookmarkStart w:id="17" w:name="_Toc7701762"/>
      <w:r>
        <w:t xml:space="preserve">Areas </w:t>
      </w:r>
      <w:r w:rsidR="00D8456D" w:rsidRPr="005C14DF">
        <w:t>in scope</w:t>
      </w:r>
      <w:bookmarkEnd w:id="14"/>
      <w:bookmarkEnd w:id="15"/>
      <w:bookmarkEnd w:id="16"/>
      <w:bookmarkEnd w:id="17"/>
    </w:p>
    <w:p w14:paraId="5836C4E2" w14:textId="77777777" w:rsidR="00390A88" w:rsidRDefault="00390A88" w:rsidP="00C84DD9">
      <w:pPr>
        <w:pStyle w:val="Heading3"/>
      </w:pPr>
      <w:bookmarkStart w:id="18" w:name="_Toc476168025"/>
      <w:r>
        <w:t>General project scope</w:t>
      </w:r>
      <w:bookmarkEnd w:id="18"/>
    </w:p>
    <w:p w14:paraId="5836C4E4" w14:textId="585CFFC6" w:rsidR="005A1C5E" w:rsidRDefault="005A1C5E" w:rsidP="00E618D7">
      <w:r>
        <w:t xml:space="preserve">Microsoft will provide </w:t>
      </w:r>
      <w:r w:rsidR="0001741F">
        <w:t>S</w:t>
      </w:r>
      <w:r w:rsidR="00BE40E6">
        <w:t xml:space="preserve">ervices </w:t>
      </w:r>
      <w:r>
        <w:t>in support of the following scope</w:t>
      </w:r>
      <w:r w:rsidR="00CC2E3D">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622"/>
        <w:gridCol w:w="3060"/>
        <w:gridCol w:w="4677"/>
      </w:tblGrid>
      <w:tr w:rsidR="00390A88" w14:paraId="5836C4E8" w14:textId="77777777" w:rsidTr="003B19CF">
        <w:trPr>
          <w:trHeight w:val="360"/>
          <w:tblHeader/>
        </w:trPr>
        <w:tc>
          <w:tcPr>
            <w:tcW w:w="1622" w:type="dxa"/>
            <w:shd w:val="clear" w:color="auto" w:fill="008272"/>
          </w:tcPr>
          <w:p w14:paraId="5836C4E5" w14:textId="77777777" w:rsidR="00390A88" w:rsidRPr="00057271" w:rsidRDefault="00884E0D" w:rsidP="00057271">
            <w:pPr>
              <w:pStyle w:val="Table-Header"/>
            </w:pPr>
            <w:r w:rsidRPr="00057271">
              <w:lastRenderedPageBreak/>
              <w:t>Area</w:t>
            </w:r>
          </w:p>
        </w:tc>
        <w:tc>
          <w:tcPr>
            <w:tcW w:w="3060" w:type="dxa"/>
            <w:shd w:val="clear" w:color="auto" w:fill="008272"/>
          </w:tcPr>
          <w:p w14:paraId="5836C4E6" w14:textId="77777777" w:rsidR="00390A88" w:rsidRPr="00057271" w:rsidRDefault="00390A88" w:rsidP="00057271">
            <w:pPr>
              <w:pStyle w:val="Table-Header"/>
            </w:pPr>
            <w:r w:rsidRPr="00057271">
              <w:t xml:space="preserve">Description </w:t>
            </w:r>
          </w:p>
        </w:tc>
        <w:tc>
          <w:tcPr>
            <w:tcW w:w="4677" w:type="dxa"/>
            <w:shd w:val="clear" w:color="auto" w:fill="008272"/>
          </w:tcPr>
          <w:p w14:paraId="5836C4E7" w14:textId="77777777" w:rsidR="00390A88" w:rsidRPr="00057271" w:rsidRDefault="00390A88" w:rsidP="00057271">
            <w:pPr>
              <w:pStyle w:val="Table-Header"/>
            </w:pPr>
            <w:r w:rsidRPr="00057271">
              <w:t>Assumptions</w:t>
            </w:r>
          </w:p>
        </w:tc>
      </w:tr>
      <w:tr w:rsidR="008A5C05" w:rsidRPr="003A4E2C" w14:paraId="2BB6AB7A" w14:textId="77777777" w:rsidTr="003B19CF">
        <w:trPr>
          <w:trHeight w:val="432"/>
        </w:trPr>
        <w:tc>
          <w:tcPr>
            <w:tcW w:w="1622" w:type="dxa"/>
            <w:shd w:val="clear" w:color="auto" w:fill="auto"/>
          </w:tcPr>
          <w:p w14:paraId="25B5F01D" w14:textId="5C0F5FB8" w:rsidR="008A5C05" w:rsidRPr="00015288" w:rsidRDefault="00015288" w:rsidP="008A5C05">
            <w:pPr>
              <w:pStyle w:val="TableText"/>
            </w:pPr>
            <w:r>
              <w:rPr>
                <w:lang w:val="en"/>
              </w:rPr>
              <w:t>Prepare migration environment</w:t>
            </w:r>
          </w:p>
        </w:tc>
        <w:tc>
          <w:tcPr>
            <w:tcW w:w="3060" w:type="dxa"/>
            <w:shd w:val="clear" w:color="auto" w:fill="FFFFFF" w:themeFill="background1"/>
          </w:tcPr>
          <w:p w14:paraId="4FC94FB7" w14:textId="66DE570E" w:rsidR="008A5C05" w:rsidRPr="003A4E2C" w:rsidRDefault="00BA3E43" w:rsidP="008A5C05">
            <w:pPr>
              <w:pStyle w:val="TableBullet1"/>
              <w:numPr>
                <w:ilvl w:val="0"/>
                <w:numId w:val="0"/>
              </w:numPr>
            </w:pPr>
            <w:r w:rsidRPr="00CD390D">
              <w:rPr>
                <w:lang w:val="en"/>
              </w:rPr>
              <w:t>Create, configure, and prepare the infrastructure required for the migration environment.</w:t>
            </w:r>
          </w:p>
        </w:tc>
        <w:tc>
          <w:tcPr>
            <w:tcW w:w="4677" w:type="dxa"/>
            <w:shd w:val="clear" w:color="auto" w:fill="FFFFFF" w:themeFill="background1"/>
          </w:tcPr>
          <w:p w14:paraId="79040EBF" w14:textId="1B6AFF81" w:rsidR="008A5C05" w:rsidRPr="003A4E2C" w:rsidRDefault="003A4E2C" w:rsidP="008A5C05">
            <w:pPr>
              <w:pStyle w:val="TableText"/>
              <w:rPr>
                <w:szCs w:val="20"/>
              </w:rPr>
            </w:pPr>
            <w:r w:rsidRPr="00454976">
              <w:rPr>
                <w:lang w:val="en"/>
              </w:rPr>
              <w:t>MS Azure's subscription will be</w:t>
            </w:r>
            <w:r>
              <w:rPr>
                <w:lang w:val="en"/>
              </w:rPr>
              <w:t xml:space="preserve"> provided and managed by .</w:t>
            </w:r>
          </w:p>
        </w:tc>
      </w:tr>
      <w:tr w:rsidR="00E61FFA" w:rsidRPr="005F3BAF" w14:paraId="1B6DD10C" w14:textId="77777777" w:rsidTr="004F61C4">
        <w:trPr>
          <w:trHeight w:val="432"/>
        </w:trPr>
        <w:tc>
          <w:tcPr>
            <w:tcW w:w="1622" w:type="dxa"/>
            <w:shd w:val="clear" w:color="auto" w:fill="auto"/>
          </w:tcPr>
          <w:p w14:paraId="071B4F82" w14:textId="77777777" w:rsidR="00E61FFA" w:rsidRDefault="00E61FFA" w:rsidP="004F61C4">
            <w:pPr>
              <w:pStyle w:val="TableText"/>
            </w:pPr>
            <w:r>
              <w:t>Sample migration</w:t>
            </w:r>
          </w:p>
        </w:tc>
        <w:tc>
          <w:tcPr>
            <w:tcW w:w="3060" w:type="dxa"/>
            <w:shd w:val="clear" w:color="auto" w:fill="FFFFFF" w:themeFill="background1"/>
          </w:tcPr>
          <w:p w14:paraId="3DC5D052" w14:textId="77777777" w:rsidR="00E61FFA" w:rsidRPr="00F17866" w:rsidRDefault="00E61FFA" w:rsidP="004F61C4">
            <w:pPr>
              <w:pStyle w:val="Bulletlist"/>
              <w:numPr>
                <w:ilvl w:val="0"/>
                <w:numId w:val="0"/>
              </w:numPr>
              <w:contextualSpacing w:val="0"/>
            </w:pPr>
            <w:r>
              <w:t>Perform a sample migration to validate migration factory infrastructure and customer content.</w:t>
            </w:r>
          </w:p>
        </w:tc>
        <w:tc>
          <w:tcPr>
            <w:tcW w:w="4677" w:type="dxa"/>
            <w:shd w:val="clear" w:color="auto" w:fill="FFFFFF" w:themeFill="background1"/>
          </w:tcPr>
          <w:p w14:paraId="68D5A610" w14:textId="77777777" w:rsidR="00E61FFA" w:rsidRDefault="00E61FFA" w:rsidP="004F61C4">
            <w:pPr>
              <w:pStyle w:val="Bulletlist"/>
              <w:ind w:left="245" w:hanging="245"/>
            </w:pPr>
            <w:bookmarkStart w:id="19" w:name="_Hlk476671214"/>
            <w:r>
              <w:t>The latest version of Metalogix Content Matrix, which has been tested by Microsoft, as well as Metalogix Essentials, will be used to migrate content. Microsoft will procure both products.</w:t>
            </w:r>
          </w:p>
          <w:bookmarkEnd w:id="19"/>
          <w:p w14:paraId="6750B091" w14:textId="264C94FB" w:rsidR="00E61FFA" w:rsidRPr="008B6145" w:rsidRDefault="00E61FFA" w:rsidP="004F61C4">
            <w:pPr>
              <w:pStyle w:val="Bulletlist"/>
              <w:ind w:left="245" w:hanging="245"/>
              <w:rPr>
                <w:sz w:val="19"/>
                <w:szCs w:val="19"/>
              </w:rPr>
            </w:pPr>
            <w:r w:rsidRPr="00191E54">
              <w:t xml:space="preserve">No more than 100 GB of content will be migrated during the </w:t>
            </w:r>
            <w:r>
              <w:t>E</w:t>
            </w:r>
            <w:r w:rsidRPr="00191E54">
              <w:t>nable phase as part of sample migration.</w:t>
            </w:r>
          </w:p>
          <w:p w14:paraId="1D929514" w14:textId="77777777" w:rsidR="00E61FFA" w:rsidRPr="005E258A" w:rsidRDefault="00E61FFA" w:rsidP="004F61C4">
            <w:pPr>
              <w:pStyle w:val="Bulletlist"/>
              <w:ind w:left="245" w:hanging="245"/>
              <w:rPr>
                <w:sz w:val="19"/>
                <w:szCs w:val="19"/>
              </w:rPr>
            </w:pPr>
            <w:r>
              <w:t>Sample migrations will not be subject to the formal acceptance process.</w:t>
            </w:r>
          </w:p>
        </w:tc>
      </w:tr>
      <w:tr w:rsidR="00FF46AA" w:rsidRPr="00C10809" w14:paraId="6DBA0EBD" w14:textId="77777777" w:rsidTr="003B19CF">
        <w:trPr>
          <w:trHeight w:val="432"/>
        </w:trPr>
        <w:tc>
          <w:tcPr>
            <w:tcW w:w="1622" w:type="dxa"/>
            <w:shd w:val="clear" w:color="auto" w:fill="auto"/>
          </w:tcPr>
          <w:p w14:paraId="744CA589" w14:textId="2931DE50" w:rsidR="00FF46AA" w:rsidRDefault="00FF46AA" w:rsidP="008A5C05">
            <w:pPr>
              <w:pStyle w:val="TableText"/>
            </w:pPr>
            <w:r>
              <w:t>Migrate documents</w:t>
            </w:r>
          </w:p>
        </w:tc>
        <w:tc>
          <w:tcPr>
            <w:tcW w:w="3060" w:type="dxa"/>
            <w:shd w:val="clear" w:color="auto" w:fill="FFFFFF" w:themeFill="background1"/>
          </w:tcPr>
          <w:p w14:paraId="3B776CFC" w14:textId="44CE0B60" w:rsidR="00FF46AA" w:rsidRDefault="000667B8" w:rsidP="008A5C05">
            <w:pPr>
              <w:pStyle w:val="TableBullet1"/>
              <w:numPr>
                <w:ilvl w:val="0"/>
                <w:numId w:val="0"/>
              </w:numPr>
            </w:pPr>
            <w:r>
              <w:t>Migrate the content specified in section 1.1</w:t>
            </w:r>
          </w:p>
        </w:tc>
        <w:tc>
          <w:tcPr>
            <w:tcW w:w="4677" w:type="dxa"/>
            <w:shd w:val="clear" w:color="auto" w:fill="FFFFFF" w:themeFill="background1"/>
          </w:tcPr>
          <w:p w14:paraId="627F1011" w14:textId="77777777" w:rsidR="00C10809" w:rsidRPr="00C10809" w:rsidRDefault="00C10809" w:rsidP="004F61C4">
            <w:pPr>
              <w:pStyle w:val="TableText"/>
              <w:rPr>
                <w:rFonts w:cs="Segoe UI"/>
              </w:rPr>
            </w:pPr>
            <w:r w:rsidRPr="00CD390D">
              <w:rPr>
                <w:lang w:val="en"/>
              </w:rPr>
              <w:t>Each migration wave will not have more than one incremental migration.</w:t>
            </w:r>
          </w:p>
          <w:p w14:paraId="3F98484C" w14:textId="3C218040" w:rsidR="00C10809" w:rsidRPr="00C10809" w:rsidRDefault="00481D5D" w:rsidP="004F61C4">
            <w:pPr>
              <w:pStyle w:val="TableText"/>
              <w:rPr>
                <w:rFonts w:cs="Segoe UI"/>
              </w:rPr>
            </w:pPr>
            <w:r>
              <w:rPr>
                <w:lang w:val="en"/>
              </w:rPr>
              <w:t>G</w:t>
            </w:r>
            <w:r w:rsidR="00C10809" w:rsidRPr="00CD390D">
              <w:rPr>
                <w:lang w:val="en"/>
              </w:rPr>
              <w:t xml:space="preserve">rowth </w:t>
            </w:r>
            <w:r>
              <w:rPr>
                <w:lang w:val="en"/>
              </w:rPr>
              <w:t xml:space="preserve">is not considered as part of </w:t>
            </w:r>
            <w:r w:rsidR="00C10809" w:rsidRPr="00CD390D">
              <w:rPr>
                <w:lang w:val="en"/>
              </w:rPr>
              <w:t>the total data to migrate.</w:t>
            </w:r>
          </w:p>
          <w:p w14:paraId="501A6992" w14:textId="77777777" w:rsidR="00C10809" w:rsidRPr="00C10809" w:rsidRDefault="00C10809" w:rsidP="004F61C4">
            <w:pPr>
              <w:pStyle w:val="TableText"/>
              <w:rPr>
                <w:rFonts w:cs="Segoe UI"/>
              </w:rPr>
            </w:pPr>
            <w:r w:rsidRPr="00CD390D">
              <w:rPr>
                <w:lang w:val="en"/>
              </w:rPr>
              <w:t>Incremental migration is assumed to be up to 8% of the wave size and is expected to complete in no more than two days.</w:t>
            </w:r>
          </w:p>
          <w:p w14:paraId="2050D757" w14:textId="77777777" w:rsidR="00C10809" w:rsidRPr="00C10809" w:rsidRDefault="00C10809" w:rsidP="004F61C4">
            <w:pPr>
              <w:pStyle w:val="TableText"/>
              <w:rPr>
                <w:rFonts w:cs="Segoe UI"/>
              </w:rPr>
            </w:pPr>
            <w:r w:rsidRPr="00CD390D">
              <w:rPr>
                <w:lang w:val="en"/>
              </w:rPr>
              <w:t>Performance:</w:t>
            </w:r>
          </w:p>
          <w:p w14:paraId="5861DB27" w14:textId="77777777" w:rsidR="00C10809" w:rsidRPr="00C10809" w:rsidRDefault="00C10809" w:rsidP="004F61C4">
            <w:pPr>
              <w:pStyle w:val="TableText"/>
              <w:rPr>
                <w:rFonts w:cs="Segoe UI"/>
              </w:rPr>
            </w:pPr>
            <w:r w:rsidRPr="00CD390D">
              <w:rPr>
                <w:lang w:val="en"/>
              </w:rPr>
              <w:t>Performance is based on 600GB per week.</w:t>
            </w:r>
          </w:p>
          <w:p w14:paraId="3D214A00" w14:textId="77777777" w:rsidR="00C10809" w:rsidRPr="00C10809" w:rsidRDefault="00C10809" w:rsidP="004F61C4">
            <w:pPr>
              <w:pStyle w:val="TableText"/>
              <w:rPr>
                <w:rFonts w:cs="Segoe UI"/>
              </w:rPr>
            </w:pPr>
            <w:r w:rsidRPr="00CD390D">
              <w:rPr>
                <w:lang w:val="en"/>
              </w:rPr>
              <w:t>If the performance of the migration falls for any of the following reasons, the additional effort must be addressed with a change control.</w:t>
            </w:r>
          </w:p>
          <w:p w14:paraId="4120ABE1" w14:textId="77777777" w:rsidR="00C10809" w:rsidRPr="00CD390D" w:rsidRDefault="00C10809" w:rsidP="00B469EE">
            <w:pPr>
              <w:pStyle w:val="TableText"/>
              <w:numPr>
                <w:ilvl w:val="0"/>
                <w:numId w:val="37"/>
              </w:numPr>
              <w:tabs>
                <w:tab w:val="clear" w:pos="720"/>
                <w:tab w:val="num" w:pos="337"/>
              </w:tabs>
              <w:rPr>
                <w:rFonts w:cs="Segoe UI"/>
                <w:lang w:val="es-PR"/>
              </w:rPr>
            </w:pPr>
            <w:r w:rsidRPr="00CD390D">
              <w:rPr>
                <w:lang w:val="en"/>
              </w:rPr>
              <w:t>Source content Unavailable</w:t>
            </w:r>
          </w:p>
          <w:p w14:paraId="65475580" w14:textId="682E2D5C" w:rsidR="003C1B45" w:rsidRPr="003C1B45" w:rsidRDefault="00C10809" w:rsidP="00B469EE">
            <w:pPr>
              <w:pStyle w:val="TableText"/>
              <w:numPr>
                <w:ilvl w:val="0"/>
                <w:numId w:val="37"/>
              </w:numPr>
              <w:tabs>
                <w:tab w:val="clear" w:pos="720"/>
                <w:tab w:val="num" w:pos="337"/>
              </w:tabs>
              <w:rPr>
                <w:rFonts w:cs="Segoe UI"/>
              </w:rPr>
            </w:pPr>
            <w:r w:rsidRPr="00CD390D">
              <w:rPr>
                <w:lang w:val="en"/>
              </w:rPr>
              <w:t>The destination is not available</w:t>
            </w:r>
          </w:p>
          <w:p w14:paraId="6F9CCEE5" w14:textId="3CCCECA3" w:rsidR="00FF46AA" w:rsidRPr="003C1B45" w:rsidRDefault="00C10809" w:rsidP="00B469EE">
            <w:pPr>
              <w:pStyle w:val="TableText"/>
              <w:numPr>
                <w:ilvl w:val="0"/>
                <w:numId w:val="37"/>
              </w:numPr>
              <w:tabs>
                <w:tab w:val="clear" w:pos="720"/>
                <w:tab w:val="num" w:pos="337"/>
              </w:tabs>
              <w:rPr>
                <w:rFonts w:cs="Segoe UI"/>
              </w:rPr>
            </w:pPr>
            <w:r w:rsidRPr="003C1B45">
              <w:rPr>
                <w:lang w:val="en"/>
              </w:rPr>
              <w:t>The client's network has a problem or does not support the minimum performance</w:t>
            </w:r>
          </w:p>
        </w:tc>
      </w:tr>
      <w:tr w:rsidR="008A5C05" w:rsidRPr="005F3BAF" w14:paraId="5CF6959D" w14:textId="77777777" w:rsidTr="003B19CF">
        <w:trPr>
          <w:trHeight w:val="432"/>
        </w:trPr>
        <w:tc>
          <w:tcPr>
            <w:tcW w:w="1622" w:type="dxa"/>
            <w:shd w:val="clear" w:color="auto" w:fill="auto"/>
          </w:tcPr>
          <w:p w14:paraId="508B4D29" w14:textId="0BB63473" w:rsidR="008A5C05" w:rsidRDefault="008A5C05" w:rsidP="008A5C05">
            <w:pPr>
              <w:pStyle w:val="TableText"/>
            </w:pPr>
            <w:r>
              <w:t>Post-migration support</w:t>
            </w:r>
          </w:p>
        </w:tc>
        <w:tc>
          <w:tcPr>
            <w:tcW w:w="3060" w:type="dxa"/>
            <w:shd w:val="clear" w:color="auto" w:fill="FFFFFF" w:themeFill="background1"/>
          </w:tcPr>
          <w:p w14:paraId="0B1C06B9" w14:textId="4F177BB2" w:rsidR="008A5C05" w:rsidRPr="00B01497" w:rsidRDefault="00B01497" w:rsidP="008A5C05">
            <w:pPr>
              <w:pStyle w:val="TableText"/>
              <w:rPr>
                <w:szCs w:val="20"/>
              </w:rPr>
            </w:pPr>
            <w:r w:rsidRPr="00CD390D">
              <w:rPr>
                <w:lang w:val="en"/>
              </w:rPr>
              <w:t xml:space="preserve">A resource </w:t>
            </w:r>
            <w:r>
              <w:rPr>
                <w:lang w:val="en"/>
              </w:rPr>
              <w:t xml:space="preserve">will be </w:t>
            </w:r>
            <w:r w:rsidRPr="00CD390D">
              <w:rPr>
                <w:lang w:val="en"/>
              </w:rPr>
              <w:t>available for post-migration support for one week (5 working days)</w:t>
            </w:r>
          </w:p>
        </w:tc>
        <w:tc>
          <w:tcPr>
            <w:tcW w:w="4677" w:type="dxa"/>
            <w:shd w:val="clear" w:color="auto" w:fill="FFFFFF" w:themeFill="background1"/>
          </w:tcPr>
          <w:p w14:paraId="4D3A9F1A" w14:textId="35AB2A18" w:rsidR="008A5C05" w:rsidRPr="002E1D8F" w:rsidRDefault="008A5C05" w:rsidP="008A5C05">
            <w:pPr>
              <w:pStyle w:val="Bulletlist"/>
              <w:numPr>
                <w:ilvl w:val="0"/>
                <w:numId w:val="0"/>
              </w:numPr>
            </w:pPr>
            <w:r w:rsidRPr="00E31ED6">
              <w:t xml:space="preserve">The estimates account only for fixed-duration post-migration support and </w:t>
            </w:r>
            <w:r w:rsidRPr="004C22AB">
              <w:t>the availability of the Azure environment is assumed</w:t>
            </w:r>
            <w:r>
              <w:t xml:space="preserve"> and required during the period.</w:t>
            </w:r>
          </w:p>
        </w:tc>
      </w:tr>
    </w:tbl>
    <w:p w14:paraId="5836C4F1" w14:textId="77777777" w:rsidR="00D8456D" w:rsidRPr="00FB5891" w:rsidRDefault="00884E0D" w:rsidP="00C84DD9">
      <w:pPr>
        <w:pStyle w:val="Heading3"/>
      </w:pPr>
      <w:bookmarkStart w:id="20" w:name="_Toc476168026"/>
      <w:r w:rsidRPr="00FB5891">
        <w:t xml:space="preserve">Software products and </w:t>
      </w:r>
      <w:r w:rsidR="004B0557" w:rsidRPr="00FB5891">
        <w:t>technologies</w:t>
      </w:r>
      <w:bookmarkEnd w:id="20"/>
    </w:p>
    <w:p w14:paraId="5836C4F3" w14:textId="0F0CD420" w:rsidR="00D8456D" w:rsidRDefault="008F05A6" w:rsidP="00D8456D">
      <w:r>
        <w:t xml:space="preserve">The products and technology </w:t>
      </w:r>
      <w:r w:rsidR="00BE40E6">
        <w:t xml:space="preserve">that are </w:t>
      </w:r>
      <w:r>
        <w:t xml:space="preserve">listed in the </w:t>
      </w:r>
      <w:r w:rsidR="00D812F8">
        <w:t>following table</w:t>
      </w:r>
      <w:r>
        <w:t xml:space="preserve"> are required </w:t>
      </w:r>
      <w:r w:rsidR="0001741F">
        <w:t xml:space="preserve">for project </w:t>
      </w:r>
      <w:r w:rsidR="00FB5891">
        <w:t>implementation</w:t>
      </w:r>
      <w:r w:rsidR="0015119E">
        <w:t>.</w:t>
      </w:r>
      <w:r w:rsidR="002420ED">
        <w:t xml:space="preserve"> </w:t>
      </w:r>
      <w:r w:rsidR="0015119E">
        <w:t>T</w:t>
      </w:r>
      <w:r w:rsidR="00452159">
        <w:t xml:space="preserve">he </w:t>
      </w:r>
      <w:r w:rsidR="0015000E">
        <w:t>c</w:t>
      </w:r>
      <w:r w:rsidR="00452159">
        <w:t>ustomer is responsible for obtaining all identified licenses and products.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052"/>
        <w:gridCol w:w="1620"/>
        <w:gridCol w:w="3687"/>
      </w:tblGrid>
      <w:tr w:rsidR="00452159" w:rsidRPr="00390A88" w14:paraId="5836C4F7" w14:textId="77777777" w:rsidTr="004241BA">
        <w:trPr>
          <w:trHeight w:val="364"/>
          <w:tblHeader/>
        </w:trPr>
        <w:tc>
          <w:tcPr>
            <w:tcW w:w="4052" w:type="dxa"/>
            <w:shd w:val="clear" w:color="auto" w:fill="008272"/>
          </w:tcPr>
          <w:p w14:paraId="5836C4F4" w14:textId="77777777" w:rsidR="00452159" w:rsidRPr="004B0557" w:rsidRDefault="00884E0D" w:rsidP="00B44F57">
            <w:pPr>
              <w:pStyle w:val="Table-Header"/>
            </w:pPr>
            <w:r>
              <w:lastRenderedPageBreak/>
              <w:t xml:space="preserve">Product and </w:t>
            </w:r>
            <w:r w:rsidR="00B649E2">
              <w:t>t</w:t>
            </w:r>
            <w:r w:rsidR="00452159">
              <w:t>echnology</w:t>
            </w:r>
            <w:r w:rsidR="00B649E2">
              <w:t xml:space="preserve"> item</w:t>
            </w:r>
          </w:p>
        </w:tc>
        <w:tc>
          <w:tcPr>
            <w:tcW w:w="1620" w:type="dxa"/>
            <w:shd w:val="clear" w:color="auto" w:fill="008272"/>
          </w:tcPr>
          <w:p w14:paraId="5836C4F5" w14:textId="77777777" w:rsidR="00452159" w:rsidRPr="004B0557" w:rsidRDefault="00452159" w:rsidP="00B44F57">
            <w:pPr>
              <w:pStyle w:val="Table-Header"/>
            </w:pPr>
            <w:r>
              <w:t>Version</w:t>
            </w:r>
            <w:r w:rsidRPr="004B0557">
              <w:t xml:space="preserve"> </w:t>
            </w:r>
          </w:p>
        </w:tc>
        <w:tc>
          <w:tcPr>
            <w:tcW w:w="3687" w:type="dxa"/>
            <w:shd w:val="clear" w:color="auto" w:fill="008272"/>
          </w:tcPr>
          <w:p w14:paraId="5836C4F6" w14:textId="77777777" w:rsidR="00452159" w:rsidRPr="00390A88" w:rsidRDefault="0001741F" w:rsidP="00B44F57">
            <w:pPr>
              <w:pStyle w:val="Table-Header"/>
            </w:pPr>
            <w:r>
              <w:t>Ready by</w:t>
            </w:r>
          </w:p>
        </w:tc>
      </w:tr>
      <w:tr w:rsidR="005E2791" w14:paraId="375C0D42" w14:textId="77777777" w:rsidTr="004241BA">
        <w:trPr>
          <w:trHeight w:val="432"/>
        </w:trPr>
        <w:tc>
          <w:tcPr>
            <w:tcW w:w="4052" w:type="dxa"/>
            <w:shd w:val="clear" w:color="auto" w:fill="auto"/>
          </w:tcPr>
          <w:p w14:paraId="264E4C20" w14:textId="2E5D3A16" w:rsidR="005E2791" w:rsidRDefault="005E2791" w:rsidP="005E2791">
            <w:pPr>
              <w:pStyle w:val="TableText"/>
            </w:pPr>
            <w:r w:rsidRPr="00CD390D">
              <w:rPr>
                <w:lang w:val="es-PR"/>
              </w:rPr>
              <w:t>SharePoint Online</w:t>
            </w:r>
          </w:p>
        </w:tc>
        <w:tc>
          <w:tcPr>
            <w:tcW w:w="1620" w:type="dxa"/>
            <w:shd w:val="clear" w:color="auto" w:fill="FFFFFF" w:themeFill="background1"/>
          </w:tcPr>
          <w:p w14:paraId="24CB1E8D" w14:textId="498A3954" w:rsidR="005E2791" w:rsidRPr="005E2791" w:rsidRDefault="005E2791" w:rsidP="00471216">
            <w:pPr>
              <w:pStyle w:val="TableText"/>
            </w:pPr>
            <w:r w:rsidRPr="00471216">
              <w:t>Online</w:t>
            </w:r>
          </w:p>
        </w:tc>
        <w:tc>
          <w:tcPr>
            <w:tcW w:w="3687" w:type="dxa"/>
            <w:shd w:val="clear" w:color="auto" w:fill="FFFFFF" w:themeFill="background1"/>
          </w:tcPr>
          <w:p w14:paraId="1F5FC02C" w14:textId="77B8E0B0" w:rsidR="005E2791" w:rsidRDefault="00684CB4" w:rsidP="005E2791">
            <w:pPr>
              <w:pStyle w:val="TableText"/>
            </w:pPr>
            <w:r>
              <w:rPr>
                <w:lang w:val="en"/>
              </w:rPr>
              <w:t>Project Start Date</w:t>
            </w:r>
          </w:p>
        </w:tc>
      </w:tr>
      <w:tr w:rsidR="00471216" w14:paraId="68628D57" w14:textId="77777777" w:rsidTr="004241BA">
        <w:trPr>
          <w:trHeight w:val="432"/>
        </w:trPr>
        <w:tc>
          <w:tcPr>
            <w:tcW w:w="4052" w:type="dxa"/>
            <w:shd w:val="clear" w:color="auto" w:fill="auto"/>
          </w:tcPr>
          <w:p w14:paraId="23154B54" w14:textId="27D52031" w:rsidR="00471216" w:rsidRPr="00CD390D" w:rsidRDefault="00471216" w:rsidP="00471216">
            <w:pPr>
              <w:pStyle w:val="TableText"/>
              <w:rPr>
                <w:lang w:val="es-PR"/>
              </w:rPr>
            </w:pPr>
            <w:r w:rsidRPr="00CD390D">
              <w:rPr>
                <w:lang w:val="es-PR"/>
              </w:rPr>
              <w:t>Metalogix Content Matrix (adquirido por Microsoft)</w:t>
            </w:r>
          </w:p>
        </w:tc>
        <w:tc>
          <w:tcPr>
            <w:tcW w:w="1620" w:type="dxa"/>
            <w:shd w:val="clear" w:color="auto" w:fill="FFFFFF" w:themeFill="background1"/>
          </w:tcPr>
          <w:p w14:paraId="02F78F24" w14:textId="72E0DEC4" w:rsidR="00471216" w:rsidRPr="00471216" w:rsidRDefault="00684CB4" w:rsidP="00471216">
            <w:pPr>
              <w:pStyle w:val="TableText"/>
            </w:pPr>
            <w:r>
              <w:t>Latest Available</w:t>
            </w:r>
          </w:p>
        </w:tc>
        <w:tc>
          <w:tcPr>
            <w:tcW w:w="3687" w:type="dxa"/>
            <w:shd w:val="clear" w:color="auto" w:fill="FFFFFF" w:themeFill="background1"/>
          </w:tcPr>
          <w:p w14:paraId="6E3AFF57" w14:textId="109D0776" w:rsidR="00471216" w:rsidRPr="00CD390D" w:rsidRDefault="00684CB4" w:rsidP="00471216">
            <w:pPr>
              <w:pStyle w:val="TableText"/>
              <w:rPr>
                <w:rFonts w:ascii="Segoe UI Semilight" w:hAnsi="Segoe UI Semilight"/>
                <w:lang w:val="es-PR"/>
              </w:rPr>
            </w:pPr>
            <w:r>
              <w:rPr>
                <w:lang w:val="en"/>
              </w:rPr>
              <w:t>Project Start Date</w:t>
            </w:r>
          </w:p>
        </w:tc>
      </w:tr>
      <w:tr w:rsidR="00471216" w14:paraId="2C315DED" w14:textId="77777777" w:rsidTr="004241BA">
        <w:trPr>
          <w:trHeight w:val="432"/>
        </w:trPr>
        <w:tc>
          <w:tcPr>
            <w:tcW w:w="4052" w:type="dxa"/>
            <w:shd w:val="clear" w:color="auto" w:fill="auto"/>
          </w:tcPr>
          <w:p w14:paraId="3C93CAE2" w14:textId="7CED0E35" w:rsidR="00471216" w:rsidRPr="00CD390D" w:rsidRDefault="00471216" w:rsidP="00471216">
            <w:pPr>
              <w:pStyle w:val="TableText"/>
              <w:rPr>
                <w:lang w:val="es-PR"/>
              </w:rPr>
            </w:pPr>
            <w:r>
              <w:rPr>
                <w:lang w:val="es-PR"/>
              </w:rPr>
              <w:t>Subscripción de Azure</w:t>
            </w:r>
          </w:p>
        </w:tc>
        <w:tc>
          <w:tcPr>
            <w:tcW w:w="1620" w:type="dxa"/>
            <w:shd w:val="clear" w:color="auto" w:fill="FFFFFF" w:themeFill="background1"/>
          </w:tcPr>
          <w:p w14:paraId="0CDB1752" w14:textId="2D47018A" w:rsidR="00471216" w:rsidRPr="00471216" w:rsidRDefault="00471216" w:rsidP="00471216">
            <w:pPr>
              <w:pStyle w:val="TableText"/>
            </w:pPr>
            <w:r w:rsidRPr="00471216">
              <w:t>Online</w:t>
            </w:r>
          </w:p>
        </w:tc>
        <w:tc>
          <w:tcPr>
            <w:tcW w:w="3687" w:type="dxa"/>
            <w:shd w:val="clear" w:color="auto" w:fill="FFFFFF" w:themeFill="background1"/>
          </w:tcPr>
          <w:p w14:paraId="4C1A68C0" w14:textId="5BA0A506" w:rsidR="00471216" w:rsidRPr="00CD390D" w:rsidRDefault="00684CB4" w:rsidP="00471216">
            <w:pPr>
              <w:pStyle w:val="TableText"/>
              <w:rPr>
                <w:rFonts w:ascii="Segoe UI Semilight" w:hAnsi="Segoe UI Semilight"/>
                <w:lang w:val="es-PR"/>
              </w:rPr>
            </w:pPr>
            <w:r>
              <w:rPr>
                <w:lang w:val="en"/>
              </w:rPr>
              <w:t>Project Start Date</w:t>
            </w:r>
          </w:p>
        </w:tc>
      </w:tr>
    </w:tbl>
    <w:p w14:paraId="5836C500" w14:textId="77777777" w:rsidR="002455C5" w:rsidRDefault="002455C5" w:rsidP="00C84DD9">
      <w:pPr>
        <w:pStyle w:val="Heading3"/>
      </w:pPr>
      <w:bookmarkStart w:id="21" w:name="_Toc476168027"/>
      <w:r>
        <w:t>Data migration</w:t>
      </w:r>
      <w:bookmarkEnd w:id="21"/>
    </w:p>
    <w:p w14:paraId="5836C502" w14:textId="77777777" w:rsidR="002455C5" w:rsidRPr="00DB3CDA" w:rsidRDefault="002455C5" w:rsidP="00EA26FD">
      <w:r w:rsidRPr="00DB3CDA">
        <w:t>The following data migration is in scope for the project</w:t>
      </w:r>
      <w:r w:rsidR="00801CC4">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772"/>
        <w:gridCol w:w="1440"/>
        <w:gridCol w:w="3118"/>
        <w:gridCol w:w="18"/>
      </w:tblGrid>
      <w:tr w:rsidR="002C4FA5" w:rsidRPr="00DB3CDA" w14:paraId="5836C506" w14:textId="77777777" w:rsidTr="004241BA">
        <w:trPr>
          <w:trHeight w:val="391"/>
          <w:tblHeader/>
        </w:trPr>
        <w:tc>
          <w:tcPr>
            <w:tcW w:w="4772" w:type="dxa"/>
            <w:shd w:val="clear" w:color="auto" w:fill="008272"/>
          </w:tcPr>
          <w:p w14:paraId="5836C503" w14:textId="77777777" w:rsidR="002C4FA5" w:rsidRPr="00667E45" w:rsidRDefault="002C4FA5" w:rsidP="00B44F57">
            <w:pPr>
              <w:pStyle w:val="Table-Header"/>
            </w:pPr>
            <w:r w:rsidRPr="00667E45">
              <w:t>Data source</w:t>
            </w:r>
          </w:p>
        </w:tc>
        <w:tc>
          <w:tcPr>
            <w:tcW w:w="1440" w:type="dxa"/>
            <w:shd w:val="clear" w:color="auto" w:fill="008272"/>
          </w:tcPr>
          <w:p w14:paraId="5836C504" w14:textId="77777777" w:rsidR="002C4FA5" w:rsidRPr="00667E45" w:rsidRDefault="002C4FA5" w:rsidP="00B44F57">
            <w:pPr>
              <w:pStyle w:val="Table-Header"/>
            </w:pPr>
            <w:r w:rsidRPr="00667E45">
              <w:t>Data volume</w:t>
            </w:r>
          </w:p>
        </w:tc>
        <w:tc>
          <w:tcPr>
            <w:tcW w:w="3136" w:type="dxa"/>
            <w:gridSpan w:val="2"/>
            <w:shd w:val="clear" w:color="auto" w:fill="008272"/>
          </w:tcPr>
          <w:p w14:paraId="5836C505" w14:textId="77777777" w:rsidR="002C4FA5" w:rsidRPr="00667E45" w:rsidRDefault="002C4FA5" w:rsidP="00B44F57">
            <w:pPr>
              <w:pStyle w:val="Table-Header"/>
            </w:pPr>
            <w:r w:rsidRPr="00667E45">
              <w:t>Migration mechanism</w:t>
            </w:r>
          </w:p>
        </w:tc>
      </w:tr>
      <w:tr w:rsidR="002C4FA5" w:rsidRPr="00DB3CDA" w14:paraId="5836C50A" w14:textId="77777777" w:rsidTr="004241BA">
        <w:trPr>
          <w:gridAfter w:val="1"/>
          <w:wAfter w:w="18" w:type="dxa"/>
          <w:trHeight w:val="425"/>
        </w:trPr>
        <w:tc>
          <w:tcPr>
            <w:tcW w:w="4772" w:type="dxa"/>
            <w:shd w:val="clear" w:color="auto" w:fill="auto"/>
          </w:tcPr>
          <w:p w14:paraId="5836C507" w14:textId="72D8A56B" w:rsidR="002C4FA5" w:rsidRPr="00DB3CDA" w:rsidRDefault="00684CB4" w:rsidP="00117AE2">
            <w:pPr>
              <w:pStyle w:val="TableText"/>
            </w:pPr>
            <w:r>
              <w:t xml:space="preserve"> </w:t>
            </w:r>
            <w:r w:rsidR="00F42FE1" w:rsidRPr="00F42FE1">
              <w:t>SGD SharePoint 2013</w:t>
            </w:r>
          </w:p>
        </w:tc>
        <w:tc>
          <w:tcPr>
            <w:tcW w:w="1440" w:type="dxa"/>
            <w:shd w:val="clear" w:color="auto" w:fill="FFFFFF" w:themeFill="background1"/>
          </w:tcPr>
          <w:p w14:paraId="5836C508" w14:textId="45285801" w:rsidR="002C4FA5" w:rsidRPr="00AE7381" w:rsidRDefault="00684CB4" w:rsidP="00117AE2">
            <w:pPr>
              <w:pStyle w:val="TableText"/>
              <w:rPr>
                <w:szCs w:val="18"/>
              </w:rPr>
            </w:pPr>
            <w:r w:rsidRPr="00684CB4">
              <w:t xml:space="preserve">Up to </w:t>
            </w:r>
            <w:r w:rsidR="00F42FE1" w:rsidRPr="00684CB4">
              <w:t>2</w:t>
            </w:r>
            <w:r w:rsidR="00AE7381" w:rsidRPr="00AE7381">
              <w:rPr>
                <w:szCs w:val="18"/>
              </w:rPr>
              <w:t xml:space="preserve"> </w:t>
            </w:r>
            <w:r>
              <w:rPr>
                <w:szCs w:val="18"/>
              </w:rPr>
              <w:t>T</w:t>
            </w:r>
            <w:r w:rsidR="00AE7381" w:rsidRPr="00AE7381">
              <w:rPr>
                <w:szCs w:val="18"/>
              </w:rPr>
              <w:t>B</w:t>
            </w:r>
          </w:p>
        </w:tc>
        <w:tc>
          <w:tcPr>
            <w:tcW w:w="3118" w:type="dxa"/>
            <w:shd w:val="clear" w:color="auto" w:fill="FFFFFF" w:themeFill="background1"/>
          </w:tcPr>
          <w:p w14:paraId="5836C509" w14:textId="2754B467" w:rsidR="002C4FA5" w:rsidRPr="00AE7381" w:rsidRDefault="00AE7381" w:rsidP="00117AE2">
            <w:pPr>
              <w:pStyle w:val="TableText"/>
              <w:rPr>
                <w:szCs w:val="18"/>
              </w:rPr>
            </w:pPr>
            <w:bookmarkStart w:id="22" w:name="_Hlk476671446"/>
            <w:r>
              <w:t>Metalogix Content Matrix</w:t>
            </w:r>
            <w:bookmarkEnd w:id="22"/>
          </w:p>
        </w:tc>
      </w:tr>
    </w:tbl>
    <w:p w14:paraId="5836C50F" w14:textId="664BD870" w:rsidR="002455C5" w:rsidRDefault="00AE61D2" w:rsidP="00EA26FD">
      <w:r w:rsidRPr="00DB3CDA">
        <w:t xml:space="preserve">The responsibilities for performing data migration </w:t>
      </w:r>
      <w:r w:rsidR="0015119E">
        <w:t>tasks</w:t>
      </w:r>
      <w:r w:rsidR="0015119E" w:rsidRPr="00DB3CDA">
        <w:t xml:space="preserve"> </w:t>
      </w:r>
      <w:r w:rsidRPr="00DB3CDA">
        <w:t>are</w:t>
      </w:r>
      <w:r w:rsidR="00F445FA">
        <w:t xml:space="preserve"> as follows</w:t>
      </w:r>
      <w:r w:rsidR="00801CC4">
        <w:t>.</w:t>
      </w:r>
    </w:p>
    <w:p w14:paraId="68C0AD69" w14:textId="0C634E8C" w:rsidR="00752BAA" w:rsidRPr="00752BAA" w:rsidRDefault="00752BAA" w:rsidP="00752BAA">
      <w:r>
        <w:t>The following tasks will occur for each migration wave.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7742"/>
        <w:gridCol w:w="1620"/>
      </w:tblGrid>
      <w:tr w:rsidR="00752BAA" w:rsidRPr="00DB3CDA" w14:paraId="5836C513" w14:textId="77777777" w:rsidTr="00752BAA">
        <w:trPr>
          <w:trHeight w:val="360"/>
          <w:tblHeader/>
        </w:trPr>
        <w:tc>
          <w:tcPr>
            <w:tcW w:w="7742" w:type="dxa"/>
            <w:shd w:val="clear" w:color="auto" w:fill="008272"/>
          </w:tcPr>
          <w:p w14:paraId="5836C510" w14:textId="77777777" w:rsidR="00752BAA" w:rsidRPr="00EA26FD" w:rsidRDefault="00752BAA" w:rsidP="00B44F57">
            <w:pPr>
              <w:pStyle w:val="Table-Header"/>
            </w:pPr>
            <w:r w:rsidRPr="00EA26FD">
              <w:t>Task</w:t>
            </w:r>
          </w:p>
        </w:tc>
        <w:tc>
          <w:tcPr>
            <w:tcW w:w="1620" w:type="dxa"/>
            <w:shd w:val="clear" w:color="auto" w:fill="008272"/>
          </w:tcPr>
          <w:p w14:paraId="5836C511" w14:textId="77777777" w:rsidR="00752BAA" w:rsidRDefault="00752BAA" w:rsidP="00B44F57">
            <w:pPr>
              <w:pStyle w:val="Table-Header"/>
            </w:pPr>
            <w:r>
              <w:t>Responsibility</w:t>
            </w:r>
          </w:p>
        </w:tc>
      </w:tr>
      <w:tr w:rsidR="00752BAA" w:rsidRPr="00DB3CDA" w14:paraId="5836C517" w14:textId="77777777" w:rsidTr="00752BAA">
        <w:trPr>
          <w:trHeight w:val="407"/>
        </w:trPr>
        <w:tc>
          <w:tcPr>
            <w:tcW w:w="7742" w:type="dxa"/>
            <w:shd w:val="clear" w:color="auto" w:fill="auto"/>
          </w:tcPr>
          <w:p w14:paraId="5836C514" w14:textId="40A427D0" w:rsidR="00752BAA" w:rsidRPr="00DB3CDA" w:rsidRDefault="00752BAA" w:rsidP="00AE7381">
            <w:pPr>
              <w:pStyle w:val="TableText"/>
            </w:pPr>
            <w:r w:rsidRPr="00294B0D">
              <w:t>Remediation of migration blockers</w:t>
            </w:r>
          </w:p>
        </w:tc>
        <w:tc>
          <w:tcPr>
            <w:tcW w:w="1620" w:type="dxa"/>
          </w:tcPr>
          <w:p w14:paraId="5836C515" w14:textId="77777777" w:rsidR="00752BAA" w:rsidRDefault="00752BAA" w:rsidP="00AE7381">
            <w:pPr>
              <w:pStyle w:val="TableText"/>
              <w:rPr>
                <w:szCs w:val="18"/>
              </w:rPr>
            </w:pPr>
            <w:r>
              <w:rPr>
                <w:szCs w:val="18"/>
              </w:rPr>
              <w:t>Customer</w:t>
            </w:r>
          </w:p>
        </w:tc>
      </w:tr>
      <w:tr w:rsidR="00752BAA" w:rsidRPr="00DB3CDA" w14:paraId="5836C51B" w14:textId="77777777" w:rsidTr="00752BAA">
        <w:trPr>
          <w:trHeight w:val="407"/>
        </w:trPr>
        <w:tc>
          <w:tcPr>
            <w:tcW w:w="7742" w:type="dxa"/>
            <w:shd w:val="clear" w:color="auto" w:fill="auto"/>
          </w:tcPr>
          <w:p w14:paraId="5836C518" w14:textId="0EEFE0CC" w:rsidR="00752BAA" w:rsidRPr="00DB3CDA" w:rsidRDefault="00752BAA" w:rsidP="00AE7381">
            <w:pPr>
              <w:pStyle w:val="TableText"/>
            </w:pPr>
            <w:r w:rsidRPr="00294B0D">
              <w:t>Archival and purge of low- or no-use sites</w:t>
            </w:r>
          </w:p>
        </w:tc>
        <w:tc>
          <w:tcPr>
            <w:tcW w:w="1620" w:type="dxa"/>
          </w:tcPr>
          <w:p w14:paraId="5836C519" w14:textId="77777777" w:rsidR="00752BAA" w:rsidRPr="00DB3CDA" w:rsidRDefault="00752BAA" w:rsidP="00AE7381">
            <w:pPr>
              <w:pStyle w:val="TableText"/>
              <w:rPr>
                <w:szCs w:val="18"/>
              </w:rPr>
            </w:pPr>
            <w:r w:rsidRPr="00DB3CDA">
              <w:rPr>
                <w:szCs w:val="18"/>
              </w:rPr>
              <w:t>Customer</w:t>
            </w:r>
          </w:p>
        </w:tc>
      </w:tr>
      <w:tr w:rsidR="00752BAA" w:rsidRPr="00DB3CDA" w14:paraId="5836C51F" w14:textId="77777777" w:rsidTr="00752BAA">
        <w:trPr>
          <w:trHeight w:val="407"/>
        </w:trPr>
        <w:tc>
          <w:tcPr>
            <w:tcW w:w="7742" w:type="dxa"/>
            <w:shd w:val="clear" w:color="auto" w:fill="auto"/>
          </w:tcPr>
          <w:p w14:paraId="5836C51C" w14:textId="2A243DAE" w:rsidR="00752BAA" w:rsidRPr="00CE01EC" w:rsidRDefault="00752BAA" w:rsidP="0047166F">
            <w:pPr>
              <w:pStyle w:val="Optional"/>
              <w:rPr>
                <w:color w:val="auto"/>
                <w:szCs w:val="18"/>
              </w:rPr>
            </w:pPr>
            <w:r w:rsidRPr="00CE01EC">
              <w:rPr>
                <w:color w:val="auto"/>
              </w:rPr>
              <w:t xml:space="preserve">Back up content databases to hard drive and ship </w:t>
            </w:r>
            <w:r w:rsidR="00B726A0" w:rsidRPr="00CE01EC">
              <w:rPr>
                <w:color w:val="auto"/>
              </w:rPr>
              <w:t xml:space="preserve">or upload </w:t>
            </w:r>
            <w:r w:rsidRPr="00CE01EC">
              <w:rPr>
                <w:color w:val="auto"/>
              </w:rPr>
              <w:t>to Azure</w:t>
            </w:r>
          </w:p>
        </w:tc>
        <w:tc>
          <w:tcPr>
            <w:tcW w:w="1620" w:type="dxa"/>
          </w:tcPr>
          <w:p w14:paraId="5836C51D" w14:textId="77777777" w:rsidR="00752BAA" w:rsidRPr="00CE01EC" w:rsidRDefault="00752BAA" w:rsidP="0047166F">
            <w:pPr>
              <w:pStyle w:val="Optional"/>
              <w:rPr>
                <w:color w:val="auto"/>
                <w:szCs w:val="18"/>
              </w:rPr>
            </w:pPr>
            <w:r w:rsidRPr="00CE01EC">
              <w:rPr>
                <w:color w:val="auto"/>
                <w:szCs w:val="18"/>
              </w:rPr>
              <w:t>Customer</w:t>
            </w:r>
          </w:p>
        </w:tc>
      </w:tr>
      <w:tr w:rsidR="00752BAA" w:rsidRPr="00DB3CDA" w14:paraId="5836C527" w14:textId="77777777" w:rsidTr="00752BAA">
        <w:trPr>
          <w:trHeight w:val="407"/>
        </w:trPr>
        <w:tc>
          <w:tcPr>
            <w:tcW w:w="7742" w:type="dxa"/>
            <w:shd w:val="clear" w:color="auto" w:fill="auto"/>
          </w:tcPr>
          <w:p w14:paraId="5836C524" w14:textId="090A0012" w:rsidR="00752BAA" w:rsidRPr="00DB3CDA" w:rsidRDefault="00752BAA" w:rsidP="00AE7381">
            <w:pPr>
              <w:pStyle w:val="TableText"/>
              <w:rPr>
                <w:szCs w:val="18"/>
              </w:rPr>
            </w:pPr>
            <w:r w:rsidRPr="00294B0D">
              <w:t xml:space="preserve">Migrate </w:t>
            </w:r>
            <w:r>
              <w:t>content</w:t>
            </w:r>
            <w:r w:rsidRPr="00294B0D">
              <w:t xml:space="preserve"> into SharePoint </w:t>
            </w:r>
            <w:r>
              <w:t>Online</w:t>
            </w:r>
          </w:p>
        </w:tc>
        <w:tc>
          <w:tcPr>
            <w:tcW w:w="1620" w:type="dxa"/>
          </w:tcPr>
          <w:p w14:paraId="5836C525" w14:textId="77777777" w:rsidR="00752BAA" w:rsidRPr="00DB3CDA" w:rsidRDefault="00752BAA" w:rsidP="00AE7381">
            <w:pPr>
              <w:pStyle w:val="TableText"/>
              <w:rPr>
                <w:szCs w:val="18"/>
              </w:rPr>
            </w:pPr>
            <w:r w:rsidRPr="00DB3CDA">
              <w:rPr>
                <w:szCs w:val="18"/>
              </w:rPr>
              <w:t>Microsoft</w:t>
            </w:r>
          </w:p>
        </w:tc>
      </w:tr>
      <w:tr w:rsidR="00752BAA" w:rsidRPr="00DB3CDA" w14:paraId="5836C52B" w14:textId="77777777" w:rsidTr="00752BAA">
        <w:trPr>
          <w:trHeight w:val="407"/>
        </w:trPr>
        <w:tc>
          <w:tcPr>
            <w:tcW w:w="7742" w:type="dxa"/>
            <w:shd w:val="clear" w:color="auto" w:fill="auto"/>
          </w:tcPr>
          <w:p w14:paraId="5836C528" w14:textId="332D9E6E" w:rsidR="00752BAA" w:rsidRPr="00DB3CDA" w:rsidRDefault="00752BAA" w:rsidP="00AE7381">
            <w:pPr>
              <w:pStyle w:val="TableText"/>
              <w:rPr>
                <w:szCs w:val="18"/>
              </w:rPr>
            </w:pPr>
            <w:r w:rsidRPr="00294B0D">
              <w:t>Place site collections into read-only mode (incremental migration)</w:t>
            </w:r>
          </w:p>
        </w:tc>
        <w:tc>
          <w:tcPr>
            <w:tcW w:w="1620" w:type="dxa"/>
          </w:tcPr>
          <w:p w14:paraId="5836C529" w14:textId="611007D1" w:rsidR="00752BAA" w:rsidRPr="00DB3CDA" w:rsidRDefault="00752BAA" w:rsidP="00AE7381">
            <w:pPr>
              <w:pStyle w:val="TableText"/>
              <w:rPr>
                <w:szCs w:val="18"/>
              </w:rPr>
            </w:pPr>
            <w:r>
              <w:rPr>
                <w:szCs w:val="18"/>
              </w:rPr>
              <w:t>Customer</w:t>
            </w:r>
          </w:p>
        </w:tc>
      </w:tr>
      <w:tr w:rsidR="00752BAA" w:rsidRPr="00DB3CDA" w14:paraId="5836C52F" w14:textId="77777777" w:rsidTr="00752BAA">
        <w:trPr>
          <w:trHeight w:val="407"/>
        </w:trPr>
        <w:tc>
          <w:tcPr>
            <w:tcW w:w="7742" w:type="dxa"/>
            <w:shd w:val="clear" w:color="auto" w:fill="auto"/>
          </w:tcPr>
          <w:p w14:paraId="5836C52C" w14:textId="0A6A815E" w:rsidR="00752BAA" w:rsidRPr="00DB3CDA" w:rsidRDefault="00752BAA" w:rsidP="00AE7381">
            <w:pPr>
              <w:pStyle w:val="TableText"/>
              <w:rPr>
                <w:szCs w:val="18"/>
              </w:rPr>
            </w:pPr>
            <w:r w:rsidRPr="00294B0D">
              <w:t>Provide access to the source sites (incremental migration)</w:t>
            </w:r>
          </w:p>
        </w:tc>
        <w:tc>
          <w:tcPr>
            <w:tcW w:w="1620" w:type="dxa"/>
          </w:tcPr>
          <w:p w14:paraId="5836C52D" w14:textId="77777777" w:rsidR="00752BAA" w:rsidRPr="00DB3CDA" w:rsidRDefault="00752BAA" w:rsidP="00AE7381">
            <w:pPr>
              <w:pStyle w:val="TableText"/>
              <w:rPr>
                <w:szCs w:val="18"/>
              </w:rPr>
            </w:pPr>
            <w:r w:rsidRPr="00DB3CDA">
              <w:rPr>
                <w:szCs w:val="18"/>
              </w:rPr>
              <w:t>Customer</w:t>
            </w:r>
          </w:p>
        </w:tc>
      </w:tr>
      <w:tr w:rsidR="00752BAA" w:rsidRPr="00DB3CDA" w14:paraId="5836C533" w14:textId="77777777" w:rsidTr="00752BAA">
        <w:trPr>
          <w:trHeight w:val="407"/>
        </w:trPr>
        <w:tc>
          <w:tcPr>
            <w:tcW w:w="7742" w:type="dxa"/>
            <w:shd w:val="clear" w:color="auto" w:fill="auto"/>
          </w:tcPr>
          <w:p w14:paraId="5836C530" w14:textId="7DDC7F69" w:rsidR="00752BAA" w:rsidRPr="00DB3CDA" w:rsidRDefault="00752BAA" w:rsidP="00AE7381">
            <w:pPr>
              <w:pStyle w:val="TableText"/>
              <w:rPr>
                <w:szCs w:val="18"/>
              </w:rPr>
            </w:pPr>
            <w:r w:rsidRPr="00294B0D">
              <w:t xml:space="preserve">Migrate and validate </w:t>
            </w:r>
            <w:r>
              <w:t>incremental</w:t>
            </w:r>
            <w:r w:rsidRPr="00294B0D">
              <w:t xml:space="preserve"> data from </w:t>
            </w:r>
            <w:r>
              <w:t>s</w:t>
            </w:r>
            <w:r w:rsidRPr="00294B0D">
              <w:t>ource SharePoint into the target SharePoint platform (incremental migration)</w:t>
            </w:r>
          </w:p>
        </w:tc>
        <w:tc>
          <w:tcPr>
            <w:tcW w:w="1620" w:type="dxa"/>
          </w:tcPr>
          <w:p w14:paraId="5836C531" w14:textId="77777777" w:rsidR="00752BAA" w:rsidRPr="00DB3CDA" w:rsidRDefault="00752BAA" w:rsidP="00AE7381">
            <w:pPr>
              <w:pStyle w:val="TableText"/>
              <w:rPr>
                <w:szCs w:val="18"/>
              </w:rPr>
            </w:pPr>
            <w:r w:rsidRPr="00DB3CDA">
              <w:rPr>
                <w:szCs w:val="18"/>
              </w:rPr>
              <w:t>Microsoft</w:t>
            </w:r>
          </w:p>
        </w:tc>
      </w:tr>
      <w:tr w:rsidR="00752BAA" w:rsidRPr="00DB3CDA" w14:paraId="5836C537" w14:textId="77777777" w:rsidTr="00752BAA">
        <w:trPr>
          <w:trHeight w:val="407"/>
        </w:trPr>
        <w:tc>
          <w:tcPr>
            <w:tcW w:w="7742" w:type="dxa"/>
            <w:shd w:val="clear" w:color="auto" w:fill="auto"/>
          </w:tcPr>
          <w:p w14:paraId="5836C534" w14:textId="15C2662B" w:rsidR="00752BAA" w:rsidRPr="00DB3CDA" w:rsidRDefault="00752BAA" w:rsidP="00AE7381">
            <w:pPr>
              <w:pStyle w:val="TableText"/>
              <w:rPr>
                <w:szCs w:val="18"/>
              </w:rPr>
            </w:pPr>
            <w:r>
              <w:t>Site validation</w:t>
            </w:r>
          </w:p>
        </w:tc>
        <w:tc>
          <w:tcPr>
            <w:tcW w:w="1620" w:type="dxa"/>
          </w:tcPr>
          <w:p w14:paraId="5836C535" w14:textId="77777777" w:rsidR="00752BAA" w:rsidRPr="00DB3CDA" w:rsidRDefault="00752BAA" w:rsidP="00AE7381">
            <w:pPr>
              <w:pStyle w:val="TableText"/>
              <w:rPr>
                <w:szCs w:val="18"/>
              </w:rPr>
            </w:pPr>
            <w:r w:rsidRPr="00DB3CDA">
              <w:rPr>
                <w:szCs w:val="18"/>
              </w:rPr>
              <w:t>Customer</w:t>
            </w:r>
          </w:p>
        </w:tc>
      </w:tr>
    </w:tbl>
    <w:p w14:paraId="5836C552" w14:textId="77777777" w:rsidR="004230B2" w:rsidRDefault="004230B2" w:rsidP="00C84DD9">
      <w:pPr>
        <w:pStyle w:val="Heading3"/>
      </w:pPr>
      <w:bookmarkStart w:id="23" w:name="_Toc476168029"/>
      <w:r>
        <w:t>Environments</w:t>
      </w:r>
      <w:bookmarkEnd w:id="23"/>
    </w:p>
    <w:p w14:paraId="5836C554" w14:textId="7927FB40" w:rsidR="004230B2" w:rsidRPr="00DB3CDA" w:rsidRDefault="004230B2" w:rsidP="00EA26FD">
      <w:r w:rsidRPr="00DB3CDA">
        <w:t xml:space="preserve">The following environments </w:t>
      </w:r>
      <w:r w:rsidR="00ED7049">
        <w:t>will be</w:t>
      </w:r>
      <w:r w:rsidR="00ED7049" w:rsidRPr="00DB3CDA">
        <w:t xml:space="preserve"> </w:t>
      </w:r>
      <w:r w:rsidRPr="00DB3CDA">
        <w:t>required to deliver the project</w:t>
      </w:r>
      <w:r w:rsidR="00E40CE7">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558"/>
        <w:gridCol w:w="2034"/>
        <w:gridCol w:w="1890"/>
        <w:gridCol w:w="2810"/>
      </w:tblGrid>
      <w:tr w:rsidR="004230B2" w:rsidRPr="00DB3CDA" w14:paraId="5836C559" w14:textId="77777777" w:rsidTr="00E57B0A">
        <w:trPr>
          <w:trHeight w:val="360"/>
          <w:tblHeader/>
        </w:trPr>
        <w:tc>
          <w:tcPr>
            <w:tcW w:w="2558" w:type="dxa"/>
            <w:shd w:val="clear" w:color="auto" w:fill="008272"/>
          </w:tcPr>
          <w:p w14:paraId="5836C555" w14:textId="77777777" w:rsidR="004230B2" w:rsidRPr="00315345" w:rsidRDefault="004230B2" w:rsidP="00B44F57">
            <w:pPr>
              <w:pStyle w:val="Table-Header"/>
            </w:pPr>
            <w:r w:rsidRPr="00315345">
              <w:t>Environment</w:t>
            </w:r>
          </w:p>
        </w:tc>
        <w:tc>
          <w:tcPr>
            <w:tcW w:w="2034" w:type="dxa"/>
            <w:shd w:val="clear" w:color="auto" w:fill="008272"/>
          </w:tcPr>
          <w:p w14:paraId="5836C556" w14:textId="77777777" w:rsidR="004230B2" w:rsidRPr="00315345" w:rsidRDefault="004230B2" w:rsidP="00B44F57">
            <w:pPr>
              <w:pStyle w:val="Table-Header"/>
            </w:pPr>
            <w:r w:rsidRPr="00315345">
              <w:t>Location</w:t>
            </w:r>
          </w:p>
        </w:tc>
        <w:tc>
          <w:tcPr>
            <w:tcW w:w="1890" w:type="dxa"/>
            <w:shd w:val="clear" w:color="auto" w:fill="008272"/>
          </w:tcPr>
          <w:p w14:paraId="5836C557" w14:textId="77777777" w:rsidR="004230B2" w:rsidRPr="00315345" w:rsidRDefault="003A58A8" w:rsidP="00B44F57">
            <w:pPr>
              <w:pStyle w:val="Table-Header"/>
            </w:pPr>
            <w:r w:rsidRPr="00315345">
              <w:t>Responsibility</w:t>
            </w:r>
          </w:p>
        </w:tc>
        <w:tc>
          <w:tcPr>
            <w:tcW w:w="2810" w:type="dxa"/>
            <w:shd w:val="clear" w:color="auto" w:fill="008272"/>
          </w:tcPr>
          <w:p w14:paraId="5836C558" w14:textId="77777777" w:rsidR="004230B2" w:rsidRPr="00315345" w:rsidRDefault="003A58A8" w:rsidP="00B44F57">
            <w:pPr>
              <w:pStyle w:val="Table-Header"/>
            </w:pPr>
            <w:r w:rsidRPr="00315345">
              <w:t>Ready by</w:t>
            </w:r>
          </w:p>
        </w:tc>
      </w:tr>
      <w:tr w:rsidR="00AA115C" w:rsidRPr="00DB3CDA" w14:paraId="5836C55E" w14:textId="77777777" w:rsidTr="00E57B0A">
        <w:trPr>
          <w:trHeight w:val="437"/>
        </w:trPr>
        <w:tc>
          <w:tcPr>
            <w:tcW w:w="2558" w:type="dxa"/>
            <w:shd w:val="clear" w:color="auto" w:fill="auto"/>
          </w:tcPr>
          <w:p w14:paraId="5836C55A" w14:textId="5DCA78CE" w:rsidR="00AA115C" w:rsidRPr="00315345" w:rsidRDefault="00AA115C" w:rsidP="00AA115C">
            <w:pPr>
              <w:pStyle w:val="TableText"/>
            </w:pPr>
            <w:r w:rsidRPr="00315345">
              <w:t>Migration</w:t>
            </w:r>
          </w:p>
        </w:tc>
        <w:tc>
          <w:tcPr>
            <w:tcW w:w="2034" w:type="dxa"/>
            <w:shd w:val="clear" w:color="auto" w:fill="FFFFFF" w:themeFill="background1"/>
          </w:tcPr>
          <w:p w14:paraId="5836C55B" w14:textId="54B4F83C" w:rsidR="00AA115C" w:rsidRPr="00315345" w:rsidRDefault="00AA115C" w:rsidP="00AA115C">
            <w:pPr>
              <w:pStyle w:val="TableText"/>
              <w:rPr>
                <w:rFonts w:ascii="Segoe UI Semilight" w:hAnsi="Segoe UI Semilight"/>
              </w:rPr>
            </w:pPr>
            <w:r w:rsidRPr="00315345">
              <w:t>Azure</w:t>
            </w:r>
          </w:p>
        </w:tc>
        <w:tc>
          <w:tcPr>
            <w:tcW w:w="1890" w:type="dxa"/>
            <w:shd w:val="clear" w:color="auto" w:fill="FFFFFF" w:themeFill="background1"/>
          </w:tcPr>
          <w:p w14:paraId="5836C55C" w14:textId="5E5FB0CC" w:rsidR="00AA115C" w:rsidRPr="00315345" w:rsidRDefault="005721AD" w:rsidP="00AA115C">
            <w:pPr>
              <w:pStyle w:val="TableText"/>
              <w:rPr>
                <w:rFonts w:ascii="Segoe UI Semilight" w:hAnsi="Segoe UI Semilight"/>
              </w:rPr>
            </w:pPr>
            <w:r w:rsidRPr="00315345">
              <w:t>Customer</w:t>
            </w:r>
          </w:p>
        </w:tc>
        <w:tc>
          <w:tcPr>
            <w:tcW w:w="2810" w:type="dxa"/>
            <w:shd w:val="clear" w:color="auto" w:fill="FFFFFF" w:themeFill="background1"/>
          </w:tcPr>
          <w:p w14:paraId="5836C55D" w14:textId="5A1DD6D2" w:rsidR="00AA115C" w:rsidRPr="00315345" w:rsidRDefault="00AF6B52" w:rsidP="00AA115C">
            <w:pPr>
              <w:pStyle w:val="TableText"/>
              <w:rPr>
                <w:rFonts w:ascii="Segoe UI Semilight" w:hAnsi="Segoe UI Semilight"/>
              </w:rPr>
            </w:pPr>
            <w:r w:rsidRPr="00315345">
              <w:t>Start of the project</w:t>
            </w:r>
          </w:p>
        </w:tc>
      </w:tr>
      <w:tr w:rsidR="00AA115C" w:rsidRPr="00DB3CDA" w14:paraId="5836C563" w14:textId="77777777" w:rsidTr="00E57B0A">
        <w:trPr>
          <w:trHeight w:val="437"/>
        </w:trPr>
        <w:tc>
          <w:tcPr>
            <w:tcW w:w="2558" w:type="dxa"/>
            <w:shd w:val="clear" w:color="auto" w:fill="auto"/>
          </w:tcPr>
          <w:p w14:paraId="5836C55F" w14:textId="10288DD3" w:rsidR="00AA115C" w:rsidRPr="00315345" w:rsidRDefault="005721AD" w:rsidP="00AA115C">
            <w:pPr>
              <w:pStyle w:val="TableText"/>
            </w:pPr>
            <w:r w:rsidRPr="00315345">
              <w:lastRenderedPageBreak/>
              <w:t xml:space="preserve">Current </w:t>
            </w:r>
            <w:r w:rsidR="00AA115C" w:rsidRPr="00315345">
              <w:t xml:space="preserve">Production </w:t>
            </w:r>
          </w:p>
        </w:tc>
        <w:tc>
          <w:tcPr>
            <w:tcW w:w="2034" w:type="dxa"/>
            <w:shd w:val="clear" w:color="auto" w:fill="FFFFFF" w:themeFill="background1"/>
          </w:tcPr>
          <w:p w14:paraId="5836C560" w14:textId="652B5490" w:rsidR="00AA115C" w:rsidRPr="00315345" w:rsidRDefault="003E1605" w:rsidP="00AA115C">
            <w:pPr>
              <w:pStyle w:val="TableText"/>
              <w:rPr>
                <w:rFonts w:ascii="Segoe UI Semilight" w:hAnsi="Segoe UI Semilight"/>
              </w:rPr>
            </w:pPr>
            <w:r w:rsidRPr="00315345">
              <w:t>Customer</w:t>
            </w:r>
          </w:p>
        </w:tc>
        <w:tc>
          <w:tcPr>
            <w:tcW w:w="1890" w:type="dxa"/>
            <w:shd w:val="clear" w:color="auto" w:fill="FFFFFF" w:themeFill="background1"/>
          </w:tcPr>
          <w:p w14:paraId="5836C561" w14:textId="1BA9B970" w:rsidR="00AA115C" w:rsidRPr="00315345" w:rsidRDefault="00AA115C" w:rsidP="00AA115C">
            <w:pPr>
              <w:pStyle w:val="TableText"/>
              <w:rPr>
                <w:rFonts w:ascii="Segoe UI Semilight" w:hAnsi="Segoe UI Semilight"/>
              </w:rPr>
            </w:pPr>
            <w:r w:rsidRPr="00315345">
              <w:t xml:space="preserve">Customer </w:t>
            </w:r>
          </w:p>
        </w:tc>
        <w:tc>
          <w:tcPr>
            <w:tcW w:w="2810" w:type="dxa"/>
            <w:shd w:val="clear" w:color="auto" w:fill="FFFFFF" w:themeFill="background1"/>
          </w:tcPr>
          <w:p w14:paraId="5836C562" w14:textId="74F90E01" w:rsidR="00AA115C" w:rsidRPr="00315345" w:rsidRDefault="00AF6B52" w:rsidP="00AA115C">
            <w:pPr>
              <w:pStyle w:val="TableText"/>
              <w:rPr>
                <w:rFonts w:ascii="Segoe UI Semilight" w:hAnsi="Segoe UI Semilight"/>
              </w:rPr>
            </w:pPr>
            <w:r w:rsidRPr="00315345">
              <w:t>Start of the project</w:t>
            </w:r>
          </w:p>
        </w:tc>
      </w:tr>
      <w:tr w:rsidR="000E254F" w:rsidRPr="00DB3CDA" w14:paraId="49E22E7C" w14:textId="77777777" w:rsidTr="00E57B0A">
        <w:trPr>
          <w:trHeight w:val="437"/>
        </w:trPr>
        <w:tc>
          <w:tcPr>
            <w:tcW w:w="2558" w:type="dxa"/>
            <w:shd w:val="clear" w:color="auto" w:fill="auto"/>
          </w:tcPr>
          <w:p w14:paraId="2C486695" w14:textId="6D55EDB8" w:rsidR="000E254F" w:rsidRPr="00315345" w:rsidRDefault="000E254F" w:rsidP="000E254F">
            <w:pPr>
              <w:pStyle w:val="TableText"/>
            </w:pPr>
            <w:r w:rsidRPr="00315345">
              <w:t>New</w:t>
            </w:r>
            <w:r w:rsidR="005721AD" w:rsidRPr="00315345">
              <w:t xml:space="preserve"> production</w:t>
            </w:r>
          </w:p>
        </w:tc>
        <w:tc>
          <w:tcPr>
            <w:tcW w:w="2034" w:type="dxa"/>
            <w:shd w:val="clear" w:color="auto" w:fill="FFFFFF" w:themeFill="background1"/>
          </w:tcPr>
          <w:p w14:paraId="709426FC" w14:textId="04659149" w:rsidR="000E254F" w:rsidRPr="00315345" w:rsidRDefault="000E254F" w:rsidP="000E254F">
            <w:pPr>
              <w:pStyle w:val="TableText"/>
            </w:pPr>
            <w:r w:rsidRPr="00315345">
              <w:t>SharePoint Online</w:t>
            </w:r>
          </w:p>
        </w:tc>
        <w:tc>
          <w:tcPr>
            <w:tcW w:w="1890" w:type="dxa"/>
            <w:shd w:val="clear" w:color="auto" w:fill="FFFFFF" w:themeFill="background1"/>
          </w:tcPr>
          <w:p w14:paraId="7EA88EF9" w14:textId="100F83FC" w:rsidR="000E254F" w:rsidRPr="00315345" w:rsidRDefault="000E254F" w:rsidP="000E254F">
            <w:pPr>
              <w:pStyle w:val="TableText"/>
            </w:pPr>
            <w:r w:rsidRPr="00315345">
              <w:t xml:space="preserve">Customer </w:t>
            </w:r>
          </w:p>
        </w:tc>
        <w:tc>
          <w:tcPr>
            <w:tcW w:w="2810" w:type="dxa"/>
            <w:shd w:val="clear" w:color="auto" w:fill="FFFFFF" w:themeFill="background1"/>
          </w:tcPr>
          <w:p w14:paraId="2381E95C" w14:textId="485EDD6D" w:rsidR="000E254F" w:rsidRPr="00315345" w:rsidRDefault="000E254F" w:rsidP="000E254F">
            <w:pPr>
              <w:pStyle w:val="TableText"/>
            </w:pPr>
            <w:r w:rsidRPr="00315345">
              <w:t>Start of the project</w:t>
            </w:r>
          </w:p>
        </w:tc>
      </w:tr>
      <w:tr w:rsidR="000E254F" w:rsidRPr="00DB3CDA" w14:paraId="36F58720" w14:textId="77777777" w:rsidTr="00E57B0A">
        <w:trPr>
          <w:trHeight w:val="437"/>
        </w:trPr>
        <w:tc>
          <w:tcPr>
            <w:tcW w:w="2558" w:type="dxa"/>
            <w:shd w:val="clear" w:color="auto" w:fill="auto"/>
          </w:tcPr>
          <w:p w14:paraId="12F75995" w14:textId="04DB5459" w:rsidR="000E254F" w:rsidRPr="00315345" w:rsidRDefault="00511B01" w:rsidP="000E254F">
            <w:pPr>
              <w:pStyle w:val="TableText"/>
            </w:pPr>
            <w:r w:rsidRPr="00315345">
              <w:t>Infrastructure for incremental migrations</w:t>
            </w:r>
          </w:p>
        </w:tc>
        <w:tc>
          <w:tcPr>
            <w:tcW w:w="2034" w:type="dxa"/>
            <w:shd w:val="clear" w:color="auto" w:fill="FFFFFF" w:themeFill="background1"/>
          </w:tcPr>
          <w:p w14:paraId="36346A18" w14:textId="707E543C" w:rsidR="000E254F" w:rsidRPr="00315345" w:rsidRDefault="003E1605" w:rsidP="000E254F">
            <w:pPr>
              <w:pStyle w:val="TableText"/>
            </w:pPr>
            <w:r w:rsidRPr="00315345">
              <w:t>Customer</w:t>
            </w:r>
          </w:p>
        </w:tc>
        <w:tc>
          <w:tcPr>
            <w:tcW w:w="1890" w:type="dxa"/>
            <w:shd w:val="clear" w:color="auto" w:fill="FFFFFF" w:themeFill="background1"/>
          </w:tcPr>
          <w:p w14:paraId="13D6E0B4" w14:textId="0A52FB79" w:rsidR="000E254F" w:rsidRPr="00315345" w:rsidRDefault="000E254F" w:rsidP="000E254F">
            <w:pPr>
              <w:pStyle w:val="TableText"/>
            </w:pPr>
            <w:r w:rsidRPr="00315345">
              <w:t xml:space="preserve">Customer </w:t>
            </w:r>
          </w:p>
        </w:tc>
        <w:tc>
          <w:tcPr>
            <w:tcW w:w="2810" w:type="dxa"/>
            <w:shd w:val="clear" w:color="auto" w:fill="FFFFFF" w:themeFill="background1"/>
          </w:tcPr>
          <w:p w14:paraId="357725E5" w14:textId="2C42698D" w:rsidR="000E254F" w:rsidRPr="00315345" w:rsidRDefault="000E254F" w:rsidP="000E254F">
            <w:pPr>
              <w:pStyle w:val="TableText"/>
            </w:pPr>
            <w:r w:rsidRPr="00315345">
              <w:t>Start of the project</w:t>
            </w:r>
          </w:p>
        </w:tc>
      </w:tr>
    </w:tbl>
    <w:p w14:paraId="5836C573" w14:textId="77777777" w:rsidR="00D812F8" w:rsidRDefault="00D812F8" w:rsidP="00C84DD9">
      <w:pPr>
        <w:pStyle w:val="Heading3"/>
      </w:pPr>
      <w:bookmarkStart w:id="24" w:name="_Toc476168030"/>
      <w:bookmarkStart w:id="25" w:name="_Ref477932815"/>
      <w:r>
        <w:t>Testing</w:t>
      </w:r>
      <w:r w:rsidR="008C6B1A">
        <w:t xml:space="preserve"> and defect remediation</w:t>
      </w:r>
      <w:bookmarkEnd w:id="24"/>
      <w:bookmarkEnd w:id="25"/>
    </w:p>
    <w:p w14:paraId="5836C575" w14:textId="77777777" w:rsidR="00DB3CDA" w:rsidRPr="00C313CC" w:rsidRDefault="00DB3CDA" w:rsidP="00C313CC">
      <w:pPr>
        <w:pStyle w:val="Heading4"/>
      </w:pPr>
      <w:r w:rsidRPr="00C313CC">
        <w:t>Testing</w:t>
      </w:r>
    </w:p>
    <w:p w14:paraId="5836C576" w14:textId="60811859" w:rsidR="00FA3D21" w:rsidRPr="003E7B6A" w:rsidRDefault="00FA3D21" w:rsidP="00FF4E50">
      <w:r>
        <w:t xml:space="preserve">The following testing is included in </w:t>
      </w:r>
      <w:r w:rsidR="00895AD2">
        <w:t xml:space="preserve">the </w:t>
      </w:r>
      <w:r>
        <w:t xml:space="preserve">scope </w:t>
      </w:r>
      <w:r w:rsidR="00895AD2">
        <w:t xml:space="preserve">of </w:t>
      </w:r>
      <w:r>
        <w:t>the project</w:t>
      </w:r>
      <w:r w:rsidR="003C1EDE">
        <w:t>.</w:t>
      </w:r>
      <w:r w:rsidR="00EA26FD">
        <w:t xml:space="preserve"> </w:t>
      </w:r>
      <w:r w:rsidR="00A6780F">
        <w:t xml:space="preserve">If the </w:t>
      </w:r>
      <w:r w:rsidR="0015000E">
        <w:t>c</w:t>
      </w:r>
      <w:r w:rsidR="00A6780F">
        <w:t>ustomer has responsibility for testing, the Microsoft effort to support that activity is identified</w:t>
      </w:r>
      <w:r w:rsidR="00E06254">
        <w:t>. I</w:t>
      </w:r>
      <w:r w:rsidR="00D17C12">
        <w:t>f additional time is needed for Microsoft test</w:t>
      </w:r>
      <w:r w:rsidR="00ED7049">
        <w:t>ing</w:t>
      </w:r>
      <w:r w:rsidR="00D17C12">
        <w:t xml:space="preserve"> support, </w:t>
      </w:r>
      <w:r w:rsidR="00E06254">
        <w:t xml:space="preserve">then </w:t>
      </w:r>
      <w:r w:rsidR="00667E45">
        <w:t xml:space="preserve">it </w:t>
      </w:r>
      <w:r w:rsidR="003F6207">
        <w:t xml:space="preserve">can be requested through the </w:t>
      </w:r>
      <w:r w:rsidR="00667E45">
        <w:fldChar w:fldCharType="begin"/>
      </w:r>
      <w:r w:rsidR="00667E45">
        <w:instrText xml:space="preserve"> REF _Ref477866682 \h </w:instrText>
      </w:r>
      <w:r w:rsidR="00667E45">
        <w:fldChar w:fldCharType="separate"/>
      </w:r>
      <w:r w:rsidR="00812548">
        <w:t>Change management process</w:t>
      </w:r>
      <w:r w:rsidR="00667E45">
        <w:fldChar w:fldCharType="end"/>
      </w:r>
      <w:r w:rsidR="00667E45">
        <w:t xml:space="preserve"> </w:t>
      </w:r>
      <w:r w:rsidR="00D17C12">
        <w:t xml:space="preserve">described in this </w:t>
      </w:r>
      <w:r w:rsidR="003F6207">
        <w:t>S</w:t>
      </w:r>
      <w:r w:rsidR="00E40CE7">
        <w:t>OW</w:t>
      </w:r>
      <w:r w:rsidR="003F6207">
        <w:t>.</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3690"/>
        <w:gridCol w:w="1300"/>
        <w:gridCol w:w="1300"/>
        <w:gridCol w:w="1300"/>
      </w:tblGrid>
      <w:tr w:rsidR="00B5324B" w:rsidRPr="005F3BAF" w14:paraId="5836C57A" w14:textId="77777777" w:rsidTr="0040341A">
        <w:trPr>
          <w:trHeight w:val="362"/>
          <w:tblHeader/>
        </w:trPr>
        <w:tc>
          <w:tcPr>
            <w:tcW w:w="1802" w:type="dxa"/>
            <w:vMerge w:val="restart"/>
            <w:shd w:val="clear" w:color="auto" w:fill="008272"/>
          </w:tcPr>
          <w:p w14:paraId="5836C577" w14:textId="77777777" w:rsidR="00B5324B" w:rsidRPr="00B5324B" w:rsidRDefault="00B5324B" w:rsidP="00B44F57">
            <w:pPr>
              <w:pStyle w:val="Table-Header"/>
            </w:pPr>
            <w:r w:rsidRPr="00B5324B">
              <w:t>Test type (environment)</w:t>
            </w:r>
          </w:p>
        </w:tc>
        <w:tc>
          <w:tcPr>
            <w:tcW w:w="3690" w:type="dxa"/>
            <w:vMerge w:val="restart"/>
            <w:shd w:val="clear" w:color="auto" w:fill="008272"/>
          </w:tcPr>
          <w:p w14:paraId="5836C578" w14:textId="77777777" w:rsidR="00B5324B" w:rsidRPr="00B5324B" w:rsidRDefault="00B5324B" w:rsidP="00B44F57">
            <w:pPr>
              <w:pStyle w:val="Table-Header"/>
            </w:pPr>
            <w:r w:rsidRPr="00B5324B">
              <w:t>Description</w:t>
            </w:r>
          </w:p>
        </w:tc>
        <w:tc>
          <w:tcPr>
            <w:tcW w:w="3900" w:type="dxa"/>
            <w:gridSpan w:val="3"/>
            <w:shd w:val="clear" w:color="auto" w:fill="008272"/>
          </w:tcPr>
          <w:p w14:paraId="5836C579" w14:textId="77777777" w:rsidR="00B5324B" w:rsidRPr="00B5324B" w:rsidRDefault="00B5324B" w:rsidP="00B44F57">
            <w:pPr>
              <w:pStyle w:val="Table-Header"/>
              <w:rPr>
                <w:szCs w:val="18"/>
              </w:rPr>
            </w:pPr>
            <w:r w:rsidRPr="00B5324B">
              <w:rPr>
                <w:szCs w:val="18"/>
              </w:rPr>
              <w:t>Responsibility</w:t>
            </w:r>
          </w:p>
        </w:tc>
      </w:tr>
      <w:tr w:rsidR="003845C1" w:rsidRPr="005F3BAF" w14:paraId="5836C580" w14:textId="77777777" w:rsidTr="0040341A">
        <w:trPr>
          <w:trHeight w:val="362"/>
          <w:tblHeader/>
        </w:trPr>
        <w:tc>
          <w:tcPr>
            <w:tcW w:w="1802" w:type="dxa"/>
            <w:vMerge/>
            <w:shd w:val="clear" w:color="auto" w:fill="008272"/>
          </w:tcPr>
          <w:p w14:paraId="5836C57B" w14:textId="77777777" w:rsidR="00B5324B" w:rsidRPr="00B5324B" w:rsidRDefault="00B5324B" w:rsidP="00B44F57">
            <w:pPr>
              <w:pStyle w:val="Table-Header"/>
            </w:pPr>
          </w:p>
        </w:tc>
        <w:tc>
          <w:tcPr>
            <w:tcW w:w="3690" w:type="dxa"/>
            <w:vMerge/>
            <w:shd w:val="clear" w:color="auto" w:fill="008272"/>
          </w:tcPr>
          <w:p w14:paraId="5836C57C" w14:textId="77777777" w:rsidR="00B5324B" w:rsidRPr="00B5324B" w:rsidRDefault="00B5324B" w:rsidP="00B44F57">
            <w:pPr>
              <w:pStyle w:val="Table-Header"/>
            </w:pPr>
          </w:p>
        </w:tc>
        <w:tc>
          <w:tcPr>
            <w:tcW w:w="1300" w:type="dxa"/>
            <w:shd w:val="clear" w:color="auto" w:fill="008272"/>
          </w:tcPr>
          <w:p w14:paraId="5836C57D" w14:textId="77777777" w:rsidR="00B5324B" w:rsidRPr="00BB0E7F" w:rsidRDefault="003845C1" w:rsidP="00B44F57">
            <w:pPr>
              <w:pStyle w:val="Table-Header"/>
              <w:rPr>
                <w:b w:val="0"/>
                <w:sz w:val="18"/>
                <w:szCs w:val="18"/>
              </w:rPr>
            </w:pPr>
            <w:r w:rsidRPr="00BB0E7F">
              <w:rPr>
                <w:b w:val="0"/>
                <w:sz w:val="18"/>
                <w:szCs w:val="18"/>
              </w:rPr>
              <w:t xml:space="preserve">Has responsibility </w:t>
            </w:r>
            <w:r w:rsidRPr="00BB0E7F">
              <w:rPr>
                <w:b w:val="0"/>
                <w:sz w:val="18"/>
                <w:szCs w:val="18"/>
              </w:rPr>
              <w:br/>
              <w:t>for testing?</w:t>
            </w:r>
          </w:p>
        </w:tc>
        <w:tc>
          <w:tcPr>
            <w:tcW w:w="1300" w:type="dxa"/>
            <w:shd w:val="clear" w:color="auto" w:fill="008272"/>
          </w:tcPr>
          <w:p w14:paraId="5836C57E" w14:textId="77777777" w:rsidR="00B5324B" w:rsidRPr="00BB0E7F" w:rsidRDefault="00B5324B" w:rsidP="00B44F57">
            <w:pPr>
              <w:pStyle w:val="Table-Header"/>
              <w:rPr>
                <w:b w:val="0"/>
                <w:sz w:val="18"/>
                <w:szCs w:val="18"/>
              </w:rPr>
            </w:pPr>
            <w:r w:rsidRPr="00BB0E7F">
              <w:rPr>
                <w:b w:val="0"/>
                <w:sz w:val="18"/>
                <w:szCs w:val="18"/>
              </w:rPr>
              <w:t>Provide</w:t>
            </w:r>
            <w:r w:rsidR="004C536F" w:rsidRPr="00BB0E7F">
              <w:rPr>
                <w:b w:val="0"/>
                <w:sz w:val="18"/>
                <w:szCs w:val="18"/>
              </w:rPr>
              <w:t>s</w:t>
            </w:r>
            <w:r w:rsidRPr="00BB0E7F">
              <w:rPr>
                <w:b w:val="0"/>
                <w:sz w:val="18"/>
                <w:szCs w:val="18"/>
              </w:rPr>
              <w:t xml:space="preserve"> data</w:t>
            </w:r>
            <w:r w:rsidR="004C536F" w:rsidRPr="00BB0E7F">
              <w:rPr>
                <w:b w:val="0"/>
                <w:sz w:val="18"/>
                <w:szCs w:val="18"/>
              </w:rPr>
              <w:t xml:space="preserve"> or </w:t>
            </w:r>
            <w:r w:rsidRPr="00BB0E7F">
              <w:rPr>
                <w:b w:val="0"/>
                <w:sz w:val="18"/>
                <w:szCs w:val="18"/>
              </w:rPr>
              <w:t>test cases</w:t>
            </w:r>
          </w:p>
        </w:tc>
        <w:tc>
          <w:tcPr>
            <w:tcW w:w="1300" w:type="dxa"/>
            <w:shd w:val="clear" w:color="auto" w:fill="008272"/>
          </w:tcPr>
          <w:p w14:paraId="5836C57F" w14:textId="77777777" w:rsidR="00B5324B" w:rsidRPr="00BB0E7F" w:rsidRDefault="004C536F" w:rsidP="00B44F57">
            <w:pPr>
              <w:pStyle w:val="Table-Header"/>
              <w:rPr>
                <w:b w:val="0"/>
                <w:sz w:val="18"/>
                <w:szCs w:val="18"/>
              </w:rPr>
            </w:pPr>
            <w:r w:rsidRPr="00BB0E7F">
              <w:rPr>
                <w:b w:val="0"/>
                <w:sz w:val="18"/>
                <w:szCs w:val="18"/>
              </w:rPr>
              <w:t xml:space="preserve">Provides guidance </w:t>
            </w:r>
            <w:r w:rsidR="00B5324B" w:rsidRPr="00BB0E7F">
              <w:rPr>
                <w:b w:val="0"/>
                <w:sz w:val="18"/>
                <w:szCs w:val="18"/>
              </w:rPr>
              <w:t>and support</w:t>
            </w:r>
          </w:p>
        </w:tc>
      </w:tr>
      <w:tr w:rsidR="00354289" w:rsidRPr="005F3BAF" w14:paraId="5836C586" w14:textId="77777777" w:rsidTr="00D62C4A">
        <w:trPr>
          <w:trHeight w:val="362"/>
        </w:trPr>
        <w:tc>
          <w:tcPr>
            <w:tcW w:w="1802" w:type="dxa"/>
            <w:shd w:val="clear" w:color="auto" w:fill="auto"/>
          </w:tcPr>
          <w:p w14:paraId="5836C581" w14:textId="5FED9EE8" w:rsidR="00354289" w:rsidRPr="00354289" w:rsidRDefault="00354289" w:rsidP="00354289">
            <w:pPr>
              <w:pStyle w:val="TableText"/>
              <w:rPr>
                <w:lang w:val="es-PR"/>
              </w:rPr>
            </w:pPr>
            <w:r w:rsidRPr="00CD390D">
              <w:rPr>
                <w:lang w:val="en"/>
              </w:rPr>
              <w:t>Sample migration Tests</w:t>
            </w:r>
          </w:p>
        </w:tc>
        <w:tc>
          <w:tcPr>
            <w:tcW w:w="3690" w:type="dxa"/>
            <w:shd w:val="clear" w:color="auto" w:fill="auto"/>
          </w:tcPr>
          <w:p w14:paraId="5836C582" w14:textId="03920611" w:rsidR="00354289" w:rsidRPr="000F189F" w:rsidRDefault="00EC28B7" w:rsidP="00354289">
            <w:pPr>
              <w:pStyle w:val="TableText"/>
            </w:pPr>
            <w:r w:rsidRPr="00CD390D">
              <w:rPr>
                <w:lang w:val="en"/>
              </w:rPr>
              <w:t>This consists of sample migration tests that will verify that the migration process is working properly and that the content is being updated with the agreed fidelity and expected performance.</w:t>
            </w:r>
          </w:p>
        </w:tc>
        <w:tc>
          <w:tcPr>
            <w:tcW w:w="1300" w:type="dxa"/>
            <w:shd w:val="clear" w:color="auto" w:fill="FFFFFF" w:themeFill="background1"/>
          </w:tcPr>
          <w:p w14:paraId="5836C583" w14:textId="297D37CB" w:rsidR="00354289" w:rsidRPr="00D0227D" w:rsidRDefault="000F189F" w:rsidP="00354289">
            <w:pPr>
              <w:pStyle w:val="TableText"/>
            </w:pPr>
            <w:r>
              <w:t>Customer</w:t>
            </w:r>
          </w:p>
        </w:tc>
        <w:tc>
          <w:tcPr>
            <w:tcW w:w="1300" w:type="dxa"/>
            <w:shd w:val="clear" w:color="auto" w:fill="FFFFFF" w:themeFill="background1"/>
          </w:tcPr>
          <w:p w14:paraId="5836C584" w14:textId="4CC43D49" w:rsidR="00354289" w:rsidRPr="00D0227D" w:rsidRDefault="000F189F" w:rsidP="00354289">
            <w:pPr>
              <w:pStyle w:val="TableText"/>
            </w:pPr>
            <w:r>
              <w:rPr>
                <w:lang w:val="es-PR"/>
              </w:rPr>
              <w:t>Customer</w:t>
            </w:r>
          </w:p>
        </w:tc>
        <w:tc>
          <w:tcPr>
            <w:tcW w:w="1300" w:type="dxa"/>
            <w:shd w:val="clear" w:color="auto" w:fill="FFFFFF" w:themeFill="background1"/>
          </w:tcPr>
          <w:p w14:paraId="5836C585" w14:textId="3F75A573" w:rsidR="00354289" w:rsidRPr="00D0227D" w:rsidRDefault="00354289" w:rsidP="00354289">
            <w:pPr>
              <w:pStyle w:val="TableText"/>
            </w:pPr>
            <w:r w:rsidRPr="00CD390D">
              <w:rPr>
                <w:lang w:val="es-PR"/>
              </w:rPr>
              <w:t>Microsoft</w:t>
            </w:r>
          </w:p>
        </w:tc>
      </w:tr>
      <w:tr w:rsidR="00354289" w:rsidRPr="005F3BAF" w14:paraId="5836C58C" w14:textId="77777777" w:rsidTr="00D62C4A">
        <w:trPr>
          <w:trHeight w:val="362"/>
        </w:trPr>
        <w:tc>
          <w:tcPr>
            <w:tcW w:w="1802" w:type="dxa"/>
            <w:shd w:val="clear" w:color="auto" w:fill="auto"/>
          </w:tcPr>
          <w:p w14:paraId="5836C587" w14:textId="01EAB15B" w:rsidR="00354289" w:rsidRPr="00D0227D" w:rsidRDefault="00354289" w:rsidP="00354289">
            <w:pPr>
              <w:pStyle w:val="TableText"/>
            </w:pPr>
            <w:r>
              <w:t>Validation</w:t>
            </w:r>
            <w:r w:rsidRPr="00E31ED6">
              <w:t xml:space="preserve"> for valid on review (VOR) content</w:t>
            </w:r>
          </w:p>
        </w:tc>
        <w:tc>
          <w:tcPr>
            <w:tcW w:w="3690" w:type="dxa"/>
            <w:shd w:val="clear" w:color="auto" w:fill="auto"/>
          </w:tcPr>
          <w:p w14:paraId="5836C588" w14:textId="79F69698" w:rsidR="00354289" w:rsidRPr="00D0227D" w:rsidRDefault="00354289" w:rsidP="00354289">
            <w:pPr>
              <w:pStyle w:val="TableText"/>
            </w:pPr>
            <w:r w:rsidRPr="00E31ED6">
              <w:t xml:space="preserve">After </w:t>
            </w:r>
            <w:r>
              <w:t>4 business days,</w:t>
            </w:r>
            <w:r w:rsidRPr="00E31ED6">
              <w:t xml:space="preserve"> </w:t>
            </w:r>
            <w:r>
              <w:t xml:space="preserve">migrated sites </w:t>
            </w:r>
            <w:r w:rsidRPr="00E31ED6">
              <w:t xml:space="preserve">will be </w:t>
            </w:r>
            <w:r>
              <w:t>considered</w:t>
            </w:r>
            <w:r w:rsidRPr="00E31ED6">
              <w:t xml:space="preserve"> </w:t>
            </w:r>
            <w:r>
              <w:t>accepted</w:t>
            </w:r>
            <w:r w:rsidRPr="00E31ED6">
              <w:t xml:space="preserve"> unless otherwise reported </w:t>
            </w:r>
            <w:r>
              <w:t>previously</w:t>
            </w:r>
            <w:r w:rsidRPr="00E31ED6">
              <w:t>.</w:t>
            </w:r>
          </w:p>
        </w:tc>
        <w:tc>
          <w:tcPr>
            <w:tcW w:w="1300" w:type="dxa"/>
            <w:shd w:val="clear" w:color="auto" w:fill="FFFFFF" w:themeFill="background1"/>
          </w:tcPr>
          <w:p w14:paraId="5836C589" w14:textId="504A4092" w:rsidR="00354289" w:rsidRPr="00D0227D" w:rsidRDefault="00354289" w:rsidP="00354289">
            <w:pPr>
              <w:pStyle w:val="TableText"/>
            </w:pPr>
            <w:r>
              <w:t>Customer</w:t>
            </w:r>
          </w:p>
        </w:tc>
        <w:tc>
          <w:tcPr>
            <w:tcW w:w="1300" w:type="dxa"/>
            <w:shd w:val="clear" w:color="auto" w:fill="FFFFFF" w:themeFill="background1"/>
          </w:tcPr>
          <w:p w14:paraId="5836C58A" w14:textId="77777777" w:rsidR="00354289" w:rsidRPr="00D0227D" w:rsidRDefault="00354289" w:rsidP="00354289">
            <w:pPr>
              <w:pStyle w:val="TableText"/>
            </w:pPr>
            <w:r w:rsidRPr="00D013A5">
              <w:t>Customer</w:t>
            </w:r>
          </w:p>
        </w:tc>
        <w:tc>
          <w:tcPr>
            <w:tcW w:w="1300" w:type="dxa"/>
            <w:shd w:val="clear" w:color="auto" w:fill="FFFFFF" w:themeFill="background1"/>
          </w:tcPr>
          <w:p w14:paraId="5836C58B" w14:textId="1C1CE1D7" w:rsidR="00354289" w:rsidRPr="00D0227D" w:rsidRDefault="00354289" w:rsidP="00354289">
            <w:pPr>
              <w:pStyle w:val="TableText"/>
            </w:pPr>
            <w:r>
              <w:t>Microsoft</w:t>
            </w:r>
          </w:p>
        </w:tc>
      </w:tr>
    </w:tbl>
    <w:p w14:paraId="5836C59F" w14:textId="77777777" w:rsidR="003E7B6A" w:rsidRPr="004F4BCE" w:rsidRDefault="008C6B1A" w:rsidP="00A6780F">
      <w:pPr>
        <w:pStyle w:val="Heading4"/>
      </w:pPr>
      <w:r w:rsidRPr="004F4BCE">
        <w:t>Defect remediation</w:t>
      </w:r>
    </w:p>
    <w:p w14:paraId="5836C5A0" w14:textId="47BFEE4A" w:rsidR="008C6B1A" w:rsidRDefault="00A6780F" w:rsidP="003E7B6A">
      <w:r>
        <w:t>If</w:t>
      </w:r>
      <w:r w:rsidR="008C6B1A">
        <w:t xml:space="preserve"> defects are identified during testing, the priority of the item will be jointly agreed</w:t>
      </w:r>
      <w:r w:rsidR="00843775">
        <w:t xml:space="preserve"> upon</w:t>
      </w:r>
      <w:r w:rsidR="008C6B1A">
        <w:t xml:space="preserve"> </w:t>
      </w:r>
      <w:r w:rsidR="00843775">
        <w:t xml:space="preserve">by </w:t>
      </w:r>
      <w:r w:rsidR="0030297C">
        <w:t xml:space="preserve">the </w:t>
      </w:r>
      <w:r w:rsidR="0015000E">
        <w:t>c</w:t>
      </w:r>
      <w:r w:rsidR="008C6B1A">
        <w:t>ustomer and Microsoft. Defect</w:t>
      </w:r>
      <w:r w:rsidR="00140C9E">
        <w:t xml:space="preserve"> prioritization is </w:t>
      </w:r>
      <w:r w:rsidR="008C6B1A">
        <w:t>defined in the following table</w:t>
      </w:r>
      <w:r w:rsidR="00D429F9">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040"/>
        <w:gridCol w:w="3237"/>
      </w:tblGrid>
      <w:tr w:rsidR="000D4E93" w:rsidRPr="00390A88" w14:paraId="5836C5A4" w14:textId="77777777" w:rsidTr="00057271">
        <w:trPr>
          <w:trHeight w:val="508"/>
          <w:tblHeader/>
        </w:trPr>
        <w:tc>
          <w:tcPr>
            <w:tcW w:w="1082" w:type="dxa"/>
            <w:shd w:val="clear" w:color="auto" w:fill="008272"/>
          </w:tcPr>
          <w:p w14:paraId="5836C5A1" w14:textId="77777777" w:rsidR="000D4E93" w:rsidRPr="004B0557" w:rsidRDefault="000D4E93" w:rsidP="00B44F57">
            <w:pPr>
              <w:pStyle w:val="Table-Header"/>
            </w:pPr>
            <w:r>
              <w:t>Priority</w:t>
            </w:r>
          </w:p>
        </w:tc>
        <w:tc>
          <w:tcPr>
            <w:tcW w:w="5040" w:type="dxa"/>
            <w:shd w:val="clear" w:color="auto" w:fill="008272"/>
          </w:tcPr>
          <w:p w14:paraId="5836C5A2" w14:textId="77777777" w:rsidR="000D4E93" w:rsidRPr="004B0557" w:rsidRDefault="000D4E93" w:rsidP="00B44F57">
            <w:pPr>
              <w:pStyle w:val="Table-Header"/>
            </w:pPr>
            <w:r>
              <w:t>Description</w:t>
            </w:r>
          </w:p>
        </w:tc>
        <w:tc>
          <w:tcPr>
            <w:tcW w:w="3237" w:type="dxa"/>
            <w:shd w:val="clear" w:color="auto" w:fill="008272"/>
          </w:tcPr>
          <w:p w14:paraId="5836C5A3" w14:textId="77777777" w:rsidR="000D4E93" w:rsidRDefault="000D4E93" w:rsidP="00B44F57">
            <w:pPr>
              <w:pStyle w:val="Table-Header"/>
            </w:pPr>
            <w:r>
              <w:t>Remediation in scope?</w:t>
            </w:r>
          </w:p>
        </w:tc>
      </w:tr>
      <w:tr w:rsidR="000D4E93" w14:paraId="5836C5A8" w14:textId="77777777" w:rsidTr="00057271">
        <w:trPr>
          <w:trHeight w:val="432"/>
        </w:trPr>
        <w:tc>
          <w:tcPr>
            <w:tcW w:w="1082" w:type="dxa"/>
            <w:shd w:val="clear" w:color="auto" w:fill="auto"/>
          </w:tcPr>
          <w:p w14:paraId="5836C5A5" w14:textId="77777777" w:rsidR="000D4E93" w:rsidRPr="005F3BAF" w:rsidRDefault="000D4E93" w:rsidP="00117AE2">
            <w:pPr>
              <w:pStyle w:val="TableText"/>
            </w:pPr>
            <w:r>
              <w:t>P1</w:t>
            </w:r>
          </w:p>
        </w:tc>
        <w:tc>
          <w:tcPr>
            <w:tcW w:w="5040" w:type="dxa"/>
            <w:shd w:val="clear" w:color="auto" w:fill="FFFFFF" w:themeFill="background1"/>
          </w:tcPr>
          <w:p w14:paraId="5836C5A6" w14:textId="77777777" w:rsidR="000D4E93" w:rsidRDefault="00D17C12" w:rsidP="00117AE2">
            <w:pPr>
              <w:pStyle w:val="TableText"/>
              <w:rPr>
                <w:rFonts w:ascii="Segoe UI Semilight" w:hAnsi="Segoe UI Semilight"/>
              </w:rPr>
            </w:pPr>
            <w:r>
              <w:rPr>
                <w:rFonts w:cs="Segoe UI"/>
                <w:b/>
                <w:szCs w:val="20"/>
              </w:rPr>
              <w:t xml:space="preserve">Blocking </w:t>
            </w:r>
            <w:r w:rsidR="000D4E93">
              <w:rPr>
                <w:rFonts w:cs="Segoe UI"/>
                <w:b/>
                <w:szCs w:val="20"/>
              </w:rPr>
              <w:t>defect</w:t>
            </w:r>
            <w:r w:rsidR="000D4E93" w:rsidRPr="000D4E93">
              <w:rPr>
                <w:rFonts w:cs="Segoe UI"/>
                <w:szCs w:val="20"/>
              </w:rPr>
              <w:t xml:space="preserve"> </w:t>
            </w:r>
            <w:r w:rsidR="00117AE2">
              <w:rPr>
                <w:rFonts w:cs="Segoe UI"/>
                <w:szCs w:val="20"/>
              </w:rPr>
              <w:br/>
            </w:r>
            <w:r w:rsidR="000D4E93" w:rsidRPr="000D4E93">
              <w:rPr>
                <w:rFonts w:cs="Segoe UI"/>
                <w:szCs w:val="20"/>
              </w:rPr>
              <w:t>Development, testing, or production launch cannot procee</w:t>
            </w:r>
            <w:r w:rsidR="000D4E93">
              <w:rPr>
                <w:rFonts w:cs="Segoe UI"/>
                <w:szCs w:val="20"/>
              </w:rPr>
              <w:t xml:space="preserve">d until </w:t>
            </w:r>
            <w:r w:rsidR="00062D61">
              <w:rPr>
                <w:rFonts w:cs="Segoe UI"/>
                <w:szCs w:val="20"/>
              </w:rPr>
              <w:t xml:space="preserve">this type of </w:t>
            </w:r>
            <w:r w:rsidR="000D4E93">
              <w:rPr>
                <w:rFonts w:cs="Segoe UI"/>
                <w:szCs w:val="20"/>
              </w:rPr>
              <w:t xml:space="preserve">defect is corrected. </w:t>
            </w:r>
            <w:r w:rsidR="00062D61">
              <w:rPr>
                <w:rFonts w:cs="Segoe UI"/>
                <w:szCs w:val="20"/>
              </w:rPr>
              <w:t>A d</w:t>
            </w:r>
            <w:r w:rsidR="00062D61" w:rsidRPr="000D4E93">
              <w:rPr>
                <w:rFonts w:cs="Segoe UI"/>
                <w:szCs w:val="20"/>
              </w:rPr>
              <w:t xml:space="preserve">efect </w:t>
            </w:r>
            <w:r w:rsidR="00062D61">
              <w:rPr>
                <w:rFonts w:cs="Segoe UI"/>
                <w:szCs w:val="20"/>
              </w:rPr>
              <w:t xml:space="preserve">of this type </w:t>
            </w:r>
            <w:r w:rsidR="000D4E93" w:rsidRPr="000D4E93">
              <w:rPr>
                <w:rFonts w:cs="Segoe UI"/>
                <w:szCs w:val="20"/>
              </w:rPr>
              <w:t>block</w:t>
            </w:r>
            <w:r w:rsidR="00062D61">
              <w:rPr>
                <w:rFonts w:cs="Segoe UI"/>
                <w:szCs w:val="20"/>
              </w:rPr>
              <w:t>s</w:t>
            </w:r>
            <w:r w:rsidR="000D4E93" w:rsidRPr="000D4E93">
              <w:rPr>
                <w:rFonts w:cs="Segoe UI"/>
                <w:szCs w:val="20"/>
              </w:rPr>
              <w:t xml:space="preserve"> further progress in this area.</w:t>
            </w:r>
            <w:r w:rsidR="000D4E93">
              <w:rPr>
                <w:rFonts w:cs="Segoe UI"/>
                <w:szCs w:val="20"/>
              </w:rPr>
              <w:t xml:space="preserve"> </w:t>
            </w:r>
            <w:r w:rsidR="00062D61">
              <w:rPr>
                <w:rFonts w:cs="Segoe UI"/>
                <w:szCs w:val="20"/>
              </w:rPr>
              <w:t>The s</w:t>
            </w:r>
            <w:r w:rsidR="00062D61" w:rsidRPr="000D4E93">
              <w:rPr>
                <w:rFonts w:cs="Segoe UI"/>
                <w:szCs w:val="20"/>
              </w:rPr>
              <w:t xml:space="preserve">olution </w:t>
            </w:r>
            <w:r w:rsidR="000D4E93" w:rsidRPr="000D4E93">
              <w:rPr>
                <w:rFonts w:cs="Segoe UI"/>
                <w:szCs w:val="20"/>
              </w:rPr>
              <w:t>cannot ship and the project team cannot achieve the next milestone</w:t>
            </w:r>
            <w:r w:rsidR="00062D61">
              <w:rPr>
                <w:rFonts w:cs="Segoe UI"/>
                <w:szCs w:val="20"/>
              </w:rPr>
              <w:t xml:space="preserve"> until such a defect is corrected.</w:t>
            </w:r>
          </w:p>
        </w:tc>
        <w:tc>
          <w:tcPr>
            <w:tcW w:w="3237" w:type="dxa"/>
            <w:shd w:val="clear" w:color="auto" w:fill="FFFFFF" w:themeFill="background1"/>
          </w:tcPr>
          <w:p w14:paraId="5836C5A7" w14:textId="77777777" w:rsidR="000D4E93" w:rsidRDefault="000D4E93" w:rsidP="00117AE2">
            <w:pPr>
              <w:pStyle w:val="TableText"/>
            </w:pPr>
            <w:r>
              <w:t>Yes</w:t>
            </w:r>
          </w:p>
        </w:tc>
      </w:tr>
      <w:tr w:rsidR="000D4E93" w:rsidRPr="005F3BAF" w14:paraId="5836C5AC" w14:textId="77777777" w:rsidTr="00057271">
        <w:trPr>
          <w:trHeight w:val="432"/>
        </w:trPr>
        <w:tc>
          <w:tcPr>
            <w:tcW w:w="1082" w:type="dxa"/>
            <w:shd w:val="clear" w:color="auto" w:fill="auto"/>
          </w:tcPr>
          <w:p w14:paraId="5836C5A9" w14:textId="77777777" w:rsidR="000D4E93" w:rsidRPr="005F3BAF" w:rsidRDefault="000D4E93" w:rsidP="00117AE2">
            <w:pPr>
              <w:pStyle w:val="TableText"/>
            </w:pPr>
            <w:r>
              <w:lastRenderedPageBreak/>
              <w:t>P2</w:t>
            </w:r>
          </w:p>
        </w:tc>
        <w:tc>
          <w:tcPr>
            <w:tcW w:w="5040" w:type="dxa"/>
            <w:shd w:val="clear" w:color="auto" w:fill="FFFFFF" w:themeFill="background1"/>
          </w:tcPr>
          <w:p w14:paraId="5836C5AA" w14:textId="77777777" w:rsidR="000D4E93" w:rsidRPr="005F3BAF" w:rsidRDefault="000D4E93" w:rsidP="00117AE2">
            <w:pPr>
              <w:pStyle w:val="TableText"/>
              <w:rPr>
                <w:rFonts w:ascii="Segoe UI Semilight" w:hAnsi="Segoe UI Semilight"/>
              </w:rPr>
            </w:pPr>
            <w:r w:rsidRPr="000D4E93">
              <w:rPr>
                <w:rFonts w:cs="Segoe UI"/>
                <w:b/>
                <w:szCs w:val="20"/>
              </w:rPr>
              <w:t>Significant defect</w:t>
            </w:r>
            <w:r w:rsidR="00117AE2">
              <w:rPr>
                <w:rFonts w:cs="Segoe UI"/>
                <w:b/>
                <w:szCs w:val="20"/>
              </w:rPr>
              <w:br/>
            </w:r>
            <w:r w:rsidR="00062D61">
              <w:t>This type of d</w:t>
            </w:r>
            <w:r w:rsidR="00062D61" w:rsidRPr="00B8742D">
              <w:t xml:space="preserve">efect </w:t>
            </w:r>
            <w:r w:rsidRPr="00B8742D">
              <w:t>must be fixed prior to moving to production.</w:t>
            </w:r>
            <w:r>
              <w:t xml:space="preserve"> </w:t>
            </w:r>
            <w:r w:rsidR="00062D61">
              <w:t xml:space="preserve">Such a defect, however, will </w:t>
            </w:r>
            <w:r w:rsidRPr="00B8742D">
              <w:t xml:space="preserve">not affect test plan </w:t>
            </w:r>
            <w:r w:rsidR="00E40CE7">
              <w:t>implementation</w:t>
            </w:r>
            <w:r w:rsidR="000F230A">
              <w:t>.</w:t>
            </w:r>
          </w:p>
        </w:tc>
        <w:tc>
          <w:tcPr>
            <w:tcW w:w="3237" w:type="dxa"/>
            <w:shd w:val="clear" w:color="auto" w:fill="FFFFFF" w:themeFill="background1"/>
          </w:tcPr>
          <w:p w14:paraId="5836C5AB" w14:textId="77777777" w:rsidR="000D4E93" w:rsidRPr="005F3BAF" w:rsidRDefault="000D4E93" w:rsidP="00117AE2">
            <w:pPr>
              <w:pStyle w:val="TableText"/>
            </w:pPr>
            <w:r>
              <w:t>Yes</w:t>
            </w:r>
          </w:p>
        </w:tc>
      </w:tr>
      <w:tr w:rsidR="000D4E93" w:rsidRPr="005F3BAF" w14:paraId="5836C5B0" w14:textId="77777777" w:rsidTr="00057271">
        <w:trPr>
          <w:trHeight w:val="432"/>
        </w:trPr>
        <w:tc>
          <w:tcPr>
            <w:tcW w:w="1082" w:type="dxa"/>
            <w:shd w:val="clear" w:color="auto" w:fill="auto"/>
          </w:tcPr>
          <w:p w14:paraId="5836C5AD" w14:textId="77777777" w:rsidR="000D4E93" w:rsidRDefault="000D4E93" w:rsidP="00117AE2">
            <w:pPr>
              <w:pStyle w:val="TableText"/>
            </w:pPr>
            <w:r>
              <w:t>P3</w:t>
            </w:r>
          </w:p>
        </w:tc>
        <w:tc>
          <w:tcPr>
            <w:tcW w:w="5040" w:type="dxa"/>
            <w:shd w:val="clear" w:color="auto" w:fill="FFFFFF" w:themeFill="background1"/>
          </w:tcPr>
          <w:p w14:paraId="5836C5AE" w14:textId="77777777" w:rsidR="000D4E93" w:rsidRPr="000D4E93" w:rsidRDefault="000D4E93" w:rsidP="00117AE2">
            <w:pPr>
              <w:pStyle w:val="TableText"/>
            </w:pPr>
            <w:r>
              <w:rPr>
                <w:rFonts w:cs="Segoe UI"/>
                <w:b/>
                <w:szCs w:val="20"/>
              </w:rPr>
              <w:t>Important defect</w:t>
            </w:r>
            <w:r w:rsidR="00117AE2">
              <w:rPr>
                <w:rFonts w:cs="Segoe UI"/>
                <w:b/>
                <w:szCs w:val="20"/>
              </w:rPr>
              <w:br/>
            </w:r>
            <w:r w:rsidRPr="00B8742D">
              <w:t xml:space="preserve">It is important to correct </w:t>
            </w:r>
            <w:r w:rsidR="00062D61" w:rsidRPr="00B8742D">
              <w:t>th</w:t>
            </w:r>
            <w:r w:rsidR="00062D61">
              <w:t>is type of</w:t>
            </w:r>
            <w:r w:rsidR="00062D61" w:rsidRPr="00B8742D">
              <w:t xml:space="preserve"> </w:t>
            </w:r>
            <w:r w:rsidRPr="00B8742D">
              <w:t xml:space="preserve">defect. However, it is possible to move forward into production </w:t>
            </w:r>
            <w:r w:rsidR="00843775">
              <w:t>through the use of</w:t>
            </w:r>
            <w:r w:rsidR="00062D61">
              <w:t xml:space="preserve"> </w:t>
            </w:r>
            <w:r w:rsidRPr="00B8742D">
              <w:t>a workaround.</w:t>
            </w:r>
          </w:p>
        </w:tc>
        <w:tc>
          <w:tcPr>
            <w:tcW w:w="3237" w:type="dxa"/>
            <w:shd w:val="clear" w:color="auto" w:fill="FFFFFF" w:themeFill="background1"/>
          </w:tcPr>
          <w:p w14:paraId="5836C5AF" w14:textId="77777777" w:rsidR="000D4E93" w:rsidRDefault="000D4E93" w:rsidP="00117AE2">
            <w:pPr>
              <w:pStyle w:val="TableText"/>
            </w:pPr>
            <w:r>
              <w:t>No</w:t>
            </w:r>
            <w:r w:rsidR="008D5EA5">
              <w:t xml:space="preserve">; the </w:t>
            </w:r>
            <w:r w:rsidR="00843775">
              <w:t xml:space="preserve">problem </w:t>
            </w:r>
            <w:r>
              <w:t xml:space="preserve">will be logged. Remediation </w:t>
            </w:r>
            <w:r w:rsidR="008D5EA5">
              <w:t xml:space="preserve">will be performed </w:t>
            </w:r>
            <w:r>
              <w:t>through</w:t>
            </w:r>
            <w:r w:rsidR="008D5EA5">
              <w:t xml:space="preserve"> an</w:t>
            </w:r>
            <w:r>
              <w:t xml:space="preserve"> agreed</w:t>
            </w:r>
            <w:r w:rsidR="008D5EA5">
              <w:t>-upon</w:t>
            </w:r>
            <w:r>
              <w:t xml:space="preserve"> change request</w:t>
            </w:r>
            <w:r w:rsidR="008D5EA5">
              <w:t xml:space="preserve"> only</w:t>
            </w:r>
            <w:r>
              <w:t>.</w:t>
            </w:r>
          </w:p>
        </w:tc>
      </w:tr>
      <w:tr w:rsidR="000D4E93" w:rsidRPr="005F3BAF" w14:paraId="5836C5B4" w14:textId="77777777" w:rsidTr="00057271">
        <w:trPr>
          <w:trHeight w:val="432"/>
        </w:trPr>
        <w:tc>
          <w:tcPr>
            <w:tcW w:w="1082" w:type="dxa"/>
            <w:shd w:val="clear" w:color="auto" w:fill="auto"/>
          </w:tcPr>
          <w:p w14:paraId="5836C5B1" w14:textId="77777777" w:rsidR="000D4E93" w:rsidRDefault="000D4E93" w:rsidP="00117AE2">
            <w:pPr>
              <w:pStyle w:val="TableText"/>
            </w:pPr>
            <w:r>
              <w:t>P4</w:t>
            </w:r>
          </w:p>
        </w:tc>
        <w:tc>
          <w:tcPr>
            <w:tcW w:w="5040" w:type="dxa"/>
            <w:shd w:val="clear" w:color="auto" w:fill="FFFFFF" w:themeFill="background1"/>
          </w:tcPr>
          <w:p w14:paraId="5836C5B2" w14:textId="77777777" w:rsidR="000D4E93" w:rsidRPr="000D4E93" w:rsidRDefault="000D4E93" w:rsidP="00117AE2">
            <w:pPr>
              <w:pStyle w:val="TableText"/>
              <w:rPr>
                <w:b/>
              </w:rPr>
            </w:pPr>
            <w:r>
              <w:rPr>
                <w:rFonts w:cs="Segoe UI"/>
                <w:b/>
                <w:szCs w:val="20"/>
              </w:rPr>
              <w:t>Enhancements and low priority defects</w:t>
            </w:r>
            <w:r w:rsidR="00117AE2">
              <w:rPr>
                <w:rFonts w:cs="Segoe UI"/>
                <w:b/>
                <w:szCs w:val="20"/>
              </w:rPr>
              <w:br/>
            </w:r>
            <w:r w:rsidR="00062D61">
              <w:t>P4 de</w:t>
            </w:r>
            <w:r w:rsidR="00843775">
              <w:t>fects consist</w:t>
            </w:r>
            <w:r w:rsidR="00062D61">
              <w:t xml:space="preserve"> of f</w:t>
            </w:r>
            <w:r w:rsidR="00062D61" w:rsidRPr="00B8742D">
              <w:t xml:space="preserve">eature </w:t>
            </w:r>
            <w:r w:rsidRPr="00B8742D">
              <w:t xml:space="preserve">enhancement </w:t>
            </w:r>
            <w:r w:rsidR="00062D61">
              <w:t>and</w:t>
            </w:r>
            <w:r w:rsidR="00062D61" w:rsidRPr="00B8742D">
              <w:t xml:space="preserve"> </w:t>
            </w:r>
            <w:r w:rsidRPr="00B8742D">
              <w:t>cosmetic defects.</w:t>
            </w:r>
            <w:r>
              <w:t xml:space="preserve"> </w:t>
            </w:r>
            <w:r w:rsidR="00062D61">
              <w:t>These include d</w:t>
            </w:r>
            <w:r w:rsidR="00062D61" w:rsidRPr="00B8742D">
              <w:t>esign</w:t>
            </w:r>
            <w:r w:rsidR="00444CCA">
              <w:t xml:space="preserve"> requests </w:t>
            </w:r>
            <w:r w:rsidR="00062D61">
              <w:t>that var</w:t>
            </w:r>
            <w:r w:rsidR="00CE5743">
              <w:t>y</w:t>
            </w:r>
            <w:r w:rsidR="00062D61">
              <w:t xml:space="preserve"> from</w:t>
            </w:r>
            <w:r w:rsidR="00062D61" w:rsidRPr="00B8742D" w:rsidDel="00062D61">
              <w:t xml:space="preserve"> </w:t>
            </w:r>
            <w:r w:rsidRPr="00B8742D">
              <w:t>original concepts.</w:t>
            </w:r>
          </w:p>
        </w:tc>
        <w:tc>
          <w:tcPr>
            <w:tcW w:w="3237" w:type="dxa"/>
            <w:shd w:val="clear" w:color="auto" w:fill="FFFFFF" w:themeFill="background1"/>
          </w:tcPr>
          <w:p w14:paraId="5836C5B3" w14:textId="77777777" w:rsidR="000D4E93" w:rsidRDefault="000D4E93" w:rsidP="00117AE2">
            <w:pPr>
              <w:pStyle w:val="TableText"/>
            </w:pPr>
            <w:r>
              <w:t>No</w:t>
            </w:r>
            <w:r w:rsidR="008D5EA5">
              <w:t xml:space="preserve">; the </w:t>
            </w:r>
            <w:r w:rsidR="00843775">
              <w:t xml:space="preserve">problem </w:t>
            </w:r>
            <w:r>
              <w:t xml:space="preserve">will be logged. </w:t>
            </w:r>
            <w:r w:rsidR="00843775">
              <w:t>Remediation will be performed through an agreed-upon change request only.</w:t>
            </w:r>
          </w:p>
        </w:tc>
      </w:tr>
    </w:tbl>
    <w:p w14:paraId="23A613F5" w14:textId="77777777" w:rsidR="00CF4A2C" w:rsidRDefault="00CF4A2C" w:rsidP="00CF4A2C">
      <w:bookmarkStart w:id="26" w:name="_Toc476168031"/>
      <w:r w:rsidRPr="00201EED">
        <w:rPr>
          <w:b/>
        </w:rPr>
        <w:t>Note</w:t>
      </w:r>
      <w:r>
        <w:rPr>
          <w:b/>
        </w:rPr>
        <w:t>s</w:t>
      </w:r>
      <w:r w:rsidRPr="00201EED">
        <w:rPr>
          <w:b/>
        </w:rPr>
        <w:t>:</w:t>
      </w:r>
      <w:r w:rsidRPr="00201EED">
        <w:t xml:space="preserve"> </w:t>
      </w:r>
    </w:p>
    <w:p w14:paraId="19939DD7" w14:textId="77777777" w:rsidR="00CF4A2C" w:rsidRDefault="00CF4A2C" w:rsidP="004F61C4">
      <w:pPr>
        <w:pStyle w:val="ListParagraph"/>
        <w:numPr>
          <w:ilvl w:val="0"/>
          <w:numId w:val="15"/>
        </w:numPr>
        <w:spacing w:line="276" w:lineRule="auto"/>
        <w:rPr>
          <w:szCs w:val="20"/>
        </w:rPr>
      </w:pPr>
      <w:r w:rsidRPr="004354D8">
        <w:rPr>
          <w:szCs w:val="20"/>
        </w:rPr>
        <w:t xml:space="preserve">If a site collection with open P1 and/or P2 issues is put in production at customer’s request, then the responsibility of remediation will be transferred to customer’s support after the migration wave is complete.  </w:t>
      </w:r>
    </w:p>
    <w:p w14:paraId="6CB8AF90" w14:textId="77777777" w:rsidR="004241BA" w:rsidRPr="004241BA" w:rsidRDefault="00CF4A2C" w:rsidP="004F61C4">
      <w:pPr>
        <w:pStyle w:val="ListParagraph"/>
        <w:numPr>
          <w:ilvl w:val="0"/>
          <w:numId w:val="15"/>
        </w:numPr>
        <w:spacing w:line="276" w:lineRule="auto"/>
      </w:pPr>
      <w:r w:rsidRPr="00511C65">
        <w:rPr>
          <w:szCs w:val="20"/>
        </w:rPr>
        <w:t>Customer’s support may be assigned to P1 – P4 issues if it is determined the issues are non-migration related; i.e. account issue / desktop upgrade issues.</w:t>
      </w:r>
    </w:p>
    <w:p w14:paraId="7CB8002E" w14:textId="6D91EE38" w:rsidR="00CF4A2C" w:rsidRDefault="00CF4A2C" w:rsidP="004F61C4">
      <w:pPr>
        <w:pStyle w:val="ListParagraph"/>
        <w:numPr>
          <w:ilvl w:val="0"/>
          <w:numId w:val="15"/>
        </w:numPr>
        <w:spacing w:line="276" w:lineRule="auto"/>
      </w:pPr>
      <w:r w:rsidRPr="00201EED">
        <w:t>Product-related issues must be addressed separately through Premier Support.</w:t>
      </w:r>
    </w:p>
    <w:p w14:paraId="0EF78B0D" w14:textId="273CEA1E" w:rsidR="00F10AB9" w:rsidRPr="00CD390D" w:rsidRDefault="00583ADB" w:rsidP="004F61C4">
      <w:pPr>
        <w:pStyle w:val="Heading3"/>
        <w:numPr>
          <w:ilvl w:val="2"/>
          <w:numId w:val="21"/>
        </w:numPr>
        <w:rPr>
          <w:lang w:val="es-PR"/>
        </w:rPr>
      </w:pPr>
      <w:r>
        <w:rPr>
          <w:lang w:val="es-PR"/>
        </w:rPr>
        <w:t>Training</w:t>
      </w:r>
    </w:p>
    <w:p w14:paraId="71875075" w14:textId="77777777" w:rsidR="00E934C7" w:rsidRPr="006259D6" w:rsidRDefault="00E934C7" w:rsidP="004F61C4">
      <w:r w:rsidRPr="00CD390D">
        <w:rPr>
          <w:lang w:val="en"/>
        </w:rPr>
        <w:t>The transfer of informal knowledge will be provided throughout the entire project. Informal knowledge transfer is defined as the casual activities that occur when employees or contractors work together with the Microsoft team. These include whiteboard discussions, email threads, and teleconferences. Knowledge transfer activities are secondary in terms of completing the work products and maintaining project schedules.</w:t>
      </w:r>
    </w:p>
    <w:p w14:paraId="51371C05" w14:textId="6F2697F4" w:rsidR="00F10AB9" w:rsidRPr="006259D6" w:rsidRDefault="00E934C7" w:rsidP="00F10AB9">
      <w:r w:rsidRPr="00CD390D">
        <w:rPr>
          <w:lang w:val="en"/>
        </w:rPr>
        <w:t>Deliverables, work products, or summaries of meetings will not be provided for these sessions or activities. Formal training will not be performed as part of this SOW.</w:t>
      </w:r>
    </w:p>
    <w:p w14:paraId="02881606" w14:textId="77777777" w:rsidR="007D7657" w:rsidRPr="006259D6" w:rsidRDefault="007D7657" w:rsidP="007D7657">
      <w:pPr>
        <w:spacing w:line="276" w:lineRule="auto"/>
      </w:pPr>
    </w:p>
    <w:p w14:paraId="5836C5C4" w14:textId="004271C6" w:rsidR="009D4EBC" w:rsidRPr="00A7585A" w:rsidRDefault="004C2A6F" w:rsidP="00C84DD9">
      <w:pPr>
        <w:pStyle w:val="Heading2"/>
      </w:pPr>
      <w:bookmarkStart w:id="27" w:name="_Toc476167705"/>
      <w:bookmarkStart w:id="28" w:name="_Toc476168032"/>
      <w:bookmarkStart w:id="29" w:name="_Toc7701763"/>
      <w:bookmarkEnd w:id="26"/>
      <w:r w:rsidRPr="00A7585A">
        <w:t>Areas out of scope</w:t>
      </w:r>
      <w:bookmarkEnd w:id="27"/>
      <w:bookmarkEnd w:id="28"/>
      <w:bookmarkEnd w:id="29"/>
    </w:p>
    <w:p w14:paraId="5836C5C6" w14:textId="77777777" w:rsidR="004C2A6F" w:rsidRDefault="004C2A6F" w:rsidP="004C2A6F">
      <w:r w:rsidRPr="004C2A6F">
        <w:t xml:space="preserve">Any area not explicitly </w:t>
      </w:r>
      <w:r>
        <w:t xml:space="preserve">included in </w:t>
      </w:r>
      <w:r w:rsidR="00407A8B">
        <w:t xml:space="preserve">the </w:t>
      </w:r>
      <w:r w:rsidR="00407A8B">
        <w:fldChar w:fldCharType="begin"/>
      </w:r>
      <w:r w:rsidR="00407A8B">
        <w:instrText xml:space="preserve"> REF _Ref477786310 \h </w:instrText>
      </w:r>
      <w:r w:rsidR="00407A8B">
        <w:fldChar w:fldCharType="separate"/>
      </w:r>
      <w:r w:rsidR="00812548">
        <w:t xml:space="preserve">Areas </w:t>
      </w:r>
      <w:r w:rsidR="00812548" w:rsidRPr="005C14DF">
        <w:t>in scope</w:t>
      </w:r>
      <w:r w:rsidR="00407A8B">
        <w:fldChar w:fldCharType="end"/>
      </w:r>
      <w:r w:rsidR="00407A8B">
        <w:t xml:space="preserve"> section </w:t>
      </w:r>
      <w:r>
        <w:t xml:space="preserve">is </w:t>
      </w:r>
      <w:r w:rsidRPr="004C2A6F">
        <w:t xml:space="preserve">out of scope for </w:t>
      </w:r>
      <w:r w:rsidR="00623BDA">
        <w:t xml:space="preserve">Microsoft during </w:t>
      </w:r>
      <w:r w:rsidRPr="004C2A6F">
        <w:t xml:space="preserve">this </w:t>
      </w:r>
      <w:r w:rsidR="00DB3CDA">
        <w:t>project</w:t>
      </w:r>
      <w:r w:rsidRPr="004C2A6F">
        <w:t xml:space="preserve">. </w:t>
      </w:r>
      <w:r w:rsidR="00AC542D">
        <w:t xml:space="preserve">Areas </w:t>
      </w:r>
      <w:r w:rsidR="00F177FA">
        <w:t xml:space="preserve">out of scope for this project </w:t>
      </w:r>
      <w:r w:rsidR="00B4049F">
        <w:t xml:space="preserve">are listed </w:t>
      </w:r>
      <w:r w:rsidR="00AC542D">
        <w:t>i</w:t>
      </w:r>
      <w:r w:rsidR="00B4049F">
        <w:t>n</w:t>
      </w:r>
      <w:r w:rsidR="00AC542D">
        <w:t xml:space="preserve"> the following</w:t>
      </w:r>
      <w:r w:rsidR="00B4049F">
        <w:t xml:space="preserve"> table. </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59"/>
      </w:tblGrid>
      <w:tr w:rsidR="004C2A6F" w14:paraId="5836C5C9" w14:textId="77777777" w:rsidTr="008C6736">
        <w:trPr>
          <w:trHeight w:val="360"/>
          <w:tblHeader/>
        </w:trPr>
        <w:tc>
          <w:tcPr>
            <w:tcW w:w="2612" w:type="dxa"/>
            <w:shd w:val="clear" w:color="auto" w:fill="008272"/>
          </w:tcPr>
          <w:p w14:paraId="5836C5C7" w14:textId="77777777" w:rsidR="004C2A6F" w:rsidRPr="00E40CE7" w:rsidRDefault="004C2A6F" w:rsidP="00B44F57">
            <w:pPr>
              <w:pStyle w:val="Table-Header"/>
            </w:pPr>
            <w:r w:rsidRPr="00E40CE7">
              <w:lastRenderedPageBreak/>
              <w:t>Area</w:t>
            </w:r>
          </w:p>
        </w:tc>
        <w:tc>
          <w:tcPr>
            <w:tcW w:w="6759" w:type="dxa"/>
            <w:shd w:val="clear" w:color="auto" w:fill="008272"/>
          </w:tcPr>
          <w:p w14:paraId="5836C5C8" w14:textId="77777777" w:rsidR="004C2A6F" w:rsidRPr="00E40CE7" w:rsidRDefault="004C2A6F" w:rsidP="00B44F57">
            <w:pPr>
              <w:pStyle w:val="Table-Header"/>
            </w:pPr>
            <w:r w:rsidRPr="00E40CE7">
              <w:t>Description</w:t>
            </w:r>
          </w:p>
        </w:tc>
      </w:tr>
      <w:tr w:rsidR="004C2A6F" w:rsidRPr="005F3BAF" w14:paraId="5836C5CC" w14:textId="77777777" w:rsidTr="00F50EF3">
        <w:trPr>
          <w:trHeight w:val="432"/>
        </w:trPr>
        <w:tc>
          <w:tcPr>
            <w:tcW w:w="2612" w:type="dxa"/>
            <w:shd w:val="clear" w:color="auto" w:fill="auto"/>
          </w:tcPr>
          <w:p w14:paraId="5836C5CA" w14:textId="65882621" w:rsidR="004C2A6F" w:rsidRPr="00D0227D" w:rsidRDefault="00250CA8" w:rsidP="00117AE2">
            <w:pPr>
              <w:pStyle w:val="TableText"/>
              <w:rPr>
                <w:rFonts w:cs="Segoe UI"/>
              </w:rPr>
            </w:pPr>
            <w:r>
              <w:t>Product l</w:t>
            </w:r>
            <w:r w:rsidR="004C2A6F" w:rsidRPr="00AD4086">
              <w:t>icenses</w:t>
            </w:r>
            <w:r w:rsidR="00493E2E">
              <w:t xml:space="preserve">, </w:t>
            </w:r>
            <w:r w:rsidR="007D4496">
              <w:t>subscriptions</w:t>
            </w:r>
            <w:r w:rsidR="00493E2E">
              <w:t>, and configuration</w:t>
            </w:r>
          </w:p>
        </w:tc>
        <w:tc>
          <w:tcPr>
            <w:tcW w:w="6759" w:type="dxa"/>
            <w:shd w:val="clear" w:color="auto" w:fill="FFFFFF" w:themeFill="background1"/>
          </w:tcPr>
          <w:p w14:paraId="5836C5CB" w14:textId="5BD6FF75" w:rsidR="00493E2E" w:rsidRPr="00752BAA" w:rsidRDefault="004C2A6F" w:rsidP="006259D6">
            <w:pPr>
              <w:pStyle w:val="Bulletlist"/>
              <w:ind w:left="245" w:hanging="245"/>
            </w:pPr>
            <w:r w:rsidRPr="00AD4086">
              <w:t xml:space="preserve">Product licenses (Microsoft or non-Microsoft) </w:t>
            </w:r>
            <w:r w:rsidR="007D4496">
              <w:t>and cloud service subscriptions are not included.</w:t>
            </w:r>
            <w:r w:rsidR="00623BDA">
              <w:t xml:space="preserve"> </w:t>
            </w:r>
          </w:p>
        </w:tc>
      </w:tr>
      <w:tr w:rsidR="004C2A6F" w:rsidRPr="005F3BAF" w14:paraId="5836C5CF" w14:textId="77777777" w:rsidTr="00F50EF3">
        <w:trPr>
          <w:trHeight w:val="432"/>
        </w:trPr>
        <w:tc>
          <w:tcPr>
            <w:tcW w:w="2612" w:type="dxa"/>
            <w:shd w:val="clear" w:color="auto" w:fill="auto"/>
          </w:tcPr>
          <w:p w14:paraId="5836C5CD" w14:textId="77777777" w:rsidR="004C2A6F" w:rsidRPr="00D0227D" w:rsidRDefault="004C2A6F" w:rsidP="00117AE2">
            <w:pPr>
              <w:pStyle w:val="TableText"/>
              <w:rPr>
                <w:rFonts w:cs="Segoe UI"/>
                <w:szCs w:val="18"/>
              </w:rPr>
            </w:pPr>
            <w:r>
              <w:t>Hardware</w:t>
            </w:r>
          </w:p>
        </w:tc>
        <w:tc>
          <w:tcPr>
            <w:tcW w:w="6759" w:type="dxa"/>
            <w:shd w:val="clear" w:color="auto" w:fill="FFFFFF" w:themeFill="background1"/>
          </w:tcPr>
          <w:p w14:paraId="5836C5CE" w14:textId="77777777" w:rsidR="004C2A6F" w:rsidRPr="00D0227D" w:rsidRDefault="00623BDA" w:rsidP="00117AE2">
            <w:pPr>
              <w:pStyle w:val="TableText"/>
              <w:rPr>
                <w:rFonts w:cs="Segoe UI"/>
                <w:szCs w:val="18"/>
              </w:rPr>
            </w:pPr>
            <w:r>
              <w:t>Microsoft will not provide hardware for this project.</w:t>
            </w:r>
          </w:p>
        </w:tc>
      </w:tr>
      <w:tr w:rsidR="004C2A6F" w:rsidRPr="005F3BAF" w14:paraId="5836C5D2" w14:textId="77777777" w:rsidTr="00F50EF3">
        <w:trPr>
          <w:trHeight w:val="432"/>
        </w:trPr>
        <w:tc>
          <w:tcPr>
            <w:tcW w:w="2612" w:type="dxa"/>
            <w:shd w:val="clear" w:color="auto" w:fill="auto"/>
          </w:tcPr>
          <w:p w14:paraId="5836C5D0" w14:textId="77777777" w:rsidR="004C2A6F" w:rsidRPr="00D0227D" w:rsidRDefault="004C2A6F" w:rsidP="00117AE2">
            <w:pPr>
              <w:pStyle w:val="TableText"/>
              <w:rPr>
                <w:rFonts w:cs="Segoe UI"/>
                <w:szCs w:val="18"/>
              </w:rPr>
            </w:pPr>
            <w:r>
              <w:t xml:space="preserve">Integration with </w:t>
            </w:r>
            <w:r w:rsidR="00407A8B">
              <w:t>thi</w:t>
            </w:r>
            <w:r w:rsidR="00407A8B" w:rsidRPr="00E010AE">
              <w:t>rd</w:t>
            </w:r>
            <w:r w:rsidR="00407A8B">
              <w:t>-</w:t>
            </w:r>
            <w:r w:rsidR="000E0521">
              <w:t>party s</w:t>
            </w:r>
            <w:r>
              <w:t>oftware</w:t>
            </w:r>
          </w:p>
        </w:tc>
        <w:tc>
          <w:tcPr>
            <w:tcW w:w="6759" w:type="dxa"/>
            <w:shd w:val="clear" w:color="auto" w:fill="FFFFFF" w:themeFill="background1"/>
          </w:tcPr>
          <w:p w14:paraId="5836C5D1" w14:textId="7DAD589A" w:rsidR="004C2A6F" w:rsidRPr="00D0227D" w:rsidRDefault="004C2A6F" w:rsidP="00117AE2">
            <w:pPr>
              <w:pStyle w:val="TableText"/>
              <w:rPr>
                <w:rFonts w:cs="Segoe UI"/>
                <w:szCs w:val="18"/>
              </w:rPr>
            </w:pPr>
            <w:r>
              <w:t>Microsoft will not be responsible for integration with</w:t>
            </w:r>
            <w:r w:rsidR="00623BDA">
              <w:t xml:space="preserve"> </w:t>
            </w:r>
            <w:r w:rsidR="00407A8B">
              <w:t>third-</w:t>
            </w:r>
            <w:r w:rsidR="000E0521">
              <w:t>party s</w:t>
            </w:r>
            <w:r>
              <w:t>oftware</w:t>
            </w:r>
            <w:r w:rsidR="000F230A">
              <w:t>.</w:t>
            </w:r>
          </w:p>
        </w:tc>
      </w:tr>
      <w:tr w:rsidR="00DB3CDA" w:rsidRPr="005F3BAF" w14:paraId="5836C5D8" w14:textId="77777777" w:rsidTr="00F50EF3">
        <w:trPr>
          <w:trHeight w:val="432"/>
        </w:trPr>
        <w:tc>
          <w:tcPr>
            <w:tcW w:w="2612" w:type="dxa"/>
            <w:shd w:val="clear" w:color="auto" w:fill="auto"/>
          </w:tcPr>
          <w:p w14:paraId="5836C5D6" w14:textId="77777777" w:rsidR="00DB3CDA" w:rsidRPr="00752BAA" w:rsidRDefault="00DB3CDA" w:rsidP="00117AE2">
            <w:pPr>
              <w:pStyle w:val="Optional"/>
              <w:rPr>
                <w:color w:val="000000" w:themeColor="text1"/>
              </w:rPr>
            </w:pPr>
            <w:r w:rsidRPr="00752BAA">
              <w:rPr>
                <w:color w:val="000000" w:themeColor="text1"/>
              </w:rPr>
              <w:t>System integration</w:t>
            </w:r>
          </w:p>
        </w:tc>
        <w:tc>
          <w:tcPr>
            <w:tcW w:w="6759" w:type="dxa"/>
            <w:shd w:val="clear" w:color="auto" w:fill="FFFFFF" w:themeFill="background1"/>
          </w:tcPr>
          <w:p w14:paraId="5836C5D7" w14:textId="77777777" w:rsidR="00DB3CDA" w:rsidRPr="00752BAA" w:rsidRDefault="007C3931" w:rsidP="00117AE2">
            <w:pPr>
              <w:pStyle w:val="Optional"/>
              <w:rPr>
                <w:color w:val="000000" w:themeColor="text1"/>
              </w:rPr>
            </w:pPr>
            <w:r w:rsidRPr="00752BAA">
              <w:rPr>
                <w:color w:val="000000" w:themeColor="text1"/>
              </w:rPr>
              <w:t>S</w:t>
            </w:r>
            <w:r w:rsidR="00DB3CDA" w:rsidRPr="00752BAA">
              <w:rPr>
                <w:color w:val="000000" w:themeColor="text1"/>
              </w:rPr>
              <w:t>ystem integration and interfaces are not in scope for this project</w:t>
            </w:r>
            <w:r w:rsidR="000F230A" w:rsidRPr="00752BAA">
              <w:rPr>
                <w:color w:val="000000" w:themeColor="text1"/>
              </w:rPr>
              <w:t>.</w:t>
            </w:r>
          </w:p>
        </w:tc>
      </w:tr>
      <w:tr w:rsidR="00F63190" w:rsidRPr="005F3BAF" w14:paraId="43E4F27E" w14:textId="77777777" w:rsidTr="00F50EF3">
        <w:trPr>
          <w:trHeight w:val="432"/>
        </w:trPr>
        <w:tc>
          <w:tcPr>
            <w:tcW w:w="2612" w:type="dxa"/>
            <w:shd w:val="clear" w:color="auto" w:fill="auto"/>
          </w:tcPr>
          <w:p w14:paraId="29B25053" w14:textId="20E3F731" w:rsidR="00F63190" w:rsidRPr="00752BAA" w:rsidRDefault="00F63190" w:rsidP="00117AE2">
            <w:pPr>
              <w:pStyle w:val="Optional"/>
              <w:rPr>
                <w:color w:val="000000" w:themeColor="text1"/>
              </w:rPr>
            </w:pPr>
            <w:r>
              <w:rPr>
                <w:color w:val="000000" w:themeColor="text1"/>
              </w:rPr>
              <w:t>Data Migration</w:t>
            </w:r>
          </w:p>
        </w:tc>
        <w:tc>
          <w:tcPr>
            <w:tcW w:w="6759" w:type="dxa"/>
            <w:shd w:val="clear" w:color="auto" w:fill="FFFFFF" w:themeFill="background1"/>
          </w:tcPr>
          <w:p w14:paraId="38C04A08" w14:textId="009771B9" w:rsidR="00F63190" w:rsidRPr="00752BAA" w:rsidRDefault="00E55751" w:rsidP="00117AE2">
            <w:pPr>
              <w:pStyle w:val="Optional"/>
              <w:rPr>
                <w:color w:val="000000" w:themeColor="text1"/>
              </w:rPr>
            </w:pPr>
            <w:r w:rsidRPr="00E55751">
              <w:rPr>
                <w:color w:val="000000" w:themeColor="text1"/>
              </w:rPr>
              <w:t xml:space="preserve">Data-migration activities (outside the SharePoint </w:t>
            </w:r>
            <w:r>
              <w:rPr>
                <w:color w:val="000000" w:themeColor="text1"/>
              </w:rPr>
              <w:t>Content</w:t>
            </w:r>
            <w:r w:rsidRPr="00E55751">
              <w:rPr>
                <w:color w:val="000000" w:themeColor="text1"/>
              </w:rPr>
              <w:t>) are not within the scope of this project.</w:t>
            </w:r>
          </w:p>
        </w:tc>
      </w:tr>
      <w:tr w:rsidR="004C2A6F" w:rsidRPr="005F3BAF" w14:paraId="5836C5DB" w14:textId="77777777" w:rsidTr="00F50EF3">
        <w:trPr>
          <w:trHeight w:val="432"/>
        </w:trPr>
        <w:tc>
          <w:tcPr>
            <w:tcW w:w="2612" w:type="dxa"/>
            <w:shd w:val="clear" w:color="auto" w:fill="auto"/>
          </w:tcPr>
          <w:p w14:paraId="5836C5D9" w14:textId="77777777" w:rsidR="004C2A6F" w:rsidRDefault="004C2A6F" w:rsidP="00117AE2">
            <w:pPr>
              <w:pStyle w:val="TableText"/>
            </w:pPr>
            <w:r>
              <w:t>Product bugs</w:t>
            </w:r>
            <w:r w:rsidR="00623BDA">
              <w:t xml:space="preserve"> </w:t>
            </w:r>
            <w:r w:rsidR="00CE5743">
              <w:br/>
            </w:r>
            <w:r w:rsidR="00623BDA">
              <w:t>and upgrades</w:t>
            </w:r>
          </w:p>
        </w:tc>
        <w:tc>
          <w:tcPr>
            <w:tcW w:w="6759" w:type="dxa"/>
            <w:shd w:val="clear" w:color="auto" w:fill="FFFFFF" w:themeFill="background1"/>
          </w:tcPr>
          <w:p w14:paraId="073BCB7F" w14:textId="77777777" w:rsidR="004C2A6F" w:rsidRDefault="004C2A6F" w:rsidP="00117AE2">
            <w:pPr>
              <w:pStyle w:val="TableText"/>
            </w:pPr>
            <w:r>
              <w:t xml:space="preserve">Product </w:t>
            </w:r>
            <w:r w:rsidR="00623BDA">
              <w:t xml:space="preserve">upgrades, </w:t>
            </w:r>
            <w:r>
              <w:t>bugs</w:t>
            </w:r>
            <w:r w:rsidR="00B4049F">
              <w:t>,</w:t>
            </w:r>
            <w:r>
              <w:t xml:space="preserve"> and design change requests for Microsoft products</w:t>
            </w:r>
            <w:r w:rsidR="00884E0D">
              <w:t xml:space="preserve"> are not in scope for this project</w:t>
            </w:r>
            <w:r w:rsidR="000F230A">
              <w:t>.</w:t>
            </w:r>
          </w:p>
          <w:p w14:paraId="5836C5DA" w14:textId="5C131DA1" w:rsidR="00E55751" w:rsidRDefault="00E55751" w:rsidP="00117AE2">
            <w:pPr>
              <w:pStyle w:val="TableText"/>
            </w:pPr>
            <w:r>
              <w:t xml:space="preserve">Any </w:t>
            </w:r>
            <w:r w:rsidR="00957CE7">
              <w:t xml:space="preserve">product related error must be </w:t>
            </w:r>
            <w:r w:rsidR="00B0127B">
              <w:t>worked through</w:t>
            </w:r>
            <w:r w:rsidR="00F75BF2">
              <w:t xml:space="preserve"> the customer</w:t>
            </w:r>
            <w:r w:rsidR="00805016">
              <w:t>’s</w:t>
            </w:r>
            <w:r w:rsidR="00B0127B">
              <w:t xml:space="preserve"> </w:t>
            </w:r>
            <w:r w:rsidR="00127DF9">
              <w:t>support</w:t>
            </w:r>
            <w:r w:rsidR="00B0127B">
              <w:t xml:space="preserve"> </w:t>
            </w:r>
            <w:r w:rsidR="00F75BF2">
              <w:t>contract or any other</w:t>
            </w:r>
            <w:r w:rsidR="00127DF9">
              <w:t xml:space="preserve"> </w:t>
            </w:r>
            <w:r w:rsidR="00630398">
              <w:t xml:space="preserve">product </w:t>
            </w:r>
            <w:r w:rsidR="00127DF9">
              <w:t>manufacturer</w:t>
            </w:r>
            <w:r w:rsidR="00F75BF2">
              <w:t xml:space="preserve"> support mechanism.</w:t>
            </w:r>
          </w:p>
        </w:tc>
      </w:tr>
      <w:tr w:rsidR="004C2A6F" w:rsidRPr="005F3BAF" w14:paraId="5836C5DE" w14:textId="77777777" w:rsidTr="00F50EF3">
        <w:trPr>
          <w:trHeight w:val="432"/>
        </w:trPr>
        <w:tc>
          <w:tcPr>
            <w:tcW w:w="2612" w:type="dxa"/>
            <w:shd w:val="clear" w:color="auto" w:fill="auto"/>
          </w:tcPr>
          <w:p w14:paraId="5836C5DC" w14:textId="77777777" w:rsidR="004C2A6F" w:rsidRPr="00D0227D" w:rsidRDefault="004C2A6F" w:rsidP="00117AE2">
            <w:pPr>
              <w:pStyle w:val="TableText"/>
              <w:rPr>
                <w:rFonts w:cs="Segoe UI"/>
                <w:szCs w:val="18"/>
              </w:rPr>
            </w:pPr>
            <w:r>
              <w:t>Source code review</w:t>
            </w:r>
          </w:p>
        </w:tc>
        <w:tc>
          <w:tcPr>
            <w:tcW w:w="6759" w:type="dxa"/>
            <w:shd w:val="clear" w:color="auto" w:fill="FFFFFF" w:themeFill="background1"/>
          </w:tcPr>
          <w:p w14:paraId="5836C5DD" w14:textId="6BC8FDFE" w:rsidR="004C2A6F" w:rsidRPr="00D0227D" w:rsidRDefault="00112EB1" w:rsidP="00117AE2">
            <w:pPr>
              <w:pStyle w:val="TableText"/>
              <w:rPr>
                <w:rFonts w:cs="Segoe UI"/>
                <w:szCs w:val="18"/>
              </w:rPr>
            </w:pPr>
            <w:r>
              <w:t xml:space="preserve">The </w:t>
            </w:r>
            <w:r w:rsidR="0015000E">
              <w:t>c</w:t>
            </w:r>
            <w:r w:rsidR="004C2A6F">
              <w:t>ustomer will not provide Microsoft with access to non-Microsoft source code or source code information. For any n</w:t>
            </w:r>
            <w:r w:rsidR="00884E0D">
              <w:t xml:space="preserve">on-Microsoft code, Microsoft </w:t>
            </w:r>
            <w:r w:rsidR="00140C9E">
              <w:t>S</w:t>
            </w:r>
            <w:r w:rsidR="004C2A6F">
              <w:t>ervices will be limited to</w:t>
            </w:r>
            <w:r w:rsidR="00E12D6D">
              <w:t xml:space="preserve"> the</w:t>
            </w:r>
            <w:r w:rsidR="004C2A6F">
              <w:t xml:space="preserve"> analysis of binary data, such as a process dump or network monitor trace</w:t>
            </w:r>
            <w:r w:rsidR="000F230A">
              <w:t>.</w:t>
            </w:r>
          </w:p>
        </w:tc>
      </w:tr>
      <w:tr w:rsidR="004C2A6F" w:rsidRPr="005F3BAF" w14:paraId="5836C5E1" w14:textId="77777777" w:rsidTr="00F50EF3">
        <w:trPr>
          <w:trHeight w:val="432"/>
        </w:trPr>
        <w:tc>
          <w:tcPr>
            <w:tcW w:w="2612" w:type="dxa"/>
            <w:shd w:val="clear" w:color="auto" w:fill="auto"/>
          </w:tcPr>
          <w:p w14:paraId="5836C5DF" w14:textId="77777777" w:rsidR="004C2A6F" w:rsidRPr="00D0227D" w:rsidRDefault="004C2A6F" w:rsidP="00117AE2">
            <w:pPr>
              <w:pStyle w:val="TableText"/>
              <w:rPr>
                <w:rFonts w:cs="Segoe UI"/>
                <w:szCs w:val="18"/>
              </w:rPr>
            </w:pPr>
            <w:r>
              <w:t>Process reengineering</w:t>
            </w:r>
          </w:p>
        </w:tc>
        <w:tc>
          <w:tcPr>
            <w:tcW w:w="6759" w:type="dxa"/>
            <w:shd w:val="clear" w:color="auto" w:fill="FFFFFF" w:themeFill="background1"/>
          </w:tcPr>
          <w:p w14:paraId="5836C5E0" w14:textId="77777777" w:rsidR="004C2A6F" w:rsidRPr="00D0227D" w:rsidRDefault="00B4049F" w:rsidP="00117AE2">
            <w:pPr>
              <w:pStyle w:val="TableText"/>
              <w:rPr>
                <w:rFonts w:cs="Segoe UI"/>
                <w:szCs w:val="18"/>
              </w:rPr>
            </w:pPr>
            <w:r>
              <w:t xml:space="preserve">Designing </w:t>
            </w:r>
            <w:r w:rsidR="004C2A6F">
              <w:t>functional business components of the solution</w:t>
            </w:r>
            <w:r w:rsidR="00DB3CDA">
              <w:t xml:space="preserve"> </w:t>
            </w:r>
            <w:r>
              <w:t xml:space="preserve">is </w:t>
            </w:r>
            <w:r w:rsidR="00DB3CDA">
              <w:t>not included</w:t>
            </w:r>
            <w:r w:rsidR="000F230A">
              <w:t>.</w:t>
            </w:r>
          </w:p>
        </w:tc>
      </w:tr>
      <w:tr w:rsidR="004C2A6F" w:rsidRPr="005F3BAF" w14:paraId="5836C5E4" w14:textId="77777777" w:rsidTr="00F50EF3">
        <w:trPr>
          <w:trHeight w:val="432"/>
        </w:trPr>
        <w:tc>
          <w:tcPr>
            <w:tcW w:w="2612" w:type="dxa"/>
            <w:shd w:val="clear" w:color="auto" w:fill="auto"/>
          </w:tcPr>
          <w:p w14:paraId="5836C5E2" w14:textId="77777777" w:rsidR="004C2A6F" w:rsidRPr="00D0227D" w:rsidRDefault="007C3931" w:rsidP="00117AE2">
            <w:pPr>
              <w:pStyle w:val="TableText"/>
              <w:rPr>
                <w:rFonts w:cs="Segoe UI"/>
                <w:szCs w:val="18"/>
              </w:rPr>
            </w:pPr>
            <w:r>
              <w:t>Organizational change m</w:t>
            </w:r>
            <w:r w:rsidR="004C2A6F">
              <w:t>anagement</w:t>
            </w:r>
          </w:p>
        </w:tc>
        <w:tc>
          <w:tcPr>
            <w:tcW w:w="6759" w:type="dxa"/>
            <w:shd w:val="clear" w:color="auto" w:fill="FFFFFF" w:themeFill="background1"/>
          </w:tcPr>
          <w:p w14:paraId="5836C5E3" w14:textId="4315E11C" w:rsidR="004C2A6F" w:rsidRPr="00D0227D" w:rsidRDefault="00B4049F" w:rsidP="00117AE2">
            <w:pPr>
              <w:pStyle w:val="TableText"/>
              <w:rPr>
                <w:rFonts w:cs="Segoe UI"/>
                <w:szCs w:val="18"/>
              </w:rPr>
            </w:pPr>
            <w:r>
              <w:t>Designing—</w:t>
            </w:r>
            <w:r w:rsidR="004C2A6F">
              <w:t>or redesign</w:t>
            </w:r>
            <w:r>
              <w:t>ing—</w:t>
            </w:r>
            <w:r w:rsidR="00112EB1">
              <w:t xml:space="preserve">the </w:t>
            </w:r>
            <w:r w:rsidR="0015000E">
              <w:t>c</w:t>
            </w:r>
            <w:r w:rsidR="004C2A6F">
              <w:t>ustomer’s functional organization</w:t>
            </w:r>
            <w:r w:rsidR="00DB3CDA">
              <w:t xml:space="preserve"> </w:t>
            </w:r>
            <w:r>
              <w:t xml:space="preserve">is </w:t>
            </w:r>
            <w:r w:rsidR="00DB3CDA">
              <w:t>not included</w:t>
            </w:r>
            <w:r w:rsidR="000F230A">
              <w:t>.</w:t>
            </w:r>
          </w:p>
        </w:tc>
      </w:tr>
      <w:tr w:rsidR="00FD1C9F" w:rsidRPr="00EF2C15" w14:paraId="4D120A2F" w14:textId="77777777" w:rsidTr="00F50EF3">
        <w:trPr>
          <w:trHeight w:val="432"/>
        </w:trPr>
        <w:tc>
          <w:tcPr>
            <w:tcW w:w="2612" w:type="dxa"/>
            <w:shd w:val="clear" w:color="auto" w:fill="auto"/>
          </w:tcPr>
          <w:p w14:paraId="41459482" w14:textId="65C43B13" w:rsidR="00FD1C9F" w:rsidRPr="000F7C79" w:rsidRDefault="000F7C79" w:rsidP="00FD1C9F">
            <w:pPr>
              <w:pStyle w:val="TableText"/>
              <w:rPr>
                <w:rFonts w:eastAsia="Times New Roman" w:cs="Segoe UI"/>
                <w:szCs w:val="20"/>
              </w:rPr>
            </w:pPr>
            <w:r w:rsidRPr="000F7C79">
              <w:t>Remediation of content or a</w:t>
            </w:r>
            <w:r>
              <w:t>pplications</w:t>
            </w:r>
          </w:p>
        </w:tc>
        <w:tc>
          <w:tcPr>
            <w:tcW w:w="6759" w:type="dxa"/>
            <w:shd w:val="clear" w:color="auto" w:fill="FFFFFF" w:themeFill="background1"/>
          </w:tcPr>
          <w:p w14:paraId="255F1E16" w14:textId="46A66A8C" w:rsidR="00FD1C9F" w:rsidRPr="00EF2C15" w:rsidRDefault="00EF2C15" w:rsidP="00FD1C9F">
            <w:pPr>
              <w:pStyle w:val="Bulletlist"/>
              <w:ind w:left="245" w:hanging="245"/>
            </w:pPr>
            <w:r w:rsidRPr="00CD390D">
              <w:rPr>
                <w:lang w:val="en"/>
              </w:rPr>
              <w:t>Remediation of customizations, applications and/or content is not included.</w:t>
            </w:r>
          </w:p>
        </w:tc>
      </w:tr>
      <w:tr w:rsidR="00FD1C9F" w:rsidRPr="005F3BAF" w14:paraId="7BE350CD" w14:textId="77777777" w:rsidTr="00F50EF3">
        <w:trPr>
          <w:trHeight w:val="432"/>
        </w:trPr>
        <w:tc>
          <w:tcPr>
            <w:tcW w:w="2612" w:type="dxa"/>
            <w:shd w:val="clear" w:color="auto" w:fill="auto"/>
          </w:tcPr>
          <w:p w14:paraId="7829DAE9" w14:textId="6461FADD" w:rsidR="00FD1C9F" w:rsidRDefault="00FD1C9F" w:rsidP="00FD1C9F">
            <w:pPr>
              <w:pStyle w:val="TableText"/>
            </w:pPr>
            <w:r w:rsidRPr="007D30C2">
              <w:rPr>
                <w:rFonts w:eastAsia="Times New Roman" w:cs="Segoe UI"/>
                <w:szCs w:val="20"/>
              </w:rPr>
              <w:t>General</w:t>
            </w:r>
          </w:p>
        </w:tc>
        <w:tc>
          <w:tcPr>
            <w:tcW w:w="6759" w:type="dxa"/>
            <w:shd w:val="clear" w:color="auto" w:fill="FFFFFF" w:themeFill="background1"/>
          </w:tcPr>
          <w:p w14:paraId="1DE1DC1C" w14:textId="52D5E19C" w:rsidR="00FD1C9F" w:rsidRPr="00E60C9B" w:rsidRDefault="00FD1C9F" w:rsidP="00FD1C9F">
            <w:pPr>
              <w:pStyle w:val="Bulletlist"/>
              <w:ind w:left="245" w:hanging="245"/>
            </w:pPr>
            <w:r w:rsidRPr="00E60C9B">
              <w:t>End-user communications, documentation, and training</w:t>
            </w:r>
          </w:p>
          <w:p w14:paraId="7CC5E041" w14:textId="77777777" w:rsidR="00FD1C9F" w:rsidRPr="00E60C9B" w:rsidRDefault="00FD1C9F" w:rsidP="00FD1C9F">
            <w:pPr>
              <w:pStyle w:val="Bulletlist"/>
              <w:ind w:left="245" w:hanging="245"/>
            </w:pPr>
            <w:r w:rsidRPr="00E60C9B">
              <w:t>Analysis of customer networks, network configuration, bandwidth validation, testing, and monitoring</w:t>
            </w:r>
          </w:p>
          <w:p w14:paraId="4E3925C2" w14:textId="77777777" w:rsidR="00FD1C9F" w:rsidRPr="00E60C9B" w:rsidRDefault="00FD1C9F" w:rsidP="00FD1C9F">
            <w:pPr>
              <w:pStyle w:val="Bulletlist"/>
              <w:ind w:left="245" w:hanging="245"/>
            </w:pPr>
            <w:r w:rsidRPr="00E60C9B">
              <w:t>Technical change management approval process and supporting documentation</w:t>
            </w:r>
          </w:p>
          <w:p w14:paraId="016A5EF8" w14:textId="77777777" w:rsidR="00FD1C9F" w:rsidRPr="00E60C9B" w:rsidRDefault="00FD1C9F" w:rsidP="00FD1C9F">
            <w:pPr>
              <w:pStyle w:val="Bulletlist"/>
              <w:ind w:left="245" w:hanging="245"/>
            </w:pPr>
            <w:r w:rsidRPr="00E60C9B">
              <w:t>Overall program and project management of scope and resources other than Microsoft</w:t>
            </w:r>
          </w:p>
          <w:p w14:paraId="68C9FB40" w14:textId="77777777" w:rsidR="00FD1C9F" w:rsidRPr="00E60C9B" w:rsidRDefault="00FD1C9F" w:rsidP="00FD1C9F">
            <w:pPr>
              <w:pStyle w:val="Bulletlist"/>
              <w:ind w:left="245" w:hanging="245"/>
            </w:pPr>
            <w:r w:rsidRPr="00E60C9B">
              <w:t>Producing customer-specific reports, presentations, or meeting minutes</w:t>
            </w:r>
          </w:p>
          <w:p w14:paraId="78C0149A" w14:textId="5DD6B6C3" w:rsidR="00FD1C9F" w:rsidRDefault="00FD1C9F" w:rsidP="00FD1C9F">
            <w:pPr>
              <w:pStyle w:val="Bulletlist"/>
              <w:ind w:left="245" w:hanging="245"/>
            </w:pPr>
            <w:r w:rsidRPr="00E60C9B">
              <w:t>Help desk</w:t>
            </w:r>
            <w:r>
              <w:t xml:space="preserve">, </w:t>
            </w:r>
            <w:r w:rsidRPr="00E60C9B">
              <w:t>architectural</w:t>
            </w:r>
            <w:r>
              <w:t>,</w:t>
            </w:r>
            <w:r w:rsidRPr="00E60C9B">
              <w:t xml:space="preserve"> and technical documentation specific to the customer</w:t>
            </w:r>
          </w:p>
        </w:tc>
      </w:tr>
      <w:tr w:rsidR="00FD1C9F" w:rsidRPr="005F3BAF" w14:paraId="21D5BD0C" w14:textId="77777777" w:rsidTr="00F50EF3">
        <w:trPr>
          <w:trHeight w:val="432"/>
        </w:trPr>
        <w:tc>
          <w:tcPr>
            <w:tcW w:w="2612" w:type="dxa"/>
            <w:shd w:val="clear" w:color="auto" w:fill="auto"/>
          </w:tcPr>
          <w:p w14:paraId="1CC5EA01" w14:textId="747A461B" w:rsidR="00FD1C9F" w:rsidRDefault="00FD1C9F" w:rsidP="00FD1C9F">
            <w:pPr>
              <w:pStyle w:val="TableText"/>
            </w:pPr>
            <w:r w:rsidRPr="007D30C2">
              <w:rPr>
                <w:rFonts w:eastAsia="Times New Roman" w:cs="Segoe UI"/>
                <w:szCs w:val="20"/>
              </w:rPr>
              <w:t>Setup and configuration</w:t>
            </w:r>
          </w:p>
        </w:tc>
        <w:tc>
          <w:tcPr>
            <w:tcW w:w="6759" w:type="dxa"/>
            <w:shd w:val="clear" w:color="auto" w:fill="FFFFFF" w:themeFill="background1"/>
          </w:tcPr>
          <w:p w14:paraId="11E06329" w14:textId="77777777" w:rsidR="00FD1C9F" w:rsidRPr="00E60C9B" w:rsidRDefault="00FD1C9F" w:rsidP="00FD1C9F">
            <w:pPr>
              <w:pStyle w:val="Bulletlist"/>
              <w:ind w:left="245" w:hanging="245"/>
            </w:pPr>
            <w:r w:rsidRPr="00E60C9B">
              <w:t>Configuration, packaging, and distribution of client software required for Office 365 service</w:t>
            </w:r>
          </w:p>
          <w:p w14:paraId="6848DE5B" w14:textId="77777777" w:rsidR="00FD1C9F" w:rsidRPr="00E60C9B" w:rsidRDefault="00FD1C9F" w:rsidP="00FD1C9F">
            <w:pPr>
              <w:pStyle w:val="Bulletlist"/>
              <w:ind w:left="245" w:hanging="245"/>
            </w:pPr>
            <w:r w:rsidRPr="00E60C9B">
              <w:lastRenderedPageBreak/>
              <w:t>Rationalization and definition of group policies for user, workstation, and server management</w:t>
            </w:r>
          </w:p>
          <w:p w14:paraId="4E872751" w14:textId="77777777" w:rsidR="00FD1C9F" w:rsidRPr="00E60C9B" w:rsidRDefault="00FD1C9F" w:rsidP="00FD1C9F">
            <w:pPr>
              <w:pStyle w:val="Bulletlist"/>
              <w:ind w:left="245" w:hanging="245"/>
            </w:pPr>
            <w:r w:rsidRPr="00E60C9B">
              <w:t>Modification of current operational model and operation guide</w:t>
            </w:r>
          </w:p>
          <w:p w14:paraId="31FC3B99" w14:textId="77777777" w:rsidR="00FD1C9F" w:rsidRPr="00E60C9B" w:rsidRDefault="00FD1C9F" w:rsidP="00FD1C9F">
            <w:pPr>
              <w:pStyle w:val="Bulletlist"/>
              <w:ind w:left="245" w:hanging="245"/>
            </w:pPr>
            <w:r w:rsidRPr="00E60C9B">
              <w:t>Configuration of any authentication, directory synchronization, or user profile</w:t>
            </w:r>
          </w:p>
          <w:p w14:paraId="34872903" w14:textId="77777777" w:rsidR="00FD1C9F" w:rsidRPr="00E60C9B" w:rsidRDefault="00FD1C9F" w:rsidP="00FD1C9F">
            <w:pPr>
              <w:pStyle w:val="Bulletlist"/>
              <w:ind w:left="245" w:hanging="245"/>
            </w:pPr>
            <w:r w:rsidRPr="00E60C9B">
              <w:t>Integration with any identity federation services</w:t>
            </w:r>
          </w:p>
          <w:p w14:paraId="403D160E" w14:textId="64877988" w:rsidR="00FD1C9F" w:rsidRPr="00E60C9B" w:rsidRDefault="00FD1C9F" w:rsidP="00FD1C9F">
            <w:pPr>
              <w:pStyle w:val="Bulletlist"/>
              <w:ind w:left="245" w:hanging="245"/>
            </w:pPr>
            <w:r w:rsidRPr="00E60C9B">
              <w:t xml:space="preserve">Decommissioning and removal of on-premises environments </w:t>
            </w:r>
          </w:p>
          <w:p w14:paraId="0283F93F" w14:textId="77777777" w:rsidR="00FD1C9F" w:rsidRPr="00E60C9B" w:rsidRDefault="00FD1C9F" w:rsidP="00FD1C9F">
            <w:pPr>
              <w:pStyle w:val="Bulletlist"/>
              <w:ind w:left="245" w:hanging="245"/>
            </w:pPr>
            <w:r w:rsidRPr="00E60C9B">
              <w:t>Installation of service packs and any required updates on infrastructure servers</w:t>
            </w:r>
          </w:p>
          <w:p w14:paraId="1BFD976B" w14:textId="77777777" w:rsidR="00FD1C9F" w:rsidRPr="00E60C9B" w:rsidRDefault="00FD1C9F" w:rsidP="00FD1C9F">
            <w:pPr>
              <w:pStyle w:val="Bulletlist"/>
              <w:ind w:left="245" w:hanging="245"/>
            </w:pPr>
            <w:r w:rsidRPr="00E60C9B">
              <w:t>Configuring of services applications such as search, business connectivity services, Microsoft Excel, or InfoPath</w:t>
            </w:r>
          </w:p>
          <w:p w14:paraId="6FAED95D" w14:textId="6AA699D2" w:rsidR="00FD1C9F" w:rsidRDefault="00FD1C9F" w:rsidP="00FD1C9F">
            <w:pPr>
              <w:pStyle w:val="Bulletlist"/>
              <w:ind w:left="245" w:hanging="245"/>
            </w:pPr>
            <w:r w:rsidRPr="00E60C9B">
              <w:t>Any hardware, software setup, design, procurement, installation, and configuration of any on-premises environment or networking other than within the scope documented in Section 1.2.4</w:t>
            </w:r>
          </w:p>
        </w:tc>
      </w:tr>
      <w:tr w:rsidR="00FD1C9F" w:rsidRPr="005F3BAF" w14:paraId="7FFD626A" w14:textId="77777777" w:rsidTr="00F50EF3">
        <w:trPr>
          <w:trHeight w:val="432"/>
        </w:trPr>
        <w:tc>
          <w:tcPr>
            <w:tcW w:w="2612" w:type="dxa"/>
            <w:shd w:val="clear" w:color="auto" w:fill="auto"/>
          </w:tcPr>
          <w:p w14:paraId="629C03AA" w14:textId="4FF061D7" w:rsidR="00FD1C9F" w:rsidRDefault="00FD1C9F" w:rsidP="00FD1C9F">
            <w:pPr>
              <w:pStyle w:val="TableText"/>
            </w:pPr>
            <w:r w:rsidRPr="007D30C2">
              <w:rPr>
                <w:rFonts w:eastAsia="Times New Roman" w:cs="Segoe UI"/>
                <w:szCs w:val="20"/>
              </w:rPr>
              <w:lastRenderedPageBreak/>
              <w:t>Integration</w:t>
            </w:r>
          </w:p>
        </w:tc>
        <w:tc>
          <w:tcPr>
            <w:tcW w:w="6759" w:type="dxa"/>
            <w:shd w:val="clear" w:color="auto" w:fill="FFFFFF" w:themeFill="background1"/>
          </w:tcPr>
          <w:p w14:paraId="53E64308" w14:textId="77777777" w:rsidR="00FD1C9F" w:rsidRPr="00E60C9B" w:rsidRDefault="00FD1C9F" w:rsidP="00FD1C9F">
            <w:pPr>
              <w:pStyle w:val="Bulletlist"/>
              <w:ind w:left="245" w:hanging="245"/>
            </w:pPr>
            <w:r w:rsidRPr="00E60C9B">
              <w:t>Integration with any social (such as Microsoft Yammer) or personal sites setup or integration</w:t>
            </w:r>
          </w:p>
          <w:p w14:paraId="43A66026" w14:textId="77777777" w:rsidR="00FD1C9F" w:rsidRPr="00E60C9B" w:rsidRDefault="00FD1C9F" w:rsidP="00FD1C9F">
            <w:pPr>
              <w:pStyle w:val="Bulletlist"/>
              <w:ind w:left="245" w:hanging="245"/>
            </w:pPr>
            <w:r w:rsidRPr="00E60C9B">
              <w:t>Integration with third-party systems, identity, search federation service, or social or personal sites service</w:t>
            </w:r>
          </w:p>
          <w:p w14:paraId="164569ED" w14:textId="60C36E44" w:rsidR="00FD1C9F" w:rsidRDefault="00FD1C9F" w:rsidP="00FD1C9F">
            <w:pPr>
              <w:pStyle w:val="Bulletlist"/>
              <w:ind w:left="245" w:hanging="245"/>
            </w:pPr>
            <w:r w:rsidRPr="00E60C9B">
              <w:t>Any Microsoft OneDrive for Business migrations</w:t>
            </w:r>
          </w:p>
        </w:tc>
      </w:tr>
      <w:tr w:rsidR="00FD1C9F" w:rsidRPr="005F3BAF" w14:paraId="37739A50" w14:textId="77777777" w:rsidTr="00F50EF3">
        <w:trPr>
          <w:trHeight w:val="432"/>
        </w:trPr>
        <w:tc>
          <w:tcPr>
            <w:tcW w:w="2612" w:type="dxa"/>
            <w:shd w:val="clear" w:color="auto" w:fill="auto"/>
          </w:tcPr>
          <w:p w14:paraId="4B7E624B" w14:textId="446A0616" w:rsidR="00FD1C9F" w:rsidRDefault="00FD1C9F" w:rsidP="00FD1C9F">
            <w:pPr>
              <w:pStyle w:val="TableText"/>
            </w:pPr>
            <w:r>
              <w:rPr>
                <w:sz w:val="22"/>
              </w:rPr>
              <w:br w:type="page"/>
            </w:r>
            <w:r w:rsidRPr="007D30C2">
              <w:rPr>
                <w:rFonts w:eastAsia="Times New Roman" w:cs="Segoe UI"/>
                <w:szCs w:val="20"/>
              </w:rPr>
              <w:t>Testing</w:t>
            </w:r>
          </w:p>
        </w:tc>
        <w:tc>
          <w:tcPr>
            <w:tcW w:w="6759" w:type="dxa"/>
            <w:shd w:val="clear" w:color="auto" w:fill="FFFFFF" w:themeFill="background1"/>
          </w:tcPr>
          <w:p w14:paraId="32785C99" w14:textId="77777777" w:rsidR="00FD1C9F" w:rsidRPr="00E60C9B" w:rsidRDefault="00FD1C9F" w:rsidP="00FD1C9F">
            <w:pPr>
              <w:pStyle w:val="Bulletlist"/>
              <w:ind w:left="245" w:hanging="245"/>
            </w:pPr>
            <w:r w:rsidRPr="00E60C9B">
              <w:t xml:space="preserve">Threat modeling, security penetration testing, performance testing, functional testing, or UI testing </w:t>
            </w:r>
          </w:p>
          <w:p w14:paraId="4A8DA805" w14:textId="4E8534EB" w:rsidR="00FD1C9F" w:rsidRDefault="00FD1C9F" w:rsidP="00FD1C9F">
            <w:pPr>
              <w:pStyle w:val="Bulletlist"/>
              <w:ind w:left="245" w:hanging="245"/>
            </w:pPr>
            <w:r w:rsidRPr="00E60C9B">
              <w:t>Construction and maintenance of customer test environment</w:t>
            </w:r>
          </w:p>
        </w:tc>
      </w:tr>
      <w:tr w:rsidR="00FD1C9F" w:rsidRPr="005F3BAF" w14:paraId="78879B23" w14:textId="77777777" w:rsidTr="00F50EF3">
        <w:trPr>
          <w:trHeight w:val="432"/>
        </w:trPr>
        <w:tc>
          <w:tcPr>
            <w:tcW w:w="2612" w:type="dxa"/>
            <w:shd w:val="clear" w:color="auto" w:fill="auto"/>
          </w:tcPr>
          <w:p w14:paraId="3F22C128" w14:textId="691BAAF3" w:rsidR="00FD1C9F" w:rsidRDefault="00FD1C9F" w:rsidP="00FD1C9F">
            <w:pPr>
              <w:pStyle w:val="TableText"/>
              <w:rPr>
                <w:sz w:val="22"/>
              </w:rPr>
            </w:pPr>
            <w:r w:rsidRPr="007D30C2">
              <w:rPr>
                <w:rFonts w:eastAsia="Times New Roman" w:cs="Segoe UI"/>
                <w:szCs w:val="20"/>
              </w:rPr>
              <w:t>Content cleanup and restructuring</w:t>
            </w:r>
          </w:p>
        </w:tc>
        <w:tc>
          <w:tcPr>
            <w:tcW w:w="6759" w:type="dxa"/>
            <w:shd w:val="clear" w:color="auto" w:fill="FFFFFF" w:themeFill="background1"/>
          </w:tcPr>
          <w:p w14:paraId="657A0D02" w14:textId="77777777" w:rsidR="00FD1C9F" w:rsidRPr="00E60C9B" w:rsidRDefault="00FD1C9F" w:rsidP="00FD1C9F">
            <w:pPr>
              <w:pStyle w:val="Bulletlist"/>
              <w:ind w:left="245" w:hanging="245"/>
            </w:pPr>
            <w:r w:rsidRPr="00E60C9B">
              <w:t>Content cleanup or archiving</w:t>
            </w:r>
          </w:p>
          <w:p w14:paraId="1651F2AD" w14:textId="06517546" w:rsidR="00FD1C9F" w:rsidRPr="00E60C9B" w:rsidRDefault="00FD1C9F" w:rsidP="00FD1C9F">
            <w:pPr>
              <w:pStyle w:val="Bulletlist"/>
              <w:ind w:left="245" w:hanging="245"/>
            </w:pPr>
            <w:r w:rsidRPr="00E60C9B">
              <w:t>Restructuring of the sites</w:t>
            </w:r>
            <w:r w:rsidR="00A166C2">
              <w:t xml:space="preserve"> (other than SGD)</w:t>
            </w:r>
            <w:r w:rsidRPr="00E60C9B">
              <w:t xml:space="preserve"> should be handled by the customer’s team</w:t>
            </w:r>
          </w:p>
          <w:p w14:paraId="335900FC" w14:textId="60D78E5E" w:rsidR="00FD1C9F" w:rsidRPr="00E60C9B" w:rsidRDefault="00FD1C9F" w:rsidP="00FD1C9F">
            <w:pPr>
              <w:pStyle w:val="Bulletlist"/>
              <w:ind w:left="245" w:hanging="245"/>
            </w:pPr>
            <w:r w:rsidRPr="00E60C9B">
              <w:t xml:space="preserve">Any changes to the existing information architecture </w:t>
            </w:r>
          </w:p>
        </w:tc>
      </w:tr>
      <w:tr w:rsidR="00FD1C9F" w:rsidRPr="005F3BAF" w14:paraId="0003EE44" w14:textId="77777777" w:rsidTr="00F50EF3">
        <w:trPr>
          <w:trHeight w:val="432"/>
        </w:trPr>
        <w:tc>
          <w:tcPr>
            <w:tcW w:w="2612" w:type="dxa"/>
            <w:shd w:val="clear" w:color="auto" w:fill="auto"/>
          </w:tcPr>
          <w:p w14:paraId="290106E9" w14:textId="487D9CD7" w:rsidR="00FD1C9F" w:rsidRDefault="00FD1C9F" w:rsidP="00FD1C9F">
            <w:pPr>
              <w:pStyle w:val="TableText"/>
              <w:rPr>
                <w:sz w:val="22"/>
              </w:rPr>
            </w:pPr>
            <w:r w:rsidRPr="007D30C2">
              <w:rPr>
                <w:rFonts w:eastAsia="Times New Roman" w:cs="Segoe UI"/>
                <w:bCs/>
                <w:szCs w:val="20"/>
              </w:rPr>
              <w:t>Office 365 (multi-tenant)</w:t>
            </w:r>
          </w:p>
        </w:tc>
        <w:tc>
          <w:tcPr>
            <w:tcW w:w="6759" w:type="dxa"/>
            <w:shd w:val="clear" w:color="auto" w:fill="FFFFFF" w:themeFill="background1"/>
          </w:tcPr>
          <w:p w14:paraId="15F6C524" w14:textId="77777777" w:rsidR="00FD1C9F" w:rsidRPr="00E60C9B" w:rsidRDefault="00FD1C9F" w:rsidP="00FD1C9F">
            <w:pPr>
              <w:pStyle w:val="Bulletlist"/>
              <w:ind w:left="245" w:hanging="245"/>
            </w:pPr>
            <w:r w:rsidRPr="00E60C9B">
              <w:t>Modifications to the Office 365 service beyond the configurable options</w:t>
            </w:r>
          </w:p>
          <w:p w14:paraId="36F5B22C" w14:textId="77777777" w:rsidR="00FD1C9F" w:rsidRPr="00E60C9B" w:rsidRDefault="00FD1C9F" w:rsidP="00FD1C9F">
            <w:pPr>
              <w:pStyle w:val="Bulletlist"/>
              <w:ind w:left="245" w:hanging="245"/>
            </w:pPr>
            <w:r w:rsidRPr="00E60C9B">
              <w:t>Upgrade of server-side customizations</w:t>
            </w:r>
          </w:p>
          <w:p w14:paraId="2772F3E9" w14:textId="0AC10F64" w:rsidR="00FD1C9F" w:rsidRPr="00E60C9B" w:rsidRDefault="00FD1C9F" w:rsidP="00FD1C9F">
            <w:pPr>
              <w:pStyle w:val="Bulletlist"/>
              <w:ind w:left="245" w:hanging="245"/>
            </w:pPr>
            <w:r w:rsidRPr="00E60C9B">
              <w:t xml:space="preserve">Upgrade of existing SharePoint Designer workflows </w:t>
            </w:r>
          </w:p>
        </w:tc>
      </w:tr>
      <w:tr w:rsidR="00FD1C9F" w:rsidRPr="005F3BAF" w14:paraId="5AB7CBDC" w14:textId="77777777" w:rsidTr="00F50EF3">
        <w:trPr>
          <w:trHeight w:val="432"/>
        </w:trPr>
        <w:tc>
          <w:tcPr>
            <w:tcW w:w="2612" w:type="dxa"/>
            <w:shd w:val="clear" w:color="auto" w:fill="auto"/>
          </w:tcPr>
          <w:p w14:paraId="152BF3E6" w14:textId="5F0A3C3E" w:rsidR="00FD1C9F" w:rsidRPr="007D30C2" w:rsidRDefault="00FD1C9F" w:rsidP="00FD1C9F">
            <w:pPr>
              <w:pStyle w:val="TableText"/>
              <w:rPr>
                <w:rFonts w:eastAsia="Times New Roman" w:cs="Segoe UI"/>
                <w:bCs/>
                <w:szCs w:val="20"/>
              </w:rPr>
            </w:pPr>
            <w:r>
              <w:rPr>
                <w:rFonts w:eastAsia="Times New Roman" w:cs="Segoe UI"/>
                <w:bCs/>
                <w:szCs w:val="20"/>
              </w:rPr>
              <w:t>Remediation activities</w:t>
            </w:r>
          </w:p>
        </w:tc>
        <w:tc>
          <w:tcPr>
            <w:tcW w:w="6759" w:type="dxa"/>
            <w:shd w:val="clear" w:color="auto" w:fill="FFFFFF" w:themeFill="background1"/>
          </w:tcPr>
          <w:p w14:paraId="5238739A" w14:textId="4ECD6D14" w:rsidR="00FD1C9F" w:rsidRPr="00E60C9B" w:rsidRDefault="00FD1C9F" w:rsidP="00FD1C9F">
            <w:pPr>
              <w:pStyle w:val="Bulletlist"/>
              <w:numPr>
                <w:ilvl w:val="0"/>
                <w:numId w:val="0"/>
              </w:numPr>
            </w:pPr>
            <w:r>
              <w:t xml:space="preserve">Microsoft facilitation or completion of remediation activities, beyond the allocated hours </w:t>
            </w:r>
          </w:p>
        </w:tc>
      </w:tr>
      <w:tr w:rsidR="00CB511E" w:rsidRPr="003F6BCD" w14:paraId="6CAC3351" w14:textId="77777777" w:rsidTr="00F50EF3">
        <w:trPr>
          <w:trHeight w:val="432"/>
        </w:trPr>
        <w:tc>
          <w:tcPr>
            <w:tcW w:w="2612" w:type="dxa"/>
            <w:shd w:val="clear" w:color="auto" w:fill="auto"/>
          </w:tcPr>
          <w:p w14:paraId="38AB26F0" w14:textId="049CB53C" w:rsidR="00CB511E" w:rsidRDefault="00575D2F" w:rsidP="00FD1C9F">
            <w:pPr>
              <w:pStyle w:val="TableText"/>
              <w:rPr>
                <w:rFonts w:eastAsia="Times New Roman" w:cs="Segoe UI"/>
                <w:bCs/>
                <w:szCs w:val="20"/>
              </w:rPr>
            </w:pPr>
            <w:r>
              <w:rPr>
                <w:rFonts w:eastAsia="Times New Roman" w:cs="Segoe UI"/>
                <w:bCs/>
                <w:szCs w:val="20"/>
              </w:rPr>
              <w:t>Artifacts not included in the scope</w:t>
            </w:r>
          </w:p>
        </w:tc>
        <w:tc>
          <w:tcPr>
            <w:tcW w:w="6759" w:type="dxa"/>
            <w:shd w:val="clear" w:color="auto" w:fill="FFFFFF" w:themeFill="background1"/>
          </w:tcPr>
          <w:p w14:paraId="5FA07767" w14:textId="77777777" w:rsidR="00285578" w:rsidRPr="00203F54" w:rsidRDefault="00285578" w:rsidP="004F61C4">
            <w:pPr>
              <w:pStyle w:val="Bulletlist"/>
            </w:pPr>
            <w:r w:rsidRPr="00CD390D">
              <w:rPr>
                <w:lang w:val="en"/>
              </w:rPr>
              <w:t>Non-specified site content migration in section 1.1</w:t>
            </w:r>
            <w:r w:rsidRPr="00CD390D">
              <w:rPr>
                <w:lang w:val="en"/>
              </w:rPr>
              <w:fldChar w:fldCharType="begin"/>
            </w:r>
            <w:r w:rsidRPr="00CD390D">
              <w:rPr>
                <w:lang w:val="en"/>
              </w:rPr>
              <w:instrText xml:space="preserve"> REF _Ref900599 \r \h  \* MERGEFORMAT </w:instrText>
            </w:r>
            <w:r w:rsidRPr="00CD390D">
              <w:rPr>
                <w:lang w:val="en"/>
              </w:rPr>
            </w:r>
            <w:r w:rsidRPr="00CD390D">
              <w:rPr>
                <w:lang w:val="en"/>
              </w:rPr>
              <w:fldChar w:fldCharType="end"/>
            </w:r>
          </w:p>
          <w:p w14:paraId="2A1187C8" w14:textId="77777777" w:rsidR="00285578" w:rsidRPr="00203F54" w:rsidRDefault="00285578" w:rsidP="004F61C4">
            <w:pPr>
              <w:pStyle w:val="Bulletlist"/>
            </w:pPr>
            <w:r w:rsidRPr="00CD390D">
              <w:rPr>
                <w:lang w:val="en"/>
              </w:rPr>
              <w:t>Migration of My sites, One Drive, personal sites.</w:t>
            </w:r>
          </w:p>
          <w:p w14:paraId="7D92C391" w14:textId="77777777" w:rsidR="00285578" w:rsidRPr="00203F54" w:rsidRDefault="00285578" w:rsidP="004F61C4">
            <w:pPr>
              <w:pStyle w:val="Bulletlist"/>
            </w:pPr>
            <w:r w:rsidRPr="00CD390D">
              <w:rPr>
                <w:lang w:val="en"/>
              </w:rPr>
              <w:t>Migration, updating, optimization, or redesign of server customizations or solutions.</w:t>
            </w:r>
          </w:p>
          <w:p w14:paraId="02658F8F" w14:textId="77777777" w:rsidR="00285578" w:rsidRPr="00203F54" w:rsidRDefault="00285578" w:rsidP="004F61C4">
            <w:pPr>
              <w:pStyle w:val="Bulletlist"/>
            </w:pPr>
            <w:r w:rsidRPr="00CD390D">
              <w:rPr>
                <w:lang w:val="en"/>
              </w:rPr>
              <w:t>Individual items will not be selected or filtered for migration.  Any content cleanup has to be done by the customer at the source of the data.</w:t>
            </w:r>
          </w:p>
          <w:p w14:paraId="0D411A6C" w14:textId="77777777" w:rsidR="00285578" w:rsidRPr="00203F54" w:rsidRDefault="00285578" w:rsidP="004F61C4">
            <w:pPr>
              <w:pStyle w:val="Bulletlist"/>
            </w:pPr>
            <w:r w:rsidRPr="00CD390D">
              <w:rPr>
                <w:lang w:val="en"/>
              </w:rPr>
              <w:t>Development, remediation, or fixes to master page customizations, stylesheets, and other artifacts.</w:t>
            </w:r>
          </w:p>
          <w:p w14:paraId="159F60EE" w14:textId="77777777" w:rsidR="00285578" w:rsidRPr="00CD390D" w:rsidRDefault="00285578" w:rsidP="004F61C4">
            <w:pPr>
              <w:pStyle w:val="Bulletlist"/>
              <w:rPr>
                <w:lang w:val="es-PR"/>
              </w:rPr>
            </w:pPr>
            <w:r w:rsidRPr="00CD390D">
              <w:rPr>
                <w:lang w:val="en"/>
              </w:rPr>
              <w:lastRenderedPageBreak/>
              <w:t>The following scenarios:</w:t>
            </w:r>
          </w:p>
          <w:p w14:paraId="1E563DB4" w14:textId="77777777" w:rsidR="00285578" w:rsidRPr="00CD390D" w:rsidRDefault="00285578" w:rsidP="00C00BB8">
            <w:pPr>
              <w:pStyle w:val="Bulletlist"/>
              <w:numPr>
                <w:ilvl w:val="1"/>
                <w:numId w:val="12"/>
              </w:numPr>
              <w:rPr>
                <w:lang w:val="es-PR"/>
              </w:rPr>
            </w:pPr>
            <w:r w:rsidRPr="00CD390D">
              <w:rPr>
                <w:lang w:val="en"/>
              </w:rPr>
              <w:t>Flow history</w:t>
            </w:r>
          </w:p>
          <w:p w14:paraId="6D89F645" w14:textId="77777777" w:rsidR="00285578" w:rsidRPr="00CD390D" w:rsidRDefault="00285578" w:rsidP="00C00BB8">
            <w:pPr>
              <w:pStyle w:val="Bulletlist"/>
              <w:numPr>
                <w:ilvl w:val="1"/>
                <w:numId w:val="12"/>
              </w:numPr>
              <w:rPr>
                <w:lang w:val="es-PR"/>
              </w:rPr>
            </w:pPr>
            <w:r w:rsidRPr="00CD390D">
              <w:rPr>
                <w:lang w:val="en"/>
              </w:rPr>
              <w:t>Version history</w:t>
            </w:r>
          </w:p>
          <w:p w14:paraId="60B9AF63" w14:textId="77777777" w:rsidR="00285578" w:rsidRPr="00CD390D" w:rsidRDefault="00285578" w:rsidP="00C00BB8">
            <w:pPr>
              <w:pStyle w:val="Bulletlist"/>
              <w:numPr>
                <w:ilvl w:val="1"/>
                <w:numId w:val="12"/>
              </w:numPr>
              <w:rPr>
                <w:lang w:val="es-PR"/>
              </w:rPr>
            </w:pPr>
            <w:r w:rsidRPr="00CD390D">
              <w:rPr>
                <w:lang w:val="en"/>
              </w:rPr>
              <w:t>Site streams</w:t>
            </w:r>
          </w:p>
          <w:p w14:paraId="4E8A4401" w14:textId="77777777" w:rsidR="00285578" w:rsidRPr="00203F54" w:rsidRDefault="00285578" w:rsidP="00C00BB8">
            <w:pPr>
              <w:pStyle w:val="Bulletlist"/>
              <w:numPr>
                <w:ilvl w:val="1"/>
                <w:numId w:val="12"/>
              </w:numPr>
            </w:pPr>
            <w:r w:rsidRPr="00CD390D">
              <w:rPr>
                <w:lang w:val="en"/>
              </w:rPr>
              <w:t>InfoPath forms of servers and variations</w:t>
            </w:r>
          </w:p>
          <w:p w14:paraId="295FA871" w14:textId="77777777" w:rsidR="00285578" w:rsidRPr="00CD390D" w:rsidRDefault="00285578" w:rsidP="00C00BB8">
            <w:pPr>
              <w:pStyle w:val="Bulletlist"/>
              <w:numPr>
                <w:ilvl w:val="1"/>
                <w:numId w:val="12"/>
              </w:numPr>
              <w:rPr>
                <w:lang w:val="es-PR"/>
              </w:rPr>
            </w:pPr>
            <w:r w:rsidRPr="00CD390D">
              <w:rPr>
                <w:lang w:val="en"/>
              </w:rPr>
              <w:t>Customizations</w:t>
            </w:r>
          </w:p>
          <w:p w14:paraId="55CDB4DE" w14:textId="77777777" w:rsidR="00285578" w:rsidRPr="00CD390D" w:rsidRDefault="00285578" w:rsidP="00C00BB8">
            <w:pPr>
              <w:pStyle w:val="Bulletlist"/>
              <w:numPr>
                <w:ilvl w:val="1"/>
                <w:numId w:val="12"/>
              </w:numPr>
              <w:rPr>
                <w:lang w:val="es-PR"/>
              </w:rPr>
            </w:pPr>
            <w:r w:rsidRPr="00CD390D">
              <w:rPr>
                <w:lang w:val="en"/>
              </w:rPr>
              <w:t>March</w:t>
            </w:r>
          </w:p>
          <w:p w14:paraId="4FA07CDE" w14:textId="77777777" w:rsidR="00285578" w:rsidRPr="00CD390D" w:rsidRDefault="00285578" w:rsidP="00C00BB8">
            <w:pPr>
              <w:pStyle w:val="Bulletlist"/>
              <w:numPr>
                <w:ilvl w:val="1"/>
                <w:numId w:val="12"/>
              </w:numPr>
              <w:rPr>
                <w:lang w:val="es-PR"/>
              </w:rPr>
            </w:pPr>
            <w:r w:rsidRPr="00CD390D">
              <w:rPr>
                <w:lang w:val="en"/>
              </w:rPr>
              <w:t>Web Sites</w:t>
            </w:r>
          </w:p>
          <w:p w14:paraId="5AE330C8" w14:textId="77777777" w:rsidR="00285578" w:rsidRPr="00203F54" w:rsidRDefault="00285578" w:rsidP="004F61C4">
            <w:pPr>
              <w:pStyle w:val="Bulletlist"/>
            </w:pPr>
            <w:r w:rsidRPr="00CD390D">
              <w:rPr>
                <w:lang w:val="en"/>
              </w:rPr>
              <w:t>Types of files that are disabled in SharePoint Online.</w:t>
            </w:r>
          </w:p>
          <w:p w14:paraId="58D34438" w14:textId="77777777" w:rsidR="00285578" w:rsidRPr="00203F54" w:rsidRDefault="00285578" w:rsidP="004F61C4">
            <w:pPr>
              <w:pStyle w:val="Bulletlist"/>
            </w:pPr>
            <w:r w:rsidRPr="00CD390D">
              <w:rPr>
                <w:lang w:val="en"/>
              </w:rPr>
              <w:t>Documents, folders, and files that have URL size greater than 260 characters.</w:t>
            </w:r>
          </w:p>
          <w:p w14:paraId="3BECF0D6" w14:textId="77777777" w:rsidR="00285578" w:rsidRPr="00203F54" w:rsidRDefault="00285578" w:rsidP="004F61C4">
            <w:pPr>
              <w:pStyle w:val="Bulletlist"/>
            </w:pPr>
            <w:r w:rsidRPr="00CD390D">
              <w:rPr>
                <w:lang w:val="en"/>
              </w:rPr>
              <w:t>URL correction and links within documents or JavaScript.</w:t>
            </w:r>
          </w:p>
          <w:p w14:paraId="0BE00914" w14:textId="77777777" w:rsidR="00285578" w:rsidRPr="00CD390D" w:rsidRDefault="00285578" w:rsidP="004F61C4">
            <w:pPr>
              <w:pStyle w:val="Bulletlist"/>
              <w:rPr>
                <w:lang w:val="es-PR"/>
              </w:rPr>
            </w:pPr>
            <w:r w:rsidRPr="00CD390D">
              <w:rPr>
                <w:lang w:val="en"/>
              </w:rPr>
              <w:t>The following properties:</w:t>
            </w:r>
          </w:p>
          <w:p w14:paraId="2CC8F4BF" w14:textId="77777777" w:rsidR="00285578" w:rsidRPr="00CD390D" w:rsidRDefault="00285578" w:rsidP="00C00BB8">
            <w:pPr>
              <w:pStyle w:val="Bulletlist"/>
              <w:numPr>
                <w:ilvl w:val="1"/>
                <w:numId w:val="12"/>
              </w:numPr>
              <w:rPr>
                <w:lang w:val="es-PR"/>
              </w:rPr>
            </w:pPr>
            <w:r w:rsidRPr="00CD390D">
              <w:rPr>
                <w:lang w:val="en"/>
              </w:rPr>
              <w:t>Regional properties</w:t>
            </w:r>
          </w:p>
          <w:p w14:paraId="34620ADF" w14:textId="77777777" w:rsidR="00285578" w:rsidRPr="00CD390D" w:rsidRDefault="00285578" w:rsidP="00C00BB8">
            <w:pPr>
              <w:pStyle w:val="Bulletlist"/>
              <w:numPr>
                <w:ilvl w:val="1"/>
                <w:numId w:val="12"/>
              </w:numPr>
              <w:rPr>
                <w:lang w:val="es-PR"/>
              </w:rPr>
            </w:pPr>
            <w:r w:rsidRPr="00CD390D">
              <w:rPr>
                <w:lang w:val="en"/>
              </w:rPr>
              <w:t>Libraries versions</w:t>
            </w:r>
          </w:p>
          <w:p w14:paraId="1901948A" w14:textId="3047CB6E" w:rsidR="00CB511E" w:rsidRPr="00EF2C9C" w:rsidRDefault="00285578" w:rsidP="00C00BB8">
            <w:pPr>
              <w:pStyle w:val="Bulletlist"/>
              <w:numPr>
                <w:ilvl w:val="1"/>
                <w:numId w:val="12"/>
              </w:numPr>
              <w:rPr>
                <w:lang w:val="es-PR"/>
              </w:rPr>
            </w:pPr>
            <w:r w:rsidRPr="00CD390D">
              <w:rPr>
                <w:lang w:val="en"/>
              </w:rPr>
              <w:t>Enterprise Metadata and keywords</w:t>
            </w:r>
          </w:p>
        </w:tc>
      </w:tr>
    </w:tbl>
    <w:p w14:paraId="5836C5E5" w14:textId="77777777" w:rsidR="00942632" w:rsidRDefault="00942632" w:rsidP="00C84DD9">
      <w:pPr>
        <w:pStyle w:val="Heading1"/>
      </w:pPr>
      <w:bookmarkStart w:id="30" w:name="_Toc476167706"/>
      <w:bookmarkStart w:id="31" w:name="_Toc476168033"/>
      <w:bookmarkStart w:id="32" w:name="_Toc7701764"/>
      <w:r>
        <w:lastRenderedPageBreak/>
        <w:t>Project approach, timeline</w:t>
      </w:r>
      <w:r w:rsidR="006209A1">
        <w:t>,</w:t>
      </w:r>
      <w:r>
        <w:t xml:space="preserve"> and deliverable acceptance</w:t>
      </w:r>
      <w:bookmarkEnd w:id="30"/>
      <w:bookmarkEnd w:id="31"/>
      <w:bookmarkEnd w:id="32"/>
    </w:p>
    <w:p w14:paraId="5836C5E6" w14:textId="77777777" w:rsidR="00942632" w:rsidRDefault="00942632" w:rsidP="00C84DD9">
      <w:pPr>
        <w:pStyle w:val="Heading2"/>
      </w:pPr>
      <w:bookmarkStart w:id="33" w:name="_Toc476167707"/>
      <w:bookmarkStart w:id="34" w:name="_Toc476168034"/>
      <w:bookmarkStart w:id="35" w:name="_Ref477870375"/>
      <w:bookmarkStart w:id="36" w:name="_Ref477873467"/>
      <w:bookmarkStart w:id="37" w:name="_Ref477936654"/>
      <w:bookmarkStart w:id="38" w:name="_Ref477936937"/>
      <w:bookmarkStart w:id="39" w:name="_Toc7701765"/>
      <w:r>
        <w:t>Approach</w:t>
      </w:r>
      <w:bookmarkEnd w:id="33"/>
      <w:bookmarkEnd w:id="34"/>
      <w:bookmarkEnd w:id="35"/>
      <w:bookmarkEnd w:id="36"/>
      <w:bookmarkEnd w:id="37"/>
      <w:bookmarkEnd w:id="38"/>
      <w:bookmarkEnd w:id="39"/>
    </w:p>
    <w:p w14:paraId="5836C5E8" w14:textId="637D956C" w:rsidR="0032686E" w:rsidRDefault="00DC319F" w:rsidP="0032686E">
      <w:r>
        <w:t>The project will be structured following the Microsoft solution delivery metho</w:t>
      </w:r>
      <w:r w:rsidR="008E2356">
        <w:t xml:space="preserve">dology across </w:t>
      </w:r>
      <w:r w:rsidR="00E40CE7" w:rsidRPr="00C25AEA">
        <w:t>f</w:t>
      </w:r>
      <w:r w:rsidR="00C25AEA" w:rsidRPr="00C25AEA">
        <w:t>our</w:t>
      </w:r>
      <w:r w:rsidR="008E2356">
        <w:t xml:space="preserve"> distinct phases</w:t>
      </w:r>
      <w:r w:rsidR="00712FE5">
        <w:t>:</w:t>
      </w:r>
      <w:r w:rsidR="00712FE5" w:rsidRPr="00C25AEA">
        <w:t xml:space="preserve"> Enable, Migrate</w:t>
      </w:r>
      <w:r w:rsidR="00C25AEA" w:rsidRPr="00C25AEA">
        <w:t>, and Support</w:t>
      </w:r>
      <w:r w:rsidR="00712FE5">
        <w:t xml:space="preserve">. </w:t>
      </w:r>
      <w:r>
        <w:t>Each</w:t>
      </w:r>
      <w:r w:rsidR="00946E33">
        <w:t xml:space="preserve"> phase has distinct activities and deliverables </w:t>
      </w:r>
      <w:r w:rsidR="00843775">
        <w:t xml:space="preserve">that are </w:t>
      </w:r>
      <w:r>
        <w:t>described in the following sections.</w:t>
      </w:r>
    </w:p>
    <w:p w14:paraId="5836C5EA" w14:textId="047BD43B" w:rsidR="00DC319F" w:rsidRDefault="00EE3729" w:rsidP="0032686E">
      <w:pPr>
        <w:rPr>
          <w:rFonts w:ascii="Calibri" w:hAnsi="Calibri"/>
        </w:rPr>
      </w:pPr>
      <w:r>
        <w:t>If a deliverable requires formal review and acceptance (</w:t>
      </w:r>
      <w:r w:rsidR="00843775">
        <w:t xml:space="preserve">a </w:t>
      </w:r>
      <w:r>
        <w:t>proces</w:t>
      </w:r>
      <w:r w:rsidR="002E555E">
        <w:t xml:space="preserve">s described in </w:t>
      </w:r>
      <w:r w:rsidR="00843775">
        <w:t xml:space="preserve">the </w:t>
      </w:r>
      <w:r w:rsidR="00843775">
        <w:fldChar w:fldCharType="begin"/>
      </w:r>
      <w:r w:rsidR="00843775">
        <w:instrText xml:space="preserve"> REF _Ref477932041 \h </w:instrText>
      </w:r>
      <w:r w:rsidR="00843775">
        <w:fldChar w:fldCharType="separate"/>
      </w:r>
      <w:r w:rsidR="00812548">
        <w:t>Deliverable acceptance process</w:t>
      </w:r>
      <w:r w:rsidR="00843775">
        <w:fldChar w:fldCharType="end"/>
      </w:r>
      <w:r w:rsidR="00843775">
        <w:t xml:space="preserve"> section</w:t>
      </w:r>
      <w:r>
        <w:t>), this is indicated</w:t>
      </w:r>
      <w:r w:rsidR="002E555E">
        <w:t xml:space="preserve"> in </w:t>
      </w:r>
      <w:r w:rsidR="00E06254">
        <w:t>the following sections</w:t>
      </w:r>
      <w:r w:rsidR="00BC30AA">
        <w:t>.</w:t>
      </w:r>
      <w:r w:rsidR="00CE5743" w:rsidDel="00CE5743">
        <w:rPr>
          <w:rFonts w:ascii="Calibri" w:hAnsi="Calibri"/>
        </w:rPr>
        <w:t xml:space="preserve"> </w:t>
      </w:r>
    </w:p>
    <w:p w14:paraId="5836C5EB" w14:textId="25558F4D" w:rsidR="00B5507E" w:rsidRDefault="005C4E35" w:rsidP="00C84DD9">
      <w:pPr>
        <w:pStyle w:val="Heading3"/>
      </w:pPr>
      <w:r>
        <w:t>Enable</w:t>
      </w:r>
    </w:p>
    <w:p w14:paraId="5836C5EC" w14:textId="3CE56DA2" w:rsidR="00B5507E" w:rsidRPr="00B5507E" w:rsidRDefault="00DE2976" w:rsidP="00B5507E">
      <w:r w:rsidRPr="00CD390D">
        <w:rPr>
          <w:lang w:val="en"/>
        </w:rPr>
        <w:t>The project's enabling phase consists of creating the migration environment, proving that the environment is working as expected, conducting test migrations, and planning the migration agenda</w:t>
      </w:r>
      <w:r w:rsidR="00E12D6D">
        <w: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B5507E" w14:paraId="5836C5EF" w14:textId="77777777" w:rsidTr="008C6736">
        <w:trPr>
          <w:trHeight w:val="360"/>
          <w:tblHeader/>
        </w:trPr>
        <w:tc>
          <w:tcPr>
            <w:tcW w:w="3068" w:type="dxa"/>
            <w:shd w:val="clear" w:color="auto" w:fill="008272"/>
          </w:tcPr>
          <w:p w14:paraId="5836C5ED" w14:textId="77777777" w:rsidR="00B5507E" w:rsidRPr="00031658" w:rsidRDefault="00B5507E" w:rsidP="00031658">
            <w:pPr>
              <w:pStyle w:val="Table-Header"/>
            </w:pPr>
            <w:r w:rsidRPr="00031658">
              <w:t>Category</w:t>
            </w:r>
          </w:p>
        </w:tc>
        <w:tc>
          <w:tcPr>
            <w:tcW w:w="6153" w:type="dxa"/>
            <w:gridSpan w:val="2"/>
            <w:shd w:val="clear" w:color="auto" w:fill="008272"/>
          </w:tcPr>
          <w:p w14:paraId="5836C5EE" w14:textId="77777777" w:rsidR="00B5507E" w:rsidRPr="00031658" w:rsidRDefault="00B5507E" w:rsidP="00031658">
            <w:pPr>
              <w:pStyle w:val="Table-Header"/>
            </w:pPr>
            <w:r w:rsidRPr="00031658">
              <w:t>Description</w:t>
            </w:r>
          </w:p>
        </w:tc>
      </w:tr>
      <w:tr w:rsidR="00B5507E" w:rsidRPr="00261E11" w14:paraId="5836C5F5" w14:textId="77777777" w:rsidTr="00B44F57">
        <w:trPr>
          <w:gridAfter w:val="1"/>
          <w:wAfter w:w="13" w:type="dxa"/>
          <w:trHeight w:val="422"/>
        </w:trPr>
        <w:tc>
          <w:tcPr>
            <w:tcW w:w="3068" w:type="dxa"/>
            <w:shd w:val="clear" w:color="auto" w:fill="auto"/>
          </w:tcPr>
          <w:p w14:paraId="5836C5F0" w14:textId="77777777" w:rsidR="00B5507E" w:rsidRPr="00D0227D" w:rsidRDefault="00B5507E" w:rsidP="00117AE2">
            <w:pPr>
              <w:pStyle w:val="TableText"/>
            </w:pPr>
            <w:r w:rsidRPr="00117AE2">
              <w:rPr>
                <w:b/>
              </w:rPr>
              <w:t>Microsoft activities</w:t>
            </w:r>
            <w:r w:rsidR="00117AE2">
              <w:br/>
            </w:r>
            <w:r>
              <w:t>The activities to be performed by Microsoft</w:t>
            </w:r>
          </w:p>
        </w:tc>
        <w:tc>
          <w:tcPr>
            <w:tcW w:w="6140" w:type="dxa"/>
            <w:shd w:val="clear" w:color="auto" w:fill="FFFFFF" w:themeFill="background1"/>
          </w:tcPr>
          <w:p w14:paraId="1FA08FEF" w14:textId="72742D45" w:rsidR="00261E11" w:rsidRPr="00261E11" w:rsidRDefault="00261E11" w:rsidP="004F61C4">
            <w:pPr>
              <w:pStyle w:val="Bulletlist"/>
              <w:tabs>
                <w:tab w:val="num" w:pos="360"/>
              </w:tabs>
              <w:ind w:left="245" w:hanging="245"/>
            </w:pPr>
            <w:r>
              <w:rPr>
                <w:lang w:val="en"/>
              </w:rPr>
              <w:t>V</w:t>
            </w:r>
            <w:r w:rsidRPr="00C77F87">
              <w:rPr>
                <w:lang w:val="en"/>
              </w:rPr>
              <w:t>alidate that all the problems and remediations identified were addressed before this project/phase.</w:t>
            </w:r>
          </w:p>
          <w:p w14:paraId="6DBE8F20" w14:textId="77777777" w:rsidR="00261E11" w:rsidRPr="00C77F87" w:rsidRDefault="00261E11" w:rsidP="004F61C4">
            <w:pPr>
              <w:pStyle w:val="Bulletlist"/>
              <w:tabs>
                <w:tab w:val="num" w:pos="360"/>
              </w:tabs>
              <w:ind w:left="245" w:hanging="245"/>
              <w:rPr>
                <w:lang w:val="es-PR"/>
              </w:rPr>
            </w:pPr>
            <w:r w:rsidRPr="00C77F87">
              <w:rPr>
                <w:lang w:val="en"/>
              </w:rPr>
              <w:t>Develop a work plan.</w:t>
            </w:r>
          </w:p>
          <w:p w14:paraId="4285AD85" w14:textId="77777777" w:rsidR="00261E11" w:rsidRPr="00C77F87" w:rsidRDefault="00261E11" w:rsidP="004F61C4">
            <w:pPr>
              <w:pStyle w:val="Bulletlist"/>
              <w:tabs>
                <w:tab w:val="num" w:pos="360"/>
              </w:tabs>
              <w:ind w:left="245" w:hanging="245"/>
              <w:rPr>
                <w:lang w:val="es-PR"/>
              </w:rPr>
            </w:pPr>
            <w:r w:rsidRPr="00C77F87">
              <w:rPr>
                <w:lang w:val="en"/>
              </w:rPr>
              <w:t>Preparing the Migration environment</w:t>
            </w:r>
          </w:p>
          <w:p w14:paraId="1D5E9A90" w14:textId="11155261" w:rsidR="00261E11" w:rsidRPr="00261E11" w:rsidRDefault="00512598" w:rsidP="004F61C4">
            <w:pPr>
              <w:pStyle w:val="Bulletlist"/>
              <w:tabs>
                <w:tab w:val="num" w:pos="360"/>
              </w:tabs>
              <w:ind w:left="245" w:hanging="245"/>
            </w:pPr>
            <w:r>
              <w:rPr>
                <w:lang w:val="en"/>
              </w:rPr>
              <w:t>M</w:t>
            </w:r>
            <w:r w:rsidR="00261E11" w:rsidRPr="00C77F87">
              <w:rPr>
                <w:lang w:val="en"/>
              </w:rPr>
              <w:t>igration planning and the migration agenda with the client.</w:t>
            </w:r>
          </w:p>
          <w:p w14:paraId="515C5895" w14:textId="77777777" w:rsidR="00261E11" w:rsidRPr="00261E11" w:rsidRDefault="00261E11" w:rsidP="004F61C4">
            <w:pPr>
              <w:pStyle w:val="Bulletlist"/>
              <w:tabs>
                <w:tab w:val="num" w:pos="360"/>
              </w:tabs>
              <w:ind w:left="245" w:hanging="245"/>
            </w:pPr>
            <w:r w:rsidRPr="00C77F87">
              <w:rPr>
                <w:lang w:val="en"/>
              </w:rPr>
              <w:t>Perform test migration to validate test scenarios</w:t>
            </w:r>
          </w:p>
          <w:p w14:paraId="5EBF36E6" w14:textId="77777777" w:rsidR="00261E11" w:rsidRPr="00261E11" w:rsidRDefault="00261E11" w:rsidP="004F61C4">
            <w:pPr>
              <w:pStyle w:val="Bulletlist"/>
              <w:tabs>
                <w:tab w:val="num" w:pos="360"/>
              </w:tabs>
              <w:ind w:left="245" w:hanging="245"/>
            </w:pPr>
            <w:r w:rsidRPr="00C77F87">
              <w:rPr>
                <w:lang w:val="en"/>
              </w:rPr>
              <w:t>Review problems and resolutions with the customer</w:t>
            </w:r>
          </w:p>
          <w:p w14:paraId="68AA0F89" w14:textId="77777777" w:rsidR="00261E11" w:rsidRPr="00261E11" w:rsidRDefault="00261E11" w:rsidP="004F61C4">
            <w:pPr>
              <w:pStyle w:val="Bulletlist"/>
              <w:tabs>
                <w:tab w:val="num" w:pos="360"/>
              </w:tabs>
              <w:ind w:left="245" w:hanging="245"/>
            </w:pPr>
            <w:r w:rsidRPr="00C77F87">
              <w:rPr>
                <w:lang w:val="en"/>
              </w:rPr>
              <w:t>Carry out planning and create the migration agenda.</w:t>
            </w:r>
          </w:p>
          <w:p w14:paraId="5F22EFE2" w14:textId="77777777" w:rsidR="00261E11" w:rsidRPr="00261E11" w:rsidRDefault="00261E11" w:rsidP="004F61C4">
            <w:pPr>
              <w:pStyle w:val="Bulletlist"/>
              <w:tabs>
                <w:tab w:val="num" w:pos="360"/>
              </w:tabs>
              <w:ind w:left="245" w:hanging="245"/>
            </w:pPr>
            <w:r w:rsidRPr="00C77F87">
              <w:rPr>
                <w:lang w:val="en"/>
              </w:rPr>
              <w:t>Validate that users can authenticate in the SPO environment and that the content can be migrated to the new environment.</w:t>
            </w:r>
          </w:p>
          <w:p w14:paraId="5836C5F4" w14:textId="5A598745" w:rsidR="008E24A6" w:rsidRPr="00261E11" w:rsidRDefault="00261E11" w:rsidP="00C77F87">
            <w:pPr>
              <w:pStyle w:val="Bulletlist"/>
              <w:ind w:left="245" w:hanging="245"/>
            </w:pPr>
            <w:r w:rsidRPr="00C77F87">
              <w:rPr>
                <w:lang w:val="en"/>
              </w:rPr>
              <w:lastRenderedPageBreak/>
              <w:t>The total data will be reviewed to validate the differences from the time it was initially estimated.</w:t>
            </w:r>
          </w:p>
        </w:tc>
      </w:tr>
      <w:tr w:rsidR="00B5507E" w:rsidRPr="002471E0" w14:paraId="5836C5FB" w14:textId="77777777" w:rsidTr="00B44F57">
        <w:trPr>
          <w:gridAfter w:val="1"/>
          <w:wAfter w:w="13" w:type="dxa"/>
          <w:trHeight w:val="422"/>
        </w:trPr>
        <w:tc>
          <w:tcPr>
            <w:tcW w:w="3068" w:type="dxa"/>
            <w:shd w:val="clear" w:color="auto" w:fill="auto"/>
          </w:tcPr>
          <w:p w14:paraId="5836C5F6" w14:textId="4288B7DD" w:rsidR="00B5507E" w:rsidRPr="00D0227D" w:rsidRDefault="00B5507E" w:rsidP="00117AE2">
            <w:pPr>
              <w:pStyle w:val="TableText"/>
            </w:pPr>
            <w:r w:rsidRPr="00117AE2">
              <w:rPr>
                <w:b/>
              </w:rPr>
              <w:lastRenderedPageBreak/>
              <w:t>Customer activities</w:t>
            </w:r>
            <w:r w:rsidR="00117AE2">
              <w:br/>
            </w:r>
            <w:r>
              <w:t xml:space="preserve">The activities to be performed by </w:t>
            </w:r>
            <w:r w:rsidR="00112EB1">
              <w:t xml:space="preserve">the </w:t>
            </w:r>
            <w:r w:rsidR="0015000E">
              <w:t>c</w:t>
            </w:r>
            <w:r w:rsidR="00E12D6D">
              <w:t>ustomer</w:t>
            </w:r>
          </w:p>
        </w:tc>
        <w:tc>
          <w:tcPr>
            <w:tcW w:w="6140" w:type="dxa"/>
            <w:shd w:val="clear" w:color="auto" w:fill="FFFFFF" w:themeFill="background1"/>
          </w:tcPr>
          <w:p w14:paraId="43E2B47A" w14:textId="77777777" w:rsidR="002471E0" w:rsidRPr="002471E0" w:rsidRDefault="002471E0" w:rsidP="0068015A">
            <w:pPr>
              <w:pStyle w:val="Bulletlist"/>
            </w:pPr>
            <w:r w:rsidRPr="00CD390D">
              <w:rPr>
                <w:lang w:val="en"/>
              </w:rPr>
              <w:t>Review the artifacts shared by the Microsoft team and provide feedback.</w:t>
            </w:r>
          </w:p>
          <w:p w14:paraId="6B32736D" w14:textId="77777777" w:rsidR="002471E0" w:rsidRPr="002471E0" w:rsidRDefault="002471E0" w:rsidP="0068015A">
            <w:pPr>
              <w:pStyle w:val="Bulletlist"/>
            </w:pPr>
            <w:r w:rsidRPr="00CD390D">
              <w:rPr>
                <w:lang w:val="en"/>
              </w:rPr>
              <w:t>To provide access to systems and applications, to system experts (SME), and to users in general, in order to derive the understanding of the requirements.</w:t>
            </w:r>
          </w:p>
          <w:p w14:paraId="098304E7" w14:textId="7624F4B0" w:rsidR="002471E0" w:rsidRPr="002471E0" w:rsidRDefault="002471E0" w:rsidP="0068015A">
            <w:pPr>
              <w:pStyle w:val="Bulletlist"/>
            </w:pPr>
            <w:r w:rsidRPr="00CD390D">
              <w:rPr>
                <w:lang w:val="en"/>
              </w:rPr>
              <w:t xml:space="preserve">To facilitate and organize the client's team for </w:t>
            </w:r>
            <w:r>
              <w:rPr>
                <w:lang w:val="en"/>
              </w:rPr>
              <w:t xml:space="preserve">answering </w:t>
            </w:r>
            <w:r w:rsidRPr="00CD390D">
              <w:rPr>
                <w:lang w:val="en"/>
              </w:rPr>
              <w:t>question</w:t>
            </w:r>
            <w:r>
              <w:rPr>
                <w:lang w:val="en"/>
              </w:rPr>
              <w:t>s</w:t>
            </w:r>
            <w:r w:rsidRPr="00CD390D">
              <w:rPr>
                <w:lang w:val="en"/>
              </w:rPr>
              <w:t>.</w:t>
            </w:r>
          </w:p>
          <w:p w14:paraId="025FBF67" w14:textId="77777777" w:rsidR="002471E0" w:rsidRPr="002471E0" w:rsidRDefault="002471E0" w:rsidP="0068015A">
            <w:pPr>
              <w:pStyle w:val="Bulletlist"/>
            </w:pPr>
            <w:r w:rsidRPr="00CD390D">
              <w:rPr>
                <w:lang w:val="en"/>
              </w:rPr>
              <w:t>Provide review of scope and estimated times.</w:t>
            </w:r>
          </w:p>
          <w:p w14:paraId="2E3E8FB6" w14:textId="77777777" w:rsidR="002471E0" w:rsidRPr="00CD390D" w:rsidRDefault="002471E0" w:rsidP="0068015A">
            <w:pPr>
              <w:pStyle w:val="Bulletlist"/>
              <w:rPr>
                <w:lang w:val="es-PR"/>
              </w:rPr>
            </w:pPr>
            <w:r w:rsidRPr="00CD390D">
              <w:rPr>
                <w:lang w:val="en"/>
              </w:rPr>
              <w:t>Review the work plan</w:t>
            </w:r>
          </w:p>
          <w:p w14:paraId="311C02ED" w14:textId="77777777" w:rsidR="002471E0" w:rsidRPr="00CD390D" w:rsidRDefault="002471E0" w:rsidP="0068015A">
            <w:pPr>
              <w:pStyle w:val="Bulletlist"/>
              <w:rPr>
                <w:lang w:val="es-PR"/>
              </w:rPr>
            </w:pPr>
            <w:r w:rsidRPr="00CD390D">
              <w:rPr>
                <w:lang w:val="en"/>
              </w:rPr>
              <w:t>Solve identified problems</w:t>
            </w:r>
          </w:p>
          <w:p w14:paraId="5836C5FA" w14:textId="1AA9055B" w:rsidR="00E73276" w:rsidRPr="002471E0" w:rsidRDefault="002471E0" w:rsidP="003C287B">
            <w:pPr>
              <w:pStyle w:val="Bulletlist"/>
              <w:rPr>
                <w:color w:val="000000" w:themeColor="text1"/>
              </w:rPr>
            </w:pPr>
            <w:r w:rsidRPr="00CD390D">
              <w:rPr>
                <w:lang w:val="en"/>
              </w:rPr>
              <w:t>Provide administrative access to the Microsoft team in the tenant.</w:t>
            </w:r>
          </w:p>
        </w:tc>
      </w:tr>
      <w:tr w:rsidR="009F3CC6" w:rsidRPr="00C12F05" w14:paraId="0D8AD60B" w14:textId="77777777" w:rsidTr="00B44F57">
        <w:trPr>
          <w:gridAfter w:val="1"/>
          <w:wAfter w:w="13" w:type="dxa"/>
          <w:trHeight w:val="422"/>
        </w:trPr>
        <w:tc>
          <w:tcPr>
            <w:tcW w:w="3068" w:type="dxa"/>
            <w:shd w:val="clear" w:color="auto" w:fill="auto"/>
          </w:tcPr>
          <w:p w14:paraId="33C2218C" w14:textId="26C9D383" w:rsidR="009F3CC6" w:rsidRPr="00117AE2" w:rsidRDefault="009F3CC6" w:rsidP="009F3CC6">
            <w:pPr>
              <w:pStyle w:val="TableText"/>
              <w:rPr>
                <w:b/>
              </w:rPr>
            </w:pPr>
            <w:r w:rsidRPr="00CD390D">
              <w:rPr>
                <w:b/>
                <w:lang w:val="en"/>
              </w:rPr>
              <w:t>Key assumptions</w:t>
            </w:r>
          </w:p>
        </w:tc>
        <w:tc>
          <w:tcPr>
            <w:tcW w:w="6140" w:type="dxa"/>
            <w:shd w:val="clear" w:color="auto" w:fill="FFFFFF" w:themeFill="background1"/>
          </w:tcPr>
          <w:p w14:paraId="33C14466" w14:textId="77777777" w:rsidR="00C12F05" w:rsidRPr="00C12F05" w:rsidRDefault="00C12F05" w:rsidP="00F4485B">
            <w:pPr>
              <w:pStyle w:val="TableBullet1"/>
            </w:pPr>
            <w:r w:rsidRPr="00CD390D">
              <w:rPr>
                <w:lang w:val="en"/>
              </w:rPr>
              <w:t>Customer will provide data for test migrations</w:t>
            </w:r>
          </w:p>
          <w:p w14:paraId="1869D6F9" w14:textId="77777777" w:rsidR="00C12F05" w:rsidRPr="00C12F05" w:rsidRDefault="00C12F05" w:rsidP="00F4485B">
            <w:pPr>
              <w:pStyle w:val="TableBullet1"/>
            </w:pPr>
            <w:r w:rsidRPr="00CD390D">
              <w:rPr>
                <w:lang w:val="en"/>
              </w:rPr>
              <w:t>Any changes will be handled with a formal change control.</w:t>
            </w:r>
          </w:p>
          <w:p w14:paraId="2F68C0BC" w14:textId="61A5B4B3" w:rsidR="00C12F05" w:rsidRPr="00C12F05" w:rsidRDefault="00C12F05" w:rsidP="00F4485B">
            <w:pPr>
              <w:pStyle w:val="TableBullet1"/>
            </w:pPr>
            <w:r w:rsidRPr="00CD390D">
              <w:rPr>
                <w:lang w:val="en"/>
              </w:rPr>
              <w:t xml:space="preserve">If there are problems identified and are not cared for by the </w:t>
            </w:r>
            <w:r w:rsidR="005330CB" w:rsidRPr="00CD390D">
              <w:rPr>
                <w:lang w:val="en"/>
              </w:rPr>
              <w:t>customer,</w:t>
            </w:r>
            <w:r w:rsidRPr="00CD390D">
              <w:rPr>
                <w:lang w:val="en"/>
              </w:rPr>
              <w:t xml:space="preserve"> the impact of any additional effort will be attended by a formal change control.</w:t>
            </w:r>
          </w:p>
          <w:p w14:paraId="520DB3FF" w14:textId="77777777" w:rsidR="00C12F05" w:rsidRPr="00C12F05" w:rsidRDefault="00C12F05" w:rsidP="00C12F05">
            <w:pPr>
              <w:pStyle w:val="TableBullet1"/>
            </w:pPr>
            <w:r w:rsidRPr="00CD390D">
              <w:rPr>
                <w:lang w:val="en"/>
              </w:rPr>
              <w:t>All users will have the necessary licenses and accounts in the Tenant.</w:t>
            </w:r>
          </w:p>
          <w:p w14:paraId="398DBCA5" w14:textId="42E087B6" w:rsidR="009F3CC6" w:rsidRPr="00C12F05" w:rsidRDefault="00C12F05" w:rsidP="00C12F05">
            <w:pPr>
              <w:pStyle w:val="TableBullet1"/>
            </w:pPr>
            <w:r w:rsidRPr="00CD390D">
              <w:rPr>
                <w:lang w:val="en"/>
              </w:rPr>
              <w:t xml:space="preserve">The </w:t>
            </w:r>
            <w:r>
              <w:rPr>
                <w:lang w:val="en"/>
              </w:rPr>
              <w:t xml:space="preserve">customer </w:t>
            </w:r>
            <w:r w:rsidRPr="00CD390D">
              <w:rPr>
                <w:lang w:val="en"/>
              </w:rPr>
              <w:t>has validated any required regulations.</w:t>
            </w:r>
          </w:p>
        </w:tc>
      </w:tr>
    </w:tbl>
    <w:p w14:paraId="6DA178E3" w14:textId="44BB5148" w:rsidR="003810F8" w:rsidRPr="003D3029" w:rsidRDefault="003D3029" w:rsidP="003810F8">
      <w:pPr>
        <w:pStyle w:val="Heading4"/>
      </w:pPr>
      <w:r w:rsidRPr="003D3029">
        <w:t>Deliverables</w:t>
      </w:r>
    </w:p>
    <w:tbl>
      <w:tblPr>
        <w:tblStyle w:val="TableGrid1"/>
        <w:tblW w:w="921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40"/>
        <w:gridCol w:w="3113"/>
        <w:gridCol w:w="2301"/>
        <w:gridCol w:w="1756"/>
      </w:tblGrid>
      <w:tr w:rsidR="003810F8" w:rsidRPr="003D3029" w14:paraId="297B3F51" w14:textId="77777777" w:rsidTr="00C3432C">
        <w:trPr>
          <w:trHeight w:val="373"/>
          <w:tblHeader/>
        </w:trPr>
        <w:tc>
          <w:tcPr>
            <w:tcW w:w="2040" w:type="dxa"/>
            <w:shd w:val="clear" w:color="auto" w:fill="008272"/>
          </w:tcPr>
          <w:p w14:paraId="66A79F10" w14:textId="2C9D803C" w:rsidR="003810F8" w:rsidRPr="003D3029" w:rsidRDefault="003810F8" w:rsidP="00C3432C">
            <w:pPr>
              <w:pStyle w:val="Table-Header"/>
            </w:pPr>
            <w:r w:rsidRPr="003D3029">
              <w:t>Name</w:t>
            </w:r>
          </w:p>
        </w:tc>
        <w:tc>
          <w:tcPr>
            <w:tcW w:w="3113" w:type="dxa"/>
            <w:shd w:val="clear" w:color="auto" w:fill="008272"/>
          </w:tcPr>
          <w:p w14:paraId="478E19BB" w14:textId="1438CA5D" w:rsidR="003810F8" w:rsidRPr="003D3029" w:rsidRDefault="0039746F" w:rsidP="00C3432C">
            <w:pPr>
              <w:pStyle w:val="Table-Header"/>
            </w:pPr>
            <w:r w:rsidRPr="003D3029">
              <w:t>Description</w:t>
            </w:r>
          </w:p>
        </w:tc>
        <w:tc>
          <w:tcPr>
            <w:tcW w:w="2301" w:type="dxa"/>
            <w:shd w:val="clear" w:color="auto" w:fill="008272"/>
          </w:tcPr>
          <w:p w14:paraId="317DEA82" w14:textId="34C47390" w:rsidR="003810F8" w:rsidRPr="003D3029" w:rsidRDefault="0039746F" w:rsidP="00C3432C">
            <w:pPr>
              <w:pStyle w:val="Table-Header"/>
            </w:pPr>
            <w:r w:rsidRPr="003D3029">
              <w:t>Is acceptance needed?</w:t>
            </w:r>
          </w:p>
        </w:tc>
        <w:tc>
          <w:tcPr>
            <w:tcW w:w="1756" w:type="dxa"/>
            <w:shd w:val="clear" w:color="auto" w:fill="008272"/>
          </w:tcPr>
          <w:p w14:paraId="469A5352" w14:textId="07228EB0" w:rsidR="003810F8" w:rsidRPr="003D3029" w:rsidRDefault="0039746F" w:rsidP="00C3432C">
            <w:pPr>
              <w:pStyle w:val="Table-Header"/>
            </w:pPr>
            <w:r w:rsidRPr="003D3029">
              <w:t>Responsible</w:t>
            </w:r>
          </w:p>
        </w:tc>
      </w:tr>
      <w:tr w:rsidR="003810F8" w:rsidRPr="003D3029" w14:paraId="11F7A4F8" w14:textId="77777777" w:rsidTr="00C3432C">
        <w:trPr>
          <w:trHeight w:val="431"/>
        </w:trPr>
        <w:tc>
          <w:tcPr>
            <w:tcW w:w="2040" w:type="dxa"/>
            <w:shd w:val="clear" w:color="auto" w:fill="auto"/>
          </w:tcPr>
          <w:p w14:paraId="7838C7AF" w14:textId="466262DB" w:rsidR="003810F8" w:rsidRPr="003D3029" w:rsidRDefault="0039746F" w:rsidP="00C3432C">
            <w:pPr>
              <w:pStyle w:val="TableText"/>
            </w:pPr>
            <w:r w:rsidRPr="003D3029">
              <w:t>Migration plan</w:t>
            </w:r>
          </w:p>
        </w:tc>
        <w:tc>
          <w:tcPr>
            <w:tcW w:w="3113" w:type="dxa"/>
            <w:shd w:val="clear" w:color="auto" w:fill="auto"/>
          </w:tcPr>
          <w:p w14:paraId="35518CCB" w14:textId="4FFA6EED" w:rsidR="003810F8" w:rsidRPr="003D3029" w:rsidRDefault="008A560D" w:rsidP="00C3432C">
            <w:pPr>
              <w:pStyle w:val="TableText"/>
            </w:pPr>
            <w:r w:rsidRPr="003D3029">
              <w:t xml:space="preserve">Project </w:t>
            </w:r>
            <w:r w:rsidR="009864B8" w:rsidRPr="003D3029">
              <w:t>Schedule</w:t>
            </w:r>
          </w:p>
        </w:tc>
        <w:tc>
          <w:tcPr>
            <w:tcW w:w="2301" w:type="dxa"/>
            <w:shd w:val="clear" w:color="auto" w:fill="auto"/>
          </w:tcPr>
          <w:p w14:paraId="14932A48" w14:textId="77777777" w:rsidR="003810F8" w:rsidRPr="003D3029" w:rsidRDefault="003810F8" w:rsidP="00C3432C">
            <w:pPr>
              <w:pStyle w:val="TableText"/>
            </w:pPr>
            <w:r w:rsidRPr="003D3029">
              <w:t>No</w:t>
            </w:r>
          </w:p>
        </w:tc>
        <w:tc>
          <w:tcPr>
            <w:tcW w:w="1756" w:type="dxa"/>
            <w:shd w:val="clear" w:color="auto" w:fill="auto"/>
          </w:tcPr>
          <w:p w14:paraId="6CC9BA29" w14:textId="77777777" w:rsidR="003810F8" w:rsidRPr="003D3029" w:rsidRDefault="003810F8" w:rsidP="00C3432C">
            <w:pPr>
              <w:pStyle w:val="TableText"/>
            </w:pPr>
            <w:r w:rsidRPr="003D3029">
              <w:t>Microsoft</w:t>
            </w:r>
          </w:p>
        </w:tc>
      </w:tr>
      <w:tr w:rsidR="003810F8" w:rsidRPr="003D3029" w14:paraId="4C1A6B29" w14:textId="77777777" w:rsidTr="00C3432C">
        <w:trPr>
          <w:trHeight w:val="431"/>
        </w:trPr>
        <w:tc>
          <w:tcPr>
            <w:tcW w:w="2040" w:type="dxa"/>
            <w:shd w:val="clear" w:color="auto" w:fill="auto"/>
          </w:tcPr>
          <w:p w14:paraId="64806B20" w14:textId="6F6D7B10" w:rsidR="003810F8" w:rsidRPr="003D3029" w:rsidRDefault="00760848" w:rsidP="00C3432C">
            <w:pPr>
              <w:pStyle w:val="TableText"/>
            </w:pPr>
            <w:r w:rsidRPr="003D3029">
              <w:t>Account mapping file</w:t>
            </w:r>
          </w:p>
        </w:tc>
        <w:tc>
          <w:tcPr>
            <w:tcW w:w="3113" w:type="dxa"/>
            <w:shd w:val="clear" w:color="auto" w:fill="auto"/>
          </w:tcPr>
          <w:p w14:paraId="2D9A8AD6" w14:textId="2D61DD72" w:rsidR="003810F8" w:rsidRPr="003D3029" w:rsidRDefault="00760848" w:rsidP="00C3432C">
            <w:pPr>
              <w:pStyle w:val="TableText"/>
            </w:pPr>
            <w:r w:rsidRPr="003D3029">
              <w:t>Document with the source System account mapping with the target system</w:t>
            </w:r>
          </w:p>
        </w:tc>
        <w:tc>
          <w:tcPr>
            <w:tcW w:w="2301" w:type="dxa"/>
            <w:shd w:val="clear" w:color="auto" w:fill="auto"/>
          </w:tcPr>
          <w:p w14:paraId="1CCCEFE9" w14:textId="77777777" w:rsidR="003810F8" w:rsidRPr="003D3029" w:rsidRDefault="003810F8" w:rsidP="00C3432C">
            <w:pPr>
              <w:pStyle w:val="TableText"/>
            </w:pPr>
            <w:r w:rsidRPr="003D3029">
              <w:t>No</w:t>
            </w:r>
          </w:p>
        </w:tc>
        <w:tc>
          <w:tcPr>
            <w:tcW w:w="1756" w:type="dxa"/>
            <w:shd w:val="clear" w:color="auto" w:fill="auto"/>
          </w:tcPr>
          <w:p w14:paraId="7D1C9203" w14:textId="7C4EE47E" w:rsidR="003810F8" w:rsidRPr="003D3029" w:rsidRDefault="003810F8" w:rsidP="00C3432C">
            <w:pPr>
              <w:pStyle w:val="TableText"/>
            </w:pPr>
          </w:p>
        </w:tc>
      </w:tr>
    </w:tbl>
    <w:p w14:paraId="5836C640" w14:textId="77777777" w:rsidR="00BC4E85" w:rsidRDefault="00BC4E85" w:rsidP="00BC4E85">
      <w:bookmarkStart w:id="40" w:name="_Toc476168038"/>
    </w:p>
    <w:bookmarkEnd w:id="40"/>
    <w:p w14:paraId="5836C641" w14:textId="4BE47377" w:rsidR="009B1142" w:rsidRDefault="004B6FF7" w:rsidP="00C84DD9">
      <w:pPr>
        <w:pStyle w:val="Heading3"/>
      </w:pPr>
      <w:r>
        <w:t>Migrate</w:t>
      </w:r>
    </w:p>
    <w:p w14:paraId="27A4D338" w14:textId="7C9C144A" w:rsidR="008336C4" w:rsidRPr="00556294" w:rsidRDefault="00556294" w:rsidP="004B6FF7">
      <w:pPr>
        <w:spacing w:before="200" w:after="200"/>
        <w:rPr>
          <w:rFonts w:eastAsia="Times New Roman" w:cs="Segoe UI"/>
          <w:color w:val="000000"/>
        </w:rPr>
      </w:pPr>
      <w:r w:rsidRPr="00FC1419">
        <w:rPr>
          <w:color w:val="000000"/>
          <w:lang w:val="en"/>
        </w:rPr>
        <w:t>Migration phase consists of migrating sites and assisting in resolving defects discovered during validation with site owners</w:t>
      </w:r>
      <w:r w:rsidR="004B6FF7" w:rsidRPr="00556294">
        <w:rPr>
          <w:rFonts w:eastAsia="Times New Roman" w:cs="Segoe UI"/>
          <w:color w:val="000000"/>
        </w:rPr>
        <w:t>.</w:t>
      </w:r>
      <w:r w:rsidR="004B6FF7" w:rsidRPr="00556294">
        <w:t xml:space="preserve"> </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9B1142" w14:paraId="5836C647" w14:textId="77777777" w:rsidTr="00BC4E85">
        <w:trPr>
          <w:trHeight w:val="542"/>
          <w:tblHeader/>
        </w:trPr>
        <w:tc>
          <w:tcPr>
            <w:tcW w:w="2965" w:type="dxa"/>
            <w:shd w:val="clear" w:color="auto" w:fill="008272"/>
          </w:tcPr>
          <w:p w14:paraId="5836C645" w14:textId="77777777" w:rsidR="009B1142" w:rsidRPr="004B0557" w:rsidRDefault="009B1142" w:rsidP="00031658">
            <w:pPr>
              <w:pStyle w:val="Table-Header"/>
            </w:pPr>
            <w:r>
              <w:lastRenderedPageBreak/>
              <w:t>Category</w:t>
            </w:r>
          </w:p>
        </w:tc>
        <w:tc>
          <w:tcPr>
            <w:tcW w:w="6256" w:type="dxa"/>
            <w:gridSpan w:val="2"/>
            <w:shd w:val="clear" w:color="auto" w:fill="008272"/>
          </w:tcPr>
          <w:p w14:paraId="5836C646" w14:textId="77777777" w:rsidR="009B1142" w:rsidRPr="00AE61D2" w:rsidRDefault="009B1142" w:rsidP="00031658">
            <w:pPr>
              <w:pStyle w:val="Table-Header"/>
            </w:pPr>
            <w:r>
              <w:t>Description</w:t>
            </w:r>
          </w:p>
        </w:tc>
      </w:tr>
      <w:tr w:rsidR="009B1142" w:rsidRPr="00790A67" w14:paraId="5836C64A" w14:textId="77777777" w:rsidTr="00BC4E85">
        <w:trPr>
          <w:gridAfter w:val="1"/>
          <w:wAfter w:w="13" w:type="dxa"/>
          <w:trHeight w:val="422"/>
        </w:trPr>
        <w:tc>
          <w:tcPr>
            <w:tcW w:w="2965" w:type="dxa"/>
            <w:shd w:val="clear" w:color="auto" w:fill="auto"/>
          </w:tcPr>
          <w:p w14:paraId="5836C648" w14:textId="77777777" w:rsidR="009B1142" w:rsidRPr="00D0227D" w:rsidRDefault="009B1142" w:rsidP="0013452E">
            <w:pPr>
              <w:pStyle w:val="TableText"/>
            </w:pPr>
            <w:r w:rsidRPr="004D03A1">
              <w:rPr>
                <w:b/>
              </w:rPr>
              <w:t>Microsoft activities</w:t>
            </w:r>
            <w:r w:rsidR="00117AE2">
              <w:rPr>
                <w:b/>
              </w:rPr>
              <w:br/>
            </w:r>
            <w:r>
              <w:t>The activities to be performed by Microsoft</w:t>
            </w:r>
          </w:p>
        </w:tc>
        <w:tc>
          <w:tcPr>
            <w:tcW w:w="6243" w:type="dxa"/>
            <w:shd w:val="clear" w:color="auto" w:fill="FFFFFF" w:themeFill="background1"/>
          </w:tcPr>
          <w:p w14:paraId="63B9EE60" w14:textId="77777777" w:rsidR="00790A67" w:rsidRPr="004240F1" w:rsidRDefault="00790A67" w:rsidP="00C955FA">
            <w:pPr>
              <w:pStyle w:val="Bulletlist"/>
            </w:pPr>
            <w:r w:rsidRPr="00CD390D">
              <w:rPr>
                <w:lang w:val="en"/>
              </w:rPr>
              <w:t>Conduct pilots and speed migrations in waves including:</w:t>
            </w:r>
          </w:p>
          <w:p w14:paraId="6EFABAE1" w14:textId="77777777" w:rsidR="00790A67" w:rsidRPr="004240F1" w:rsidRDefault="00790A67" w:rsidP="00C955FA">
            <w:pPr>
              <w:pStyle w:val="Bulletlist"/>
              <w:numPr>
                <w:ilvl w:val="1"/>
                <w:numId w:val="12"/>
              </w:numPr>
            </w:pPr>
            <w:r w:rsidRPr="004240F1">
              <w:t>Migration pilot up to 250 GB of content</w:t>
            </w:r>
          </w:p>
          <w:p w14:paraId="23E03A0F" w14:textId="77777777" w:rsidR="00790A67" w:rsidRPr="004240F1" w:rsidRDefault="00790A67" w:rsidP="00C955FA">
            <w:pPr>
              <w:pStyle w:val="Bulletlist"/>
              <w:numPr>
                <w:ilvl w:val="1"/>
                <w:numId w:val="12"/>
              </w:numPr>
            </w:pPr>
            <w:r w:rsidRPr="004240F1">
              <w:t>Migration waves up to two weeks for up to 600 GB of content.</w:t>
            </w:r>
          </w:p>
          <w:p w14:paraId="6C200FB6" w14:textId="77777777" w:rsidR="00790A67" w:rsidRPr="004240F1" w:rsidRDefault="00790A67" w:rsidP="00C955FA">
            <w:pPr>
              <w:pStyle w:val="Bulletlist"/>
              <w:numPr>
                <w:ilvl w:val="1"/>
                <w:numId w:val="12"/>
              </w:numPr>
            </w:pPr>
            <w:r w:rsidRPr="004240F1">
              <w:t>Review migration results</w:t>
            </w:r>
          </w:p>
          <w:p w14:paraId="2507B726" w14:textId="77777777" w:rsidR="00790A67" w:rsidRPr="004240F1" w:rsidRDefault="00790A67" w:rsidP="00C955FA">
            <w:pPr>
              <w:pStyle w:val="Bulletlist"/>
              <w:numPr>
                <w:ilvl w:val="1"/>
                <w:numId w:val="12"/>
              </w:numPr>
            </w:pPr>
            <w:r w:rsidRPr="004240F1">
              <w:t>Assist in validating the content</w:t>
            </w:r>
          </w:p>
          <w:p w14:paraId="3409F45D" w14:textId="77777777" w:rsidR="00790A67" w:rsidRPr="00C955FA" w:rsidRDefault="00790A67" w:rsidP="00C955FA">
            <w:pPr>
              <w:pStyle w:val="Bulletlist"/>
              <w:rPr>
                <w:lang w:val="es-PR"/>
              </w:rPr>
            </w:pPr>
            <w:r w:rsidRPr="00C955FA">
              <w:rPr>
                <w:lang w:val="en"/>
              </w:rPr>
              <w:t>Directing the migration process</w:t>
            </w:r>
          </w:p>
          <w:p w14:paraId="5836C649" w14:textId="7CF0592A" w:rsidR="002F161F" w:rsidRPr="00790A67" w:rsidRDefault="00790A67" w:rsidP="000A5CD1">
            <w:pPr>
              <w:pStyle w:val="Bulletlist"/>
            </w:pPr>
            <w:r w:rsidRPr="00CD390D">
              <w:rPr>
                <w:lang w:val="en"/>
              </w:rPr>
              <w:t>Solve the problems identified as P1 and P2 as reported by the client.</w:t>
            </w:r>
          </w:p>
        </w:tc>
      </w:tr>
      <w:tr w:rsidR="009B1142" w:rsidRPr="005F3BAF" w14:paraId="5836C64D" w14:textId="77777777" w:rsidTr="00BC4E85">
        <w:trPr>
          <w:gridAfter w:val="1"/>
          <w:wAfter w:w="13" w:type="dxa"/>
          <w:trHeight w:val="422"/>
        </w:trPr>
        <w:tc>
          <w:tcPr>
            <w:tcW w:w="2965" w:type="dxa"/>
            <w:shd w:val="clear" w:color="auto" w:fill="auto"/>
          </w:tcPr>
          <w:p w14:paraId="5836C64B" w14:textId="6C87AC83" w:rsidR="009B1142" w:rsidRPr="00D0227D" w:rsidRDefault="009B1142" w:rsidP="0013452E">
            <w:pPr>
              <w:pStyle w:val="TableText"/>
            </w:pPr>
            <w:r w:rsidRPr="004D03A1">
              <w:rPr>
                <w:b/>
              </w:rPr>
              <w:t>Customer activities</w:t>
            </w:r>
            <w:r w:rsidR="00117AE2">
              <w:rPr>
                <w:b/>
              </w:rPr>
              <w:br/>
            </w:r>
            <w:r>
              <w:t xml:space="preserve">The activities to be performed by </w:t>
            </w:r>
            <w:r w:rsidR="00112EB1">
              <w:t xml:space="preserve">the </w:t>
            </w:r>
            <w:r w:rsidR="0015000E">
              <w:t>c</w:t>
            </w:r>
            <w:r>
              <w:t>ustomer</w:t>
            </w:r>
          </w:p>
        </w:tc>
        <w:tc>
          <w:tcPr>
            <w:tcW w:w="6243" w:type="dxa"/>
            <w:shd w:val="clear" w:color="auto" w:fill="FFFFFF" w:themeFill="background1"/>
          </w:tcPr>
          <w:p w14:paraId="4F3A3228" w14:textId="3D8067A4" w:rsidR="004B6FF7" w:rsidRPr="00941206" w:rsidRDefault="004B6FF7" w:rsidP="00597E43">
            <w:pPr>
              <w:pStyle w:val="Bulletlist"/>
              <w:ind w:left="245" w:hanging="245"/>
            </w:pPr>
            <w:r w:rsidRPr="005667F3">
              <w:t>Assist the Microsoft team in completing migration activities</w:t>
            </w:r>
            <w:r>
              <w:t xml:space="preserve"> by coordinating S</w:t>
            </w:r>
            <w:r w:rsidR="0087080F">
              <w:t>harePoint Online</w:t>
            </w:r>
            <w:r>
              <w:t xml:space="preserve"> content validation testing.</w:t>
            </w:r>
          </w:p>
          <w:p w14:paraId="06A2FA48" w14:textId="77777777" w:rsidR="004B6FF7" w:rsidRDefault="004B6FF7" w:rsidP="00597E43">
            <w:pPr>
              <w:pStyle w:val="Bulletlist"/>
              <w:ind w:left="245" w:hanging="245"/>
            </w:pPr>
            <w:r w:rsidRPr="005667F3">
              <w:t>Coordination with the Microsoft Migration Team</w:t>
            </w:r>
            <w:r>
              <w:t xml:space="preserve">, including </w:t>
            </w:r>
            <w:r w:rsidRPr="00904EC3">
              <w:t>finalizing the migration schedule</w:t>
            </w:r>
            <w:r w:rsidRPr="005667F3">
              <w:t>.</w:t>
            </w:r>
          </w:p>
          <w:p w14:paraId="35685627" w14:textId="77777777" w:rsidR="004B6FF7" w:rsidRDefault="004B6FF7" w:rsidP="00597E43">
            <w:pPr>
              <w:pStyle w:val="Bulletlist"/>
              <w:ind w:left="245" w:hanging="245"/>
            </w:pPr>
            <w:r>
              <w:t>Review source site notification banner messages to be pushed out at each stage.</w:t>
            </w:r>
          </w:p>
          <w:p w14:paraId="7EBDE045" w14:textId="77777777" w:rsidR="004B6FF7" w:rsidRPr="00B504AE" w:rsidRDefault="004B6FF7" w:rsidP="00597E43">
            <w:pPr>
              <w:pStyle w:val="Bulletlist"/>
              <w:ind w:left="245" w:hanging="245"/>
            </w:pPr>
            <w:r>
              <w:t>Lock down managed metadata modifications.</w:t>
            </w:r>
          </w:p>
          <w:p w14:paraId="539DCDB4" w14:textId="0902D48F" w:rsidR="00A11008" w:rsidRDefault="00D043D3" w:rsidP="0087080F">
            <w:pPr>
              <w:pStyle w:val="Bulletlist"/>
              <w:ind w:left="245" w:hanging="245"/>
            </w:pPr>
            <w:r>
              <w:t>Create e</w:t>
            </w:r>
            <w:r w:rsidR="004B6FF7" w:rsidRPr="00FD7AEB">
              <w:t>nd-user communications, documentation, training, and change management.</w:t>
            </w:r>
          </w:p>
          <w:p w14:paraId="48B760E8" w14:textId="77777777" w:rsidR="00591BE7" w:rsidRPr="00E31ED6" w:rsidRDefault="00591BE7" w:rsidP="00591BE7">
            <w:pPr>
              <w:pStyle w:val="Bulletlist"/>
              <w:ind w:left="245" w:hanging="245"/>
            </w:pPr>
            <w:r>
              <w:t>Validate the</w:t>
            </w:r>
            <w:r w:rsidRPr="00E31ED6">
              <w:t xml:space="preserve"> </w:t>
            </w:r>
            <w:r>
              <w:t>SharePoint Online content</w:t>
            </w:r>
            <w:r w:rsidRPr="00E31ED6">
              <w:t xml:space="preserve"> for each wave; this testing is considered acceptance testing.</w:t>
            </w:r>
          </w:p>
          <w:p w14:paraId="01753C8A" w14:textId="246856F9" w:rsidR="00591BE7" w:rsidRDefault="00591BE7" w:rsidP="00C563F6">
            <w:pPr>
              <w:pStyle w:val="Bulletlist"/>
              <w:ind w:left="245" w:hanging="245"/>
            </w:pPr>
            <w:r w:rsidRPr="00E31ED6">
              <w:t xml:space="preserve">Within </w:t>
            </w:r>
            <w:r>
              <w:t xml:space="preserve">4 business days </w:t>
            </w:r>
            <w:r w:rsidRPr="00E31ED6">
              <w:t xml:space="preserve">of </w:t>
            </w:r>
            <w:r>
              <w:t>the migration status changing to “Pending validation,”</w:t>
            </w:r>
            <w:r w:rsidRPr="00E31ED6">
              <w:t xml:space="preserve"> </w:t>
            </w:r>
            <w:r>
              <w:t>content owners</w:t>
            </w:r>
            <w:r w:rsidRPr="00E31ED6">
              <w:t xml:space="preserve"> will validate </w:t>
            </w:r>
            <w:r>
              <w:t>the migration</w:t>
            </w:r>
            <w:r w:rsidRPr="00E31ED6">
              <w:t xml:space="preserve"> and report any missing in-scope data </w:t>
            </w:r>
            <w:r>
              <w:t xml:space="preserve">that need </w:t>
            </w:r>
            <w:r w:rsidRPr="00E31ED6">
              <w:t xml:space="preserve">to be migrated. </w:t>
            </w:r>
          </w:p>
          <w:p w14:paraId="0A33776B" w14:textId="4BAE86C6" w:rsidR="00A67D33" w:rsidRDefault="00A67D33" w:rsidP="00C563F6">
            <w:pPr>
              <w:pStyle w:val="Bulletlist"/>
              <w:ind w:left="245" w:hanging="245"/>
            </w:pPr>
            <w:r w:rsidRPr="00DF3781" w:rsidDel="00616AAA">
              <w:t xml:space="preserve">Content </w:t>
            </w:r>
            <w:r w:rsidRPr="00DF3781">
              <w:t>o</w:t>
            </w:r>
            <w:r w:rsidR="00C563F6">
              <w:t>wners for team sites</w:t>
            </w:r>
            <w:r w:rsidRPr="00DF3781" w:rsidDel="00616AAA">
              <w:t xml:space="preserve"> to conduct testing </w:t>
            </w:r>
            <w:r w:rsidRPr="00DF3781">
              <w:t>on</w:t>
            </w:r>
            <w:r w:rsidR="00C563F6">
              <w:t>,</w:t>
            </w:r>
            <w:r w:rsidRPr="00DF3781">
              <w:t xml:space="preserve"> </w:t>
            </w:r>
            <w:r w:rsidRPr="00DF3781" w:rsidDel="00616AAA">
              <w:t xml:space="preserve">and to log defects </w:t>
            </w:r>
            <w:r w:rsidRPr="00DF3781">
              <w:t xml:space="preserve">about </w:t>
            </w:r>
            <w:r w:rsidRPr="00DF3781" w:rsidDel="00616AAA">
              <w:t>content during the S</w:t>
            </w:r>
            <w:r w:rsidRPr="00DF3781">
              <w:t xml:space="preserve">harePoint Online </w:t>
            </w:r>
            <w:r w:rsidRPr="00DF3781" w:rsidDel="00616AAA">
              <w:t xml:space="preserve">content validation </w:t>
            </w:r>
            <w:r w:rsidRPr="00DF3781">
              <w:t>period</w:t>
            </w:r>
            <w:r>
              <w:t>.</w:t>
            </w:r>
          </w:p>
          <w:p w14:paraId="5836C64C" w14:textId="0210778F" w:rsidR="00591BE7" w:rsidRPr="00B603BF" w:rsidRDefault="00591BE7" w:rsidP="00591BE7">
            <w:pPr>
              <w:pStyle w:val="Bulletlist"/>
              <w:ind w:left="245" w:hanging="245"/>
            </w:pPr>
            <w:r>
              <w:t xml:space="preserve">Validate that all users who must retain access for migrated content are active in the SharePoint Online target environment 2 weeks prior to the start of content migration. Users who are not available in the tenant prior to this phase might lose permissions or lose metadata on content and, consequently, might need to be reauthorized manually after the migration for certain sites or documents. </w:t>
            </w:r>
          </w:p>
        </w:tc>
      </w:tr>
      <w:tr w:rsidR="009B1142" w:rsidRPr="00616BD1" w14:paraId="5836C650" w14:textId="77777777" w:rsidTr="00BC4E85">
        <w:trPr>
          <w:gridAfter w:val="1"/>
          <w:wAfter w:w="13" w:type="dxa"/>
          <w:trHeight w:val="422"/>
        </w:trPr>
        <w:tc>
          <w:tcPr>
            <w:tcW w:w="2965" w:type="dxa"/>
            <w:shd w:val="clear" w:color="auto" w:fill="auto"/>
          </w:tcPr>
          <w:p w14:paraId="5836C64E" w14:textId="77777777" w:rsidR="009B1142" w:rsidRDefault="009B1142" w:rsidP="0013452E">
            <w:pPr>
              <w:pStyle w:val="TableText"/>
            </w:pPr>
            <w:r>
              <w:rPr>
                <w:b/>
              </w:rPr>
              <w:t>Key a</w:t>
            </w:r>
            <w:r w:rsidRPr="004D03A1">
              <w:rPr>
                <w:b/>
              </w:rPr>
              <w:t>ssumptions</w:t>
            </w:r>
          </w:p>
        </w:tc>
        <w:tc>
          <w:tcPr>
            <w:tcW w:w="6243" w:type="dxa"/>
            <w:shd w:val="clear" w:color="auto" w:fill="FFFFFF" w:themeFill="background1"/>
          </w:tcPr>
          <w:p w14:paraId="0E759F55" w14:textId="77777777" w:rsidR="00616BD1" w:rsidRPr="00616BD1" w:rsidRDefault="00616BD1" w:rsidP="0017577B">
            <w:pPr>
              <w:pStyle w:val="Bulletlist"/>
              <w:tabs>
                <w:tab w:val="num" w:pos="360"/>
              </w:tabs>
              <w:ind w:left="245" w:hanging="245"/>
            </w:pPr>
            <w:r w:rsidRPr="00616BD1">
              <w:rPr>
                <w:lang w:val="en"/>
              </w:rPr>
              <w:t>Any tenant configuration activity has already been made by the client.</w:t>
            </w:r>
          </w:p>
          <w:p w14:paraId="516E37C6" w14:textId="77777777" w:rsidR="00616BD1" w:rsidRPr="00616BD1" w:rsidRDefault="00616BD1" w:rsidP="0017577B">
            <w:pPr>
              <w:pStyle w:val="Bulletlist"/>
              <w:tabs>
                <w:tab w:val="num" w:pos="360"/>
              </w:tabs>
              <w:ind w:left="245" w:hanging="245"/>
            </w:pPr>
            <w:r w:rsidRPr="00616BD1">
              <w:rPr>
                <w:lang w:val="en"/>
              </w:rPr>
              <w:t>There's no personal site migration.</w:t>
            </w:r>
          </w:p>
          <w:p w14:paraId="0C5E941B" w14:textId="77777777" w:rsidR="00616BD1" w:rsidRPr="00616BD1" w:rsidRDefault="00616BD1" w:rsidP="0017577B">
            <w:pPr>
              <w:pStyle w:val="Bulletlist"/>
              <w:tabs>
                <w:tab w:val="num" w:pos="360"/>
              </w:tabs>
              <w:ind w:left="245" w:hanging="245"/>
            </w:pPr>
            <w:r w:rsidRPr="00616BD1">
              <w:rPr>
                <w:lang w:val="en"/>
              </w:rPr>
              <w:t>Remediations are limited to up to two days after the content validation period.</w:t>
            </w:r>
          </w:p>
          <w:p w14:paraId="236475E0" w14:textId="77777777" w:rsidR="00616BD1" w:rsidRPr="00616BD1" w:rsidRDefault="00616BD1" w:rsidP="0017577B">
            <w:pPr>
              <w:pStyle w:val="Bulletlist"/>
              <w:tabs>
                <w:tab w:val="num" w:pos="360"/>
              </w:tabs>
              <w:ind w:left="245" w:hanging="245"/>
            </w:pPr>
            <w:r w:rsidRPr="00616BD1">
              <w:rPr>
                <w:lang w:val="en"/>
              </w:rPr>
              <w:t>Any content that requires formal validation will be validated within up to 4 business days.</w:t>
            </w:r>
          </w:p>
          <w:p w14:paraId="600AD057" w14:textId="77777777" w:rsidR="00616BD1" w:rsidRPr="00616BD1" w:rsidRDefault="00616BD1" w:rsidP="0017577B">
            <w:pPr>
              <w:pStyle w:val="Bulletlist"/>
              <w:tabs>
                <w:tab w:val="num" w:pos="360"/>
              </w:tabs>
              <w:ind w:left="245" w:hanging="245"/>
            </w:pPr>
            <w:r w:rsidRPr="00616BD1">
              <w:rPr>
                <w:lang w:val="en"/>
              </w:rPr>
              <w:t>Sites that do not require formal approval will be automatically approved once they are migrated.</w:t>
            </w:r>
          </w:p>
          <w:p w14:paraId="19E77BC4" w14:textId="77777777" w:rsidR="00616BD1" w:rsidRPr="00616BD1" w:rsidRDefault="00616BD1" w:rsidP="0017577B">
            <w:pPr>
              <w:pStyle w:val="Bulletlist"/>
              <w:tabs>
                <w:tab w:val="num" w:pos="360"/>
              </w:tabs>
              <w:ind w:left="245" w:hanging="245"/>
            </w:pPr>
            <w:r w:rsidRPr="00616BD1">
              <w:rPr>
                <w:lang w:val="en"/>
              </w:rPr>
              <w:t>Each migrated site will have a technical owner and the content.</w:t>
            </w:r>
          </w:p>
          <w:p w14:paraId="6083BFBB" w14:textId="77777777" w:rsidR="00616BD1" w:rsidRPr="00616BD1" w:rsidRDefault="00616BD1" w:rsidP="0017577B">
            <w:pPr>
              <w:pStyle w:val="Bulletlist"/>
              <w:tabs>
                <w:tab w:val="num" w:pos="360"/>
              </w:tabs>
              <w:ind w:left="245" w:hanging="245"/>
            </w:pPr>
            <w:r w:rsidRPr="00616BD1">
              <w:rPr>
                <w:lang w:val="en"/>
              </w:rPr>
              <w:t>The master pages will be remedied by the client.</w:t>
            </w:r>
          </w:p>
          <w:p w14:paraId="5836C64F" w14:textId="395F453F" w:rsidR="00256ACC" w:rsidRPr="00616BD1" w:rsidRDefault="00616BD1" w:rsidP="00616BD1">
            <w:pPr>
              <w:pStyle w:val="Bulletlist"/>
              <w:ind w:left="245" w:hanging="245"/>
            </w:pPr>
            <w:r w:rsidRPr="00616BD1">
              <w:rPr>
                <w:lang w:val="en"/>
              </w:rPr>
              <w:lastRenderedPageBreak/>
              <w:t>Custom templates will be paired to box templates.</w:t>
            </w:r>
          </w:p>
        </w:tc>
      </w:tr>
    </w:tbl>
    <w:p w14:paraId="59154F43" w14:textId="77777777" w:rsidR="006E22B7" w:rsidRPr="00555425" w:rsidRDefault="006E22B7" w:rsidP="006E22B7">
      <w:bookmarkStart w:id="41" w:name="_Toc476168039"/>
    </w:p>
    <w:p w14:paraId="0606C858" w14:textId="77777777" w:rsidR="006E22B7" w:rsidRPr="006E22B7" w:rsidRDefault="006E22B7" w:rsidP="0084334A">
      <w:r>
        <w:rPr>
          <w:lang w:val="en"/>
        </w:rPr>
        <w:t>The process of valid upon receiving (VOR) is illustrated in the following table:</w:t>
      </w:r>
    </w:p>
    <w:p w14:paraId="5836C651" w14:textId="3F6B81AA" w:rsidR="00BC4E85" w:rsidRPr="006E22B7" w:rsidRDefault="00BC4E85" w:rsidP="00BC4E85"/>
    <w:tbl>
      <w:tblPr>
        <w:tblW w:w="7889" w:type="dxa"/>
        <w:tblInd w:w="357"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left w:w="0" w:type="dxa"/>
          <w:right w:w="0" w:type="dxa"/>
        </w:tblCellMar>
        <w:tblLook w:val="04A0" w:firstRow="1" w:lastRow="0" w:firstColumn="1" w:lastColumn="0" w:noHBand="0" w:noVBand="1"/>
      </w:tblPr>
      <w:tblGrid>
        <w:gridCol w:w="6929"/>
        <w:gridCol w:w="960"/>
      </w:tblGrid>
      <w:tr w:rsidR="00054BAA" w:rsidRPr="00AD7C4C" w14:paraId="6192251E" w14:textId="77777777" w:rsidTr="00054BAA">
        <w:trPr>
          <w:tblHeader/>
        </w:trPr>
        <w:tc>
          <w:tcPr>
            <w:tcW w:w="6929" w:type="dxa"/>
            <w:shd w:val="clear" w:color="auto" w:fill="008272"/>
            <w:tcMar>
              <w:top w:w="80" w:type="dxa"/>
              <w:left w:w="80" w:type="dxa"/>
              <w:bottom w:w="80" w:type="dxa"/>
              <w:right w:w="80" w:type="dxa"/>
            </w:tcMar>
            <w:vAlign w:val="center"/>
          </w:tcPr>
          <w:p w14:paraId="491AB582" w14:textId="77777777" w:rsidR="00054BAA" w:rsidRPr="00AD7C4C" w:rsidRDefault="00054BAA" w:rsidP="002F161F">
            <w:pPr>
              <w:pStyle w:val="TableHeading-11pt"/>
              <w:rPr>
                <w:rFonts w:eastAsia="Times New Roman"/>
                <w:lang w:val="en-AU"/>
              </w:rPr>
            </w:pPr>
            <w:r w:rsidRPr="00AD7C4C">
              <w:rPr>
                <w:rFonts w:eastAsia="Times New Roman"/>
                <w:lang w:val="en-AU"/>
              </w:rPr>
              <w:t>Task</w:t>
            </w:r>
          </w:p>
        </w:tc>
        <w:tc>
          <w:tcPr>
            <w:tcW w:w="960" w:type="dxa"/>
            <w:shd w:val="clear" w:color="auto" w:fill="008272"/>
            <w:tcMar>
              <w:top w:w="80" w:type="dxa"/>
              <w:left w:w="80" w:type="dxa"/>
              <w:bottom w:w="80" w:type="dxa"/>
              <w:right w:w="80" w:type="dxa"/>
            </w:tcMar>
            <w:vAlign w:val="center"/>
          </w:tcPr>
          <w:p w14:paraId="20B2086E" w14:textId="77777777" w:rsidR="00054BAA" w:rsidRPr="00AD7C4C" w:rsidRDefault="00054BAA" w:rsidP="002F161F">
            <w:pPr>
              <w:pStyle w:val="TableHeading-11pt"/>
              <w:jc w:val="center"/>
            </w:pPr>
            <w:r w:rsidRPr="00AD7C4C">
              <w:t>VOR</w:t>
            </w:r>
          </w:p>
        </w:tc>
      </w:tr>
      <w:tr w:rsidR="00054BAA" w:rsidRPr="00591BE5" w14:paraId="113963CC" w14:textId="77777777" w:rsidTr="00054BAA">
        <w:tc>
          <w:tcPr>
            <w:tcW w:w="6929" w:type="dxa"/>
            <w:tcMar>
              <w:top w:w="80" w:type="dxa"/>
              <w:left w:w="80" w:type="dxa"/>
              <w:bottom w:w="80" w:type="dxa"/>
              <w:right w:w="80" w:type="dxa"/>
            </w:tcMar>
            <w:vAlign w:val="center"/>
            <w:hideMark/>
          </w:tcPr>
          <w:p w14:paraId="3EA6ED07" w14:textId="77777777" w:rsidR="00054BAA" w:rsidRPr="00082B76" w:rsidRDefault="00054BAA" w:rsidP="002F161F">
            <w:pPr>
              <w:spacing w:before="0" w:after="0" w:line="240" w:lineRule="auto"/>
              <w:rPr>
                <w:rFonts w:eastAsia="Times New Roman" w:cs="Segoe UI"/>
                <w:szCs w:val="20"/>
                <w:lang w:val="en-AU"/>
              </w:rPr>
            </w:pPr>
            <w:r w:rsidRPr="00082B76">
              <w:rPr>
                <w:rFonts w:eastAsia="Times New Roman" w:cs="Segoe UI"/>
                <w:szCs w:val="20"/>
                <w:lang w:val="en-AU"/>
              </w:rPr>
              <w:t>Standard automated content validation (through “compare jobs”)</w:t>
            </w:r>
          </w:p>
        </w:tc>
        <w:tc>
          <w:tcPr>
            <w:tcW w:w="960" w:type="dxa"/>
            <w:tcMar>
              <w:top w:w="80" w:type="dxa"/>
              <w:left w:w="80" w:type="dxa"/>
              <w:bottom w:w="80" w:type="dxa"/>
              <w:right w:w="80" w:type="dxa"/>
            </w:tcMar>
            <w:vAlign w:val="center"/>
            <w:hideMark/>
          </w:tcPr>
          <w:p w14:paraId="24E00C6C" w14:textId="77777777" w:rsidR="00054BAA" w:rsidRPr="00CF4A2C" w:rsidRDefault="00054BAA" w:rsidP="002F161F">
            <w:pPr>
              <w:spacing w:before="0" w:after="0" w:line="240" w:lineRule="auto"/>
              <w:jc w:val="center"/>
              <w:rPr>
                <w:rFonts w:eastAsia="Times New Roman" w:cs="Segoe UI"/>
                <w:color w:val="008272"/>
                <w:szCs w:val="20"/>
                <w:lang w:val="en-AU"/>
              </w:rPr>
            </w:pPr>
            <w:bookmarkStart w:id="42" w:name="_Hlk7701382"/>
            <w:r w:rsidRPr="00CF4A2C">
              <w:rPr>
                <w:color w:val="008272"/>
              </w:rPr>
              <w:sym w:font="Wingdings 2" w:char="F050"/>
            </w:r>
            <w:bookmarkEnd w:id="42"/>
          </w:p>
        </w:tc>
      </w:tr>
      <w:tr w:rsidR="00D00D8B" w:rsidRPr="00591BE5" w14:paraId="5DA6523B" w14:textId="77777777" w:rsidTr="00054BAA">
        <w:tc>
          <w:tcPr>
            <w:tcW w:w="6929" w:type="dxa"/>
            <w:tcMar>
              <w:top w:w="80" w:type="dxa"/>
              <w:left w:w="80" w:type="dxa"/>
              <w:bottom w:w="80" w:type="dxa"/>
              <w:right w:w="80" w:type="dxa"/>
            </w:tcMar>
            <w:vAlign w:val="center"/>
          </w:tcPr>
          <w:p w14:paraId="5AC44032" w14:textId="4C837944" w:rsidR="00D00D8B" w:rsidRPr="00082B76" w:rsidRDefault="00891E3A" w:rsidP="002F161F">
            <w:pPr>
              <w:spacing w:before="0" w:after="0" w:line="240" w:lineRule="auto"/>
              <w:rPr>
                <w:rFonts w:eastAsia="Times New Roman" w:cs="Segoe UI"/>
                <w:szCs w:val="20"/>
                <w:lang w:val="en-AU"/>
              </w:rPr>
            </w:pPr>
            <w:r>
              <w:rPr>
                <w:rFonts w:eastAsia="Times New Roman" w:cs="Segoe UI"/>
                <w:szCs w:val="20"/>
                <w:lang w:val="en-AU"/>
              </w:rPr>
              <w:t>Manual Customer review of content</w:t>
            </w:r>
          </w:p>
        </w:tc>
        <w:tc>
          <w:tcPr>
            <w:tcW w:w="960" w:type="dxa"/>
            <w:tcMar>
              <w:top w:w="80" w:type="dxa"/>
              <w:left w:w="80" w:type="dxa"/>
              <w:bottom w:w="80" w:type="dxa"/>
              <w:right w:w="80" w:type="dxa"/>
            </w:tcMar>
            <w:vAlign w:val="center"/>
          </w:tcPr>
          <w:p w14:paraId="35DF96BB" w14:textId="7592DAB5" w:rsidR="00D00D8B" w:rsidRPr="00CF4A2C" w:rsidRDefault="00891E3A" w:rsidP="002F161F">
            <w:pPr>
              <w:spacing w:before="0" w:after="0" w:line="240" w:lineRule="auto"/>
              <w:jc w:val="center"/>
              <w:rPr>
                <w:color w:val="008272"/>
              </w:rPr>
            </w:pPr>
            <w:r w:rsidRPr="00CF4A2C">
              <w:rPr>
                <w:color w:val="008272"/>
              </w:rPr>
              <w:sym w:font="Wingdings 2" w:char="F050"/>
            </w:r>
          </w:p>
        </w:tc>
      </w:tr>
      <w:tr w:rsidR="00054BAA" w:rsidRPr="00591BE5" w14:paraId="71038F19" w14:textId="77777777" w:rsidTr="00054BAA">
        <w:tc>
          <w:tcPr>
            <w:tcW w:w="6929" w:type="dxa"/>
            <w:tcMar>
              <w:top w:w="80" w:type="dxa"/>
              <w:left w:w="80" w:type="dxa"/>
              <w:bottom w:w="80" w:type="dxa"/>
              <w:right w:w="80" w:type="dxa"/>
            </w:tcMar>
            <w:vAlign w:val="center"/>
            <w:hideMark/>
          </w:tcPr>
          <w:p w14:paraId="67C6E710" w14:textId="77777777" w:rsidR="00054BAA" w:rsidRPr="00082B76" w:rsidRDefault="00054BAA" w:rsidP="002F161F">
            <w:pPr>
              <w:spacing w:before="0" w:after="0" w:line="240" w:lineRule="auto"/>
              <w:rPr>
                <w:rFonts w:eastAsia="Times New Roman" w:cs="Segoe UI"/>
                <w:szCs w:val="20"/>
                <w:lang w:val="en-AU"/>
              </w:rPr>
            </w:pPr>
            <w:r w:rsidRPr="00082B76">
              <w:rPr>
                <w:rFonts w:eastAsia="Times New Roman" w:cs="Segoe UI"/>
                <w:szCs w:val="20"/>
                <w:lang w:val="en-AU"/>
              </w:rPr>
              <w:t>Automatic approval of content by the customer after migration</w:t>
            </w:r>
          </w:p>
        </w:tc>
        <w:tc>
          <w:tcPr>
            <w:tcW w:w="960" w:type="dxa"/>
            <w:tcMar>
              <w:top w:w="80" w:type="dxa"/>
              <w:left w:w="80" w:type="dxa"/>
              <w:bottom w:w="80" w:type="dxa"/>
              <w:right w:w="80" w:type="dxa"/>
            </w:tcMar>
            <w:vAlign w:val="center"/>
            <w:hideMark/>
          </w:tcPr>
          <w:p w14:paraId="549B41E1" w14:textId="77777777" w:rsidR="00054BAA" w:rsidRPr="00CF4A2C" w:rsidRDefault="00054BAA" w:rsidP="002F161F">
            <w:pPr>
              <w:spacing w:before="0" w:after="0" w:line="240" w:lineRule="auto"/>
              <w:jc w:val="center"/>
              <w:rPr>
                <w:rFonts w:eastAsia="Times New Roman" w:cs="Segoe UI"/>
                <w:color w:val="008272"/>
                <w:szCs w:val="20"/>
                <w:lang w:val="en-AU"/>
              </w:rPr>
            </w:pPr>
            <w:r w:rsidRPr="00CF4A2C">
              <w:rPr>
                <w:rFonts w:eastAsia="Times New Roman" w:cs="Segoe UI"/>
                <w:color w:val="008272"/>
                <w:szCs w:val="20"/>
                <w:lang w:val="en-AU"/>
              </w:rPr>
              <w:t>X</w:t>
            </w:r>
          </w:p>
        </w:tc>
      </w:tr>
      <w:tr w:rsidR="00054BAA" w:rsidRPr="00591BE5" w14:paraId="2612665E" w14:textId="77777777" w:rsidTr="00054BAA">
        <w:tc>
          <w:tcPr>
            <w:tcW w:w="6929" w:type="dxa"/>
            <w:tcMar>
              <w:top w:w="80" w:type="dxa"/>
              <w:left w:w="80" w:type="dxa"/>
              <w:bottom w:w="80" w:type="dxa"/>
              <w:right w:w="80" w:type="dxa"/>
            </w:tcMar>
            <w:vAlign w:val="center"/>
            <w:hideMark/>
          </w:tcPr>
          <w:p w14:paraId="3095A7B9" w14:textId="77777777" w:rsidR="00054BAA" w:rsidRPr="00082B76" w:rsidRDefault="00054BAA" w:rsidP="002F161F">
            <w:pPr>
              <w:spacing w:before="0" w:after="0" w:line="240" w:lineRule="auto"/>
              <w:rPr>
                <w:rFonts w:eastAsia="Times New Roman" w:cs="Segoe UI"/>
                <w:szCs w:val="20"/>
                <w:lang w:val="en-AU"/>
              </w:rPr>
            </w:pPr>
            <w:r w:rsidRPr="00082B76">
              <w:rPr>
                <w:rFonts w:eastAsia="Times New Roman" w:cs="Segoe UI"/>
                <w:szCs w:val="20"/>
                <w:lang w:val="en-AU"/>
              </w:rPr>
              <w:t>Acceptance test and sign off on migrated content</w:t>
            </w:r>
          </w:p>
        </w:tc>
        <w:tc>
          <w:tcPr>
            <w:tcW w:w="960" w:type="dxa"/>
            <w:tcMar>
              <w:top w:w="80" w:type="dxa"/>
              <w:left w:w="80" w:type="dxa"/>
              <w:bottom w:w="80" w:type="dxa"/>
              <w:right w:w="80" w:type="dxa"/>
            </w:tcMar>
            <w:vAlign w:val="center"/>
            <w:hideMark/>
          </w:tcPr>
          <w:p w14:paraId="78501E93" w14:textId="77777777" w:rsidR="00054BAA" w:rsidRPr="00CF4A2C" w:rsidRDefault="00054BAA" w:rsidP="002F161F">
            <w:pPr>
              <w:spacing w:before="0" w:after="0" w:line="240" w:lineRule="auto"/>
              <w:jc w:val="center"/>
              <w:rPr>
                <w:rFonts w:eastAsia="Times New Roman" w:cs="Segoe UI"/>
                <w:color w:val="008272"/>
                <w:szCs w:val="20"/>
                <w:lang w:val="en-AU"/>
              </w:rPr>
            </w:pPr>
            <w:r w:rsidRPr="00CF4A2C">
              <w:rPr>
                <w:color w:val="008272"/>
              </w:rPr>
              <w:sym w:font="Wingdings 2" w:char="F050"/>
            </w:r>
          </w:p>
        </w:tc>
      </w:tr>
      <w:tr w:rsidR="00054BAA" w:rsidRPr="00591BE5" w14:paraId="09854549" w14:textId="77777777" w:rsidTr="00054BAA">
        <w:tc>
          <w:tcPr>
            <w:tcW w:w="6929" w:type="dxa"/>
            <w:tcMar>
              <w:top w:w="80" w:type="dxa"/>
              <w:left w:w="80" w:type="dxa"/>
              <w:bottom w:w="80" w:type="dxa"/>
              <w:right w:w="80" w:type="dxa"/>
            </w:tcMar>
            <w:vAlign w:val="center"/>
            <w:hideMark/>
          </w:tcPr>
          <w:p w14:paraId="2AEDFC6A" w14:textId="77777777" w:rsidR="00054BAA" w:rsidRPr="00082B76" w:rsidRDefault="00054BAA" w:rsidP="002F161F">
            <w:pPr>
              <w:spacing w:before="0" w:after="0" w:line="240" w:lineRule="auto"/>
              <w:rPr>
                <w:rFonts w:eastAsia="Times New Roman" w:cs="Segoe UI"/>
                <w:szCs w:val="20"/>
                <w:lang w:val="en-AU"/>
              </w:rPr>
            </w:pPr>
            <w:r w:rsidRPr="00082B76">
              <w:rPr>
                <w:rFonts w:eastAsia="Times New Roman" w:cs="Segoe UI"/>
                <w:szCs w:val="20"/>
                <w:lang w:val="en-AU"/>
              </w:rPr>
              <w:t>Remediate acceptance testing issues</w:t>
            </w:r>
          </w:p>
        </w:tc>
        <w:tc>
          <w:tcPr>
            <w:tcW w:w="960" w:type="dxa"/>
            <w:tcMar>
              <w:top w:w="80" w:type="dxa"/>
              <w:left w:w="80" w:type="dxa"/>
              <w:bottom w:w="80" w:type="dxa"/>
              <w:right w:w="80" w:type="dxa"/>
            </w:tcMar>
            <w:vAlign w:val="center"/>
            <w:hideMark/>
          </w:tcPr>
          <w:p w14:paraId="06F9474D" w14:textId="77777777" w:rsidR="00054BAA" w:rsidRPr="00CF4A2C" w:rsidRDefault="00054BAA" w:rsidP="002F161F">
            <w:pPr>
              <w:spacing w:before="0" w:after="0" w:line="240" w:lineRule="auto"/>
              <w:jc w:val="center"/>
              <w:rPr>
                <w:rFonts w:eastAsia="Times New Roman" w:cs="Segoe UI"/>
                <w:color w:val="008272"/>
                <w:szCs w:val="20"/>
                <w:lang w:val="en-AU"/>
              </w:rPr>
            </w:pPr>
            <w:r w:rsidRPr="00CF4A2C">
              <w:rPr>
                <w:color w:val="008272"/>
              </w:rPr>
              <w:sym w:font="Wingdings 2" w:char="F050"/>
            </w:r>
          </w:p>
        </w:tc>
      </w:tr>
      <w:tr w:rsidR="00054BAA" w:rsidRPr="00591BE5" w14:paraId="2C0DE6C7" w14:textId="77777777" w:rsidTr="00054BAA">
        <w:tc>
          <w:tcPr>
            <w:tcW w:w="6929" w:type="dxa"/>
            <w:tcMar>
              <w:top w:w="80" w:type="dxa"/>
              <w:left w:w="80" w:type="dxa"/>
              <w:bottom w:w="80" w:type="dxa"/>
              <w:right w:w="80" w:type="dxa"/>
            </w:tcMar>
            <w:vAlign w:val="center"/>
            <w:hideMark/>
          </w:tcPr>
          <w:p w14:paraId="58BFCA80" w14:textId="77777777" w:rsidR="00054BAA" w:rsidRPr="00082B76" w:rsidRDefault="00054BAA" w:rsidP="002F161F">
            <w:pPr>
              <w:spacing w:before="0" w:after="0" w:line="240" w:lineRule="auto"/>
              <w:rPr>
                <w:rFonts w:eastAsia="Times New Roman" w:cs="Segoe UI"/>
                <w:szCs w:val="20"/>
                <w:lang w:val="en-AU"/>
              </w:rPr>
            </w:pPr>
            <w:r w:rsidRPr="00082B76">
              <w:rPr>
                <w:rFonts w:eastAsia="Times New Roman" w:cs="Segoe UI"/>
                <w:szCs w:val="20"/>
                <w:lang w:val="en-AU"/>
              </w:rPr>
              <w:t>Environment access exclusive to Microsoft until handover of the sites</w:t>
            </w:r>
          </w:p>
        </w:tc>
        <w:tc>
          <w:tcPr>
            <w:tcW w:w="960" w:type="dxa"/>
            <w:tcMar>
              <w:top w:w="80" w:type="dxa"/>
              <w:left w:w="80" w:type="dxa"/>
              <w:bottom w:w="80" w:type="dxa"/>
              <w:right w:w="80" w:type="dxa"/>
            </w:tcMar>
            <w:vAlign w:val="center"/>
            <w:hideMark/>
          </w:tcPr>
          <w:p w14:paraId="50C86731" w14:textId="77777777" w:rsidR="00054BAA" w:rsidRPr="00CF4A2C" w:rsidRDefault="00054BAA" w:rsidP="002F161F">
            <w:pPr>
              <w:spacing w:before="0" w:after="0" w:line="240" w:lineRule="auto"/>
              <w:jc w:val="center"/>
              <w:rPr>
                <w:rFonts w:eastAsia="Times New Roman" w:cs="Segoe UI"/>
                <w:color w:val="008272"/>
                <w:szCs w:val="20"/>
                <w:lang w:val="en-AU"/>
              </w:rPr>
            </w:pPr>
            <w:r w:rsidRPr="00CF4A2C">
              <w:rPr>
                <w:color w:val="008272"/>
              </w:rPr>
              <w:sym w:font="Wingdings 2" w:char="F050"/>
            </w:r>
          </w:p>
        </w:tc>
      </w:tr>
    </w:tbl>
    <w:p w14:paraId="6776158B" w14:textId="77777777" w:rsidR="002F161F" w:rsidRDefault="002F161F" w:rsidP="00BC4E85"/>
    <w:p w14:paraId="5836C652" w14:textId="77777777" w:rsidR="00BC4E85" w:rsidRDefault="00BC4E85" w:rsidP="00BC4E85">
      <w:pPr>
        <w:pStyle w:val="Heading4"/>
      </w:pPr>
      <w:r>
        <w:t>Deliverables</w:t>
      </w:r>
    </w:p>
    <w:tbl>
      <w:tblPr>
        <w:tblStyle w:val="TableGrid1"/>
        <w:tblW w:w="915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162"/>
        <w:gridCol w:w="3870"/>
        <w:gridCol w:w="1539"/>
        <w:gridCol w:w="1581"/>
      </w:tblGrid>
      <w:tr w:rsidR="00BC4E85" w:rsidRPr="003F779C" w14:paraId="5836C657" w14:textId="77777777" w:rsidTr="008F7D31">
        <w:trPr>
          <w:trHeight w:val="360"/>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836C653" w14:textId="77777777" w:rsidR="00BC4E85" w:rsidRPr="00BC4E85" w:rsidRDefault="00BC4E85" w:rsidP="002E1E13">
            <w:pPr>
              <w:pStyle w:val="Table-Header"/>
            </w:pPr>
            <w:r w:rsidRPr="00BC4E85">
              <w:t>Name</w:t>
            </w:r>
          </w:p>
        </w:tc>
        <w:tc>
          <w:tcPr>
            <w:tcW w:w="3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836C654" w14:textId="77777777" w:rsidR="00BC4E85" w:rsidRPr="00BC4E85" w:rsidRDefault="00BC4E85" w:rsidP="002E1E13">
            <w:pPr>
              <w:pStyle w:val="Table-Header"/>
            </w:pPr>
            <w:r w:rsidRPr="00BC4E85">
              <w:t>Description</w:t>
            </w:r>
          </w:p>
        </w:tc>
        <w:tc>
          <w:tcPr>
            <w:tcW w:w="153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836C655" w14:textId="77777777" w:rsidR="00BC4E85" w:rsidRPr="00BC4E85" w:rsidRDefault="00BC4E85" w:rsidP="002E1E13">
            <w:pPr>
              <w:pStyle w:val="Table-Header"/>
            </w:pPr>
            <w:r w:rsidRPr="00BC4E85">
              <w:t xml:space="preserve">Acceptance </w:t>
            </w:r>
            <w:r>
              <w:t>required</w:t>
            </w:r>
            <w:r w:rsidRPr="00BC4E85">
              <w:t>?</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836C656" w14:textId="77777777" w:rsidR="00BC4E85" w:rsidRPr="00BC4E85" w:rsidRDefault="00BC4E85" w:rsidP="002E1E13">
            <w:pPr>
              <w:pStyle w:val="Table-Header"/>
            </w:pPr>
            <w:r w:rsidRPr="00BC4E85">
              <w:t>Responsibility</w:t>
            </w:r>
          </w:p>
        </w:tc>
      </w:tr>
      <w:tr w:rsidR="00BC4E85" w:rsidRPr="003F779C" w14:paraId="5836C65C" w14:textId="77777777" w:rsidTr="008F7D31">
        <w:trPr>
          <w:trHeight w:val="416"/>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836C658" w14:textId="15AC468C" w:rsidR="00BC4E85" w:rsidRPr="003F779C" w:rsidRDefault="004B6FF7" w:rsidP="002E1E13">
            <w:pPr>
              <w:pStyle w:val="TableText"/>
            </w:pPr>
            <w:r>
              <w:t>Migrated sites</w:t>
            </w:r>
          </w:p>
        </w:tc>
        <w:tc>
          <w:tcPr>
            <w:tcW w:w="3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836C659" w14:textId="485358F8" w:rsidR="00BC4E85" w:rsidRPr="003F779C" w:rsidRDefault="004B6FF7" w:rsidP="002E1E13">
            <w:pPr>
              <w:pStyle w:val="TableText"/>
            </w:pPr>
            <w:r>
              <w:t xml:space="preserve">Migrated sites in </w:t>
            </w:r>
            <w:r w:rsidR="00EF4081">
              <w:t xml:space="preserve">customer SharePoint Online </w:t>
            </w:r>
            <w:r>
              <w:t>tenant environment</w:t>
            </w:r>
          </w:p>
        </w:tc>
        <w:tc>
          <w:tcPr>
            <w:tcW w:w="153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836C65A" w14:textId="496AB06A" w:rsidR="00BC4E85" w:rsidRPr="003F779C" w:rsidRDefault="004B6FF7" w:rsidP="002E1E13">
            <w:pPr>
              <w:pStyle w:val="TableText"/>
            </w:pPr>
            <w:r>
              <w:t>Yes</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836C65B" w14:textId="5B3C438F" w:rsidR="00BC4E85" w:rsidRPr="003F779C" w:rsidRDefault="004B6FF7" w:rsidP="002E1E13">
            <w:pPr>
              <w:pStyle w:val="TableText"/>
            </w:pPr>
            <w:r>
              <w:t>Microsoft</w:t>
            </w:r>
          </w:p>
        </w:tc>
      </w:tr>
      <w:tr w:rsidR="0056041E" w:rsidRPr="003F779C" w14:paraId="5836C661" w14:textId="77777777" w:rsidTr="008F7D31">
        <w:trPr>
          <w:trHeight w:val="416"/>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836C65D" w14:textId="4D29232F" w:rsidR="0056041E" w:rsidRPr="003F779C" w:rsidRDefault="0056041E" w:rsidP="0056041E">
            <w:pPr>
              <w:pStyle w:val="TableText"/>
            </w:pPr>
            <w:r>
              <w:t>Site mapping file for each migration wave</w:t>
            </w:r>
          </w:p>
        </w:tc>
        <w:tc>
          <w:tcPr>
            <w:tcW w:w="3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836C65E" w14:textId="741CC582" w:rsidR="0056041E" w:rsidRPr="000403ED" w:rsidRDefault="000403ED" w:rsidP="0056041E">
            <w:pPr>
              <w:pStyle w:val="TableText"/>
            </w:pPr>
            <w:r w:rsidRPr="00C12A4D">
              <w:rPr>
                <w:lang w:val="en"/>
              </w:rPr>
              <w:t xml:space="preserve">Clearly explains the </w:t>
            </w:r>
            <w:r>
              <w:rPr>
                <w:lang w:val="en"/>
              </w:rPr>
              <w:t>matching</w:t>
            </w:r>
            <w:r w:rsidRPr="00C12A4D">
              <w:rPr>
                <w:lang w:val="en"/>
              </w:rPr>
              <w:t xml:space="preserve"> information between the </w:t>
            </w:r>
            <w:r>
              <w:rPr>
                <w:lang w:val="en"/>
              </w:rPr>
              <w:t>source site and the destination site</w:t>
            </w:r>
          </w:p>
        </w:tc>
        <w:tc>
          <w:tcPr>
            <w:tcW w:w="153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836C65F" w14:textId="14F543BE" w:rsidR="0056041E" w:rsidRPr="003F779C" w:rsidRDefault="0056041E" w:rsidP="0056041E">
            <w:pPr>
              <w:pStyle w:val="TableText"/>
            </w:pPr>
            <w:r>
              <w:t>No</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836C660" w14:textId="7F3289BA" w:rsidR="0056041E" w:rsidRPr="003F779C" w:rsidRDefault="0056041E" w:rsidP="0056041E">
            <w:pPr>
              <w:pStyle w:val="TableText"/>
            </w:pPr>
            <w:r>
              <w:t>Customer</w:t>
            </w:r>
          </w:p>
        </w:tc>
      </w:tr>
      <w:tr w:rsidR="0056041E" w:rsidRPr="003F779C" w14:paraId="1818B60D" w14:textId="77777777" w:rsidTr="008F7D31">
        <w:trPr>
          <w:trHeight w:val="416"/>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A3CC1BA" w14:textId="29B634BA" w:rsidR="0056041E" w:rsidRDefault="0056041E" w:rsidP="0056041E">
            <w:pPr>
              <w:pStyle w:val="TableText"/>
            </w:pPr>
            <w:r>
              <w:t>Updated user mapping files</w:t>
            </w:r>
          </w:p>
        </w:tc>
        <w:tc>
          <w:tcPr>
            <w:tcW w:w="3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7E0CB77" w14:textId="7D6EE221" w:rsidR="0056041E" w:rsidRPr="000403ED" w:rsidRDefault="000403ED" w:rsidP="0056041E">
            <w:pPr>
              <w:pStyle w:val="TableText"/>
            </w:pPr>
            <w:r w:rsidRPr="00C12A4D">
              <w:rPr>
                <w:lang w:val="en"/>
              </w:rPr>
              <w:t xml:space="preserve">Clearly explains account matching information between </w:t>
            </w:r>
            <w:r>
              <w:rPr>
                <w:lang w:val="en"/>
              </w:rPr>
              <w:t>source users and Target users</w:t>
            </w:r>
          </w:p>
        </w:tc>
        <w:tc>
          <w:tcPr>
            <w:tcW w:w="153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05EA9EB4" w14:textId="1A703884" w:rsidR="0056041E" w:rsidRPr="003F779C" w:rsidRDefault="0056041E" w:rsidP="0056041E">
            <w:pPr>
              <w:pStyle w:val="TableText"/>
            </w:pPr>
            <w:r>
              <w:t>No</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4D70648" w14:textId="6D65C7AD" w:rsidR="0056041E" w:rsidRPr="003F779C" w:rsidRDefault="0056041E" w:rsidP="0056041E">
            <w:pPr>
              <w:pStyle w:val="TableText"/>
            </w:pPr>
            <w:r>
              <w:t>Customer</w:t>
            </w:r>
          </w:p>
        </w:tc>
      </w:tr>
    </w:tbl>
    <w:p w14:paraId="5836C662" w14:textId="77777777" w:rsidR="00BC4E85" w:rsidRDefault="00BC4E85" w:rsidP="00BC4E85"/>
    <w:bookmarkEnd w:id="41"/>
    <w:p w14:paraId="5836C663" w14:textId="450C87B5" w:rsidR="00E10022" w:rsidRDefault="00B11AE5" w:rsidP="00C84DD9">
      <w:pPr>
        <w:pStyle w:val="Heading3"/>
      </w:pPr>
      <w:r>
        <w:t>Closeout</w:t>
      </w:r>
    </w:p>
    <w:p w14:paraId="41EC34A4" w14:textId="17736925" w:rsidR="004B6FF7" w:rsidRPr="001527DE" w:rsidRDefault="004B6FF7" w:rsidP="004B6FF7">
      <w:r w:rsidRPr="00F41206">
        <w:rPr>
          <w:rFonts w:eastAsia="Times New Roman" w:cs="Segoe UI"/>
          <w:color w:val="000000"/>
        </w:rPr>
        <w:t xml:space="preserve">During </w:t>
      </w:r>
      <w:r>
        <w:rPr>
          <w:rFonts w:eastAsia="Times New Roman" w:cs="Segoe UI"/>
          <w:color w:val="000000"/>
        </w:rPr>
        <w:t xml:space="preserve">the </w:t>
      </w:r>
      <w:r w:rsidR="00B11AE5">
        <w:rPr>
          <w:rFonts w:eastAsia="Times New Roman" w:cs="Segoe UI"/>
          <w:color w:val="000000"/>
        </w:rPr>
        <w:t>Closeout</w:t>
      </w:r>
      <w:r w:rsidR="00B11AE5" w:rsidRPr="00F41206">
        <w:rPr>
          <w:rFonts w:eastAsia="Times New Roman" w:cs="Segoe UI"/>
          <w:color w:val="000000"/>
        </w:rPr>
        <w:t xml:space="preserve"> </w:t>
      </w:r>
      <w:r w:rsidRPr="00F41206">
        <w:rPr>
          <w:rFonts w:eastAsia="Times New Roman" w:cs="Segoe UI"/>
          <w:color w:val="000000"/>
        </w:rPr>
        <w:t>phase</w:t>
      </w:r>
      <w:r>
        <w:rPr>
          <w:rFonts w:eastAsia="Times New Roman" w:cs="Segoe UI"/>
          <w:color w:val="000000"/>
        </w:rPr>
        <w:t>,</w:t>
      </w:r>
      <w:r w:rsidRPr="00F41206">
        <w:rPr>
          <w:rFonts w:eastAsia="Times New Roman" w:cs="Segoe UI"/>
          <w:color w:val="000000"/>
        </w:rPr>
        <w:t xml:space="preserve"> the</w:t>
      </w:r>
      <w:r>
        <w:rPr>
          <w:rFonts w:eastAsia="Times New Roman" w:cs="Segoe UI"/>
          <w:color w:val="000000"/>
        </w:rPr>
        <w:t xml:space="preserve"> migration</w:t>
      </w:r>
      <w:r w:rsidRPr="00F41206">
        <w:rPr>
          <w:rFonts w:eastAsia="Times New Roman" w:cs="Segoe UI"/>
          <w:color w:val="000000"/>
        </w:rPr>
        <w:t xml:space="preserve"> team</w:t>
      </w:r>
      <w:r w:rsidRPr="00F41206">
        <w:rPr>
          <w:rFonts w:cs="Segoe UI"/>
        </w:rPr>
        <w:t xml:space="preserve"> </w:t>
      </w:r>
      <w:r>
        <w:rPr>
          <w:rFonts w:cs="Segoe UI"/>
        </w:rPr>
        <w:t>will assist with remediation of content migration issues and deprovisioning of migration environment(s).</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10022" w14:paraId="5836C666" w14:textId="77777777" w:rsidTr="00B44F57">
        <w:trPr>
          <w:trHeight w:val="542"/>
          <w:tblHeader/>
        </w:trPr>
        <w:tc>
          <w:tcPr>
            <w:tcW w:w="9221" w:type="dxa"/>
            <w:gridSpan w:val="3"/>
            <w:shd w:val="clear" w:color="auto" w:fill="008272"/>
          </w:tcPr>
          <w:p w14:paraId="5836C665" w14:textId="77777777" w:rsidR="00E10022"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lastRenderedPageBreak/>
              <w:drawing>
                <wp:inline distT="0" distB="0" distL="0" distR="0" wp14:anchorId="5836C758" wp14:editId="620179DC">
                  <wp:extent cx="15240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9056" b="-4967"/>
                          <a:stretch/>
                        </pic:blipFill>
                        <pic:spPr bwMode="auto">
                          <a:xfrm>
                            <a:off x="0" y="0"/>
                            <a:ext cx="1589443" cy="23841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10022" w14:paraId="5836C669" w14:textId="77777777" w:rsidTr="00466CBE">
        <w:trPr>
          <w:trHeight w:val="542"/>
          <w:tblHeader/>
        </w:trPr>
        <w:tc>
          <w:tcPr>
            <w:tcW w:w="2965" w:type="dxa"/>
            <w:shd w:val="clear" w:color="auto" w:fill="008272"/>
          </w:tcPr>
          <w:p w14:paraId="5836C667" w14:textId="77777777" w:rsidR="00E10022" w:rsidRPr="004B0557" w:rsidRDefault="00E10022" w:rsidP="00B44F57">
            <w:pPr>
              <w:pStyle w:val="Table-Header"/>
            </w:pPr>
            <w:r>
              <w:t>Category</w:t>
            </w:r>
          </w:p>
        </w:tc>
        <w:tc>
          <w:tcPr>
            <w:tcW w:w="6256" w:type="dxa"/>
            <w:gridSpan w:val="2"/>
            <w:shd w:val="clear" w:color="auto" w:fill="008272"/>
          </w:tcPr>
          <w:p w14:paraId="5836C668" w14:textId="77777777" w:rsidR="00E10022" w:rsidRPr="00AE61D2" w:rsidRDefault="00E10022" w:rsidP="00B44F57">
            <w:pPr>
              <w:pStyle w:val="Table-Header"/>
            </w:pPr>
            <w:r>
              <w:t>Description</w:t>
            </w:r>
          </w:p>
        </w:tc>
      </w:tr>
      <w:tr w:rsidR="00E10022" w:rsidRPr="005F3BAF" w14:paraId="5836C66C" w14:textId="77777777" w:rsidTr="00466CBE">
        <w:trPr>
          <w:gridAfter w:val="1"/>
          <w:wAfter w:w="13" w:type="dxa"/>
          <w:trHeight w:val="422"/>
        </w:trPr>
        <w:tc>
          <w:tcPr>
            <w:tcW w:w="2965" w:type="dxa"/>
            <w:shd w:val="clear" w:color="auto" w:fill="auto"/>
          </w:tcPr>
          <w:p w14:paraId="5836C66A" w14:textId="77777777" w:rsidR="00E10022" w:rsidRPr="00D0227D" w:rsidRDefault="00E10022" w:rsidP="0013452E">
            <w:pPr>
              <w:pStyle w:val="TableText"/>
            </w:pPr>
            <w:r w:rsidRPr="004D03A1">
              <w:rPr>
                <w:b/>
              </w:rPr>
              <w:t>Microsoft activities</w:t>
            </w:r>
            <w:r w:rsidR="0013452E">
              <w:rPr>
                <w:b/>
              </w:rPr>
              <w:br/>
            </w:r>
            <w:r>
              <w:t>The activities to be performed by Microsoft</w:t>
            </w:r>
          </w:p>
        </w:tc>
        <w:tc>
          <w:tcPr>
            <w:tcW w:w="6243" w:type="dxa"/>
            <w:shd w:val="clear" w:color="auto" w:fill="FFFFFF" w:themeFill="background1"/>
          </w:tcPr>
          <w:p w14:paraId="036666BE" w14:textId="77777777" w:rsidR="004B6FF7" w:rsidRPr="00E31ED6" w:rsidRDefault="004B6FF7" w:rsidP="004B6FF7">
            <w:pPr>
              <w:pStyle w:val="Bulletlist"/>
              <w:ind w:left="245" w:hanging="245"/>
            </w:pPr>
            <w:r w:rsidRPr="00E31ED6">
              <w:t xml:space="preserve">Support </w:t>
            </w:r>
            <w:r>
              <w:t xml:space="preserve">customer </w:t>
            </w:r>
            <w:r w:rsidRPr="00E31ED6">
              <w:t>in triaging the bugs and fixing bugs agreed upon, post migration.</w:t>
            </w:r>
          </w:p>
          <w:p w14:paraId="0A80334F" w14:textId="77777777" w:rsidR="004B6FF7" w:rsidRDefault="004B6FF7" w:rsidP="004B6FF7">
            <w:pPr>
              <w:pStyle w:val="Bulletlist"/>
              <w:ind w:left="245" w:hanging="245"/>
            </w:pPr>
            <w:r>
              <w:t>Assist customer with deprovisioning of migration accounts.</w:t>
            </w:r>
          </w:p>
          <w:p w14:paraId="5836C66B" w14:textId="733D1E96" w:rsidR="00E10022" w:rsidRPr="00D0227D" w:rsidRDefault="004B6FF7" w:rsidP="004B6FF7">
            <w:pPr>
              <w:pStyle w:val="Bulletlist"/>
              <w:ind w:left="245" w:hanging="245"/>
            </w:pPr>
            <w:r>
              <w:t>Deprovisioning of migration environments.</w:t>
            </w:r>
          </w:p>
        </w:tc>
      </w:tr>
      <w:tr w:rsidR="00E10022" w:rsidRPr="005F3BAF" w14:paraId="5836C66F" w14:textId="77777777" w:rsidTr="00466CBE">
        <w:trPr>
          <w:gridAfter w:val="1"/>
          <w:wAfter w:w="13" w:type="dxa"/>
          <w:trHeight w:val="422"/>
        </w:trPr>
        <w:tc>
          <w:tcPr>
            <w:tcW w:w="2965" w:type="dxa"/>
            <w:shd w:val="clear" w:color="auto" w:fill="auto"/>
          </w:tcPr>
          <w:p w14:paraId="5836C66D" w14:textId="3B7C6D4D" w:rsidR="00E10022" w:rsidRPr="00D0227D" w:rsidRDefault="00E10022" w:rsidP="0013452E">
            <w:pPr>
              <w:pStyle w:val="TableText"/>
            </w:pPr>
            <w:r w:rsidRPr="004D03A1">
              <w:rPr>
                <w:b/>
              </w:rPr>
              <w:t>Customer activities</w:t>
            </w:r>
            <w:r w:rsidR="0013452E">
              <w:rPr>
                <w:b/>
              </w:rPr>
              <w:br/>
            </w:r>
            <w:r>
              <w:t xml:space="preserve">The activities to be performed by </w:t>
            </w:r>
            <w:r w:rsidR="00112EB1">
              <w:t xml:space="preserve">the </w:t>
            </w:r>
            <w:r w:rsidR="0015000E">
              <w:t>c</w:t>
            </w:r>
            <w:r>
              <w:t>ustomer</w:t>
            </w:r>
          </w:p>
        </w:tc>
        <w:tc>
          <w:tcPr>
            <w:tcW w:w="6243" w:type="dxa"/>
            <w:shd w:val="clear" w:color="auto" w:fill="FFFFFF" w:themeFill="background1"/>
          </w:tcPr>
          <w:p w14:paraId="2EA96889" w14:textId="77777777" w:rsidR="004B6FF7" w:rsidRPr="00E31ED6" w:rsidRDefault="004B6FF7" w:rsidP="004B6FF7">
            <w:pPr>
              <w:pStyle w:val="Bulletlist"/>
              <w:ind w:left="245" w:hanging="245"/>
            </w:pPr>
            <w:r w:rsidRPr="00E31ED6">
              <w:t>Test migrated sites, log defects and report defects to the Microsoft Team and provide steps performed in discovering the defect.</w:t>
            </w:r>
          </w:p>
          <w:p w14:paraId="341C2603" w14:textId="77777777" w:rsidR="004B6FF7" w:rsidRPr="00E31ED6" w:rsidRDefault="004B6FF7" w:rsidP="004B6FF7">
            <w:pPr>
              <w:pStyle w:val="Bulletlist"/>
              <w:ind w:left="245" w:hanging="245"/>
            </w:pPr>
            <w:r w:rsidRPr="00E31ED6">
              <w:t>Execute end-user communications as appropriate.</w:t>
            </w:r>
          </w:p>
          <w:p w14:paraId="6589AD25" w14:textId="77777777" w:rsidR="00E10022" w:rsidRDefault="004B6FF7" w:rsidP="004B6FF7">
            <w:pPr>
              <w:pStyle w:val="Bulletlist"/>
              <w:ind w:left="245" w:hanging="245"/>
            </w:pPr>
            <w:r w:rsidRPr="00E31ED6">
              <w:t>Test the fix and communicate the status to Microsoft team</w:t>
            </w:r>
          </w:p>
          <w:p w14:paraId="5836C66E" w14:textId="184EFA0C" w:rsidR="004B6FF7" w:rsidRPr="00D0227D" w:rsidRDefault="004B6FF7" w:rsidP="004B6FF7">
            <w:pPr>
              <w:pStyle w:val="Bulletlist"/>
              <w:ind w:left="245" w:hanging="245"/>
            </w:pPr>
            <w:r>
              <w:t>Validate that staff members are available to verify the fixes.</w:t>
            </w:r>
          </w:p>
        </w:tc>
      </w:tr>
      <w:tr w:rsidR="00E10022" w:rsidRPr="005F3BAF" w14:paraId="5836C672" w14:textId="77777777" w:rsidTr="00466CBE">
        <w:trPr>
          <w:gridAfter w:val="1"/>
          <w:wAfter w:w="13" w:type="dxa"/>
          <w:trHeight w:val="422"/>
        </w:trPr>
        <w:tc>
          <w:tcPr>
            <w:tcW w:w="2965" w:type="dxa"/>
            <w:shd w:val="clear" w:color="auto" w:fill="auto"/>
          </w:tcPr>
          <w:p w14:paraId="5836C670" w14:textId="77777777" w:rsidR="00E10022" w:rsidRDefault="00E10022" w:rsidP="0013452E">
            <w:pPr>
              <w:pStyle w:val="TableText"/>
            </w:pPr>
            <w:r>
              <w:rPr>
                <w:b/>
              </w:rPr>
              <w:t>Key a</w:t>
            </w:r>
            <w:r w:rsidRPr="004D03A1">
              <w:rPr>
                <w:b/>
              </w:rPr>
              <w:t>ssumptions</w:t>
            </w:r>
            <w:r w:rsidR="0013452E">
              <w:rPr>
                <w:b/>
              </w:rPr>
              <w:br/>
            </w:r>
          </w:p>
        </w:tc>
        <w:tc>
          <w:tcPr>
            <w:tcW w:w="6243" w:type="dxa"/>
            <w:shd w:val="clear" w:color="auto" w:fill="FFFFFF" w:themeFill="background1"/>
          </w:tcPr>
          <w:p w14:paraId="5836C671" w14:textId="432616DF" w:rsidR="00E10022" w:rsidRDefault="00573B86" w:rsidP="00DB197F">
            <w:pPr>
              <w:pStyle w:val="Bulletlist"/>
              <w:numPr>
                <w:ilvl w:val="0"/>
                <w:numId w:val="0"/>
              </w:numPr>
            </w:pPr>
            <w:r w:rsidRPr="00191E54">
              <w:t>Content support will focus only on issues that are specific</w:t>
            </w:r>
            <w:r>
              <w:t xml:space="preserve"> to the content being migrated.</w:t>
            </w:r>
          </w:p>
        </w:tc>
      </w:tr>
    </w:tbl>
    <w:p w14:paraId="5836C673" w14:textId="77777777" w:rsidR="00466CBE" w:rsidRDefault="00466CBE" w:rsidP="00466CBE">
      <w:bookmarkStart w:id="43" w:name="_Toc476168040"/>
    </w:p>
    <w:p w14:paraId="5836C6A7" w14:textId="77777777" w:rsidR="009B1142" w:rsidRDefault="00C416FE" w:rsidP="00C84DD9">
      <w:pPr>
        <w:pStyle w:val="Heading2"/>
      </w:pPr>
      <w:bookmarkStart w:id="44" w:name="_Toc476167708"/>
      <w:bookmarkStart w:id="45" w:name="_Toc476168041"/>
      <w:bookmarkStart w:id="46" w:name="_Toc7701766"/>
      <w:bookmarkEnd w:id="43"/>
      <w:r>
        <w:t>Timeline</w:t>
      </w:r>
      <w:bookmarkEnd w:id="44"/>
      <w:bookmarkEnd w:id="45"/>
      <w:bookmarkEnd w:id="46"/>
    </w:p>
    <w:p w14:paraId="5836C6A8" w14:textId="77777777" w:rsidR="00C416FE" w:rsidRDefault="00DA7FE6" w:rsidP="00C416FE">
      <w:r>
        <w:t>During project planning</w:t>
      </w:r>
      <w:r w:rsidR="00C416FE">
        <w:t xml:space="preserve"> of the project</w:t>
      </w:r>
      <w:r w:rsidR="006965B5">
        <w:t>,</w:t>
      </w:r>
      <w:r w:rsidR="00C416FE">
        <w:t xml:space="preserve"> a detailed </w:t>
      </w:r>
      <w:r w:rsidR="006965B5">
        <w:t xml:space="preserve">project </w:t>
      </w:r>
      <w:r w:rsidR="00C416FE">
        <w:t xml:space="preserve">timeline </w:t>
      </w:r>
      <w:r w:rsidR="008D2374">
        <w:t>will be developed. A</w:t>
      </w:r>
      <w:r w:rsidR="007F3384">
        <w:t xml:space="preserve">ll dates and durations are </w:t>
      </w:r>
      <w:r w:rsidR="004E5105">
        <w:t xml:space="preserve">relative to the project start date and are </w:t>
      </w:r>
      <w:r w:rsidR="00057271">
        <w:t>estimates only.</w:t>
      </w:r>
    </w:p>
    <w:p w14:paraId="5836C6AA" w14:textId="7139F018" w:rsidR="00C44D16" w:rsidRDefault="002B4C94" w:rsidP="00C416FE">
      <w:r w:rsidRPr="00CD390D">
        <w:rPr>
          <w:noProof/>
          <w:lang w:val="es-PR"/>
        </w:rPr>
        <w:drawing>
          <wp:inline distT="0" distB="0" distL="0" distR="0" wp14:anchorId="56BCB8A9" wp14:editId="2AB2B62B">
            <wp:extent cx="5703570" cy="560717"/>
            <wp:effectExtent l="19050" t="0" r="30480" b="1079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836C6AB" w14:textId="77777777" w:rsidR="00C44D16" w:rsidRDefault="00C44D16" w:rsidP="00C84DD9">
      <w:pPr>
        <w:pStyle w:val="Heading2"/>
      </w:pPr>
      <w:bookmarkStart w:id="47" w:name="_Toc476167709"/>
      <w:bookmarkStart w:id="48" w:name="_Toc476168042"/>
      <w:bookmarkStart w:id="49" w:name="_Ref477932041"/>
      <w:bookmarkStart w:id="50" w:name="_Toc7701767"/>
      <w:r>
        <w:t>Deliverable acceptance process</w:t>
      </w:r>
      <w:bookmarkEnd w:id="47"/>
      <w:bookmarkEnd w:id="48"/>
      <w:bookmarkEnd w:id="49"/>
      <w:bookmarkEnd w:id="50"/>
    </w:p>
    <w:p w14:paraId="5836C6AC" w14:textId="31695571" w:rsidR="00C44D16" w:rsidRDefault="00C44D16" w:rsidP="00C44D16">
      <w:r>
        <w:t>During the project</w:t>
      </w:r>
      <w:r w:rsidR="00E40CE7">
        <w:t>,</w:t>
      </w:r>
      <w:r>
        <w:t xml:space="preserve"> </w:t>
      </w:r>
      <w:r w:rsidR="00840E9D">
        <w:t>Microsoft</w:t>
      </w:r>
      <w:r>
        <w:t xml:space="preserve"> will submit certain deliverables </w:t>
      </w:r>
      <w:r w:rsidR="00D44A6B">
        <w:t xml:space="preserve">(listed in the </w:t>
      </w:r>
      <w:r w:rsidR="00550DD8">
        <w:fldChar w:fldCharType="begin"/>
      </w:r>
      <w:r w:rsidR="00550DD8">
        <w:instrText xml:space="preserve"> REF _Ref477873467 \h </w:instrText>
      </w:r>
      <w:r w:rsidR="00550DD8">
        <w:fldChar w:fldCharType="separate"/>
      </w:r>
      <w:r w:rsidR="00812548">
        <w:t>Approach</w:t>
      </w:r>
      <w:r w:rsidR="00550DD8">
        <w:fldChar w:fldCharType="end"/>
      </w:r>
      <w:r w:rsidR="00ED7049">
        <w:t xml:space="preserve"> </w:t>
      </w:r>
      <w:r w:rsidR="00D44A6B">
        <w:t xml:space="preserve">section as deliverables with </w:t>
      </w:r>
      <w:r w:rsidR="00ED7049">
        <w:t>“</w:t>
      </w:r>
      <w:r w:rsidR="006965B5">
        <w:t xml:space="preserve">Acceptance </w:t>
      </w:r>
      <w:r w:rsidR="00ED7049">
        <w:t>required</w:t>
      </w:r>
      <w:r w:rsidR="006965B5">
        <w:t>?</w:t>
      </w:r>
      <w:r w:rsidR="00ED7049">
        <w:t xml:space="preserve">” </w:t>
      </w:r>
      <w:r w:rsidR="00D44A6B">
        <w:t xml:space="preserve">equal </w:t>
      </w:r>
      <w:r w:rsidR="006965B5">
        <w:t xml:space="preserve">to </w:t>
      </w:r>
      <w:r w:rsidR="00ED7049">
        <w:t>“</w:t>
      </w:r>
      <w:r w:rsidR="006965B5">
        <w:t>Y</w:t>
      </w:r>
      <w:r w:rsidR="00ED7049">
        <w:t>es”</w:t>
      </w:r>
      <w:r w:rsidR="00D44A6B">
        <w:t xml:space="preserve">) </w:t>
      </w:r>
      <w:r>
        <w:t xml:space="preserve">for </w:t>
      </w:r>
      <w:r w:rsidR="00840E9D">
        <w:t xml:space="preserve">the </w:t>
      </w:r>
      <w:r w:rsidR="0015000E">
        <w:t>c</w:t>
      </w:r>
      <w:r w:rsidR="00BC30AA">
        <w:t>ustomer’s review and approval.</w:t>
      </w:r>
    </w:p>
    <w:p w14:paraId="5836C6AD" w14:textId="7F9A8B71" w:rsidR="00840E9D" w:rsidRDefault="00840E9D" w:rsidP="00C44D16">
      <w:r>
        <w:t xml:space="preserve">Within </w:t>
      </w:r>
      <w:r w:rsidR="00E40CE7">
        <w:t>three</w:t>
      </w:r>
      <w:r>
        <w:t xml:space="preserve"> business days </w:t>
      </w:r>
      <w:r w:rsidR="006965B5">
        <w:t xml:space="preserve">of </w:t>
      </w:r>
      <w:r>
        <w:t xml:space="preserve">the date of submittal, the </w:t>
      </w:r>
      <w:r w:rsidR="0015000E">
        <w:t>c</w:t>
      </w:r>
      <w:r>
        <w:t>ustomer is required to:</w:t>
      </w:r>
    </w:p>
    <w:p w14:paraId="5836C6AE" w14:textId="77777777" w:rsidR="006965B5" w:rsidRDefault="00840E9D" w:rsidP="0015000E">
      <w:pPr>
        <w:pStyle w:val="Bulletlist"/>
        <w:ind w:left="270" w:hanging="270"/>
      </w:pPr>
      <w:r w:rsidRPr="00AC1B81">
        <w:rPr>
          <w:b/>
        </w:rPr>
        <w:t>Accept the deliverable</w:t>
      </w:r>
      <w:r>
        <w:t xml:space="preserve"> by signing, dating</w:t>
      </w:r>
      <w:r w:rsidR="006965B5">
        <w:t>,</w:t>
      </w:r>
      <w:r>
        <w:t xml:space="preserve"> and returning </w:t>
      </w:r>
      <w:r w:rsidR="006965B5">
        <w:t xml:space="preserve">a service deliverable acceptance </w:t>
      </w:r>
      <w:r w:rsidR="00D44A6B">
        <w:t>form</w:t>
      </w:r>
      <w:r w:rsidR="006965B5">
        <w:t>, which can</w:t>
      </w:r>
      <w:r w:rsidR="00D44A6B">
        <w:t xml:space="preserve"> be sent </w:t>
      </w:r>
      <w:r w:rsidR="006965B5">
        <w:t xml:space="preserve">by </w:t>
      </w:r>
      <w:r w:rsidR="00D44A6B">
        <w:t>email</w:t>
      </w:r>
      <w:r w:rsidR="006965B5">
        <w:t>,</w:t>
      </w:r>
      <w:r w:rsidR="00474631">
        <w:t xml:space="preserve"> </w:t>
      </w:r>
      <w:r w:rsidR="00D44A6B">
        <w:t>o</w:t>
      </w:r>
      <w:r>
        <w:t xml:space="preserve">r by using </w:t>
      </w:r>
      <w:r w:rsidR="006965B5">
        <w:t xml:space="preserve">(or partially using) </w:t>
      </w:r>
      <w:r>
        <w:t>the deliverable</w:t>
      </w:r>
    </w:p>
    <w:p w14:paraId="5836C6AF" w14:textId="77777777" w:rsidR="00840E9D" w:rsidRPr="0031303E" w:rsidRDefault="006965B5" w:rsidP="00140C9E">
      <w:pPr>
        <w:ind w:firstLine="360"/>
      </w:pPr>
      <w:r w:rsidRPr="00140C9E">
        <w:t>Or</w:t>
      </w:r>
      <w:r w:rsidRPr="0031303E">
        <w:t xml:space="preserve"> </w:t>
      </w:r>
    </w:p>
    <w:p w14:paraId="5836C6B0" w14:textId="77777777" w:rsidR="00840E9D" w:rsidRDefault="00840E9D" w:rsidP="0015000E">
      <w:pPr>
        <w:pStyle w:val="Bulletlist"/>
        <w:ind w:left="270" w:hanging="270"/>
      </w:pPr>
      <w:r w:rsidRPr="00AC1B81">
        <w:rPr>
          <w:b/>
        </w:rPr>
        <w:t>Reject the deliverable</w:t>
      </w:r>
      <w:r>
        <w:t xml:space="preserve"> by notifying Microsoft in writing</w:t>
      </w:r>
      <w:r w:rsidR="006965B5">
        <w:t xml:space="preserve">; the customer must include </w:t>
      </w:r>
      <w:r>
        <w:t>a complete list of reasons for rejection</w:t>
      </w:r>
      <w:r w:rsidR="006965B5">
        <w:t>.</w:t>
      </w:r>
    </w:p>
    <w:p w14:paraId="0B21A08D" w14:textId="77777777" w:rsidR="00FD1D10" w:rsidRDefault="00FD1D10" w:rsidP="00840E9D">
      <w:pPr>
        <w:pStyle w:val="Bulletlist"/>
        <w:numPr>
          <w:ilvl w:val="0"/>
          <w:numId w:val="0"/>
        </w:numPr>
        <w:contextualSpacing w:val="0"/>
      </w:pPr>
    </w:p>
    <w:p w14:paraId="5836C6B3" w14:textId="08DC6BD6" w:rsidR="00840E9D" w:rsidRDefault="00840E9D" w:rsidP="00840E9D">
      <w:pPr>
        <w:pStyle w:val="Bulletlist"/>
        <w:numPr>
          <w:ilvl w:val="0"/>
          <w:numId w:val="0"/>
        </w:numPr>
        <w:contextualSpacing w:val="0"/>
      </w:pPr>
      <w:r>
        <w:t xml:space="preserve">Deliverables shall be deemed accepted unless the </w:t>
      </w:r>
      <w:r w:rsidR="00C4139D">
        <w:t xml:space="preserve">written </w:t>
      </w:r>
      <w:r>
        <w:t>rejection notification is r</w:t>
      </w:r>
      <w:r w:rsidR="00D44A6B">
        <w:t>eceived by Microsoft</w:t>
      </w:r>
      <w:r w:rsidR="00D70772">
        <w:t xml:space="preserve"> in the timeframe specified</w:t>
      </w:r>
      <w:r w:rsidR="00D44A6B">
        <w:t>.</w:t>
      </w:r>
      <w:r w:rsidR="00666831">
        <w:t xml:space="preserve"> </w:t>
      </w:r>
    </w:p>
    <w:p w14:paraId="5836C6B4" w14:textId="77777777" w:rsidR="00840E9D" w:rsidRDefault="00840E9D" w:rsidP="00840E9D">
      <w:pPr>
        <w:pStyle w:val="Bulletlist"/>
        <w:numPr>
          <w:ilvl w:val="0"/>
          <w:numId w:val="0"/>
        </w:numPr>
      </w:pPr>
      <w:r>
        <w:lastRenderedPageBreak/>
        <w:t>If a reje</w:t>
      </w:r>
      <w:r w:rsidR="00BE7980">
        <w:t xml:space="preserve">ction notification is received, Microsoft will correct problems with a deliverable that </w:t>
      </w:r>
      <w:r w:rsidR="001820B5">
        <w:t xml:space="preserve">are </w:t>
      </w:r>
      <w:r w:rsidR="00BE7980">
        <w:t>in scope for the project (and documented in this S</w:t>
      </w:r>
      <w:r w:rsidR="00E40CE7">
        <w:t>OW</w:t>
      </w:r>
      <w:r w:rsidR="00BE7980">
        <w:t>), after which the deliverable is deemed accepted.</w:t>
      </w:r>
    </w:p>
    <w:p w14:paraId="5836C6B5" w14:textId="77777777" w:rsidR="00BE7980" w:rsidRDefault="0031303E" w:rsidP="00840E9D">
      <w:pPr>
        <w:pStyle w:val="Bulletlist"/>
        <w:numPr>
          <w:ilvl w:val="0"/>
          <w:numId w:val="0"/>
        </w:numPr>
      </w:pPr>
      <w:r>
        <w:t xml:space="preserve">Problems </w:t>
      </w:r>
      <w:r w:rsidR="00BE7980">
        <w:t>that are outside the scope of this S</w:t>
      </w:r>
      <w:r w:rsidR="00E40CE7">
        <w:t>OW</w:t>
      </w:r>
      <w:r w:rsidR="00BE7980">
        <w:t xml:space="preserve">, and feedback provided after a deliverable has been accepted will be addressed as a change request, managed as described in the </w:t>
      </w:r>
      <w:r w:rsidR="00160775">
        <w:fldChar w:fldCharType="begin"/>
      </w:r>
      <w:r w:rsidR="00160775">
        <w:instrText xml:space="preserve"> REF _Ref477932885 \h </w:instrText>
      </w:r>
      <w:r w:rsidR="00160775">
        <w:fldChar w:fldCharType="separate"/>
      </w:r>
      <w:r w:rsidR="00812548">
        <w:t>Change management process</w:t>
      </w:r>
      <w:r w:rsidR="00160775">
        <w:fldChar w:fldCharType="end"/>
      </w:r>
      <w:r w:rsidR="00BE7980">
        <w:t xml:space="preserve"> section.</w:t>
      </w:r>
    </w:p>
    <w:p w14:paraId="5836C6B6" w14:textId="77777777" w:rsidR="00364836" w:rsidRDefault="00364836" w:rsidP="00C84DD9">
      <w:pPr>
        <w:pStyle w:val="Heading2"/>
      </w:pPr>
      <w:bookmarkStart w:id="51" w:name="_Toc476167710"/>
      <w:bookmarkStart w:id="52" w:name="_Toc476168043"/>
      <w:bookmarkStart w:id="53" w:name="_Toc7701768"/>
      <w:r>
        <w:t>Project governance</w:t>
      </w:r>
      <w:bookmarkEnd w:id="51"/>
      <w:bookmarkEnd w:id="52"/>
      <w:bookmarkEnd w:id="53"/>
    </w:p>
    <w:p w14:paraId="5836C6B7" w14:textId="77777777" w:rsidR="00364836" w:rsidRDefault="00364836" w:rsidP="00364836">
      <w:r>
        <w:t>The governance structure and processes the team will adhere to for the project are described in the following section</w:t>
      </w:r>
      <w:r w:rsidR="00D70772">
        <w:t>s</w:t>
      </w:r>
      <w:r>
        <w:t>:</w:t>
      </w:r>
    </w:p>
    <w:p w14:paraId="5836C6B8" w14:textId="77777777" w:rsidR="00BB669A" w:rsidRDefault="00BB669A" w:rsidP="00C84DD9">
      <w:pPr>
        <w:pStyle w:val="Heading3"/>
      </w:pPr>
      <w:bookmarkStart w:id="54" w:name="_Toc476168044"/>
      <w:r>
        <w:t>Project communication</w:t>
      </w:r>
      <w:bookmarkEnd w:id="54"/>
    </w:p>
    <w:p w14:paraId="5836C6B9" w14:textId="77777777" w:rsidR="00BB669A" w:rsidRDefault="00BB669A" w:rsidP="00BB669A">
      <w:r>
        <w:t>The following will be used to communicate during the project</w:t>
      </w:r>
      <w:r w:rsidR="008F6487">
        <w:t>:</w:t>
      </w:r>
    </w:p>
    <w:p w14:paraId="5836C6BA" w14:textId="43AB5EFE" w:rsidR="00104AB3" w:rsidRDefault="00104AB3" w:rsidP="0015000E">
      <w:pPr>
        <w:pStyle w:val="Bulletlist"/>
        <w:ind w:left="270" w:hanging="270"/>
      </w:pPr>
      <w:r w:rsidRPr="00E54AE8">
        <w:rPr>
          <w:b/>
        </w:rPr>
        <w:t xml:space="preserve">Communication </w:t>
      </w:r>
      <w:r w:rsidR="00111EBA">
        <w:rPr>
          <w:b/>
        </w:rPr>
        <w:t>p</w:t>
      </w:r>
      <w:r w:rsidRPr="00E54AE8">
        <w:rPr>
          <w:b/>
        </w:rPr>
        <w:t>lan</w:t>
      </w:r>
      <w:r w:rsidR="006C6051">
        <w:t xml:space="preserve">: </w:t>
      </w:r>
      <w:r w:rsidR="0015000E">
        <w:t>T</w:t>
      </w:r>
      <w:r w:rsidR="00160775">
        <w:t xml:space="preserve">his document will </w:t>
      </w:r>
      <w:r>
        <w:t>describe the frequency, audience</w:t>
      </w:r>
      <w:r w:rsidR="00160775">
        <w:t>,</w:t>
      </w:r>
      <w:r>
        <w:t xml:space="preserve"> and content </w:t>
      </w:r>
      <w:r w:rsidR="00160775">
        <w:t xml:space="preserve">of </w:t>
      </w:r>
      <w:r>
        <w:t xml:space="preserve">communication </w:t>
      </w:r>
      <w:r w:rsidR="00160775">
        <w:t xml:space="preserve">with </w:t>
      </w:r>
      <w:r>
        <w:t>the team and stakeholders.</w:t>
      </w:r>
      <w:r w:rsidR="00160775">
        <w:t xml:space="preserve"> It will be developed by Microsoft and the customer </w:t>
      </w:r>
      <w:r w:rsidR="00760487">
        <w:t>as part of project planning</w:t>
      </w:r>
      <w:r w:rsidR="00160775">
        <w:t>.</w:t>
      </w:r>
    </w:p>
    <w:p w14:paraId="5836C6BB" w14:textId="1B1FAB9B" w:rsidR="00BB669A" w:rsidRDefault="00BB669A" w:rsidP="0015000E">
      <w:pPr>
        <w:pStyle w:val="Bulletlist"/>
        <w:ind w:left="270" w:hanging="270"/>
      </w:pPr>
      <w:r w:rsidRPr="00E54AE8">
        <w:rPr>
          <w:b/>
        </w:rPr>
        <w:t>Status reports</w:t>
      </w:r>
      <w:r w:rsidR="006C6051">
        <w:t xml:space="preserve">: </w:t>
      </w:r>
      <w:r w:rsidR="0015000E">
        <w:t>T</w:t>
      </w:r>
      <w:r w:rsidR="00160775">
        <w:t xml:space="preserve">he </w:t>
      </w:r>
      <w:r>
        <w:t>Microsoft team will prepare and issue regular status report</w:t>
      </w:r>
      <w:r w:rsidR="00160775">
        <w:t>s</w:t>
      </w:r>
      <w:r>
        <w:t xml:space="preserve"> to project stakeholders</w:t>
      </w:r>
      <w:r w:rsidR="00111EBA">
        <w:t xml:space="preserve"> </w:t>
      </w:r>
      <w:r w:rsidR="00D70772">
        <w:t>per</w:t>
      </w:r>
      <w:r w:rsidR="00160775">
        <w:t xml:space="preserve"> </w:t>
      </w:r>
      <w:r w:rsidR="00111EBA">
        <w:t>the frequency defined in the communication plan.</w:t>
      </w:r>
    </w:p>
    <w:p w14:paraId="5836C6BC" w14:textId="77777777" w:rsidR="00104AB3" w:rsidRDefault="00BB669A" w:rsidP="0015000E">
      <w:pPr>
        <w:pStyle w:val="Bulletlist"/>
        <w:ind w:left="270" w:hanging="270"/>
      </w:pPr>
      <w:r w:rsidRPr="00E54AE8">
        <w:rPr>
          <w:b/>
        </w:rPr>
        <w:t>Status meetings</w:t>
      </w:r>
      <w:r w:rsidR="006C6051">
        <w:t xml:space="preserve">: </w:t>
      </w:r>
      <w:r w:rsidR="00160775">
        <w:t xml:space="preserve">the </w:t>
      </w:r>
      <w:r>
        <w:t xml:space="preserve">Microsoft team will schedule regular </w:t>
      </w:r>
      <w:r w:rsidR="00104AB3">
        <w:t>status</w:t>
      </w:r>
      <w:r>
        <w:t xml:space="preserve"> meetings to review the overall project status, the acceptance of deliverables</w:t>
      </w:r>
      <w:r w:rsidR="00160775">
        <w:t>,</w:t>
      </w:r>
      <w:r>
        <w:t xml:space="preserve"> and review </w:t>
      </w:r>
      <w:r w:rsidR="00104AB3">
        <w:t xml:space="preserve">open </w:t>
      </w:r>
      <w:r w:rsidR="00160775">
        <w:t xml:space="preserve">problems </w:t>
      </w:r>
      <w:r w:rsidR="00E54AE8">
        <w:t>and risks</w:t>
      </w:r>
      <w:r w:rsidR="00104AB3">
        <w:t>.</w:t>
      </w:r>
    </w:p>
    <w:p w14:paraId="5836C6BD" w14:textId="77777777" w:rsidR="00E54AE8" w:rsidRDefault="00E54AE8" w:rsidP="00C84DD9">
      <w:pPr>
        <w:pStyle w:val="Heading3"/>
      </w:pPr>
      <w:bookmarkStart w:id="55" w:name="_Toc476168045"/>
      <w:r>
        <w:t>Risk and issue management</w:t>
      </w:r>
      <w:bookmarkEnd w:id="55"/>
    </w:p>
    <w:p w14:paraId="5836C6BE" w14:textId="77777777" w:rsidR="00E54AE8" w:rsidRDefault="00E54AE8" w:rsidP="00E54AE8">
      <w:r>
        <w:t xml:space="preserve">The following general procedure will be used to manage active project issues and </w:t>
      </w:r>
      <w:r w:rsidR="00043018">
        <w:t xml:space="preserve">risks </w:t>
      </w:r>
      <w:r>
        <w:t>during the project:</w:t>
      </w:r>
    </w:p>
    <w:p w14:paraId="5836C6BF" w14:textId="6B57F7C4" w:rsidR="00E54AE8" w:rsidRDefault="00E54AE8" w:rsidP="0015000E">
      <w:pPr>
        <w:pStyle w:val="Bulletlist"/>
        <w:ind w:left="270" w:hanging="270"/>
      </w:pPr>
      <w:r w:rsidRPr="00E54AE8">
        <w:rPr>
          <w:b/>
        </w:rPr>
        <w:t>Identify</w:t>
      </w:r>
      <w:r w:rsidR="006C6051">
        <w:t xml:space="preserve">: </w:t>
      </w:r>
      <w:r w:rsidR="0015000E">
        <w:t>I</w:t>
      </w:r>
      <w:r w:rsidR="00550DD8">
        <w:t xml:space="preserve">dentify </w:t>
      </w:r>
      <w:r>
        <w:t xml:space="preserve">and document project issues (current problems) and risks (potential problems that </w:t>
      </w:r>
      <w:r w:rsidR="001C00BA">
        <w:t>could</w:t>
      </w:r>
      <w:r w:rsidR="00160775">
        <w:t xml:space="preserve"> </w:t>
      </w:r>
      <w:r w:rsidR="006D6E88">
        <w:t>affect</w:t>
      </w:r>
      <w:r>
        <w:t xml:space="preserve"> the project)</w:t>
      </w:r>
      <w:r w:rsidR="006D6E88">
        <w:t>.</w:t>
      </w:r>
    </w:p>
    <w:p w14:paraId="5836C6C0" w14:textId="2509B092" w:rsidR="00E54AE8" w:rsidRDefault="00E54AE8" w:rsidP="0015000E">
      <w:pPr>
        <w:pStyle w:val="Bulletlist"/>
        <w:ind w:left="270" w:hanging="270"/>
      </w:pPr>
      <w:r w:rsidRPr="00E54AE8">
        <w:rPr>
          <w:b/>
        </w:rPr>
        <w:t>Analyze and prioritize</w:t>
      </w:r>
      <w:r w:rsidR="006C6051">
        <w:t xml:space="preserve">: </w:t>
      </w:r>
      <w:r w:rsidR="0015000E">
        <w:t>A</w:t>
      </w:r>
      <w:r w:rsidR="00160775">
        <w:t xml:space="preserve">ssess </w:t>
      </w:r>
      <w:r w:rsidR="004F4BCE">
        <w:t xml:space="preserve">the </w:t>
      </w:r>
      <w:r w:rsidR="00160775">
        <w:t xml:space="preserve">potential </w:t>
      </w:r>
      <w:r w:rsidR="004F4BCE">
        <w:t xml:space="preserve">impact and determine the highest </w:t>
      </w:r>
      <w:r w:rsidR="006D6E88">
        <w:t>priority</w:t>
      </w:r>
      <w:r w:rsidR="004F4BCE">
        <w:t xml:space="preserve"> risks and </w:t>
      </w:r>
      <w:r w:rsidR="00160775">
        <w:t xml:space="preserve">problems </w:t>
      </w:r>
      <w:r w:rsidR="004F4BCE">
        <w:t xml:space="preserve">that will be </w:t>
      </w:r>
      <w:r w:rsidR="006D6E88">
        <w:t>actively managed.</w:t>
      </w:r>
    </w:p>
    <w:p w14:paraId="5836C6C1" w14:textId="2BCA078B" w:rsidR="00E54AE8" w:rsidRDefault="006C6051" w:rsidP="0015000E">
      <w:pPr>
        <w:pStyle w:val="Bulletlist"/>
        <w:ind w:left="270" w:hanging="270"/>
      </w:pPr>
      <w:r>
        <w:rPr>
          <w:b/>
        </w:rPr>
        <w:t>Plan and schedule</w:t>
      </w:r>
      <w:r w:rsidRPr="006C6051">
        <w:t xml:space="preserve">: </w:t>
      </w:r>
      <w:r w:rsidR="0015000E">
        <w:t>D</w:t>
      </w:r>
      <w:r w:rsidR="00160775">
        <w:t xml:space="preserve">etermine </w:t>
      </w:r>
      <w:r w:rsidR="00E54AE8">
        <w:t xml:space="preserve">the strategy for managing priority risks and </w:t>
      </w:r>
      <w:r w:rsidR="007B12FD">
        <w:t>issues and</w:t>
      </w:r>
      <w:r w:rsidR="00160775">
        <w:t xml:space="preserve"> </w:t>
      </w:r>
      <w:r w:rsidR="00E54AE8">
        <w:t xml:space="preserve">identify </w:t>
      </w:r>
      <w:r w:rsidR="00160775">
        <w:t>a resource who can</w:t>
      </w:r>
      <w:r w:rsidR="00E54AE8">
        <w:t xml:space="preserve"> </w:t>
      </w:r>
      <w:r w:rsidR="00160775">
        <w:t xml:space="preserve">take responsibility for </w:t>
      </w:r>
      <w:r w:rsidR="00E54AE8">
        <w:t>mitigation and remediation.</w:t>
      </w:r>
    </w:p>
    <w:p w14:paraId="5836C6C2" w14:textId="67AFBFDF" w:rsidR="00E54AE8" w:rsidRDefault="006C6051" w:rsidP="0015000E">
      <w:pPr>
        <w:pStyle w:val="Bulletlist"/>
        <w:ind w:left="270" w:hanging="270"/>
      </w:pPr>
      <w:r>
        <w:rPr>
          <w:b/>
        </w:rPr>
        <w:t>Track and report</w:t>
      </w:r>
      <w:r w:rsidRPr="006C6051">
        <w:t xml:space="preserve">: </w:t>
      </w:r>
      <w:r w:rsidR="0015000E">
        <w:t>M</w:t>
      </w:r>
      <w:r w:rsidR="00160775">
        <w:t xml:space="preserve">onitor </w:t>
      </w:r>
      <w:r w:rsidR="00E54AE8">
        <w:t>and report</w:t>
      </w:r>
      <w:r w:rsidR="006D6E88">
        <w:t xml:space="preserve"> the status of risks and </w:t>
      </w:r>
      <w:r w:rsidR="00160775">
        <w:t>problems</w:t>
      </w:r>
      <w:r w:rsidR="006D6E88">
        <w:t>.</w:t>
      </w:r>
    </w:p>
    <w:p w14:paraId="5836C6C3" w14:textId="475DF547" w:rsidR="00C4139D" w:rsidRDefault="00C4139D" w:rsidP="0015000E">
      <w:pPr>
        <w:pStyle w:val="Bulletlist"/>
        <w:ind w:left="270" w:hanging="270"/>
      </w:pPr>
      <w:r>
        <w:rPr>
          <w:b/>
        </w:rPr>
        <w:t>Escalate</w:t>
      </w:r>
      <w:r w:rsidR="006C6051">
        <w:t xml:space="preserve">: </w:t>
      </w:r>
      <w:r w:rsidR="0015000E">
        <w:t>E</w:t>
      </w:r>
      <w:r w:rsidR="00160775">
        <w:t xml:space="preserve">scalate to project sponsors the </w:t>
      </w:r>
      <w:r w:rsidR="004F4BCE">
        <w:t xml:space="preserve">high impact </w:t>
      </w:r>
      <w:r w:rsidR="00160775">
        <w:t xml:space="preserve">problems </w:t>
      </w:r>
      <w:r w:rsidR="004F4BCE">
        <w:t xml:space="preserve">and risks </w:t>
      </w:r>
      <w:r w:rsidR="00160775">
        <w:t xml:space="preserve">that </w:t>
      </w:r>
      <w:r>
        <w:t xml:space="preserve">the team </w:t>
      </w:r>
      <w:r w:rsidR="00160775">
        <w:t xml:space="preserve">is </w:t>
      </w:r>
      <w:r w:rsidR="004F4BCE">
        <w:t>unable to resolve</w:t>
      </w:r>
      <w:r>
        <w:t>.</w:t>
      </w:r>
    </w:p>
    <w:p w14:paraId="5836C6C4" w14:textId="641F6391" w:rsidR="00E54AE8" w:rsidRDefault="006C6051" w:rsidP="0015000E">
      <w:pPr>
        <w:pStyle w:val="Bulletlist"/>
        <w:ind w:left="270" w:hanging="270"/>
      </w:pPr>
      <w:r>
        <w:rPr>
          <w:b/>
        </w:rPr>
        <w:t>Control</w:t>
      </w:r>
      <w:r w:rsidRPr="006C6051">
        <w:t xml:space="preserve">: </w:t>
      </w:r>
      <w:r w:rsidR="0015000E">
        <w:t>R</w:t>
      </w:r>
      <w:r w:rsidR="00160775" w:rsidRPr="00E54AE8">
        <w:t xml:space="preserve">eview </w:t>
      </w:r>
      <w:r w:rsidR="00E54AE8" w:rsidRPr="00E54AE8">
        <w:t>the effectiveness of r</w:t>
      </w:r>
      <w:r w:rsidR="006D6E88">
        <w:t>isk and issue management action</w:t>
      </w:r>
      <w:r w:rsidR="004F4BCE">
        <w:t>s</w:t>
      </w:r>
      <w:r w:rsidR="006D6E88">
        <w:t>.</w:t>
      </w:r>
    </w:p>
    <w:p w14:paraId="5836C6C5" w14:textId="77777777" w:rsidR="0007565A" w:rsidRDefault="0007565A" w:rsidP="00E54AE8">
      <w:pPr>
        <w:pStyle w:val="Bulletlist"/>
        <w:numPr>
          <w:ilvl w:val="0"/>
          <w:numId w:val="0"/>
        </w:numPr>
        <w:ind w:left="360" w:hanging="360"/>
      </w:pPr>
    </w:p>
    <w:p w14:paraId="5836C6C6" w14:textId="77777777" w:rsidR="00E54AE8" w:rsidRDefault="00E54AE8" w:rsidP="00E54AE8">
      <w:pPr>
        <w:pStyle w:val="Bulletlist"/>
        <w:numPr>
          <w:ilvl w:val="0"/>
          <w:numId w:val="0"/>
        </w:numPr>
        <w:ind w:left="360" w:hanging="360"/>
      </w:pPr>
      <w:r>
        <w:t>Active issues and risks will be regularly monitored during the project.</w:t>
      </w:r>
    </w:p>
    <w:p w14:paraId="5836C6C7" w14:textId="77777777" w:rsidR="002952F0" w:rsidRDefault="002952F0" w:rsidP="00C84DD9">
      <w:pPr>
        <w:pStyle w:val="Heading3"/>
      </w:pPr>
      <w:bookmarkStart w:id="56" w:name="_Toc476168046"/>
      <w:bookmarkStart w:id="57" w:name="_Ref477866682"/>
      <w:bookmarkStart w:id="58" w:name="_Ref477932885"/>
      <w:bookmarkStart w:id="59" w:name="_Ref477934302"/>
      <w:r>
        <w:t>Change management process</w:t>
      </w:r>
      <w:bookmarkEnd w:id="56"/>
      <w:bookmarkEnd w:id="57"/>
      <w:bookmarkEnd w:id="58"/>
      <w:bookmarkEnd w:id="59"/>
    </w:p>
    <w:p w14:paraId="5836C6C8" w14:textId="77777777" w:rsidR="003E1B4E" w:rsidRDefault="003E1B4E" w:rsidP="003E1B4E">
      <w:r>
        <w:t>Dur</w:t>
      </w:r>
      <w:r w:rsidR="006D6E88">
        <w:t>i</w:t>
      </w:r>
      <w:r w:rsidR="004F4BCE">
        <w:t xml:space="preserve">ng the project, either party </w:t>
      </w:r>
      <w:r w:rsidR="00160775">
        <w:t xml:space="preserve">is able to </w:t>
      </w:r>
      <w:r w:rsidR="00884E0D">
        <w:t xml:space="preserve">request modifications to the </w:t>
      </w:r>
      <w:r w:rsidR="00140C9E">
        <w:t>S</w:t>
      </w:r>
      <w:r w:rsidR="00F97F79">
        <w:t>ervices described in this</w:t>
      </w:r>
      <w:r>
        <w:t xml:space="preserve"> S</w:t>
      </w:r>
      <w:r w:rsidR="00E40CE7">
        <w:t>OW</w:t>
      </w:r>
      <w:r>
        <w:t xml:space="preserve">. </w:t>
      </w:r>
      <w:r w:rsidR="004723A1">
        <w:t xml:space="preserve">These changes only take effect when the proposed change is agreed </w:t>
      </w:r>
      <w:r w:rsidR="00160775">
        <w:t xml:space="preserve">upon </w:t>
      </w:r>
      <w:r w:rsidR="004723A1">
        <w:t>by both parties.</w:t>
      </w:r>
      <w:r w:rsidR="00140C9E">
        <w:t xml:space="preserve"> The change management process steps are:</w:t>
      </w:r>
    </w:p>
    <w:p w14:paraId="5836C6C9" w14:textId="3E560C2E" w:rsidR="003E1B4E" w:rsidRDefault="00246AC9" w:rsidP="0015000E">
      <w:pPr>
        <w:pStyle w:val="Bulletlist"/>
        <w:ind w:left="270" w:hanging="270"/>
      </w:pPr>
      <w:r>
        <w:rPr>
          <w:b/>
        </w:rPr>
        <w:t xml:space="preserve">The change </w:t>
      </w:r>
      <w:r w:rsidR="0025535A">
        <w:rPr>
          <w:b/>
        </w:rPr>
        <w:t>is documented</w:t>
      </w:r>
      <w:r w:rsidR="006C6051">
        <w:t xml:space="preserve">: </w:t>
      </w:r>
      <w:r w:rsidR="0015000E">
        <w:t>A</w:t>
      </w:r>
      <w:r>
        <w:t xml:space="preserve">ll </w:t>
      </w:r>
      <w:r w:rsidR="003E1B4E">
        <w:t>change requests will be documented</w:t>
      </w:r>
      <w:r w:rsidR="004723A1">
        <w:t xml:space="preserve"> by Microsoft </w:t>
      </w:r>
      <w:r w:rsidR="003E1B4E">
        <w:t xml:space="preserve">in a Microsoft </w:t>
      </w:r>
      <w:r>
        <w:t xml:space="preserve">change request form </w:t>
      </w:r>
      <w:r w:rsidR="003E1B4E">
        <w:t xml:space="preserve">and submitted to the </w:t>
      </w:r>
      <w:r w:rsidR="0015000E">
        <w:t>c</w:t>
      </w:r>
      <w:r w:rsidR="003E1B4E">
        <w:t xml:space="preserve">ustomer. The </w:t>
      </w:r>
      <w:r>
        <w:t xml:space="preserve">change request form </w:t>
      </w:r>
      <w:r w:rsidR="003E1B4E">
        <w:t>includes</w:t>
      </w:r>
      <w:r>
        <w:t>:</w:t>
      </w:r>
    </w:p>
    <w:p w14:paraId="5836C6CA" w14:textId="77777777" w:rsidR="003E1B4E" w:rsidRDefault="00246AC9" w:rsidP="001C222C">
      <w:pPr>
        <w:pStyle w:val="Bulletlist"/>
        <w:numPr>
          <w:ilvl w:val="1"/>
          <w:numId w:val="5"/>
        </w:numPr>
      </w:pPr>
      <w:r>
        <w:lastRenderedPageBreak/>
        <w:t xml:space="preserve">A description </w:t>
      </w:r>
      <w:r w:rsidR="003E1B4E">
        <w:t>of the change</w:t>
      </w:r>
      <w:r>
        <w:t>.</w:t>
      </w:r>
    </w:p>
    <w:p w14:paraId="5836C6CB" w14:textId="77777777" w:rsidR="003E1B4E" w:rsidRDefault="00246AC9" w:rsidP="001C222C">
      <w:pPr>
        <w:pStyle w:val="Bulletlist"/>
        <w:numPr>
          <w:ilvl w:val="1"/>
          <w:numId w:val="5"/>
        </w:numPr>
      </w:pPr>
      <w:r>
        <w:t xml:space="preserve">The estimated effect </w:t>
      </w:r>
      <w:r w:rsidR="003E1B4E">
        <w:t xml:space="preserve">of </w:t>
      </w:r>
      <w:r>
        <w:t xml:space="preserve">implementing the change. </w:t>
      </w:r>
    </w:p>
    <w:p w14:paraId="5836C6CC" w14:textId="4DDA85C5" w:rsidR="004723A1" w:rsidRDefault="00246AC9" w:rsidP="0015000E">
      <w:pPr>
        <w:pStyle w:val="Bulletlist"/>
        <w:ind w:left="270" w:hanging="270"/>
      </w:pPr>
      <w:r>
        <w:rPr>
          <w:b/>
        </w:rPr>
        <w:t>The c</w:t>
      </w:r>
      <w:r w:rsidR="0025535A" w:rsidRPr="0025535A">
        <w:rPr>
          <w:b/>
        </w:rPr>
        <w:t xml:space="preserve">hange </w:t>
      </w:r>
      <w:r w:rsidR="00112EB1">
        <w:rPr>
          <w:b/>
        </w:rPr>
        <w:t>is submitted</w:t>
      </w:r>
      <w:r w:rsidR="006C6051">
        <w:t xml:space="preserve">: </w:t>
      </w:r>
      <w:r w:rsidR="0015000E">
        <w:t>T</w:t>
      </w:r>
      <w:r>
        <w:t xml:space="preserve">he change request form will be </w:t>
      </w:r>
      <w:r w:rsidR="004723A1">
        <w:t xml:space="preserve">provided to the </w:t>
      </w:r>
      <w:r w:rsidR="0015000E">
        <w:t>c</w:t>
      </w:r>
      <w:r w:rsidR="004723A1">
        <w:t>ustomer</w:t>
      </w:r>
      <w:r w:rsidR="00A26C0D">
        <w:t>.</w:t>
      </w:r>
    </w:p>
    <w:p w14:paraId="5836C6CD" w14:textId="2CF5517D" w:rsidR="004723A1" w:rsidRDefault="00246AC9" w:rsidP="0015000E">
      <w:pPr>
        <w:pStyle w:val="Bulletlist"/>
        <w:ind w:left="270" w:hanging="270"/>
      </w:pPr>
      <w:r>
        <w:rPr>
          <w:b/>
        </w:rPr>
        <w:t>The c</w:t>
      </w:r>
      <w:r w:rsidR="0025535A" w:rsidRPr="0025535A">
        <w:rPr>
          <w:b/>
        </w:rPr>
        <w:t>hange is accepted or rejected</w:t>
      </w:r>
      <w:r w:rsidR="006C6051">
        <w:t xml:space="preserve">: </w:t>
      </w:r>
      <w:r w:rsidR="0015000E">
        <w:t>T</w:t>
      </w:r>
      <w:r>
        <w:t xml:space="preserve">he </w:t>
      </w:r>
      <w:r w:rsidR="0015000E">
        <w:t>c</w:t>
      </w:r>
      <w:r w:rsidR="00C4139D">
        <w:t>ustomer has three</w:t>
      </w:r>
      <w:r w:rsidR="004723A1">
        <w:t xml:space="preserve"> business days to confirm </w:t>
      </w:r>
      <w:r>
        <w:t xml:space="preserve">the following </w:t>
      </w:r>
      <w:r w:rsidR="004723A1">
        <w:t>to Microsoft</w:t>
      </w:r>
      <w:r w:rsidR="00A26C0D">
        <w:t>:</w:t>
      </w:r>
    </w:p>
    <w:p w14:paraId="5836C6CE" w14:textId="7B52627D" w:rsidR="004723A1" w:rsidRDefault="004723A1" w:rsidP="001C222C">
      <w:pPr>
        <w:pStyle w:val="Bulletlist"/>
        <w:numPr>
          <w:ilvl w:val="1"/>
          <w:numId w:val="5"/>
        </w:numPr>
      </w:pPr>
      <w:r>
        <w:t>Acceptance</w:t>
      </w:r>
      <w:r w:rsidR="00515713">
        <w:t>—</w:t>
      </w:r>
      <w:r w:rsidR="00246AC9">
        <w:t xml:space="preserve">the </w:t>
      </w:r>
      <w:r w:rsidR="0015000E">
        <w:t>c</w:t>
      </w:r>
      <w:r>
        <w:t xml:space="preserve">ustomer </w:t>
      </w:r>
      <w:r w:rsidR="0025535A">
        <w:t>must</w:t>
      </w:r>
      <w:r>
        <w:t xml:space="preserve"> sign and return </w:t>
      </w:r>
      <w:r w:rsidR="00ED7049">
        <w:t xml:space="preserve">change request </w:t>
      </w:r>
      <w:r w:rsidR="00246AC9">
        <w:t>form.</w:t>
      </w:r>
    </w:p>
    <w:p w14:paraId="5836C6CF" w14:textId="18EFA438" w:rsidR="004723A1" w:rsidRDefault="004723A1" w:rsidP="001C222C">
      <w:pPr>
        <w:pStyle w:val="Bulletlist"/>
        <w:numPr>
          <w:ilvl w:val="1"/>
          <w:numId w:val="5"/>
        </w:numPr>
      </w:pPr>
      <w:r>
        <w:t>Rejection</w:t>
      </w:r>
      <w:r w:rsidR="00246AC9">
        <w:t>—i</w:t>
      </w:r>
      <w:r w:rsidR="00112EB1">
        <w:t xml:space="preserve">f the </w:t>
      </w:r>
      <w:r w:rsidR="0015000E">
        <w:t>c</w:t>
      </w:r>
      <w:r w:rsidR="0025535A">
        <w:t xml:space="preserve">ustomer does not want to </w:t>
      </w:r>
      <w:r w:rsidR="00043018">
        <w:t xml:space="preserve">proceed </w:t>
      </w:r>
      <w:r w:rsidR="0025535A">
        <w:t xml:space="preserve">with the change or does not provide an approval within </w:t>
      </w:r>
      <w:r w:rsidR="00C4139D">
        <w:t>three</w:t>
      </w:r>
      <w:r w:rsidR="0025535A">
        <w:t xml:space="preserve"> business days, no changes will be performed.</w:t>
      </w:r>
    </w:p>
    <w:p w14:paraId="5836C6D1" w14:textId="34A19032" w:rsidR="00C4139D" w:rsidRPr="00BE10D6" w:rsidRDefault="00C4139D" w:rsidP="00C4139D">
      <w:pPr>
        <w:pStyle w:val="Optional"/>
        <w:rPr>
          <w:color w:val="auto"/>
        </w:rPr>
      </w:pPr>
      <w:r w:rsidRPr="00BE10D6">
        <w:rPr>
          <w:color w:val="auto"/>
        </w:rPr>
        <w:t xml:space="preserve">During the project, either party </w:t>
      </w:r>
      <w:r w:rsidR="00246AC9" w:rsidRPr="00BE10D6">
        <w:rPr>
          <w:color w:val="auto"/>
        </w:rPr>
        <w:t xml:space="preserve">can </w:t>
      </w:r>
      <w:r w:rsidRPr="00BE10D6">
        <w:rPr>
          <w:color w:val="auto"/>
        </w:rPr>
        <w:t>request</w:t>
      </w:r>
      <w:r w:rsidR="00246AC9" w:rsidRPr="00BE10D6">
        <w:rPr>
          <w:color w:val="auto"/>
        </w:rPr>
        <w:t>,</w:t>
      </w:r>
      <w:r w:rsidRPr="00BE10D6">
        <w:rPr>
          <w:color w:val="auto"/>
        </w:rPr>
        <w:t xml:space="preserve"> in writing</w:t>
      </w:r>
      <w:r w:rsidR="00246AC9" w:rsidRPr="00BE10D6">
        <w:rPr>
          <w:color w:val="auto"/>
        </w:rPr>
        <w:t>,</w:t>
      </w:r>
      <w:r w:rsidRPr="00BE10D6">
        <w:rPr>
          <w:color w:val="auto"/>
        </w:rPr>
        <w:t xml:space="preserve"> additions, deletions, or modifications to the services described in this SOW (“change”).</w:t>
      </w:r>
      <w:r w:rsidR="002420ED" w:rsidRPr="00BE10D6">
        <w:rPr>
          <w:color w:val="auto"/>
        </w:rPr>
        <w:t xml:space="preserve"> </w:t>
      </w:r>
      <w:r w:rsidRPr="00BE10D6">
        <w:rPr>
          <w:color w:val="auto"/>
        </w:rPr>
        <w:t xml:space="preserve">Approved changes will be managed through </w:t>
      </w:r>
      <w:r w:rsidR="007B12FD" w:rsidRPr="00BE10D6">
        <w:rPr>
          <w:color w:val="auto"/>
        </w:rPr>
        <w:t>amendments and</w:t>
      </w:r>
      <w:r w:rsidR="001C00BA" w:rsidRPr="00BE10D6">
        <w:rPr>
          <w:color w:val="auto"/>
        </w:rPr>
        <w:t xml:space="preserve"> could</w:t>
      </w:r>
      <w:r w:rsidR="00246AC9" w:rsidRPr="00BE10D6">
        <w:rPr>
          <w:color w:val="auto"/>
        </w:rPr>
        <w:t xml:space="preserve"> lead to </w:t>
      </w:r>
      <w:r w:rsidRPr="00BE10D6">
        <w:rPr>
          <w:color w:val="auto"/>
        </w:rPr>
        <w:t>additional cost</w:t>
      </w:r>
      <w:r w:rsidR="00246AC9" w:rsidRPr="00BE10D6">
        <w:rPr>
          <w:color w:val="auto"/>
        </w:rPr>
        <w:t>s</w:t>
      </w:r>
      <w:r w:rsidRPr="00BE10D6">
        <w:rPr>
          <w:color w:val="auto"/>
        </w:rPr>
        <w:t xml:space="preserve"> </w:t>
      </w:r>
      <w:r w:rsidR="00246AC9" w:rsidRPr="00BE10D6">
        <w:rPr>
          <w:color w:val="auto"/>
        </w:rPr>
        <w:t>and</w:t>
      </w:r>
      <w:r w:rsidRPr="00BE10D6">
        <w:rPr>
          <w:color w:val="auto"/>
        </w:rPr>
        <w:t xml:space="preserve"> schedule impacts. We shall have no obligation to commence work in connection with any change until the details of the change are agreed upon in an </w:t>
      </w:r>
      <w:r w:rsidR="00E40CE7" w:rsidRPr="00BE10D6">
        <w:rPr>
          <w:color w:val="auto"/>
        </w:rPr>
        <w:t>a</w:t>
      </w:r>
      <w:r w:rsidRPr="00BE10D6">
        <w:rPr>
          <w:color w:val="auto"/>
        </w:rPr>
        <w:t>mendment signed by the authorized signatories from both parties.</w:t>
      </w:r>
    </w:p>
    <w:p w14:paraId="5836C6D2" w14:textId="77777777" w:rsidR="00971FF6" w:rsidRPr="00BE10D6" w:rsidRDefault="00C4139D" w:rsidP="00C4139D">
      <w:pPr>
        <w:pStyle w:val="Optional"/>
        <w:rPr>
          <w:color w:val="auto"/>
        </w:rPr>
      </w:pPr>
      <w:r w:rsidRPr="00BE10D6">
        <w:rPr>
          <w:color w:val="auto"/>
        </w:rPr>
        <w:t xml:space="preserve">Within three consecutive business days of receipt of the proposed </w:t>
      </w:r>
      <w:r w:rsidR="00E40CE7" w:rsidRPr="00BE10D6">
        <w:rPr>
          <w:color w:val="auto"/>
        </w:rPr>
        <w:t>a</w:t>
      </w:r>
      <w:r w:rsidRPr="00BE10D6">
        <w:rPr>
          <w:color w:val="auto"/>
        </w:rPr>
        <w:t xml:space="preserve">mendment, you </w:t>
      </w:r>
      <w:r w:rsidR="00246AC9" w:rsidRPr="00BE10D6">
        <w:rPr>
          <w:color w:val="auto"/>
        </w:rPr>
        <w:t xml:space="preserve">must </w:t>
      </w:r>
      <w:r w:rsidRPr="00BE10D6">
        <w:rPr>
          <w:color w:val="auto"/>
        </w:rPr>
        <w:t xml:space="preserve">either indicate acceptance of the proposed change by signing the </w:t>
      </w:r>
      <w:r w:rsidR="00E40CE7" w:rsidRPr="00BE10D6">
        <w:rPr>
          <w:color w:val="auto"/>
        </w:rPr>
        <w:t>a</w:t>
      </w:r>
      <w:r w:rsidRPr="00BE10D6">
        <w:rPr>
          <w:color w:val="auto"/>
        </w:rPr>
        <w:t xml:space="preserve">mendment or advise us not to perform the change. If you advise us not to perform the change, we </w:t>
      </w:r>
      <w:r w:rsidR="00246AC9" w:rsidRPr="00BE10D6">
        <w:rPr>
          <w:color w:val="auto"/>
        </w:rPr>
        <w:t xml:space="preserve">will </w:t>
      </w:r>
      <w:r w:rsidRPr="00BE10D6">
        <w:rPr>
          <w:color w:val="auto"/>
        </w:rPr>
        <w:t>proceed with the original agreed upon services</w:t>
      </w:r>
      <w:r w:rsidR="00246AC9" w:rsidRPr="00BE10D6">
        <w:rPr>
          <w:color w:val="auto"/>
        </w:rPr>
        <w:t xml:space="preserve"> only</w:t>
      </w:r>
      <w:r w:rsidRPr="00BE10D6">
        <w:rPr>
          <w:color w:val="auto"/>
        </w:rPr>
        <w:t>.</w:t>
      </w:r>
      <w:r w:rsidR="002420ED" w:rsidRPr="00BE10D6">
        <w:rPr>
          <w:color w:val="auto"/>
        </w:rPr>
        <w:t xml:space="preserve"> </w:t>
      </w:r>
      <w:r w:rsidRPr="00BE10D6">
        <w:rPr>
          <w:color w:val="auto"/>
        </w:rPr>
        <w:t xml:space="preserve">In the absence of your acceptance or rejection within the </w:t>
      </w:r>
      <w:r w:rsidR="00C30D22" w:rsidRPr="00BE10D6">
        <w:rPr>
          <w:color w:val="auto"/>
        </w:rPr>
        <w:t xml:space="preserve">previously noted </w:t>
      </w:r>
      <w:r w:rsidRPr="00BE10D6">
        <w:rPr>
          <w:color w:val="auto"/>
        </w:rPr>
        <w:t>time</w:t>
      </w:r>
      <w:r w:rsidR="00246AC9" w:rsidRPr="00BE10D6">
        <w:rPr>
          <w:color w:val="auto"/>
        </w:rPr>
        <w:t xml:space="preserve"> </w:t>
      </w:r>
      <w:r w:rsidRPr="00BE10D6">
        <w:rPr>
          <w:color w:val="auto"/>
        </w:rPr>
        <w:t>frame, we will not perform the proposed change.</w:t>
      </w:r>
    </w:p>
    <w:p w14:paraId="5836C6D3" w14:textId="77777777" w:rsidR="0025535A" w:rsidRDefault="0025535A" w:rsidP="00C84DD9">
      <w:pPr>
        <w:pStyle w:val="Heading3"/>
      </w:pPr>
      <w:bookmarkStart w:id="60" w:name="_Toc476168047"/>
      <w:r>
        <w:t>Executive steering committee</w:t>
      </w:r>
      <w:bookmarkEnd w:id="60"/>
    </w:p>
    <w:p w14:paraId="5836C6D5" w14:textId="77777777" w:rsidR="0099108B" w:rsidRDefault="0099108B" w:rsidP="0099108B">
      <w:r>
        <w:t xml:space="preserve">The executive steering committee provides overall senior management oversight and strategic direction for the project. </w:t>
      </w:r>
      <w:r w:rsidR="0019440A" w:rsidRPr="0019440A">
        <w:t xml:space="preserve">The executive steering committee for the project will meet </w:t>
      </w:r>
      <w:r w:rsidR="00D70772">
        <w:t xml:space="preserve">per </w:t>
      </w:r>
      <w:r w:rsidR="0019440A" w:rsidRPr="0019440A">
        <w:t xml:space="preserve">the frequency defined in the </w:t>
      </w:r>
      <w:r w:rsidR="0019440A">
        <w:t>c</w:t>
      </w:r>
      <w:r w:rsidR="0019440A" w:rsidRPr="0019440A">
        <w:t xml:space="preserve">ommunication plan and </w:t>
      </w:r>
      <w:r w:rsidR="00246AC9">
        <w:t xml:space="preserve">will </w:t>
      </w:r>
      <w:r w:rsidR="0019440A" w:rsidRPr="0019440A">
        <w:t>include the roles</w:t>
      </w:r>
      <w:r w:rsidR="00246AC9">
        <w:t xml:space="preserve"> listed in the following table. </w:t>
      </w:r>
      <w:r w:rsidR="00AB4D70">
        <w:t>The responsibilities for the committee include:</w:t>
      </w:r>
    </w:p>
    <w:p w14:paraId="5836C6D6" w14:textId="77777777" w:rsidR="00AB4D70" w:rsidRDefault="00AB4D70" w:rsidP="0015000E">
      <w:pPr>
        <w:pStyle w:val="Bulletlist"/>
        <w:ind w:left="270" w:hanging="270"/>
      </w:pPr>
      <w:r>
        <w:t xml:space="preserve">Making decisions </w:t>
      </w:r>
      <w:r w:rsidR="00C30D22">
        <w:t xml:space="preserve">about </w:t>
      </w:r>
      <w:r>
        <w:t>project strategic direction</w:t>
      </w:r>
      <w:r w:rsidR="00246AC9">
        <w:t>.</w:t>
      </w:r>
    </w:p>
    <w:p w14:paraId="5836C6D7" w14:textId="77777777" w:rsidR="00AB4D70" w:rsidRDefault="00AB4D70" w:rsidP="0015000E">
      <w:pPr>
        <w:pStyle w:val="Bulletlist"/>
        <w:ind w:left="270" w:hanging="270"/>
      </w:pPr>
      <w:r>
        <w:t>Serving as a final arbiter of project issues</w:t>
      </w:r>
      <w:r w:rsidR="00246AC9">
        <w:t>.</w:t>
      </w:r>
    </w:p>
    <w:p w14:paraId="5836C6D8" w14:textId="77777777" w:rsidR="00AB4D70" w:rsidRDefault="00AB4D70" w:rsidP="0015000E">
      <w:pPr>
        <w:pStyle w:val="Bulletlist"/>
        <w:ind w:left="270" w:hanging="270"/>
      </w:pPr>
      <w:r>
        <w:t>Approving significant change requests</w:t>
      </w:r>
      <w:r w:rsidR="00246AC9">
        <w:t>.</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AB4D70" w14:paraId="5836C6DB" w14:textId="77777777" w:rsidTr="008C6736">
        <w:trPr>
          <w:trHeight w:val="360"/>
          <w:tblHeader/>
        </w:trPr>
        <w:tc>
          <w:tcPr>
            <w:tcW w:w="6482" w:type="dxa"/>
            <w:shd w:val="clear" w:color="auto" w:fill="008272"/>
          </w:tcPr>
          <w:p w14:paraId="5836C6D9" w14:textId="77777777" w:rsidR="00AB4D70" w:rsidRPr="00D91A3C" w:rsidRDefault="00AB4D70" w:rsidP="00D91A3C">
            <w:pPr>
              <w:pStyle w:val="Table-Header"/>
            </w:pPr>
            <w:r w:rsidRPr="00D91A3C">
              <w:t>Role</w:t>
            </w:r>
          </w:p>
        </w:tc>
        <w:tc>
          <w:tcPr>
            <w:tcW w:w="2889" w:type="dxa"/>
            <w:gridSpan w:val="2"/>
            <w:shd w:val="clear" w:color="auto" w:fill="008272"/>
          </w:tcPr>
          <w:p w14:paraId="5836C6DA" w14:textId="77777777" w:rsidR="00AB4D70" w:rsidRPr="00D91A3C" w:rsidRDefault="00AB4D70" w:rsidP="00D91A3C">
            <w:pPr>
              <w:pStyle w:val="Table-Header"/>
            </w:pPr>
            <w:r w:rsidRPr="00D91A3C">
              <w:t>Organization</w:t>
            </w:r>
          </w:p>
        </w:tc>
      </w:tr>
      <w:tr w:rsidR="00AB4D70" w:rsidRPr="005F3BAF" w14:paraId="5836C6DE" w14:textId="77777777" w:rsidTr="00B44F57">
        <w:trPr>
          <w:gridAfter w:val="1"/>
          <w:wAfter w:w="19" w:type="dxa"/>
          <w:trHeight w:val="432"/>
        </w:trPr>
        <w:tc>
          <w:tcPr>
            <w:tcW w:w="6482" w:type="dxa"/>
            <w:shd w:val="clear" w:color="auto" w:fill="auto"/>
          </w:tcPr>
          <w:p w14:paraId="5836C6DC" w14:textId="77777777" w:rsidR="00AB4D70" w:rsidRPr="00D0227D" w:rsidRDefault="00AB4D70" w:rsidP="0013452E">
            <w:pPr>
              <w:pStyle w:val="TableText"/>
            </w:pPr>
            <w:r>
              <w:t>Project sponsor</w:t>
            </w:r>
          </w:p>
        </w:tc>
        <w:tc>
          <w:tcPr>
            <w:tcW w:w="2870" w:type="dxa"/>
            <w:shd w:val="clear" w:color="auto" w:fill="FFFFFF" w:themeFill="background1"/>
          </w:tcPr>
          <w:p w14:paraId="5836C6DD" w14:textId="77777777" w:rsidR="00AB4D70" w:rsidRPr="00D0227D" w:rsidRDefault="00AB4D70" w:rsidP="0013452E">
            <w:pPr>
              <w:pStyle w:val="TableText"/>
              <w:rPr>
                <w:szCs w:val="18"/>
              </w:rPr>
            </w:pPr>
            <w:r>
              <w:rPr>
                <w:szCs w:val="18"/>
              </w:rPr>
              <w:t>Customer</w:t>
            </w:r>
          </w:p>
        </w:tc>
      </w:tr>
      <w:tr w:rsidR="00AB4D70" w:rsidRPr="005F3BAF" w14:paraId="5836C6E1" w14:textId="77777777" w:rsidTr="00B44F57">
        <w:trPr>
          <w:gridAfter w:val="1"/>
          <w:wAfter w:w="19" w:type="dxa"/>
          <w:trHeight w:val="432"/>
        </w:trPr>
        <w:tc>
          <w:tcPr>
            <w:tcW w:w="6482" w:type="dxa"/>
            <w:shd w:val="clear" w:color="auto" w:fill="auto"/>
          </w:tcPr>
          <w:p w14:paraId="5836C6DF" w14:textId="77777777" w:rsidR="00AB4D70" w:rsidRPr="00D0227D" w:rsidRDefault="00C4139D" w:rsidP="0013452E">
            <w:pPr>
              <w:pStyle w:val="TableText"/>
              <w:rPr>
                <w:szCs w:val="18"/>
              </w:rPr>
            </w:pPr>
            <w:r>
              <w:rPr>
                <w:szCs w:val="18"/>
              </w:rPr>
              <w:t>Delivery manager</w:t>
            </w:r>
          </w:p>
        </w:tc>
        <w:tc>
          <w:tcPr>
            <w:tcW w:w="2870" w:type="dxa"/>
            <w:shd w:val="clear" w:color="auto" w:fill="FFFFFF" w:themeFill="background1"/>
          </w:tcPr>
          <w:p w14:paraId="5836C6E0" w14:textId="77777777" w:rsidR="00AB4D70" w:rsidRPr="00D0227D" w:rsidRDefault="00AB4D70" w:rsidP="0013452E">
            <w:pPr>
              <w:pStyle w:val="TableText"/>
              <w:rPr>
                <w:szCs w:val="18"/>
              </w:rPr>
            </w:pPr>
            <w:r>
              <w:rPr>
                <w:szCs w:val="18"/>
              </w:rPr>
              <w:t>Microsoft</w:t>
            </w:r>
          </w:p>
        </w:tc>
      </w:tr>
      <w:tr w:rsidR="0069300E" w:rsidRPr="005F3BAF" w14:paraId="6961EC01" w14:textId="77777777" w:rsidTr="00B44F57">
        <w:trPr>
          <w:gridAfter w:val="1"/>
          <w:wAfter w:w="19" w:type="dxa"/>
          <w:trHeight w:val="432"/>
        </w:trPr>
        <w:tc>
          <w:tcPr>
            <w:tcW w:w="6482" w:type="dxa"/>
            <w:shd w:val="clear" w:color="auto" w:fill="auto"/>
          </w:tcPr>
          <w:p w14:paraId="0EEBB69F" w14:textId="53B72F96" w:rsidR="0069300E" w:rsidRDefault="0069300E" w:rsidP="0013452E">
            <w:pPr>
              <w:pStyle w:val="TableText"/>
              <w:rPr>
                <w:szCs w:val="18"/>
              </w:rPr>
            </w:pPr>
            <w:r>
              <w:rPr>
                <w:szCs w:val="18"/>
              </w:rPr>
              <w:t xml:space="preserve">Project </w:t>
            </w:r>
            <w:r w:rsidR="007653DB">
              <w:rPr>
                <w:szCs w:val="18"/>
              </w:rPr>
              <w:t>m</w:t>
            </w:r>
            <w:r>
              <w:rPr>
                <w:szCs w:val="18"/>
              </w:rPr>
              <w:t>anager</w:t>
            </w:r>
          </w:p>
        </w:tc>
        <w:tc>
          <w:tcPr>
            <w:tcW w:w="2870" w:type="dxa"/>
            <w:shd w:val="clear" w:color="auto" w:fill="FFFFFF" w:themeFill="background1"/>
          </w:tcPr>
          <w:p w14:paraId="03C9A23F" w14:textId="1683512A" w:rsidR="0069300E" w:rsidRDefault="0069300E" w:rsidP="0013452E">
            <w:pPr>
              <w:pStyle w:val="TableText"/>
              <w:rPr>
                <w:szCs w:val="18"/>
              </w:rPr>
            </w:pPr>
            <w:r>
              <w:rPr>
                <w:szCs w:val="18"/>
              </w:rPr>
              <w:t>Customer and Microsoft</w:t>
            </w:r>
          </w:p>
        </w:tc>
      </w:tr>
      <w:tr w:rsidR="0069300E" w:rsidRPr="005F3BAF" w14:paraId="4E92A792" w14:textId="77777777" w:rsidTr="00B44F57">
        <w:trPr>
          <w:gridAfter w:val="1"/>
          <w:wAfter w:w="19" w:type="dxa"/>
          <w:trHeight w:val="432"/>
        </w:trPr>
        <w:tc>
          <w:tcPr>
            <w:tcW w:w="6482" w:type="dxa"/>
            <w:shd w:val="clear" w:color="auto" w:fill="auto"/>
          </w:tcPr>
          <w:p w14:paraId="2B512CD2" w14:textId="58D4A07D" w:rsidR="0069300E" w:rsidRDefault="000C3090" w:rsidP="0013452E">
            <w:pPr>
              <w:pStyle w:val="TableText"/>
              <w:rPr>
                <w:szCs w:val="18"/>
              </w:rPr>
            </w:pPr>
            <w:r>
              <w:rPr>
                <w:szCs w:val="18"/>
              </w:rPr>
              <w:t>Project resources</w:t>
            </w:r>
          </w:p>
        </w:tc>
        <w:tc>
          <w:tcPr>
            <w:tcW w:w="2870" w:type="dxa"/>
            <w:shd w:val="clear" w:color="auto" w:fill="FFFFFF" w:themeFill="background1"/>
          </w:tcPr>
          <w:p w14:paraId="64313387" w14:textId="1A2F027D" w:rsidR="0069300E" w:rsidRDefault="000C3090" w:rsidP="0013452E">
            <w:pPr>
              <w:pStyle w:val="TableText"/>
              <w:rPr>
                <w:szCs w:val="18"/>
              </w:rPr>
            </w:pPr>
            <w:r>
              <w:rPr>
                <w:szCs w:val="18"/>
              </w:rPr>
              <w:t>Customer and Microsoft</w:t>
            </w:r>
          </w:p>
        </w:tc>
      </w:tr>
    </w:tbl>
    <w:p w14:paraId="5836C6E2" w14:textId="77777777" w:rsidR="00892C8C" w:rsidRDefault="00892C8C" w:rsidP="00892C8C">
      <w:pPr>
        <w:pStyle w:val="Heading3"/>
      </w:pPr>
      <w:bookmarkStart w:id="61" w:name="_Toc476168048"/>
      <w:r>
        <w:t>Escalation path</w:t>
      </w:r>
      <w:bookmarkEnd w:id="61"/>
    </w:p>
    <w:p w14:paraId="5836C6E4" w14:textId="77777777" w:rsidR="00892C8C" w:rsidRDefault="00892C8C" w:rsidP="00892C8C">
      <w:r>
        <w:t xml:space="preserve">The Microsoft </w:t>
      </w:r>
      <w:r w:rsidR="00246AC9">
        <w:t xml:space="preserve">project manager </w:t>
      </w:r>
      <w:r>
        <w:t xml:space="preserve">will work closely with the </w:t>
      </w:r>
      <w:r w:rsidR="00A26C0D">
        <w:t>c</w:t>
      </w:r>
      <w:r>
        <w:t xml:space="preserve">ustomer </w:t>
      </w:r>
      <w:r w:rsidR="00A26C0D">
        <w:t>project manager</w:t>
      </w:r>
      <w:r>
        <w:t xml:space="preserve">, </w:t>
      </w:r>
      <w:r w:rsidR="00A26C0D">
        <w:t>sponsor</w:t>
      </w:r>
      <w:r>
        <w:t xml:space="preserve">, and other designees to manage </w:t>
      </w:r>
      <w:r w:rsidR="0072174A">
        <w:t>p</w:t>
      </w:r>
      <w:r>
        <w:t xml:space="preserve">roject issues, risks, and </w:t>
      </w:r>
      <w:r w:rsidR="00A26C0D">
        <w:t>c</w:t>
      </w:r>
      <w:r>
        <w:t xml:space="preserve">hange </w:t>
      </w:r>
      <w:r w:rsidR="00A26C0D">
        <w:t>r</w:t>
      </w:r>
      <w:r>
        <w:t xml:space="preserve">equests as described </w:t>
      </w:r>
      <w:r w:rsidR="00246AC9">
        <w:t>previously</w:t>
      </w:r>
      <w:r>
        <w:t xml:space="preserve">. </w:t>
      </w:r>
      <w:r w:rsidR="00335083">
        <w:t xml:space="preserve">The </w:t>
      </w:r>
      <w:r w:rsidR="00A26C0D">
        <w:t>c</w:t>
      </w:r>
      <w:r w:rsidR="00335083">
        <w:t xml:space="preserve">ustomer will </w:t>
      </w:r>
      <w:r w:rsidR="00E40CE7">
        <w:t xml:space="preserve">provide </w:t>
      </w:r>
      <w:r w:rsidR="00335083">
        <w:t xml:space="preserve">reasonable access to the </w:t>
      </w:r>
      <w:r w:rsidR="005055CC">
        <w:t xml:space="preserve">sponsor or </w:t>
      </w:r>
      <w:r w:rsidR="00335083">
        <w:t>sponsors</w:t>
      </w:r>
      <w:r w:rsidR="00E40CE7">
        <w:t xml:space="preserve"> in order</w:t>
      </w:r>
      <w:r w:rsidR="00335083">
        <w:t xml:space="preserve"> </w:t>
      </w:r>
      <w:r>
        <w:t>to expedite resolution.</w:t>
      </w:r>
      <w:r w:rsidR="00335083">
        <w:t xml:space="preserve"> The standard escalation path</w:t>
      </w:r>
      <w:r>
        <w:t xml:space="preserve"> for review</w:t>
      </w:r>
      <w:r w:rsidR="005055CC">
        <w:t>,</w:t>
      </w:r>
      <w:r>
        <w:t xml:space="preserve"> approval</w:t>
      </w:r>
      <w:r w:rsidR="005055CC">
        <w:t>,</w:t>
      </w:r>
      <w:r>
        <w:t xml:space="preserve"> or dispute resolution is as follows:</w:t>
      </w:r>
    </w:p>
    <w:p w14:paraId="5836C6E5" w14:textId="0499F8DE" w:rsidR="00892C8C" w:rsidRPr="00892C8C" w:rsidRDefault="00892C8C" w:rsidP="0015000E">
      <w:pPr>
        <w:pStyle w:val="Bulletlist"/>
        <w:ind w:left="270" w:hanging="270"/>
      </w:pPr>
      <w:r w:rsidRPr="00892C8C">
        <w:lastRenderedPageBreak/>
        <w:t xml:space="preserve">Project </w:t>
      </w:r>
      <w:r w:rsidR="006C6051">
        <w:t>t</w:t>
      </w:r>
      <w:r w:rsidRPr="00892C8C">
        <w:t xml:space="preserve">eam member (Microsoft or </w:t>
      </w:r>
      <w:r w:rsidR="00112EB1">
        <w:t xml:space="preserve">the </w:t>
      </w:r>
      <w:r w:rsidR="0015000E">
        <w:t>c</w:t>
      </w:r>
      <w:r w:rsidRPr="00892C8C">
        <w:t>ustomer)</w:t>
      </w:r>
    </w:p>
    <w:p w14:paraId="5836C6E6" w14:textId="6A7DF1B9" w:rsidR="00892C8C" w:rsidRPr="00892C8C" w:rsidRDefault="006C6051" w:rsidP="0015000E">
      <w:pPr>
        <w:pStyle w:val="Bulletlist"/>
        <w:ind w:left="270" w:hanging="270"/>
      </w:pPr>
      <w:r>
        <w:t>Project</w:t>
      </w:r>
      <w:r w:rsidR="00892C8C" w:rsidRPr="00892C8C">
        <w:t xml:space="preserve"> </w:t>
      </w:r>
      <w:r w:rsidR="005055CC">
        <w:t>m</w:t>
      </w:r>
      <w:r w:rsidR="005055CC" w:rsidRPr="00892C8C">
        <w:t xml:space="preserve">anager </w:t>
      </w:r>
      <w:r w:rsidR="00892C8C" w:rsidRPr="00892C8C">
        <w:t xml:space="preserve">(Microsoft and </w:t>
      </w:r>
      <w:r w:rsidR="00112EB1">
        <w:t xml:space="preserve">the </w:t>
      </w:r>
      <w:r w:rsidR="0015000E">
        <w:t>c</w:t>
      </w:r>
      <w:r w:rsidR="00892C8C" w:rsidRPr="00892C8C">
        <w:t>ustomer)</w:t>
      </w:r>
    </w:p>
    <w:p w14:paraId="5836C6E7" w14:textId="7D8581FF" w:rsidR="00892C8C" w:rsidRPr="00892C8C" w:rsidRDefault="00892C8C" w:rsidP="0015000E">
      <w:pPr>
        <w:pStyle w:val="Bulletlist"/>
        <w:ind w:left="270" w:hanging="270"/>
      </w:pPr>
      <w:r w:rsidRPr="00892C8C">
        <w:t xml:space="preserve">Microsoft </w:t>
      </w:r>
      <w:r w:rsidR="0015000E">
        <w:t>D</w:t>
      </w:r>
      <w:r w:rsidR="006C6051">
        <w:t xml:space="preserve">elivery </w:t>
      </w:r>
      <w:r w:rsidR="0015000E">
        <w:t>M</w:t>
      </w:r>
      <w:r w:rsidR="006C6051">
        <w:t>anager</w:t>
      </w:r>
    </w:p>
    <w:p w14:paraId="5836C6E8" w14:textId="5865F99A" w:rsidR="00892C8C" w:rsidRDefault="00892C8C" w:rsidP="0015000E">
      <w:pPr>
        <w:pStyle w:val="Bulletlist"/>
        <w:ind w:left="270" w:hanging="270"/>
      </w:pPr>
      <w:r w:rsidRPr="00892C8C">
        <w:t xml:space="preserve">Microsoft and </w:t>
      </w:r>
      <w:r w:rsidR="00112EB1">
        <w:t xml:space="preserve">the </w:t>
      </w:r>
      <w:r w:rsidR="0015000E">
        <w:t>c</w:t>
      </w:r>
      <w:r w:rsidRPr="00892C8C">
        <w:t xml:space="preserve">ustomer </w:t>
      </w:r>
      <w:r w:rsidR="0015000E">
        <w:t>P</w:t>
      </w:r>
      <w:r w:rsidR="006C6051">
        <w:t xml:space="preserve">roject </w:t>
      </w:r>
      <w:r w:rsidR="0015000E">
        <w:t>S</w:t>
      </w:r>
      <w:r w:rsidR="006C6051">
        <w:t>ponsor</w:t>
      </w:r>
    </w:p>
    <w:p w14:paraId="5836C6EA" w14:textId="77777777" w:rsidR="00AB4D70" w:rsidRDefault="00AB4D70" w:rsidP="00C84DD9">
      <w:pPr>
        <w:pStyle w:val="Heading2"/>
      </w:pPr>
      <w:bookmarkStart w:id="62" w:name="_Toc476167711"/>
      <w:bookmarkStart w:id="63" w:name="_Toc476168049"/>
      <w:bookmarkStart w:id="64" w:name="_Toc7701769"/>
      <w:r>
        <w:t>Project completion</w:t>
      </w:r>
      <w:bookmarkEnd w:id="62"/>
      <w:bookmarkEnd w:id="63"/>
      <w:bookmarkEnd w:id="64"/>
    </w:p>
    <w:p w14:paraId="43EA42BE" w14:textId="77777777" w:rsidR="00120795" w:rsidRPr="004010DF" w:rsidRDefault="00120795" w:rsidP="00120795">
      <w:pPr>
        <w:pStyle w:val="Optional"/>
        <w:rPr>
          <w:color w:val="000000" w:themeColor="text1"/>
        </w:rPr>
      </w:pPr>
      <w:r w:rsidRPr="004010DF">
        <w:rPr>
          <w:color w:val="000000" w:themeColor="text1"/>
        </w:rPr>
        <w:t>The project will be considered complete when at least one of the following conditions is met:</w:t>
      </w:r>
    </w:p>
    <w:p w14:paraId="0D0F588E" w14:textId="77777777" w:rsidR="00120795" w:rsidRPr="004010DF" w:rsidRDefault="00120795" w:rsidP="00120795">
      <w:pPr>
        <w:pStyle w:val="Bulletlist"/>
        <w:ind w:left="270" w:hanging="270"/>
        <w:rPr>
          <w:color w:val="000000" w:themeColor="text1"/>
        </w:rPr>
      </w:pPr>
      <w:r w:rsidRPr="004010DF">
        <w:rPr>
          <w:color w:val="000000" w:themeColor="text1"/>
        </w:rPr>
        <w:t>All Microsoft deliverables that require acceptance have been delivered and accepted (or deemed accepted).</w:t>
      </w:r>
    </w:p>
    <w:p w14:paraId="20C4F7C9" w14:textId="77777777" w:rsidR="00120795" w:rsidRPr="004010DF" w:rsidRDefault="00120795" w:rsidP="00120795">
      <w:pPr>
        <w:pStyle w:val="Bulletlist"/>
        <w:ind w:left="270" w:hanging="270"/>
        <w:rPr>
          <w:color w:val="000000" w:themeColor="text1"/>
        </w:rPr>
      </w:pPr>
      <w:r w:rsidRPr="004010DF">
        <w:rPr>
          <w:color w:val="000000" w:themeColor="text1"/>
        </w:rPr>
        <w:t>The Work Order has been terminated.</w:t>
      </w:r>
    </w:p>
    <w:p w14:paraId="5970269C" w14:textId="338269E7" w:rsidR="00120795" w:rsidRPr="007B7593" w:rsidRDefault="00120795" w:rsidP="00120795">
      <w:pPr>
        <w:pStyle w:val="Bulletlist"/>
        <w:numPr>
          <w:ilvl w:val="0"/>
          <w:numId w:val="0"/>
        </w:numPr>
        <w:ind w:left="360" w:hanging="360"/>
      </w:pPr>
    </w:p>
    <w:p w14:paraId="5836C6FC" w14:textId="77777777" w:rsidR="00152B24" w:rsidRDefault="00152B24" w:rsidP="00C84DD9">
      <w:pPr>
        <w:pStyle w:val="Heading1"/>
      </w:pPr>
      <w:bookmarkStart w:id="65" w:name="_Toc476167712"/>
      <w:bookmarkStart w:id="66" w:name="_Toc476168050"/>
      <w:bookmarkStart w:id="67" w:name="_Toc7701770"/>
      <w:r>
        <w:t>Project organization</w:t>
      </w:r>
      <w:bookmarkEnd w:id="65"/>
      <w:bookmarkEnd w:id="66"/>
      <w:bookmarkEnd w:id="67"/>
    </w:p>
    <w:p w14:paraId="5836C6FE" w14:textId="77777777" w:rsidR="00C84DD9" w:rsidRDefault="00C84DD9" w:rsidP="005C66A2">
      <w:pPr>
        <w:pStyle w:val="Heading2"/>
      </w:pPr>
      <w:bookmarkStart w:id="68" w:name="_Toc476167713"/>
      <w:bookmarkStart w:id="69" w:name="_Toc476168051"/>
      <w:bookmarkStart w:id="70" w:name="_Toc7701771"/>
      <w:r w:rsidRPr="00C84DD9">
        <w:t>Project roles and responsibilities</w:t>
      </w:r>
      <w:bookmarkEnd w:id="68"/>
      <w:bookmarkEnd w:id="69"/>
      <w:bookmarkEnd w:id="70"/>
    </w:p>
    <w:p w14:paraId="5836C700" w14:textId="77777777" w:rsidR="00C84DD9" w:rsidRDefault="00C84DD9" w:rsidP="00C84DD9">
      <w:r>
        <w:t>The key project roles and the responsibilities are as follows</w:t>
      </w:r>
      <w:r w:rsidR="00AD3CAD">
        <w:t>.</w:t>
      </w:r>
    </w:p>
    <w:p w14:paraId="5836C701" w14:textId="77777777" w:rsidR="0013452E" w:rsidRDefault="0013452E" w:rsidP="0013452E">
      <w:pPr>
        <w:pStyle w:val="Heading4"/>
      </w:pPr>
      <w:r>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977"/>
        <w:gridCol w:w="7380"/>
      </w:tblGrid>
      <w:tr w:rsidR="0013452E" w14:paraId="5836C704" w14:textId="77777777" w:rsidTr="00D00A40">
        <w:trPr>
          <w:trHeight w:val="360"/>
          <w:tblHeader/>
        </w:trPr>
        <w:tc>
          <w:tcPr>
            <w:tcW w:w="1977" w:type="dxa"/>
            <w:shd w:val="clear" w:color="auto" w:fill="008272"/>
          </w:tcPr>
          <w:p w14:paraId="5836C702" w14:textId="77777777" w:rsidR="0013452E" w:rsidRPr="00031658" w:rsidRDefault="0013452E" w:rsidP="00031658">
            <w:pPr>
              <w:pStyle w:val="Table-Header"/>
            </w:pPr>
            <w:r w:rsidRPr="00031658">
              <w:t>Role</w:t>
            </w:r>
          </w:p>
        </w:tc>
        <w:tc>
          <w:tcPr>
            <w:tcW w:w="7380" w:type="dxa"/>
            <w:shd w:val="clear" w:color="auto" w:fill="008272"/>
          </w:tcPr>
          <w:p w14:paraId="5836C703" w14:textId="77777777" w:rsidR="0013452E" w:rsidRPr="00031658" w:rsidRDefault="0013452E" w:rsidP="00031658">
            <w:pPr>
              <w:pStyle w:val="Table-Header"/>
            </w:pPr>
            <w:r w:rsidRPr="00031658">
              <w:t>Responsibilities</w:t>
            </w:r>
          </w:p>
        </w:tc>
      </w:tr>
      <w:tr w:rsidR="00D00A40" w:rsidRPr="005F3BAF" w14:paraId="5836C709" w14:textId="77777777" w:rsidTr="00D00A40">
        <w:trPr>
          <w:trHeight w:val="432"/>
        </w:trPr>
        <w:tc>
          <w:tcPr>
            <w:tcW w:w="1977" w:type="dxa"/>
            <w:shd w:val="clear" w:color="auto" w:fill="auto"/>
          </w:tcPr>
          <w:p w14:paraId="5836C705" w14:textId="3E0937E0" w:rsidR="00D00A40" w:rsidRPr="00D0227D" w:rsidRDefault="00D00A40" w:rsidP="00D00A40">
            <w:pPr>
              <w:pStyle w:val="TableText"/>
            </w:pPr>
            <w:r>
              <w:rPr>
                <w:rFonts w:eastAsia="MS Mincho" w:cs="Arial"/>
                <w:lang w:eastAsia="en-AU"/>
              </w:rPr>
              <w:t>E</w:t>
            </w:r>
            <w:r w:rsidRPr="002A55C1">
              <w:rPr>
                <w:rFonts w:eastAsia="MS Mincho" w:cs="Arial"/>
                <w:lang w:eastAsia="en-AU"/>
              </w:rPr>
              <w:t xml:space="preserve">xecutive </w:t>
            </w:r>
            <w:r>
              <w:rPr>
                <w:rFonts w:eastAsia="MS Mincho" w:cs="Arial"/>
                <w:lang w:eastAsia="en-AU"/>
              </w:rPr>
              <w:t>S</w:t>
            </w:r>
            <w:r w:rsidRPr="002A55C1">
              <w:rPr>
                <w:rFonts w:eastAsia="MS Mincho" w:cs="Arial"/>
                <w:lang w:eastAsia="en-AU"/>
              </w:rPr>
              <w:t>ponsor</w:t>
            </w:r>
          </w:p>
        </w:tc>
        <w:tc>
          <w:tcPr>
            <w:tcW w:w="7380" w:type="dxa"/>
            <w:shd w:val="clear" w:color="auto" w:fill="FFFFFF" w:themeFill="background1"/>
          </w:tcPr>
          <w:p w14:paraId="10234DCF" w14:textId="7EEF6E12" w:rsidR="004010DF" w:rsidRPr="00734FF7" w:rsidRDefault="004010DF" w:rsidP="004010DF">
            <w:pPr>
              <w:pStyle w:val="Bulletlist"/>
              <w:ind w:left="245" w:hanging="245"/>
              <w:rPr>
                <w:rStyle w:val="InstructionalChar"/>
                <w:color w:val="auto"/>
              </w:rPr>
            </w:pPr>
            <w:r w:rsidRPr="00734FF7">
              <w:rPr>
                <w:rStyle w:val="BulletlistChar"/>
              </w:rPr>
              <w:t>Provide the</w:t>
            </w:r>
            <w:r w:rsidRPr="00734FF7">
              <w:t xml:space="preserve"> estimated project commitment: </w:t>
            </w:r>
            <w:r w:rsidR="00526921" w:rsidRPr="00734FF7">
              <w:rPr>
                <w:rStyle w:val="InstructionalChar"/>
                <w:color w:val="auto"/>
              </w:rPr>
              <w:t>part time</w:t>
            </w:r>
          </w:p>
          <w:p w14:paraId="09DABD69" w14:textId="77777777"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Makes key project decisions, serves as an escalation point for unresolved issues, and clears project roadblocks</w:t>
            </w:r>
          </w:p>
          <w:p w14:paraId="69180A7E" w14:textId="77777777"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Acts as the overall escalation point for change and issue management</w:t>
            </w:r>
          </w:p>
          <w:p w14:paraId="5836C708" w14:textId="5A577DC1"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Acts as the advocate for user and internal communications</w:t>
            </w:r>
          </w:p>
        </w:tc>
      </w:tr>
      <w:tr w:rsidR="00D00A40" w:rsidRPr="005F3BAF" w14:paraId="5836C711" w14:textId="77777777" w:rsidTr="00D00A40">
        <w:trPr>
          <w:trHeight w:val="432"/>
        </w:trPr>
        <w:tc>
          <w:tcPr>
            <w:tcW w:w="1977" w:type="dxa"/>
            <w:shd w:val="clear" w:color="auto" w:fill="auto"/>
          </w:tcPr>
          <w:p w14:paraId="5836C70A" w14:textId="5E6F7D09" w:rsidR="00D00A40" w:rsidRPr="00D0227D" w:rsidRDefault="00D00A40" w:rsidP="00D00A40">
            <w:pPr>
              <w:pStyle w:val="TableText"/>
              <w:rPr>
                <w:szCs w:val="18"/>
              </w:rPr>
            </w:pPr>
            <w:r>
              <w:rPr>
                <w:rFonts w:eastAsia="MS Mincho" w:cs="Arial"/>
                <w:lang w:eastAsia="en-AU"/>
              </w:rPr>
              <w:t>P</w:t>
            </w:r>
            <w:r w:rsidRPr="002A55C1">
              <w:rPr>
                <w:rFonts w:eastAsia="MS Mincho" w:cs="Arial"/>
                <w:lang w:eastAsia="en-AU"/>
              </w:rPr>
              <w:t xml:space="preserve">roject </w:t>
            </w:r>
            <w:r>
              <w:rPr>
                <w:rFonts w:eastAsia="MS Mincho" w:cs="Arial"/>
                <w:lang w:eastAsia="en-AU"/>
              </w:rPr>
              <w:t>M</w:t>
            </w:r>
            <w:r w:rsidRPr="002A55C1">
              <w:rPr>
                <w:rFonts w:eastAsia="MS Mincho" w:cs="Arial"/>
                <w:lang w:eastAsia="en-AU"/>
              </w:rPr>
              <w:t>anager</w:t>
            </w:r>
          </w:p>
        </w:tc>
        <w:tc>
          <w:tcPr>
            <w:tcW w:w="7380" w:type="dxa"/>
            <w:shd w:val="clear" w:color="auto" w:fill="FFFFFF" w:themeFill="background1"/>
          </w:tcPr>
          <w:p w14:paraId="2DC743D5" w14:textId="56A211C2" w:rsidR="00D043D3" w:rsidRPr="00734FF7" w:rsidRDefault="00D043D3" w:rsidP="00D043D3">
            <w:pPr>
              <w:pStyle w:val="Bulletlist"/>
              <w:ind w:left="245" w:hanging="245"/>
              <w:rPr>
                <w:rStyle w:val="InstructionalChar"/>
                <w:color w:val="auto"/>
              </w:rPr>
            </w:pPr>
            <w:r w:rsidRPr="00734FF7">
              <w:t xml:space="preserve">Provide the estimated project commitment: </w:t>
            </w:r>
            <w:r w:rsidR="00734FF7" w:rsidRPr="00734FF7">
              <w:rPr>
                <w:rStyle w:val="InstructionalChar"/>
                <w:color w:val="auto"/>
              </w:rPr>
              <w:t>part time</w:t>
            </w:r>
          </w:p>
          <w:p w14:paraId="5DFAD03F" w14:textId="77777777"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Partners with the Microsoft project manager to successfully plan and implement project delivery</w:t>
            </w:r>
          </w:p>
          <w:p w14:paraId="7A13EA15" w14:textId="5B3BCF7B"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Functions as the primary point of contact for the customer team for each assigned workstream</w:t>
            </w:r>
          </w:p>
          <w:p w14:paraId="690828BA" w14:textId="636E974A"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Is responsible for managing and coordinating the customer team in delivering the project</w:t>
            </w:r>
          </w:p>
          <w:p w14:paraId="790F6692" w14:textId="6D8E9BDD"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Is responsible for customer team resource allocation, risk management, project priorities, and communication to management</w:t>
            </w:r>
          </w:p>
          <w:p w14:paraId="5EDEEAAB" w14:textId="38829DEC"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Manages customer team day-to-day project activities</w:t>
            </w:r>
          </w:p>
          <w:p w14:paraId="28DD973C" w14:textId="4D0B1C21"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Manages the customer team project risk and issues register</w:t>
            </w:r>
          </w:p>
          <w:p w14:paraId="57FFAEF7" w14:textId="5E963706"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Coordinates the customer team activities to deliver deliverables according to the project schedule</w:t>
            </w:r>
          </w:p>
          <w:p w14:paraId="06E80F3A" w14:textId="77777777"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Creates user communications plan</w:t>
            </w:r>
          </w:p>
          <w:p w14:paraId="5836C710" w14:textId="0F9CE137" w:rsidR="00D00A40" w:rsidRPr="00734FF7" w:rsidRDefault="00D00A40" w:rsidP="00D00A40">
            <w:pPr>
              <w:pStyle w:val="Bulletlist"/>
              <w:ind w:left="245" w:hanging="245"/>
              <w:rPr>
                <w:rFonts w:eastAsia="MS Mincho" w:cs="Arial"/>
                <w:szCs w:val="20"/>
                <w:lang w:eastAsia="en-AU"/>
              </w:rPr>
            </w:pPr>
            <w:r w:rsidRPr="00734FF7">
              <w:rPr>
                <w:rFonts w:eastAsia="MS Mincho" w:cs="Arial"/>
                <w:szCs w:val="20"/>
                <w:lang w:eastAsia="en-AU"/>
              </w:rPr>
              <w:t>Organizes training</w:t>
            </w:r>
          </w:p>
        </w:tc>
      </w:tr>
      <w:tr w:rsidR="00F503F1" w:rsidRPr="00F503F1" w14:paraId="5836C716" w14:textId="77777777" w:rsidTr="00D00A40">
        <w:trPr>
          <w:trHeight w:val="432"/>
        </w:trPr>
        <w:tc>
          <w:tcPr>
            <w:tcW w:w="1977" w:type="dxa"/>
            <w:shd w:val="clear" w:color="auto" w:fill="auto"/>
          </w:tcPr>
          <w:p w14:paraId="5836C712" w14:textId="0019A621" w:rsidR="00F503F1" w:rsidRDefault="00F503F1" w:rsidP="00F503F1">
            <w:pPr>
              <w:pStyle w:val="TableText"/>
              <w:rPr>
                <w:szCs w:val="18"/>
              </w:rPr>
            </w:pPr>
            <w:r>
              <w:rPr>
                <w:rFonts w:eastAsia="MS Mincho" w:cs="Arial"/>
                <w:lang w:eastAsia="en-AU"/>
              </w:rPr>
              <w:t>Technical team coordinator</w:t>
            </w:r>
          </w:p>
        </w:tc>
        <w:tc>
          <w:tcPr>
            <w:tcW w:w="7380" w:type="dxa"/>
            <w:shd w:val="clear" w:color="auto" w:fill="FFFFFF" w:themeFill="background1"/>
          </w:tcPr>
          <w:p w14:paraId="2F310F95" w14:textId="77777777" w:rsidR="00F503F1" w:rsidRPr="00F503F1" w:rsidRDefault="00F503F1" w:rsidP="00D047B6">
            <w:pPr>
              <w:pStyle w:val="TableBullet1"/>
            </w:pPr>
            <w:r w:rsidRPr="00CD390D">
              <w:rPr>
                <w:lang w:val="en"/>
              </w:rPr>
              <w:t xml:space="preserve">Provide the estimated commitment to the project: </w:t>
            </w:r>
            <w:r>
              <w:rPr>
                <w:lang w:val="en"/>
              </w:rPr>
              <w:t>part-time</w:t>
            </w:r>
          </w:p>
          <w:p w14:paraId="79CD0D9D" w14:textId="77777777" w:rsidR="00F503F1" w:rsidRPr="00F503F1" w:rsidRDefault="00F503F1" w:rsidP="00F503F1">
            <w:pPr>
              <w:pStyle w:val="TableBullet1"/>
              <w:rPr>
                <w:rFonts w:eastAsia="MS Mincho" w:cs="Arial"/>
                <w:szCs w:val="20"/>
                <w:lang w:eastAsia="en-AU"/>
              </w:rPr>
            </w:pPr>
            <w:r w:rsidRPr="00CD390D">
              <w:rPr>
                <w:lang w:val="en"/>
              </w:rPr>
              <w:t>Be the main technical point of contact.</w:t>
            </w:r>
          </w:p>
          <w:p w14:paraId="5836C715" w14:textId="6A953988" w:rsidR="00F503F1" w:rsidRPr="00F503F1" w:rsidRDefault="00F503F1" w:rsidP="00F503F1">
            <w:pPr>
              <w:pStyle w:val="TableBullet1"/>
              <w:rPr>
                <w:rFonts w:eastAsia="MS Mincho" w:cs="Arial"/>
                <w:szCs w:val="20"/>
                <w:lang w:eastAsia="en-AU"/>
              </w:rPr>
            </w:pPr>
            <w:r w:rsidRPr="00CD390D">
              <w:rPr>
                <w:lang w:val="en"/>
              </w:rPr>
              <w:lastRenderedPageBreak/>
              <w:t>Take possession of the technical architecture and the deliverable of code.</w:t>
            </w:r>
          </w:p>
        </w:tc>
      </w:tr>
      <w:tr w:rsidR="00F503F1" w:rsidRPr="00756387" w14:paraId="12B45060" w14:textId="77777777" w:rsidTr="00D00A40">
        <w:trPr>
          <w:trHeight w:val="432"/>
        </w:trPr>
        <w:tc>
          <w:tcPr>
            <w:tcW w:w="1977" w:type="dxa"/>
            <w:shd w:val="clear" w:color="auto" w:fill="auto"/>
          </w:tcPr>
          <w:p w14:paraId="06EF618F" w14:textId="3A855806" w:rsidR="00F503F1" w:rsidRDefault="00F503F1" w:rsidP="00F503F1">
            <w:pPr>
              <w:pStyle w:val="TableText"/>
              <w:rPr>
                <w:rFonts w:eastAsia="MS Mincho" w:cs="Arial"/>
                <w:lang w:eastAsia="en-AU"/>
              </w:rPr>
            </w:pPr>
            <w:r>
              <w:rPr>
                <w:rFonts w:eastAsia="MS Mincho" w:cs="Arial"/>
                <w:lang w:eastAsia="en-AU"/>
              </w:rPr>
              <w:lastRenderedPageBreak/>
              <w:t>Business analyst leader</w:t>
            </w:r>
          </w:p>
        </w:tc>
        <w:tc>
          <w:tcPr>
            <w:tcW w:w="7380" w:type="dxa"/>
            <w:shd w:val="clear" w:color="auto" w:fill="FFFFFF" w:themeFill="background1"/>
          </w:tcPr>
          <w:p w14:paraId="71FC22E0" w14:textId="77777777" w:rsidR="00756387" w:rsidRPr="00756387" w:rsidRDefault="00756387" w:rsidP="00720AD9">
            <w:pPr>
              <w:pStyle w:val="TableBullet1"/>
              <w:rPr>
                <w:szCs w:val="18"/>
              </w:rPr>
            </w:pPr>
            <w:r w:rsidRPr="00CD390D">
              <w:rPr>
                <w:lang w:val="en"/>
              </w:rPr>
              <w:t>Provide the estimated commitment to the project</w:t>
            </w:r>
            <w:r>
              <w:rPr>
                <w:lang w:val="en"/>
              </w:rPr>
              <w:t>: part-time</w:t>
            </w:r>
          </w:p>
          <w:p w14:paraId="287E5CA1" w14:textId="70D2D7A5" w:rsidR="00F503F1" w:rsidRPr="00756387" w:rsidRDefault="00756387" w:rsidP="00756387">
            <w:pPr>
              <w:pStyle w:val="TableBullet1"/>
              <w:rPr>
                <w:szCs w:val="18"/>
              </w:rPr>
            </w:pPr>
            <w:r w:rsidRPr="00756387">
              <w:rPr>
                <w:lang w:val="en"/>
              </w:rPr>
              <w:t>Be the main functional point of contact for the team that is responsible for the functional business analysis</w:t>
            </w:r>
            <w:r w:rsidR="00F503F1" w:rsidRPr="00756387">
              <w:t>.</w:t>
            </w:r>
          </w:p>
        </w:tc>
      </w:tr>
    </w:tbl>
    <w:p w14:paraId="5836C71B" w14:textId="77777777" w:rsidR="00C84DD9" w:rsidRDefault="0013452E" w:rsidP="0013452E">
      <w:pPr>
        <w:pStyle w:val="Heading4"/>
      </w:pPr>
      <w:r>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982"/>
        <w:gridCol w:w="7360"/>
        <w:gridCol w:w="18"/>
      </w:tblGrid>
      <w:tr w:rsidR="0013452E" w14:paraId="5836C71E" w14:textId="77777777" w:rsidTr="003C7BC0">
        <w:trPr>
          <w:trHeight w:val="360"/>
          <w:tblHeader/>
        </w:trPr>
        <w:tc>
          <w:tcPr>
            <w:tcW w:w="1982" w:type="dxa"/>
            <w:shd w:val="clear" w:color="auto" w:fill="008272"/>
            <w:vAlign w:val="center"/>
          </w:tcPr>
          <w:p w14:paraId="5836C71C" w14:textId="77777777" w:rsidR="0013452E" w:rsidRPr="00031658" w:rsidRDefault="0013452E" w:rsidP="00031658">
            <w:pPr>
              <w:pStyle w:val="Table-Header"/>
            </w:pPr>
            <w:r w:rsidRPr="00031658">
              <w:t>Role</w:t>
            </w:r>
          </w:p>
        </w:tc>
        <w:tc>
          <w:tcPr>
            <w:tcW w:w="7378" w:type="dxa"/>
            <w:gridSpan w:val="2"/>
            <w:shd w:val="clear" w:color="auto" w:fill="008272"/>
            <w:vAlign w:val="center"/>
          </w:tcPr>
          <w:p w14:paraId="5836C71D" w14:textId="77777777" w:rsidR="0013452E" w:rsidRPr="00031658" w:rsidRDefault="0013452E" w:rsidP="00031658">
            <w:pPr>
              <w:pStyle w:val="Table-Header"/>
            </w:pPr>
            <w:r w:rsidRPr="00031658">
              <w:t>Responsibilities</w:t>
            </w:r>
          </w:p>
        </w:tc>
      </w:tr>
      <w:tr w:rsidR="00D00A40" w:rsidRPr="005F3BAF" w14:paraId="5836C722" w14:textId="77777777" w:rsidTr="003C7BC0">
        <w:trPr>
          <w:gridAfter w:val="1"/>
          <w:wAfter w:w="18" w:type="dxa"/>
          <w:trHeight w:val="441"/>
        </w:trPr>
        <w:tc>
          <w:tcPr>
            <w:tcW w:w="1982" w:type="dxa"/>
            <w:shd w:val="clear" w:color="auto" w:fill="auto"/>
          </w:tcPr>
          <w:p w14:paraId="5836C71F" w14:textId="1B5E90F1" w:rsidR="00D00A40" w:rsidRDefault="00D00A40" w:rsidP="00D00A40">
            <w:pPr>
              <w:pStyle w:val="TableText"/>
            </w:pPr>
            <w:r>
              <w:rPr>
                <w:rFonts w:eastAsia="MS Mincho" w:cs="Arial"/>
                <w:lang w:eastAsia="en-AU"/>
              </w:rPr>
              <w:t>E</w:t>
            </w:r>
            <w:r w:rsidRPr="002A55C1">
              <w:rPr>
                <w:rFonts w:eastAsia="MS Mincho" w:cs="Arial"/>
                <w:lang w:eastAsia="en-AU"/>
              </w:rPr>
              <w:t xml:space="preserve">xecutive </w:t>
            </w:r>
            <w:r>
              <w:rPr>
                <w:rFonts w:eastAsia="MS Mincho" w:cs="Arial"/>
                <w:lang w:eastAsia="en-AU"/>
              </w:rPr>
              <w:t>S</w:t>
            </w:r>
            <w:r w:rsidRPr="002A55C1">
              <w:rPr>
                <w:rFonts w:eastAsia="MS Mincho" w:cs="Arial"/>
                <w:lang w:eastAsia="en-AU"/>
              </w:rPr>
              <w:t>ponsor</w:t>
            </w:r>
          </w:p>
        </w:tc>
        <w:tc>
          <w:tcPr>
            <w:tcW w:w="7360" w:type="dxa"/>
            <w:shd w:val="clear" w:color="auto" w:fill="FFFFFF" w:themeFill="background1"/>
          </w:tcPr>
          <w:p w14:paraId="24F18CDE" w14:textId="77777777" w:rsidR="00D00A40" w:rsidRPr="002A55C1" w:rsidRDefault="00D00A40" w:rsidP="00D00A40">
            <w:pPr>
              <w:pStyle w:val="Bulletlist"/>
              <w:ind w:left="245" w:hanging="245"/>
              <w:rPr>
                <w:rFonts w:eastAsia="MS Mincho" w:cs="Arial"/>
                <w:szCs w:val="20"/>
                <w:lang w:eastAsia="en-AU"/>
              </w:rPr>
            </w:pPr>
            <w:r w:rsidRPr="002A55C1">
              <w:rPr>
                <w:rFonts w:eastAsia="MS Mincho" w:cs="Arial"/>
                <w:szCs w:val="20"/>
                <w:lang w:eastAsia="en-AU"/>
              </w:rPr>
              <w:t xml:space="preserve">Acts as the Microsoft </w:t>
            </w:r>
            <w:r>
              <w:rPr>
                <w:rFonts w:eastAsia="MS Mincho" w:cs="Arial"/>
                <w:szCs w:val="20"/>
                <w:lang w:eastAsia="en-AU"/>
              </w:rPr>
              <w:t>customer advocate</w:t>
            </w:r>
          </w:p>
          <w:p w14:paraId="5836C721" w14:textId="61B5EFFF" w:rsidR="00D00A40" w:rsidRDefault="00D00A40" w:rsidP="00D00A40">
            <w:pPr>
              <w:pStyle w:val="Bulletlist"/>
              <w:ind w:left="245" w:hanging="245"/>
            </w:pPr>
            <w:r w:rsidRPr="002A55C1">
              <w:rPr>
                <w:rFonts w:eastAsia="MS Mincho" w:cs="Arial"/>
                <w:szCs w:val="20"/>
                <w:lang w:eastAsia="en-AU"/>
              </w:rPr>
              <w:t>Might not be directly engaged with the project, but is the internal customer conduit f</w:t>
            </w:r>
            <w:r>
              <w:rPr>
                <w:rFonts w:eastAsia="MS Mincho" w:cs="Arial"/>
                <w:szCs w:val="20"/>
                <w:lang w:eastAsia="en-AU"/>
              </w:rPr>
              <w:t>or overall Microsoft engagement</w:t>
            </w:r>
          </w:p>
        </w:tc>
      </w:tr>
      <w:tr w:rsidR="00D00A40" w:rsidRPr="005F3BAF" w14:paraId="5836C72B" w14:textId="77777777" w:rsidTr="003C7BC0">
        <w:trPr>
          <w:gridAfter w:val="1"/>
          <w:wAfter w:w="18" w:type="dxa"/>
          <w:trHeight w:val="441"/>
        </w:trPr>
        <w:tc>
          <w:tcPr>
            <w:tcW w:w="1982" w:type="dxa"/>
            <w:shd w:val="clear" w:color="auto" w:fill="auto"/>
          </w:tcPr>
          <w:p w14:paraId="5836C728" w14:textId="512EA94F" w:rsidR="00D00A40" w:rsidRDefault="00D00A40" w:rsidP="00D00A40">
            <w:pPr>
              <w:pStyle w:val="TableText"/>
            </w:pPr>
            <w:r>
              <w:rPr>
                <w:rFonts w:eastAsia="MS Mincho" w:cs="Arial"/>
                <w:lang w:eastAsia="en-AU"/>
              </w:rPr>
              <w:t>P</w:t>
            </w:r>
            <w:r w:rsidRPr="002A55C1">
              <w:rPr>
                <w:rFonts w:eastAsia="MS Mincho" w:cs="Arial"/>
                <w:lang w:eastAsia="en-AU"/>
              </w:rPr>
              <w:t xml:space="preserve">roject </w:t>
            </w:r>
            <w:r>
              <w:rPr>
                <w:rFonts w:eastAsia="MS Mincho" w:cs="Arial"/>
                <w:lang w:eastAsia="en-AU"/>
              </w:rPr>
              <w:t>M</w:t>
            </w:r>
            <w:r w:rsidRPr="002A55C1">
              <w:rPr>
                <w:rFonts w:eastAsia="MS Mincho" w:cs="Arial"/>
                <w:lang w:eastAsia="en-AU"/>
              </w:rPr>
              <w:t>anager</w:t>
            </w:r>
          </w:p>
        </w:tc>
        <w:tc>
          <w:tcPr>
            <w:tcW w:w="7360" w:type="dxa"/>
            <w:shd w:val="clear" w:color="auto" w:fill="FFFFFF" w:themeFill="background1"/>
          </w:tcPr>
          <w:p w14:paraId="02991640" w14:textId="258B9350" w:rsidR="00D00A40" w:rsidRPr="00D00A40" w:rsidRDefault="00D00A40" w:rsidP="00D00A40">
            <w:pPr>
              <w:pStyle w:val="Bulletlist"/>
              <w:ind w:left="245" w:hanging="245"/>
              <w:rPr>
                <w:rFonts w:eastAsia="MS Mincho" w:cs="Arial"/>
                <w:szCs w:val="20"/>
                <w:lang w:eastAsia="en-AU"/>
              </w:rPr>
            </w:pPr>
            <w:r w:rsidRPr="00D00A40">
              <w:rPr>
                <w:rFonts w:eastAsia="MS Mincho" w:cs="Arial"/>
                <w:szCs w:val="20"/>
                <w:lang w:eastAsia="en-AU"/>
              </w:rPr>
              <w:t>Partners with the customer Project Manager to plan and implement project delivery</w:t>
            </w:r>
          </w:p>
          <w:p w14:paraId="2F519B23" w14:textId="77777777" w:rsidR="004010DF" w:rsidRPr="00D00A40" w:rsidRDefault="004010DF" w:rsidP="004010DF">
            <w:pPr>
              <w:pStyle w:val="Bulletlist"/>
              <w:ind w:left="245" w:hanging="245"/>
              <w:rPr>
                <w:rFonts w:eastAsia="MS Mincho" w:cs="Arial"/>
                <w:szCs w:val="20"/>
                <w:lang w:eastAsia="en-AU"/>
              </w:rPr>
            </w:pPr>
            <w:r w:rsidRPr="00D00A40">
              <w:rPr>
                <w:rFonts w:eastAsia="MS Mincho" w:cs="Arial"/>
                <w:szCs w:val="20"/>
                <w:lang w:eastAsia="en-AU"/>
              </w:rPr>
              <w:t>Primary customer point of contact for overall satisfaction and concerns related to Microsoft services</w:t>
            </w:r>
          </w:p>
          <w:p w14:paraId="35E7D4C5" w14:textId="77777777" w:rsidR="004010DF" w:rsidRPr="00D00A40" w:rsidRDefault="004010DF" w:rsidP="004010DF">
            <w:pPr>
              <w:pStyle w:val="Bulletlist"/>
              <w:ind w:left="245" w:hanging="245"/>
              <w:rPr>
                <w:rFonts w:eastAsia="MS Mincho" w:cs="Arial"/>
                <w:szCs w:val="20"/>
                <w:lang w:eastAsia="en-AU"/>
              </w:rPr>
            </w:pPr>
            <w:r w:rsidRPr="00D00A40">
              <w:rPr>
                <w:rFonts w:eastAsia="MS Mincho" w:cs="Arial"/>
                <w:szCs w:val="20"/>
                <w:lang w:eastAsia="en-AU"/>
              </w:rPr>
              <w:t>Acts as single point of contact for billing issues, personnel matters, contract extensions, and project status provided by Microsoft Services</w:t>
            </w:r>
          </w:p>
          <w:p w14:paraId="54D447C2" w14:textId="77777777" w:rsidR="004010DF" w:rsidRPr="00D00A40" w:rsidRDefault="004010DF" w:rsidP="004010DF">
            <w:pPr>
              <w:pStyle w:val="Bulletlist"/>
              <w:ind w:left="245" w:hanging="245"/>
              <w:rPr>
                <w:rFonts w:eastAsia="MS Mincho" w:cs="Arial"/>
                <w:szCs w:val="20"/>
                <w:lang w:eastAsia="en-AU"/>
              </w:rPr>
            </w:pPr>
            <w:r w:rsidRPr="00D00A40">
              <w:rPr>
                <w:rFonts w:eastAsia="MS Mincho" w:cs="Arial"/>
                <w:szCs w:val="20"/>
                <w:lang w:eastAsia="en-AU"/>
              </w:rPr>
              <w:t>Initiates and facilitates the project kickoff</w:t>
            </w:r>
          </w:p>
          <w:p w14:paraId="45F74F52" w14:textId="77777777" w:rsidR="00D00A40" w:rsidRPr="00D00A40" w:rsidRDefault="00D00A40" w:rsidP="00D00A40">
            <w:pPr>
              <w:pStyle w:val="Bulletlist"/>
              <w:ind w:left="245" w:hanging="245"/>
              <w:rPr>
                <w:rFonts w:eastAsia="MS Mincho" w:cs="Arial"/>
                <w:szCs w:val="20"/>
                <w:lang w:eastAsia="en-AU"/>
              </w:rPr>
            </w:pPr>
            <w:r w:rsidRPr="00D00A40">
              <w:rPr>
                <w:rFonts w:eastAsia="MS Mincho" w:cs="Arial"/>
                <w:szCs w:val="20"/>
                <w:lang w:eastAsia="en-AU"/>
              </w:rPr>
              <w:t>Manages day-to-day project delivery</w:t>
            </w:r>
          </w:p>
          <w:p w14:paraId="3BAACDDD" w14:textId="77777777" w:rsidR="00D00A40" w:rsidRPr="00D00A40" w:rsidRDefault="00D00A40" w:rsidP="00D00A40">
            <w:pPr>
              <w:pStyle w:val="Bulletlist"/>
              <w:ind w:left="245" w:hanging="245"/>
              <w:rPr>
                <w:rFonts w:eastAsia="MS Mincho" w:cs="Arial"/>
                <w:szCs w:val="20"/>
                <w:lang w:eastAsia="en-AU"/>
              </w:rPr>
            </w:pPr>
            <w:r w:rsidRPr="00D00A40">
              <w:rPr>
                <w:rFonts w:eastAsia="MS Mincho" w:cs="Arial"/>
                <w:szCs w:val="20"/>
                <w:lang w:eastAsia="en-AU"/>
              </w:rPr>
              <w:t xml:space="preserve">Directs Microsoft team members to complete assigned tasks </w:t>
            </w:r>
          </w:p>
          <w:p w14:paraId="22A8764C" w14:textId="77777777" w:rsidR="00D00A40" w:rsidRPr="00D00A40" w:rsidRDefault="00D00A40" w:rsidP="00D00A40">
            <w:pPr>
              <w:pStyle w:val="Bulletlist"/>
              <w:ind w:left="245" w:hanging="245"/>
              <w:rPr>
                <w:rFonts w:eastAsia="MS Mincho" w:cs="Arial"/>
                <w:szCs w:val="20"/>
                <w:lang w:eastAsia="en-AU"/>
              </w:rPr>
            </w:pPr>
            <w:r w:rsidRPr="00D00A40">
              <w:rPr>
                <w:rFonts w:eastAsia="MS Mincho" w:cs="Arial"/>
                <w:szCs w:val="20"/>
                <w:lang w:eastAsia="en-AU"/>
              </w:rPr>
              <w:t>Gathers and assembles all project deliverables</w:t>
            </w:r>
          </w:p>
          <w:p w14:paraId="33CF0160" w14:textId="77777777" w:rsidR="00D00A40" w:rsidRPr="00D00A40" w:rsidRDefault="00D00A40" w:rsidP="00D00A40">
            <w:pPr>
              <w:pStyle w:val="Bulletlist"/>
              <w:ind w:left="245" w:hanging="245"/>
              <w:rPr>
                <w:rFonts w:eastAsia="MS Mincho" w:cs="Arial"/>
                <w:szCs w:val="20"/>
                <w:lang w:eastAsia="en-AU"/>
              </w:rPr>
            </w:pPr>
            <w:r w:rsidRPr="00D00A40">
              <w:rPr>
                <w:rFonts w:eastAsia="MS Mincho" w:cs="Arial"/>
                <w:szCs w:val="20"/>
                <w:lang w:eastAsia="en-AU"/>
              </w:rPr>
              <w:t>Gathers and assembles all project management plans, project status reports, and project performance reports</w:t>
            </w:r>
          </w:p>
          <w:p w14:paraId="27748975" w14:textId="77777777" w:rsidR="00D00A40" w:rsidRPr="00D00A40" w:rsidRDefault="00D00A40" w:rsidP="00D00A40">
            <w:pPr>
              <w:pStyle w:val="Bulletlist"/>
              <w:ind w:left="245" w:hanging="245"/>
              <w:rPr>
                <w:rFonts w:eastAsia="MS Mincho" w:cs="Arial"/>
                <w:szCs w:val="20"/>
                <w:lang w:eastAsia="en-AU"/>
              </w:rPr>
            </w:pPr>
            <w:r w:rsidRPr="00D00A40">
              <w:rPr>
                <w:rFonts w:eastAsia="MS Mincho" w:cs="Arial"/>
                <w:szCs w:val="20"/>
                <w:lang w:eastAsia="en-AU"/>
              </w:rPr>
              <w:t>Is responsible for managing and coordinating the Microsoft activities within the overall plan</w:t>
            </w:r>
          </w:p>
          <w:p w14:paraId="3CCA0F37" w14:textId="77777777" w:rsidR="00D00A40" w:rsidRPr="00D00A40" w:rsidRDefault="00D00A40" w:rsidP="00D00A40">
            <w:pPr>
              <w:pStyle w:val="Bulletlist"/>
              <w:ind w:left="245" w:hanging="245"/>
              <w:rPr>
                <w:rFonts w:eastAsia="MS Mincho" w:cs="Arial"/>
                <w:szCs w:val="20"/>
                <w:lang w:eastAsia="en-AU"/>
              </w:rPr>
            </w:pPr>
            <w:r w:rsidRPr="00D00A40">
              <w:rPr>
                <w:rFonts w:eastAsia="MS Mincho" w:cs="Arial"/>
                <w:szCs w:val="20"/>
                <w:lang w:eastAsia="en-AU"/>
              </w:rPr>
              <w:t>Manages day-to-day Microsoft activities in the project</w:t>
            </w:r>
          </w:p>
          <w:p w14:paraId="2EB69649" w14:textId="77777777" w:rsidR="00D00A40" w:rsidRPr="00F41206" w:rsidRDefault="00D00A40" w:rsidP="00D00A40">
            <w:pPr>
              <w:pStyle w:val="Bulletlist"/>
              <w:ind w:left="245" w:hanging="245"/>
              <w:rPr>
                <w:rFonts w:eastAsia="MS Mincho" w:cs="Arial"/>
                <w:szCs w:val="20"/>
                <w:lang w:eastAsia="en-AU"/>
              </w:rPr>
            </w:pPr>
            <w:r w:rsidRPr="00D00A40">
              <w:rPr>
                <w:rFonts w:eastAsia="MS Mincho" w:cs="Arial"/>
                <w:szCs w:val="20"/>
                <w:lang w:eastAsia="en-AU"/>
              </w:rPr>
              <w:t>Coordinates the activities of the Microsoft team to facilitate deliverables according to the project schedule</w:t>
            </w:r>
          </w:p>
          <w:p w14:paraId="7528A32B" w14:textId="77777777" w:rsidR="00D00A40" w:rsidRDefault="00D00A40" w:rsidP="00D00A40">
            <w:pPr>
              <w:pStyle w:val="Bulletlist"/>
              <w:ind w:left="245" w:hanging="245"/>
              <w:rPr>
                <w:rFonts w:eastAsia="MS Mincho" w:cs="Arial"/>
                <w:szCs w:val="20"/>
                <w:lang w:eastAsia="en-AU"/>
              </w:rPr>
            </w:pPr>
            <w:r w:rsidRPr="00D00A40">
              <w:rPr>
                <w:rFonts w:eastAsia="MS Mincho" w:cs="Arial"/>
                <w:szCs w:val="20"/>
                <w:lang w:eastAsia="en-AU"/>
              </w:rPr>
              <w:t>Is responsible for Microsoft resource management, risk management, project priorities, and communication to executive management</w:t>
            </w:r>
          </w:p>
          <w:p w14:paraId="603E13CB" w14:textId="77777777" w:rsidR="00AE7D37" w:rsidRPr="00D00A40" w:rsidRDefault="00AE7D37" w:rsidP="00AE7D37">
            <w:pPr>
              <w:pStyle w:val="Bulletlist"/>
              <w:ind w:left="245" w:hanging="245"/>
              <w:rPr>
                <w:rFonts w:eastAsia="MS Mincho" w:cs="Arial"/>
                <w:szCs w:val="20"/>
                <w:lang w:eastAsia="en-AU"/>
              </w:rPr>
            </w:pPr>
            <w:r w:rsidRPr="00D00A40">
              <w:rPr>
                <w:rFonts w:eastAsia="MS Mincho" w:cs="Arial"/>
                <w:szCs w:val="20"/>
                <w:lang w:eastAsia="en-AU"/>
              </w:rPr>
              <w:t>Facilitates project reviews</w:t>
            </w:r>
          </w:p>
          <w:p w14:paraId="488A35F3" w14:textId="77777777" w:rsidR="00AE7D37" w:rsidRPr="00D00A40" w:rsidRDefault="00AE7D37" w:rsidP="00AE7D37">
            <w:pPr>
              <w:pStyle w:val="Bulletlist"/>
              <w:ind w:left="245" w:hanging="245"/>
              <w:rPr>
                <w:rFonts w:eastAsia="MS Mincho" w:cs="Arial"/>
                <w:szCs w:val="20"/>
                <w:lang w:eastAsia="en-AU"/>
              </w:rPr>
            </w:pPr>
            <w:r w:rsidRPr="00D00A40">
              <w:rPr>
                <w:rFonts w:eastAsia="MS Mincho" w:cs="Arial"/>
                <w:szCs w:val="20"/>
                <w:lang w:eastAsia="en-AU"/>
              </w:rPr>
              <w:t>Is responsible for Microsoft resource allocation</w:t>
            </w:r>
          </w:p>
          <w:p w14:paraId="794497FF" w14:textId="2D4E18DE" w:rsidR="00AE7D37" w:rsidRPr="00D00A40" w:rsidRDefault="00AE7D37" w:rsidP="00AE7D37">
            <w:pPr>
              <w:pStyle w:val="Bulletlist"/>
              <w:ind w:left="245" w:hanging="245"/>
              <w:rPr>
                <w:rFonts w:eastAsia="MS Mincho" w:cs="Arial"/>
                <w:szCs w:val="20"/>
                <w:lang w:eastAsia="en-AU"/>
              </w:rPr>
            </w:pPr>
            <w:r w:rsidRPr="00D00A40">
              <w:rPr>
                <w:rFonts w:eastAsia="MS Mincho" w:cs="Arial"/>
                <w:szCs w:val="20"/>
                <w:lang w:eastAsia="en-AU"/>
              </w:rPr>
              <w:t>Facilitates project governance activities and provides advice and guidance on project direction and scope</w:t>
            </w:r>
          </w:p>
          <w:p w14:paraId="5836C72A" w14:textId="19D2C87F" w:rsidR="00AE7D37" w:rsidRPr="00D00A40" w:rsidRDefault="004010DF" w:rsidP="00AE7D37">
            <w:pPr>
              <w:pStyle w:val="Bulletlist"/>
              <w:ind w:left="245" w:hanging="245"/>
              <w:rPr>
                <w:rFonts w:eastAsia="MS Mincho" w:cs="Arial"/>
                <w:szCs w:val="20"/>
                <w:lang w:eastAsia="en-AU"/>
              </w:rPr>
            </w:pPr>
            <w:r>
              <w:rPr>
                <w:rFonts w:eastAsia="MS Mincho" w:cs="Arial"/>
                <w:szCs w:val="20"/>
                <w:lang w:eastAsia="en-AU"/>
              </w:rPr>
              <w:t>Responsible for s</w:t>
            </w:r>
            <w:r w:rsidR="00AE7D37" w:rsidRPr="00D00A40">
              <w:rPr>
                <w:rFonts w:eastAsia="MS Mincho" w:cs="Arial"/>
                <w:szCs w:val="20"/>
                <w:lang w:eastAsia="en-AU"/>
              </w:rPr>
              <w:t>takeholder communication issue resolution and escalation</w:t>
            </w:r>
          </w:p>
        </w:tc>
      </w:tr>
      <w:tr w:rsidR="00D00A40" w:rsidRPr="005F3BAF" w14:paraId="002389B8" w14:textId="77777777" w:rsidTr="003C7BC0">
        <w:trPr>
          <w:gridAfter w:val="1"/>
          <w:wAfter w:w="18" w:type="dxa"/>
          <w:trHeight w:val="441"/>
        </w:trPr>
        <w:tc>
          <w:tcPr>
            <w:tcW w:w="1982" w:type="dxa"/>
            <w:shd w:val="clear" w:color="auto" w:fill="auto"/>
          </w:tcPr>
          <w:p w14:paraId="204155D1" w14:textId="76B5B43E" w:rsidR="00D00A40" w:rsidRDefault="00AD343D" w:rsidP="00D00A40">
            <w:pPr>
              <w:pStyle w:val="TableText"/>
            </w:pPr>
            <w:r>
              <w:rPr>
                <w:rFonts w:eastAsia="MS Mincho" w:cs="Arial"/>
                <w:lang w:eastAsia="en-AU"/>
              </w:rPr>
              <w:t>Project</w:t>
            </w:r>
            <w:r w:rsidR="00D00A40" w:rsidRPr="00E31ED6">
              <w:rPr>
                <w:rFonts w:eastAsia="MS Mincho" w:cs="Arial"/>
                <w:lang w:eastAsia="en-AU"/>
              </w:rPr>
              <w:t xml:space="preserve"> Architect</w:t>
            </w:r>
          </w:p>
        </w:tc>
        <w:tc>
          <w:tcPr>
            <w:tcW w:w="7360" w:type="dxa"/>
            <w:shd w:val="clear" w:color="auto" w:fill="FFFFFF" w:themeFill="background1"/>
          </w:tcPr>
          <w:p w14:paraId="697CCD67" w14:textId="77777777" w:rsidR="002A4641" w:rsidRDefault="002A4641" w:rsidP="00D00A40">
            <w:pPr>
              <w:pStyle w:val="Bulletlist"/>
              <w:ind w:left="245" w:hanging="245"/>
              <w:rPr>
                <w:rFonts w:eastAsia="MS Mincho" w:cs="Arial"/>
                <w:szCs w:val="20"/>
                <w:lang w:eastAsia="en-AU"/>
              </w:rPr>
            </w:pPr>
            <w:r>
              <w:rPr>
                <w:rFonts w:eastAsia="MS Mincho" w:cs="Arial"/>
                <w:szCs w:val="20"/>
                <w:lang w:eastAsia="en-AU"/>
              </w:rPr>
              <w:t>Design the migration</w:t>
            </w:r>
          </w:p>
          <w:p w14:paraId="340F23C0" w14:textId="6D296E63" w:rsidR="00D00A40" w:rsidRPr="00D00A40" w:rsidRDefault="00D00A40" w:rsidP="00D00A40">
            <w:pPr>
              <w:pStyle w:val="Bulletlist"/>
              <w:ind w:left="245" w:hanging="245"/>
              <w:rPr>
                <w:rFonts w:eastAsia="MS Mincho" w:cs="Arial"/>
                <w:szCs w:val="20"/>
                <w:lang w:eastAsia="en-AU"/>
              </w:rPr>
            </w:pPr>
            <w:r w:rsidRPr="00D00A40">
              <w:rPr>
                <w:rFonts w:eastAsia="MS Mincho" w:cs="Arial"/>
                <w:szCs w:val="20"/>
                <w:lang w:eastAsia="en-AU"/>
              </w:rPr>
              <w:t>Verifies that Microsoft recommended practices are followed</w:t>
            </w:r>
          </w:p>
          <w:p w14:paraId="0585FC0F" w14:textId="62D783A2" w:rsidR="00D00A40" w:rsidRPr="00D00A40" w:rsidRDefault="00D00A40" w:rsidP="00D00A40">
            <w:pPr>
              <w:pStyle w:val="Bulletlist"/>
              <w:ind w:left="245" w:hanging="245"/>
              <w:rPr>
                <w:rFonts w:eastAsia="MS Mincho" w:cs="Arial"/>
                <w:szCs w:val="20"/>
                <w:lang w:eastAsia="en-AU"/>
              </w:rPr>
            </w:pPr>
            <w:r w:rsidRPr="00D00A40">
              <w:rPr>
                <w:rFonts w:eastAsia="MS Mincho" w:cs="Arial"/>
                <w:szCs w:val="20"/>
                <w:lang w:eastAsia="en-AU"/>
              </w:rPr>
              <w:t>Architectural/technical oversight, guidance</w:t>
            </w:r>
            <w:r>
              <w:rPr>
                <w:rFonts w:eastAsia="MS Mincho" w:cs="Arial"/>
                <w:szCs w:val="20"/>
                <w:lang w:eastAsia="en-AU"/>
              </w:rPr>
              <w:t>, and</w:t>
            </w:r>
            <w:r w:rsidRPr="00D00A40">
              <w:rPr>
                <w:rFonts w:eastAsia="MS Mincho" w:cs="Arial"/>
                <w:szCs w:val="20"/>
                <w:lang w:eastAsia="en-AU"/>
              </w:rPr>
              <w:t xml:space="preserve"> review</w:t>
            </w:r>
          </w:p>
        </w:tc>
      </w:tr>
      <w:tr w:rsidR="00D00A40" w:rsidRPr="005F3BAF" w14:paraId="77482D7C" w14:textId="77777777" w:rsidTr="003C7BC0">
        <w:trPr>
          <w:gridAfter w:val="1"/>
          <w:wAfter w:w="18" w:type="dxa"/>
          <w:trHeight w:val="441"/>
        </w:trPr>
        <w:tc>
          <w:tcPr>
            <w:tcW w:w="1982" w:type="dxa"/>
            <w:shd w:val="clear" w:color="auto" w:fill="auto"/>
          </w:tcPr>
          <w:p w14:paraId="5B37CE5E" w14:textId="3804A2F7" w:rsidR="00D00A40" w:rsidRDefault="006941C1" w:rsidP="00D00A40">
            <w:pPr>
              <w:pStyle w:val="TableText"/>
            </w:pPr>
            <w:r>
              <w:rPr>
                <w:rFonts w:eastAsia="MS Mincho" w:cs="Arial"/>
                <w:lang w:eastAsia="en-AU"/>
              </w:rPr>
              <w:t>Lead Migration</w:t>
            </w:r>
            <w:r w:rsidRPr="002A55C1">
              <w:rPr>
                <w:rFonts w:eastAsia="MS Mincho" w:cs="Arial"/>
                <w:lang w:eastAsia="en-AU"/>
              </w:rPr>
              <w:t xml:space="preserve"> </w:t>
            </w:r>
            <w:r w:rsidR="00D00A40">
              <w:rPr>
                <w:rFonts w:eastAsia="MS Mincho" w:cs="Arial"/>
                <w:lang w:eastAsia="en-AU"/>
              </w:rPr>
              <w:t>C</w:t>
            </w:r>
            <w:r w:rsidR="00D00A40" w:rsidRPr="002A55C1">
              <w:rPr>
                <w:rFonts w:eastAsia="MS Mincho" w:cs="Arial"/>
                <w:lang w:eastAsia="en-AU"/>
              </w:rPr>
              <w:t>onsultant</w:t>
            </w:r>
          </w:p>
        </w:tc>
        <w:tc>
          <w:tcPr>
            <w:tcW w:w="7360" w:type="dxa"/>
            <w:shd w:val="clear" w:color="auto" w:fill="FFFFFF" w:themeFill="background1"/>
          </w:tcPr>
          <w:p w14:paraId="4F0D00F9" w14:textId="51852546" w:rsidR="00D00A40" w:rsidRPr="00E31ED6" w:rsidRDefault="00654341" w:rsidP="00D00A40">
            <w:pPr>
              <w:pStyle w:val="Bulletlist"/>
              <w:ind w:left="245" w:hanging="245"/>
              <w:rPr>
                <w:rFonts w:eastAsia="MS Mincho" w:cs="Arial"/>
                <w:szCs w:val="20"/>
                <w:lang w:eastAsia="en-AU"/>
              </w:rPr>
            </w:pPr>
            <w:r>
              <w:rPr>
                <w:rFonts w:eastAsia="MS Mincho" w:cs="Arial"/>
                <w:szCs w:val="20"/>
                <w:lang w:eastAsia="en-AU"/>
              </w:rPr>
              <w:t>Execute activities described in the SOW</w:t>
            </w:r>
          </w:p>
          <w:p w14:paraId="40EB3995" w14:textId="77777777" w:rsidR="00D00A40" w:rsidRPr="00D00A40" w:rsidRDefault="00D00A40" w:rsidP="00D00A40">
            <w:pPr>
              <w:pStyle w:val="Bulletlist"/>
              <w:ind w:left="245" w:hanging="245"/>
              <w:rPr>
                <w:rFonts w:eastAsia="MS Mincho" w:cs="Arial"/>
                <w:szCs w:val="20"/>
                <w:lang w:eastAsia="en-AU"/>
              </w:rPr>
            </w:pPr>
            <w:r w:rsidRPr="00E31ED6">
              <w:rPr>
                <w:rFonts w:eastAsia="MS Mincho" w:cs="Arial"/>
                <w:szCs w:val="20"/>
                <w:lang w:eastAsia="en-AU"/>
              </w:rPr>
              <w:t>Implements migration setup activities</w:t>
            </w:r>
          </w:p>
          <w:p w14:paraId="06F4C577" w14:textId="1B0CDCE7" w:rsidR="00D00A40" w:rsidRPr="00D00A40" w:rsidRDefault="00D00A40" w:rsidP="00D00A40">
            <w:pPr>
              <w:pStyle w:val="Bulletlist"/>
              <w:ind w:left="245" w:hanging="245"/>
              <w:rPr>
                <w:rFonts w:eastAsia="MS Mincho" w:cs="Arial"/>
                <w:szCs w:val="20"/>
                <w:lang w:eastAsia="en-AU"/>
              </w:rPr>
            </w:pPr>
            <w:r w:rsidRPr="00E31ED6">
              <w:rPr>
                <w:rFonts w:eastAsia="MS Mincho" w:cs="Arial"/>
                <w:szCs w:val="20"/>
                <w:lang w:eastAsia="en-AU"/>
              </w:rPr>
              <w:t xml:space="preserve">Assists in planning the migration, creating job design patterns, and </w:t>
            </w:r>
            <w:r>
              <w:rPr>
                <w:rFonts w:eastAsia="MS Mincho" w:cs="Arial"/>
                <w:szCs w:val="20"/>
                <w:lang w:eastAsia="en-AU"/>
              </w:rPr>
              <w:t>triaging</w:t>
            </w:r>
            <w:r w:rsidRPr="00E31ED6">
              <w:rPr>
                <w:rFonts w:eastAsia="MS Mincho" w:cs="Arial"/>
                <w:szCs w:val="20"/>
                <w:lang w:eastAsia="en-AU"/>
              </w:rPr>
              <w:t xml:space="preserve"> content remediations</w:t>
            </w:r>
          </w:p>
        </w:tc>
      </w:tr>
      <w:tr w:rsidR="00D00A40" w:rsidRPr="005F3BAF" w14:paraId="0ACF8677" w14:textId="77777777" w:rsidTr="003C7BC0">
        <w:trPr>
          <w:gridAfter w:val="1"/>
          <w:wAfter w:w="18" w:type="dxa"/>
          <w:trHeight w:val="441"/>
        </w:trPr>
        <w:tc>
          <w:tcPr>
            <w:tcW w:w="1982" w:type="dxa"/>
            <w:shd w:val="clear" w:color="auto" w:fill="auto"/>
          </w:tcPr>
          <w:p w14:paraId="08AA5E86" w14:textId="5783403D" w:rsidR="00D00A40" w:rsidRDefault="00D00A40" w:rsidP="00D00A40">
            <w:pPr>
              <w:pStyle w:val="TableText"/>
            </w:pPr>
            <w:r w:rsidRPr="002A55C1">
              <w:rPr>
                <w:rFonts w:eastAsia="MS Mincho" w:cs="Arial"/>
                <w:lang w:eastAsia="en-AU"/>
              </w:rPr>
              <w:lastRenderedPageBreak/>
              <w:t>Offsite migration team</w:t>
            </w:r>
          </w:p>
        </w:tc>
        <w:tc>
          <w:tcPr>
            <w:tcW w:w="7360" w:type="dxa"/>
            <w:shd w:val="clear" w:color="auto" w:fill="FFFFFF" w:themeFill="background1"/>
          </w:tcPr>
          <w:p w14:paraId="0AF8EE02" w14:textId="61445872" w:rsidR="00D00A40" w:rsidRPr="00D00A40" w:rsidRDefault="00D00A40" w:rsidP="00D00A40">
            <w:pPr>
              <w:pStyle w:val="Bulletlist"/>
              <w:ind w:left="245" w:hanging="245"/>
              <w:rPr>
                <w:rFonts w:eastAsia="MS Mincho" w:cs="Arial"/>
                <w:szCs w:val="20"/>
                <w:lang w:eastAsia="en-AU"/>
              </w:rPr>
            </w:pPr>
            <w:r>
              <w:rPr>
                <w:rFonts w:eastAsia="MS Mincho" w:cs="Arial"/>
                <w:szCs w:val="20"/>
                <w:lang w:eastAsia="en-AU"/>
              </w:rPr>
              <w:t>R</w:t>
            </w:r>
            <w:r w:rsidRPr="002A55C1">
              <w:rPr>
                <w:rFonts w:eastAsia="MS Mincho" w:cs="Arial"/>
                <w:szCs w:val="20"/>
                <w:lang w:eastAsia="en-AU"/>
              </w:rPr>
              <w:t xml:space="preserve">esponsible for running the migration environment and remediating specific </w:t>
            </w:r>
            <w:r>
              <w:rPr>
                <w:rFonts w:eastAsia="MS Mincho" w:cs="Arial"/>
                <w:szCs w:val="20"/>
                <w:lang w:eastAsia="en-AU"/>
              </w:rPr>
              <w:t>issues identified by users</w:t>
            </w:r>
          </w:p>
        </w:tc>
      </w:tr>
    </w:tbl>
    <w:p w14:paraId="5836C72C" w14:textId="77777777" w:rsidR="0089268B" w:rsidRDefault="0089268B" w:rsidP="0089268B">
      <w:pPr>
        <w:pStyle w:val="Heading1"/>
      </w:pPr>
      <w:bookmarkStart w:id="71" w:name="_Toc476167714"/>
      <w:bookmarkStart w:id="72" w:name="_Toc476168052"/>
      <w:bookmarkStart w:id="73" w:name="_Toc7701772"/>
      <w:r>
        <w:t>Customer responsibilities and project assumptions</w:t>
      </w:r>
      <w:bookmarkEnd w:id="71"/>
      <w:bookmarkEnd w:id="72"/>
      <w:bookmarkEnd w:id="73"/>
    </w:p>
    <w:p w14:paraId="5836C72D" w14:textId="77777777" w:rsidR="002F1155" w:rsidRPr="00D30E59" w:rsidRDefault="00737D61" w:rsidP="00737D61">
      <w:pPr>
        <w:pStyle w:val="Heading2"/>
      </w:pPr>
      <w:bookmarkStart w:id="74" w:name="_Toc476167715"/>
      <w:bookmarkStart w:id="75" w:name="_Toc476168053"/>
      <w:bookmarkStart w:id="76" w:name="_Toc7701773"/>
      <w:r w:rsidRPr="00D30E59">
        <w:t>Customer responsibilities</w:t>
      </w:r>
      <w:bookmarkEnd w:id="74"/>
      <w:bookmarkEnd w:id="75"/>
      <w:bookmarkEnd w:id="76"/>
    </w:p>
    <w:p w14:paraId="5836C72F" w14:textId="7A9D662C" w:rsidR="00737D61" w:rsidRDefault="00737D61" w:rsidP="00AC1B81">
      <w:r>
        <w:t>In addition to</w:t>
      </w:r>
      <w:r w:rsidR="0015000E">
        <w:t xml:space="preserve"> the</w:t>
      </w:r>
      <w:r>
        <w:t xml:space="preserve"> </w:t>
      </w:r>
      <w:r w:rsidR="0015000E">
        <w:t>c</w:t>
      </w:r>
      <w:r>
        <w:t xml:space="preserve">ustomer activities defined </w:t>
      </w:r>
      <w:r w:rsidR="00A67A54">
        <w:t xml:space="preserve">in the </w:t>
      </w:r>
      <w:r w:rsidR="00C35540">
        <w:fldChar w:fldCharType="begin"/>
      </w:r>
      <w:r w:rsidR="00C35540">
        <w:instrText xml:space="preserve"> REF _Ref477936654 \h </w:instrText>
      </w:r>
      <w:r w:rsidR="00C35540">
        <w:fldChar w:fldCharType="separate"/>
      </w:r>
      <w:r w:rsidR="00812548">
        <w:t>Approach</w:t>
      </w:r>
      <w:r w:rsidR="00C35540">
        <w:fldChar w:fldCharType="end"/>
      </w:r>
      <w:r w:rsidR="00C35540">
        <w:t xml:space="preserve"> </w:t>
      </w:r>
      <w:r w:rsidR="00A67A54">
        <w:t xml:space="preserve">section, </w:t>
      </w:r>
      <w:r>
        <w:t xml:space="preserve">the </w:t>
      </w:r>
      <w:r w:rsidR="0015000E">
        <w:t>c</w:t>
      </w:r>
      <w:r>
        <w:t>ustomer is also required to</w:t>
      </w:r>
      <w:r w:rsidR="00CE5B67">
        <w:t>:</w:t>
      </w:r>
      <w:r>
        <w:t xml:space="preserve"> </w:t>
      </w:r>
    </w:p>
    <w:p w14:paraId="5836C730" w14:textId="0B417279" w:rsidR="00CE5B67" w:rsidRDefault="00CE5B67" w:rsidP="0015000E">
      <w:pPr>
        <w:pStyle w:val="Bulletlist"/>
        <w:ind w:left="270" w:hanging="270"/>
      </w:pPr>
      <w:r>
        <w:t>Provide i</w:t>
      </w:r>
      <w:r w:rsidRPr="006679AB">
        <w:t>nformation</w:t>
      </w:r>
      <w:r w:rsidR="0060052B">
        <w:t xml:space="preserve">: </w:t>
      </w:r>
    </w:p>
    <w:p w14:paraId="5836C731" w14:textId="77777777" w:rsidR="004D04B9" w:rsidRPr="006679AB" w:rsidRDefault="00CE5B67" w:rsidP="001C222C">
      <w:pPr>
        <w:pStyle w:val="Bulletlist"/>
        <w:numPr>
          <w:ilvl w:val="1"/>
          <w:numId w:val="5"/>
        </w:numPr>
      </w:pPr>
      <w:r>
        <w:t>This includes a</w:t>
      </w:r>
      <w:r w:rsidRPr="006679AB">
        <w:t>ccurate</w:t>
      </w:r>
      <w:r>
        <w:t xml:space="preserve">, </w:t>
      </w:r>
      <w:r w:rsidR="004D04B9" w:rsidRPr="006679AB">
        <w:t>timely (within three business days or as mutually agreed</w:t>
      </w:r>
      <w:r>
        <w:t>-upon</w:t>
      </w:r>
      <w:r w:rsidR="004D04B9" w:rsidRPr="006679AB">
        <w:t>)</w:t>
      </w:r>
      <w:r>
        <w:t>,</w:t>
      </w:r>
      <w:r w:rsidR="004D04B9" w:rsidRPr="006679AB">
        <w:t xml:space="preserve"> and complete information</w:t>
      </w:r>
      <w:r w:rsidR="00636B13" w:rsidRPr="006679AB">
        <w:t>.</w:t>
      </w:r>
    </w:p>
    <w:p w14:paraId="5836C732" w14:textId="77777777" w:rsidR="005D19D2" w:rsidRDefault="005D19D2" w:rsidP="0015000E">
      <w:pPr>
        <w:pStyle w:val="Bulletlist"/>
        <w:ind w:left="270" w:hanging="270"/>
      </w:pPr>
      <w:r>
        <w:t>Provide a</w:t>
      </w:r>
      <w:r w:rsidRPr="006679AB">
        <w:t xml:space="preserve">ccess </w:t>
      </w:r>
      <w:r w:rsidR="004D04B9" w:rsidRPr="006679AB">
        <w:t>to people and resources</w:t>
      </w:r>
      <w:r>
        <w:t xml:space="preserve">. </w:t>
      </w:r>
    </w:p>
    <w:p w14:paraId="5836C733" w14:textId="7C63D736" w:rsidR="004D04B9" w:rsidRDefault="005D19D2" w:rsidP="001C222C">
      <w:pPr>
        <w:pStyle w:val="Bulletlist"/>
        <w:numPr>
          <w:ilvl w:val="1"/>
          <w:numId w:val="5"/>
        </w:numPr>
      </w:pPr>
      <w:r>
        <w:t>This includes a</w:t>
      </w:r>
      <w:r w:rsidR="004D04B9" w:rsidRPr="006679AB">
        <w:t>ccess to</w:t>
      </w:r>
      <w:r w:rsidR="000D3733">
        <w:t>, and participation by,</w:t>
      </w:r>
      <w:r w:rsidR="004D04B9" w:rsidRPr="006679AB">
        <w:t xml:space="preserve"> knowledgeable </w:t>
      </w:r>
      <w:r w:rsidR="0015000E">
        <w:t>c</w:t>
      </w:r>
      <w:r w:rsidR="00A26C0D">
        <w:t>ustomer</w:t>
      </w:r>
      <w:r w:rsidR="004D04B9" w:rsidRPr="006679AB">
        <w:t xml:space="preserve"> personnel, including business user representatives, and access to funding </w:t>
      </w:r>
      <w:r>
        <w:t>if</w:t>
      </w:r>
      <w:r w:rsidRPr="006679AB">
        <w:t xml:space="preserve"> </w:t>
      </w:r>
      <w:r w:rsidR="004D04B9" w:rsidRPr="006679AB">
        <w:t xml:space="preserve">additional budget is </w:t>
      </w:r>
      <w:r>
        <w:t>needed</w:t>
      </w:r>
      <w:r w:rsidRPr="006679AB">
        <w:t xml:space="preserve"> </w:t>
      </w:r>
      <w:r w:rsidR="004D04B9" w:rsidRPr="006679AB">
        <w:t>to deliver project scope.</w:t>
      </w:r>
    </w:p>
    <w:p w14:paraId="5836C734" w14:textId="77777777" w:rsidR="005D19D2" w:rsidRDefault="005D19D2" w:rsidP="0015000E">
      <w:pPr>
        <w:pStyle w:val="Bulletlist"/>
        <w:ind w:left="270" w:hanging="270"/>
      </w:pPr>
      <w:r>
        <w:t>Provide a</w:t>
      </w:r>
      <w:r w:rsidRPr="006679AB">
        <w:t xml:space="preserve">ccess </w:t>
      </w:r>
      <w:r w:rsidR="004D04B9" w:rsidRPr="006679AB">
        <w:t>to systems</w:t>
      </w:r>
      <w:r>
        <w:t xml:space="preserve">. </w:t>
      </w:r>
    </w:p>
    <w:p w14:paraId="5836C735" w14:textId="7E1D19C1" w:rsidR="004D04B9" w:rsidRDefault="004D04B9" w:rsidP="001C222C">
      <w:pPr>
        <w:pStyle w:val="Bulletlist"/>
        <w:numPr>
          <w:ilvl w:val="1"/>
          <w:numId w:val="5"/>
        </w:numPr>
      </w:pPr>
      <w:r w:rsidRPr="006679AB">
        <w:t xml:space="preserve"> </w:t>
      </w:r>
      <w:r w:rsidR="005D19D2">
        <w:t>This includes a</w:t>
      </w:r>
      <w:r w:rsidRPr="006679AB">
        <w:t xml:space="preserve">ccess to all necessary </w:t>
      </w:r>
      <w:r w:rsidR="000D3733">
        <w:t>c</w:t>
      </w:r>
      <w:r w:rsidR="00A26C0D">
        <w:t>ustomer</w:t>
      </w:r>
      <w:r w:rsidRPr="006679AB">
        <w:t xml:space="preserve"> work locations, </w:t>
      </w:r>
      <w:r w:rsidR="000D3733">
        <w:t xml:space="preserve">data, </w:t>
      </w:r>
      <w:r w:rsidRPr="006679AB">
        <w:t>networks, systems</w:t>
      </w:r>
      <w:r w:rsidR="00C30D22">
        <w:t>,</w:t>
      </w:r>
      <w:r w:rsidRPr="006679AB">
        <w:t xml:space="preserve"> and applications (remote and onsite)</w:t>
      </w:r>
      <w:r w:rsidR="00636B13" w:rsidRPr="006679AB">
        <w:t>.</w:t>
      </w:r>
    </w:p>
    <w:p w14:paraId="3D72007E" w14:textId="403EA88A" w:rsidR="000D3733" w:rsidRDefault="000D3733" w:rsidP="000D3733">
      <w:pPr>
        <w:pStyle w:val="Bulletlist"/>
        <w:numPr>
          <w:ilvl w:val="1"/>
          <w:numId w:val="5"/>
        </w:numPr>
      </w:pPr>
      <w:r>
        <w:t xml:space="preserve">This includes help </w:t>
      </w:r>
      <w:r w:rsidRPr="00F41206">
        <w:t>configur</w:t>
      </w:r>
      <w:r>
        <w:t>ing</w:t>
      </w:r>
      <w:r w:rsidRPr="00F41206">
        <w:t xml:space="preserve"> hardware or software that is necessary for the construction of environments listed in Section 1.2.</w:t>
      </w:r>
      <w:r>
        <w:t>4</w:t>
      </w:r>
      <w:r w:rsidRPr="00F41206">
        <w:t>.</w:t>
      </w:r>
    </w:p>
    <w:p w14:paraId="3ED48D80" w14:textId="011DD046" w:rsidR="000D3733" w:rsidRPr="006679AB" w:rsidRDefault="000D3733" w:rsidP="000D3733">
      <w:pPr>
        <w:pStyle w:val="Bulletlist"/>
        <w:numPr>
          <w:ilvl w:val="1"/>
          <w:numId w:val="5"/>
        </w:numPr>
      </w:pPr>
      <w:r>
        <w:t xml:space="preserve">This includes adherence </w:t>
      </w:r>
      <w:r w:rsidRPr="00F41206">
        <w:t>to the specified hardware, network, and software requirements outlined in the service descriptions.</w:t>
      </w:r>
    </w:p>
    <w:p w14:paraId="5836C736" w14:textId="77777777" w:rsidR="00C35540" w:rsidRDefault="00C35540" w:rsidP="0015000E">
      <w:pPr>
        <w:pStyle w:val="Bulletlist"/>
        <w:ind w:left="270" w:hanging="270"/>
      </w:pPr>
      <w:r>
        <w:t>Provide a w</w:t>
      </w:r>
      <w:r w:rsidRPr="006679AB">
        <w:t xml:space="preserve">ork </w:t>
      </w:r>
      <w:r w:rsidR="004D04B9" w:rsidRPr="006679AB">
        <w:t>environment</w:t>
      </w:r>
      <w:r>
        <w:t>.</w:t>
      </w:r>
    </w:p>
    <w:p w14:paraId="5836C737" w14:textId="4059DF05" w:rsidR="004D04B9" w:rsidRPr="006679AB" w:rsidRDefault="00C35540" w:rsidP="001C222C">
      <w:pPr>
        <w:pStyle w:val="Bulletlist"/>
        <w:numPr>
          <w:ilvl w:val="1"/>
          <w:numId w:val="5"/>
        </w:numPr>
      </w:pPr>
      <w:r>
        <w:t>This consists of s</w:t>
      </w:r>
      <w:r w:rsidRPr="006679AB">
        <w:t xml:space="preserve">uitable </w:t>
      </w:r>
      <w:r w:rsidR="002D1438" w:rsidRPr="006679AB">
        <w:t>workspaces</w:t>
      </w:r>
      <w:r w:rsidR="004D04B9" w:rsidRPr="006679AB">
        <w:t>, including desk</w:t>
      </w:r>
      <w:r>
        <w:t>s</w:t>
      </w:r>
      <w:r w:rsidR="004D04B9" w:rsidRPr="006679AB">
        <w:t>, chair</w:t>
      </w:r>
      <w:r>
        <w:t>s</w:t>
      </w:r>
      <w:r w:rsidR="004D04B9" w:rsidRPr="006679AB">
        <w:t xml:space="preserve">, </w:t>
      </w:r>
      <w:r>
        <w:t>and I</w:t>
      </w:r>
      <w:r w:rsidRPr="006679AB">
        <w:t xml:space="preserve">nternet </w:t>
      </w:r>
      <w:r w:rsidR="004D04B9" w:rsidRPr="006679AB">
        <w:t>access</w:t>
      </w:r>
      <w:r w:rsidR="00A26C0D">
        <w:t>.</w:t>
      </w:r>
    </w:p>
    <w:p w14:paraId="5836C738" w14:textId="77777777" w:rsidR="00C35540" w:rsidRDefault="00C35540" w:rsidP="0015000E">
      <w:pPr>
        <w:pStyle w:val="Bulletlist"/>
        <w:ind w:left="270" w:hanging="270"/>
      </w:pPr>
      <w:r>
        <w:t>Manage n</w:t>
      </w:r>
      <w:r w:rsidRPr="006679AB">
        <w:t>on</w:t>
      </w:r>
      <w:r w:rsidR="004D04B9" w:rsidRPr="006679AB">
        <w:t>-Microsoft resources</w:t>
      </w:r>
      <w:r>
        <w:t>.</w:t>
      </w:r>
    </w:p>
    <w:p w14:paraId="5836C739" w14:textId="6A20AAAF" w:rsidR="004D04B9" w:rsidRPr="006679AB" w:rsidRDefault="006679AB" w:rsidP="001C222C">
      <w:pPr>
        <w:pStyle w:val="Bulletlist"/>
        <w:numPr>
          <w:ilvl w:val="1"/>
          <w:numId w:val="5"/>
        </w:numPr>
      </w:pPr>
      <w:r w:rsidRPr="006679AB">
        <w:t xml:space="preserve"> </w:t>
      </w:r>
      <w:r w:rsidR="004B1433">
        <w:t>The customer will a</w:t>
      </w:r>
      <w:r w:rsidR="004D04B9" w:rsidRPr="006679AB">
        <w:t>ssume respon</w:t>
      </w:r>
      <w:r w:rsidR="00112EB1" w:rsidRPr="006679AB">
        <w:t xml:space="preserve">sibility for </w:t>
      </w:r>
      <w:r w:rsidR="004B1433">
        <w:t xml:space="preserve">the </w:t>
      </w:r>
      <w:r w:rsidR="00112EB1" w:rsidRPr="006679AB">
        <w:t xml:space="preserve">management of all </w:t>
      </w:r>
      <w:r w:rsidR="0015000E">
        <w:t>c</w:t>
      </w:r>
      <w:r w:rsidR="00A26C0D">
        <w:t>ustomer</w:t>
      </w:r>
      <w:r w:rsidR="004D04B9" w:rsidRPr="006679AB">
        <w:t xml:space="preserve"> personnel and vendors </w:t>
      </w:r>
      <w:r w:rsidR="004B1433">
        <w:t xml:space="preserve">who are </w:t>
      </w:r>
      <w:r w:rsidR="004D04B9" w:rsidRPr="006679AB">
        <w:t>not managed by Microsoft</w:t>
      </w:r>
      <w:r w:rsidR="00636B13" w:rsidRPr="006679AB">
        <w:t>.</w:t>
      </w:r>
    </w:p>
    <w:p w14:paraId="5836C73A" w14:textId="77777777" w:rsidR="004B1433" w:rsidRDefault="004D04B9" w:rsidP="0015000E">
      <w:pPr>
        <w:pStyle w:val="Bulletlist"/>
        <w:ind w:left="270" w:hanging="270"/>
      </w:pPr>
      <w:r w:rsidRPr="006679AB">
        <w:t>Manage external dependencies</w:t>
      </w:r>
      <w:r w:rsidR="009E316D">
        <w:t>.</w:t>
      </w:r>
    </w:p>
    <w:p w14:paraId="5836C73B" w14:textId="77777777" w:rsidR="004D04B9" w:rsidRPr="006679AB" w:rsidRDefault="004B1433" w:rsidP="001C222C">
      <w:pPr>
        <w:pStyle w:val="Bulletlist"/>
        <w:numPr>
          <w:ilvl w:val="1"/>
          <w:numId w:val="5"/>
        </w:numPr>
      </w:pPr>
      <w:r>
        <w:t>The customer will f</w:t>
      </w:r>
      <w:r w:rsidR="004D04B9" w:rsidRPr="006679AB">
        <w:t xml:space="preserve">acilitate </w:t>
      </w:r>
      <w:r>
        <w:t xml:space="preserve">any </w:t>
      </w:r>
      <w:r w:rsidR="004D04B9" w:rsidRPr="006679AB">
        <w:t>interaction</w:t>
      </w:r>
      <w:r>
        <w:t>s</w:t>
      </w:r>
      <w:r w:rsidR="004D04B9" w:rsidRPr="006679AB">
        <w:t xml:space="preserve"> with related projects </w:t>
      </w:r>
      <w:r>
        <w:t>or</w:t>
      </w:r>
      <w:r w:rsidRPr="006679AB">
        <w:t xml:space="preserve"> </w:t>
      </w:r>
      <w:r w:rsidR="004D04B9" w:rsidRPr="006679AB">
        <w:t xml:space="preserve">programs </w:t>
      </w:r>
      <w:r>
        <w:t>in order to manage</w:t>
      </w:r>
      <w:r w:rsidRPr="006679AB">
        <w:t xml:space="preserve"> </w:t>
      </w:r>
      <w:r w:rsidR="004D04B9" w:rsidRPr="006679AB">
        <w:t xml:space="preserve">external </w:t>
      </w:r>
      <w:r w:rsidRPr="006679AB">
        <w:t xml:space="preserve">project </w:t>
      </w:r>
      <w:r w:rsidR="004D04B9" w:rsidRPr="006679AB">
        <w:t>dependencies.</w:t>
      </w:r>
    </w:p>
    <w:p w14:paraId="5836C73C" w14:textId="77777777" w:rsidR="007D3787" w:rsidRPr="00D30E59" w:rsidRDefault="007D3787" w:rsidP="007D3787">
      <w:pPr>
        <w:pStyle w:val="Heading2"/>
      </w:pPr>
      <w:bookmarkStart w:id="77" w:name="_Toc476167716"/>
      <w:bookmarkStart w:id="78" w:name="_Toc476168054"/>
      <w:bookmarkStart w:id="79" w:name="_Toc7701774"/>
      <w:r w:rsidRPr="00D30E59">
        <w:t xml:space="preserve">Project </w:t>
      </w:r>
      <w:bookmarkEnd w:id="77"/>
      <w:bookmarkEnd w:id="78"/>
      <w:r w:rsidR="006209A1" w:rsidRPr="00D30E59">
        <w:t>assumptions</w:t>
      </w:r>
      <w:bookmarkEnd w:id="79"/>
    </w:p>
    <w:p w14:paraId="5836C73E" w14:textId="655D4DE4" w:rsidR="00EC7993" w:rsidRDefault="007D3787" w:rsidP="00EC7993">
      <w:r>
        <w:t>The project sc</w:t>
      </w:r>
      <w:r w:rsidR="00884E0D">
        <w:t xml:space="preserve">ope, </w:t>
      </w:r>
      <w:r w:rsidR="00EF4391">
        <w:t>s</w:t>
      </w:r>
      <w:r w:rsidR="00EC7993">
        <w:t>ervices, fees, timeline</w:t>
      </w:r>
      <w:r w:rsidR="00A26C0D">
        <w:t>,</w:t>
      </w:r>
      <w:r w:rsidR="00EC7993">
        <w:t xml:space="preserve"> and our detailed solution are based on the information provided by the </w:t>
      </w:r>
      <w:r w:rsidR="0015000E">
        <w:t>c</w:t>
      </w:r>
      <w:r w:rsidR="00EC7993">
        <w:t xml:space="preserve">ustomer to date. During the </w:t>
      </w:r>
      <w:r w:rsidR="00397E85">
        <w:t>project</w:t>
      </w:r>
      <w:r w:rsidR="00EC7993">
        <w:t xml:space="preserve">, the information </w:t>
      </w:r>
      <w:r w:rsidR="00A213E3">
        <w:t xml:space="preserve">and assumptions </w:t>
      </w:r>
      <w:r w:rsidR="00C17EF0">
        <w:t xml:space="preserve">in this SOW </w:t>
      </w:r>
      <w:r w:rsidR="00EC7993">
        <w:t>will be validated</w:t>
      </w:r>
      <w:r w:rsidR="00E1732C">
        <w:t>,</w:t>
      </w:r>
      <w:r w:rsidR="00EC7993">
        <w:t xml:space="preserve"> and if a material difference is present, this </w:t>
      </w:r>
      <w:r w:rsidR="001C00BA">
        <w:t>could</w:t>
      </w:r>
      <w:r w:rsidR="007104D0">
        <w:t xml:space="preserve"> </w:t>
      </w:r>
      <w:r w:rsidR="00EC7993">
        <w:t xml:space="preserve">result in Microsoft </w:t>
      </w:r>
      <w:r w:rsidR="007104D0">
        <w:t xml:space="preserve">initiating </w:t>
      </w:r>
      <w:r w:rsidR="00EC7993">
        <w:t xml:space="preserve">a change request to cover additional work or extend </w:t>
      </w:r>
      <w:r w:rsidR="004B1433">
        <w:t xml:space="preserve">the project </w:t>
      </w:r>
      <w:r w:rsidR="00EC7993">
        <w:t>duration. In addition,</w:t>
      </w:r>
      <w:r w:rsidR="003313E4">
        <w:t xml:space="preserve"> the following </w:t>
      </w:r>
      <w:r w:rsidR="00EC7993">
        <w:t>assumptions have been made:</w:t>
      </w:r>
    </w:p>
    <w:p w14:paraId="5836C73F" w14:textId="7215ADD9" w:rsidR="003D158B" w:rsidRDefault="00CA757F" w:rsidP="0015000E">
      <w:pPr>
        <w:pStyle w:val="Bulletlist"/>
        <w:ind w:left="270" w:hanging="270"/>
      </w:pPr>
      <w:r>
        <w:t>Workday</w:t>
      </w:r>
      <w:r w:rsidR="000F1748">
        <w:t xml:space="preserve">: </w:t>
      </w:r>
    </w:p>
    <w:p w14:paraId="5836C740" w14:textId="50005FBC" w:rsidR="004D04B9" w:rsidRPr="006679AB" w:rsidRDefault="00BB19E5" w:rsidP="001C222C">
      <w:pPr>
        <w:pStyle w:val="Bulletlist"/>
        <w:numPr>
          <w:ilvl w:val="1"/>
          <w:numId w:val="5"/>
        </w:numPr>
      </w:pPr>
      <w:r>
        <w:t>T</w:t>
      </w:r>
      <w:r w:rsidR="007104D0" w:rsidRPr="006679AB">
        <w:t xml:space="preserve">he </w:t>
      </w:r>
      <w:r w:rsidR="004D04B9" w:rsidRPr="006679AB">
        <w:t xml:space="preserve">standard </w:t>
      </w:r>
      <w:r w:rsidR="00CA757F" w:rsidRPr="006679AB">
        <w:t>workday</w:t>
      </w:r>
      <w:r w:rsidR="004D04B9" w:rsidRPr="006679AB">
        <w:t xml:space="preserve"> for the Microsoft project team is between 8</w:t>
      </w:r>
      <w:r w:rsidR="007104D0">
        <w:t xml:space="preserve"> AM</w:t>
      </w:r>
      <w:r w:rsidR="007104D0" w:rsidRPr="006679AB">
        <w:t xml:space="preserve"> </w:t>
      </w:r>
      <w:r w:rsidR="004D04B9" w:rsidRPr="006679AB">
        <w:t>and 5</w:t>
      </w:r>
      <w:r w:rsidR="007104D0">
        <w:t xml:space="preserve"> PM</w:t>
      </w:r>
      <w:r w:rsidR="009E719B">
        <w:t>, Monday through Friday.</w:t>
      </w:r>
    </w:p>
    <w:p w14:paraId="5836C741" w14:textId="77777777" w:rsidR="009E719B" w:rsidRDefault="009E719B" w:rsidP="0015000E">
      <w:pPr>
        <w:pStyle w:val="Bulletlist"/>
        <w:ind w:left="270" w:hanging="270"/>
      </w:pPr>
      <w:r>
        <w:t>Standard holidays:</w:t>
      </w:r>
    </w:p>
    <w:p w14:paraId="5836C742" w14:textId="77777777" w:rsidR="009E719B" w:rsidRPr="006679AB" w:rsidRDefault="009E719B" w:rsidP="001C222C">
      <w:pPr>
        <w:pStyle w:val="Bulletlist"/>
        <w:numPr>
          <w:ilvl w:val="1"/>
          <w:numId w:val="5"/>
        </w:numPr>
      </w:pPr>
      <w:r>
        <w:lastRenderedPageBreak/>
        <w:t>O</w:t>
      </w:r>
      <w:r w:rsidRPr="006679AB">
        <w:t xml:space="preserve">bservance of </w:t>
      </w:r>
      <w:r>
        <w:t>c</w:t>
      </w:r>
      <w:r w:rsidRPr="006679AB">
        <w:t xml:space="preserve">onsultants’ </w:t>
      </w:r>
      <w:r>
        <w:t>c</w:t>
      </w:r>
      <w:r w:rsidRPr="006679AB">
        <w:t>ountry-of-</w:t>
      </w:r>
      <w:r>
        <w:t>r</w:t>
      </w:r>
      <w:r w:rsidRPr="006679AB">
        <w:t>esidence holidays is assumed and has been factored into the project timeline.</w:t>
      </w:r>
    </w:p>
    <w:p w14:paraId="5836C743" w14:textId="77777777" w:rsidR="003D158B" w:rsidRDefault="003D158B" w:rsidP="0015000E">
      <w:pPr>
        <w:pStyle w:val="Bulletlist"/>
        <w:ind w:left="270" w:hanging="270"/>
      </w:pPr>
      <w:r>
        <w:t>Remote working:</w:t>
      </w:r>
    </w:p>
    <w:p w14:paraId="5836C744" w14:textId="0DC545F8" w:rsidR="004D04B9" w:rsidRPr="006679AB" w:rsidRDefault="00BB19E5" w:rsidP="001C222C">
      <w:pPr>
        <w:pStyle w:val="Bulletlist"/>
        <w:numPr>
          <w:ilvl w:val="1"/>
          <w:numId w:val="5"/>
        </w:numPr>
      </w:pPr>
      <w:r>
        <w:t>T</w:t>
      </w:r>
      <w:r w:rsidR="004D04B9" w:rsidRPr="006679AB">
        <w:t xml:space="preserve">he Microsoft project team </w:t>
      </w:r>
      <w:r w:rsidR="001C00BA">
        <w:t>may</w:t>
      </w:r>
      <w:r w:rsidR="007104D0" w:rsidRPr="006679AB">
        <w:t xml:space="preserve"> </w:t>
      </w:r>
      <w:r w:rsidR="004D04B9" w:rsidRPr="006679AB">
        <w:t xml:space="preserve">perform </w:t>
      </w:r>
      <w:r w:rsidR="00A26C0D">
        <w:t>services</w:t>
      </w:r>
      <w:r w:rsidR="004D04B9" w:rsidRPr="006679AB">
        <w:t xml:space="preserve"> remotely</w:t>
      </w:r>
      <w:r w:rsidR="002357E7">
        <w:t xml:space="preserve"> from a US location</w:t>
      </w:r>
      <w:r w:rsidR="00636B13" w:rsidRPr="006679AB">
        <w:t>.</w:t>
      </w:r>
    </w:p>
    <w:p w14:paraId="5836C745" w14:textId="77777777" w:rsidR="004D04B9" w:rsidRPr="006679AB" w:rsidRDefault="00BB19E5" w:rsidP="001C222C">
      <w:pPr>
        <w:pStyle w:val="Bulletlist"/>
        <w:numPr>
          <w:ilvl w:val="1"/>
          <w:numId w:val="5"/>
        </w:numPr>
      </w:pPr>
      <w:r>
        <w:t>I</w:t>
      </w:r>
      <w:r w:rsidR="0058051C" w:rsidRPr="006679AB">
        <w:t xml:space="preserve">f </w:t>
      </w:r>
      <w:r w:rsidR="0058051C">
        <w:t xml:space="preserve">the </w:t>
      </w:r>
      <w:r w:rsidR="004D04B9" w:rsidRPr="006679AB">
        <w:t xml:space="preserve">Microsoft project team </w:t>
      </w:r>
      <w:r w:rsidR="0058051C">
        <w:t>is</w:t>
      </w:r>
      <w:r w:rsidR="0058051C" w:rsidRPr="006679AB">
        <w:t xml:space="preserve"> </w:t>
      </w:r>
      <w:r w:rsidR="004D04B9" w:rsidRPr="006679AB">
        <w:t xml:space="preserve">required to be present at the </w:t>
      </w:r>
      <w:r w:rsidR="00A26C0D">
        <w:t>customer</w:t>
      </w:r>
      <w:r w:rsidR="004D04B9" w:rsidRPr="006679AB">
        <w:t xml:space="preserve"> location on a weekly basis, resources</w:t>
      </w:r>
      <w:r w:rsidR="006F0E0E">
        <w:t xml:space="preserve"> will typically be on site for three nights</w:t>
      </w:r>
      <w:r w:rsidR="0058051C">
        <w:t xml:space="preserve"> and </w:t>
      </w:r>
      <w:r w:rsidR="006F0E0E">
        <w:t>four</w:t>
      </w:r>
      <w:r w:rsidR="004D04B9" w:rsidRPr="006679AB">
        <w:t xml:space="preserve"> days</w:t>
      </w:r>
      <w:r w:rsidR="0058051C">
        <w:t xml:space="preserve">, </w:t>
      </w:r>
      <w:r w:rsidR="004D04B9" w:rsidRPr="006679AB">
        <w:t xml:space="preserve">arriving on </w:t>
      </w:r>
      <w:r w:rsidR="0058051C">
        <w:t xml:space="preserve">a </w:t>
      </w:r>
      <w:r w:rsidR="004D04B9" w:rsidRPr="006679AB">
        <w:t>Monday</w:t>
      </w:r>
      <w:r w:rsidR="0058051C">
        <w:t>s</w:t>
      </w:r>
      <w:r w:rsidR="004D04B9" w:rsidRPr="006679AB">
        <w:t xml:space="preserve"> and leaving </w:t>
      </w:r>
      <w:r w:rsidR="0058051C">
        <w:t xml:space="preserve">on a </w:t>
      </w:r>
      <w:r w:rsidR="004D04B9" w:rsidRPr="006679AB">
        <w:t>Thursday</w:t>
      </w:r>
      <w:r w:rsidR="00636B13" w:rsidRPr="006679AB">
        <w:t>.</w:t>
      </w:r>
    </w:p>
    <w:p w14:paraId="5836C746" w14:textId="77777777" w:rsidR="003D158B" w:rsidRDefault="003D158B" w:rsidP="0015000E">
      <w:pPr>
        <w:pStyle w:val="Bulletlist"/>
        <w:ind w:left="270" w:hanging="270"/>
      </w:pPr>
      <w:r>
        <w:t>Language:</w:t>
      </w:r>
    </w:p>
    <w:p w14:paraId="5836C747" w14:textId="526A05F6" w:rsidR="004D04B9" w:rsidRPr="006679AB" w:rsidRDefault="00BB19E5" w:rsidP="001C222C">
      <w:pPr>
        <w:pStyle w:val="Bulletlist"/>
        <w:numPr>
          <w:ilvl w:val="1"/>
          <w:numId w:val="5"/>
        </w:numPr>
      </w:pPr>
      <w:r>
        <w:t>A</w:t>
      </w:r>
      <w:r w:rsidR="0072174A" w:rsidRPr="006679AB">
        <w:t>ll p</w:t>
      </w:r>
      <w:r w:rsidR="004D04B9" w:rsidRPr="006679AB">
        <w:t>roject communications and documentation will be in</w:t>
      </w:r>
      <w:r w:rsidR="002C09E8">
        <w:t xml:space="preserve"> </w:t>
      </w:r>
      <w:r w:rsidR="00811C5E">
        <w:t xml:space="preserve">Spanish or in </w:t>
      </w:r>
      <w:r w:rsidR="002C09E8">
        <w:t>English</w:t>
      </w:r>
      <w:r w:rsidR="004D04B9" w:rsidRPr="006679AB">
        <w:t>.</w:t>
      </w:r>
    </w:p>
    <w:p w14:paraId="5836C748" w14:textId="77777777" w:rsidR="003D158B" w:rsidRDefault="003D158B" w:rsidP="0015000E">
      <w:pPr>
        <w:pStyle w:val="Bulletlist"/>
        <w:ind w:left="270" w:hanging="270"/>
      </w:pPr>
      <w:r>
        <w:t>Staffing:</w:t>
      </w:r>
    </w:p>
    <w:p w14:paraId="5836C749" w14:textId="7D86CC81" w:rsidR="004D04B9" w:rsidRDefault="00BB19E5" w:rsidP="001C222C">
      <w:pPr>
        <w:pStyle w:val="Bulletlist"/>
        <w:numPr>
          <w:ilvl w:val="1"/>
          <w:numId w:val="5"/>
        </w:numPr>
      </w:pPr>
      <w:r>
        <w:t>I</w:t>
      </w:r>
      <w:r w:rsidR="00CE5B67">
        <w:t xml:space="preserve">f necessary, </w:t>
      </w:r>
      <w:r w:rsidR="004D04B9" w:rsidRPr="006679AB">
        <w:t xml:space="preserve">Microsoft </w:t>
      </w:r>
      <w:r w:rsidR="00CE5B67">
        <w:t>will</w:t>
      </w:r>
      <w:r w:rsidR="00CE5B67" w:rsidRPr="006679AB">
        <w:t xml:space="preserve"> </w:t>
      </w:r>
      <w:r w:rsidR="004D04B9" w:rsidRPr="006679AB">
        <w:t xml:space="preserve">make </w:t>
      </w:r>
      <w:r w:rsidR="00CE5B67" w:rsidRPr="006679AB">
        <w:t xml:space="preserve">staffing </w:t>
      </w:r>
      <w:r w:rsidR="004D04B9" w:rsidRPr="006679AB">
        <w:t>changes</w:t>
      </w:r>
      <w:r w:rsidR="00CE5B67">
        <w:t xml:space="preserve">. These can </w:t>
      </w:r>
      <w:r w:rsidR="004D04B9" w:rsidRPr="006679AB">
        <w:t>includ</w:t>
      </w:r>
      <w:r w:rsidR="00CE5B67">
        <w:t>e,</w:t>
      </w:r>
      <w:r w:rsidR="004D04B9" w:rsidRPr="006679AB">
        <w:t xml:space="preserve"> but </w:t>
      </w:r>
      <w:r w:rsidR="00CE5B67">
        <w:t xml:space="preserve">are </w:t>
      </w:r>
      <w:r w:rsidR="004D04B9" w:rsidRPr="006679AB">
        <w:t>not limited to</w:t>
      </w:r>
      <w:r w:rsidR="00C30D22">
        <w:t>,</w:t>
      </w:r>
      <w:r w:rsidR="004D04B9" w:rsidRPr="006679AB">
        <w:t xml:space="preserve"> </w:t>
      </w:r>
      <w:r w:rsidR="00CE5B67">
        <w:t xml:space="preserve">the </w:t>
      </w:r>
      <w:r w:rsidR="004D04B9" w:rsidRPr="006679AB">
        <w:t xml:space="preserve">number of resources, individuals, </w:t>
      </w:r>
      <w:r w:rsidR="00CE5B67">
        <w:t xml:space="preserve">and </w:t>
      </w:r>
      <w:r w:rsidR="004D04B9" w:rsidRPr="006679AB">
        <w:t>project roles.</w:t>
      </w:r>
    </w:p>
    <w:p w14:paraId="376061C8" w14:textId="3993C3C5" w:rsidR="00B726A0" w:rsidRPr="006679AB" w:rsidRDefault="00B726A0" w:rsidP="00B726A0">
      <w:pPr>
        <w:pStyle w:val="Bulletlist"/>
        <w:numPr>
          <w:ilvl w:val="1"/>
          <w:numId w:val="5"/>
        </w:numPr>
      </w:pPr>
      <w:r w:rsidRPr="00F94B4E">
        <w:t>Appropriate government visas will be procured for resources to travel</w:t>
      </w:r>
      <w:r>
        <w:t>,</w:t>
      </w:r>
      <w:r w:rsidRPr="00F94B4E">
        <w:t xml:space="preserve"> as appropriate</w:t>
      </w:r>
      <w:r>
        <w:t>,</w:t>
      </w:r>
      <w:r w:rsidRPr="00F94B4E">
        <w:t xml:space="preserve"> to support and deliver this engagement.</w:t>
      </w:r>
    </w:p>
    <w:p w14:paraId="5836C74A" w14:textId="77777777" w:rsidR="00BB19E5" w:rsidRDefault="004D04B9" w:rsidP="0015000E">
      <w:pPr>
        <w:pStyle w:val="Bulletlist"/>
        <w:ind w:left="270" w:hanging="270"/>
      </w:pPr>
      <w:r w:rsidRPr="006679AB">
        <w:t>Informal knowledge transfer</w:t>
      </w:r>
      <w:r w:rsidR="00925615">
        <w:t>:</w:t>
      </w:r>
    </w:p>
    <w:p w14:paraId="5836C74B" w14:textId="77777777" w:rsidR="004D04B9" w:rsidRPr="006679AB" w:rsidRDefault="00BB19E5" w:rsidP="001C222C">
      <w:pPr>
        <w:pStyle w:val="Bulletlist"/>
        <w:numPr>
          <w:ilvl w:val="1"/>
          <w:numId w:val="5"/>
        </w:numPr>
      </w:pPr>
      <w:r>
        <w:t>C</w:t>
      </w:r>
      <w:r w:rsidR="00A26C0D">
        <w:t>ustomer</w:t>
      </w:r>
      <w:r w:rsidR="004D04B9" w:rsidRPr="006679AB">
        <w:t xml:space="preserve"> staff </w:t>
      </w:r>
      <w:r w:rsidR="00CE5B67">
        <w:t xml:space="preserve">members who </w:t>
      </w:r>
      <w:r w:rsidR="00CE5B67" w:rsidRPr="006679AB">
        <w:t xml:space="preserve">work </w:t>
      </w:r>
      <w:r w:rsidR="004D04B9" w:rsidRPr="006679AB">
        <w:t>a</w:t>
      </w:r>
      <w:r w:rsidR="00705B6A" w:rsidRPr="006679AB">
        <w:t xml:space="preserve">longside Microsoft staff </w:t>
      </w:r>
      <w:r w:rsidR="004D04B9" w:rsidRPr="006679AB">
        <w:t xml:space="preserve">will be provided </w:t>
      </w:r>
      <w:r w:rsidR="00705B6A" w:rsidRPr="006679AB">
        <w:t xml:space="preserve">with information knowledge transfer </w:t>
      </w:r>
      <w:r w:rsidR="004D04B9" w:rsidRPr="006679AB">
        <w:t>throughout the project.</w:t>
      </w:r>
      <w:r w:rsidR="002420ED">
        <w:t xml:space="preserve"> </w:t>
      </w:r>
      <w:r w:rsidR="004D04B9" w:rsidRPr="006679AB">
        <w:t>No formal training materials will be developed or delivered as part of</w:t>
      </w:r>
      <w:r w:rsidR="00CE5B67">
        <w:t xml:space="preserve"> this</w:t>
      </w:r>
      <w:r w:rsidR="004D04B9" w:rsidRPr="006679AB">
        <w:t xml:space="preserve"> informal knowledge transfer.</w:t>
      </w:r>
    </w:p>
    <w:sectPr w:rsidR="004D04B9" w:rsidRPr="006679AB" w:rsidSect="00812548">
      <w:footerReference w:type="default" r:id="rId15"/>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086D2" w14:textId="77777777" w:rsidR="00921B28" w:rsidRDefault="00921B28" w:rsidP="000D404A">
      <w:pPr>
        <w:spacing w:after="0" w:line="240" w:lineRule="auto"/>
      </w:pPr>
      <w:r>
        <w:separator/>
      </w:r>
    </w:p>
    <w:p w14:paraId="5B611ED9" w14:textId="77777777" w:rsidR="00921B28" w:rsidRDefault="00921B28"/>
  </w:endnote>
  <w:endnote w:type="continuationSeparator" w:id="0">
    <w:p w14:paraId="0C7A9AF6" w14:textId="77777777" w:rsidR="00921B28" w:rsidRDefault="00921B28" w:rsidP="000D404A">
      <w:pPr>
        <w:spacing w:after="0" w:line="240" w:lineRule="auto"/>
      </w:pPr>
      <w:r>
        <w:continuationSeparator/>
      </w:r>
    </w:p>
    <w:p w14:paraId="56977761" w14:textId="77777777" w:rsidR="00921B28" w:rsidRDefault="00921B28"/>
  </w:endnote>
  <w:endnote w:type="continuationNotice" w:id="1">
    <w:p w14:paraId="1D767733" w14:textId="77777777" w:rsidR="00921B28" w:rsidRDefault="00921B28">
      <w:pPr>
        <w:spacing w:after="0" w:line="240" w:lineRule="auto"/>
      </w:pPr>
    </w:p>
    <w:p w14:paraId="64C79ACB" w14:textId="77777777" w:rsidR="00921B28" w:rsidRDefault="00921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6C76F" w14:textId="5BD940B4" w:rsidR="00D631A7" w:rsidRPr="00DE5AFD" w:rsidRDefault="00D631A7" w:rsidP="00DE5A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6C774" w14:textId="77777777" w:rsidR="00D631A7" w:rsidRPr="00DE5AFD" w:rsidRDefault="00D631A7" w:rsidP="00DE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328F3" w14:textId="77777777" w:rsidR="00921B28" w:rsidRDefault="00921B28" w:rsidP="000D404A">
      <w:pPr>
        <w:spacing w:after="0" w:line="240" w:lineRule="auto"/>
      </w:pPr>
      <w:r>
        <w:separator/>
      </w:r>
    </w:p>
    <w:p w14:paraId="4A96B9C2" w14:textId="77777777" w:rsidR="00921B28" w:rsidRDefault="00921B28"/>
  </w:footnote>
  <w:footnote w:type="continuationSeparator" w:id="0">
    <w:p w14:paraId="11EB9F38" w14:textId="77777777" w:rsidR="00921B28" w:rsidRDefault="00921B28" w:rsidP="000D404A">
      <w:pPr>
        <w:spacing w:after="0" w:line="240" w:lineRule="auto"/>
      </w:pPr>
      <w:r>
        <w:continuationSeparator/>
      </w:r>
    </w:p>
    <w:p w14:paraId="1747E683" w14:textId="77777777" w:rsidR="00921B28" w:rsidRDefault="00921B28"/>
  </w:footnote>
  <w:footnote w:type="continuationNotice" w:id="1">
    <w:p w14:paraId="3962ECB3" w14:textId="77777777" w:rsidR="00921B28" w:rsidRDefault="00921B28">
      <w:pPr>
        <w:spacing w:after="0" w:line="240" w:lineRule="auto"/>
      </w:pPr>
    </w:p>
    <w:p w14:paraId="231F7156" w14:textId="77777777" w:rsidR="00921B28" w:rsidRDefault="00921B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0775"/>
    <w:multiLevelType w:val="multilevel"/>
    <w:tmpl w:val="809208DA"/>
    <w:lvl w:ilvl="0">
      <w:start w:val="1"/>
      <w:numFmt w:val="bullet"/>
      <w:lvlText w:val="o"/>
      <w:lvlJc w:val="left"/>
      <w:pPr>
        <w:ind w:left="605" w:hanging="360"/>
      </w:pPr>
      <w:rPr>
        <w:rFonts w:ascii="Courier New" w:hAnsi="Courier New" w:hint="default"/>
        <w:b w:val="0"/>
        <w:bCs w:val="0"/>
        <w:i w:val="0"/>
        <w:iCs w:val="0"/>
        <w:color w:val="auto"/>
        <w:sz w:val="16"/>
        <w:szCs w:val="18"/>
      </w:rPr>
    </w:lvl>
    <w:lvl w:ilvl="1">
      <w:start w:val="1"/>
      <w:numFmt w:val="bullet"/>
      <w:lvlText w:val="o"/>
      <w:lvlJc w:val="left"/>
      <w:pPr>
        <w:tabs>
          <w:tab w:val="num" w:pos="1153"/>
        </w:tabs>
        <w:ind w:left="1153" w:hanging="227"/>
      </w:pPr>
      <w:rPr>
        <w:rFonts w:ascii="Courier New" w:hAnsi="Courier New" w:hint="default"/>
        <w:bCs w:val="0"/>
        <w:iCs w:val="0"/>
        <w:color w:val="auto"/>
        <w:sz w:val="16"/>
        <w:szCs w:val="18"/>
      </w:rPr>
    </w:lvl>
    <w:lvl w:ilvl="2">
      <w:start w:val="1"/>
      <w:numFmt w:val="bullet"/>
      <w:lvlText w:val=""/>
      <w:lvlJc w:val="left"/>
      <w:pPr>
        <w:tabs>
          <w:tab w:val="num" w:pos="1379"/>
        </w:tabs>
        <w:ind w:left="1380"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606"/>
        </w:tabs>
        <w:ind w:left="1607" w:hanging="227"/>
      </w:pPr>
      <w:rPr>
        <w:rFonts w:ascii="Symbol" w:eastAsia="Wingdings 2" w:hAnsi="Symbol" w:cs="Times New Roman" w:hint="default"/>
        <w:color w:val="808080"/>
        <w:sz w:val="12"/>
        <w:szCs w:val="18"/>
      </w:rPr>
    </w:lvl>
    <w:lvl w:ilvl="4">
      <w:start w:val="1"/>
      <w:numFmt w:val="lowerLetter"/>
      <w:lvlText w:val="(%5)"/>
      <w:lvlJc w:val="left"/>
      <w:pPr>
        <w:tabs>
          <w:tab w:val="num" w:pos="2499"/>
        </w:tabs>
        <w:ind w:left="1834" w:hanging="227"/>
      </w:pPr>
      <w:rPr>
        <w:rFonts w:hint="default"/>
      </w:rPr>
    </w:lvl>
    <w:lvl w:ilvl="5">
      <w:start w:val="1"/>
      <w:numFmt w:val="lowerRoman"/>
      <w:lvlText w:val="(%6)"/>
      <w:lvlJc w:val="left"/>
      <w:pPr>
        <w:tabs>
          <w:tab w:val="num" w:pos="2859"/>
        </w:tabs>
        <w:ind w:left="2061" w:hanging="227"/>
      </w:pPr>
      <w:rPr>
        <w:rFonts w:hint="default"/>
      </w:rPr>
    </w:lvl>
    <w:lvl w:ilvl="6">
      <w:start w:val="1"/>
      <w:numFmt w:val="decimal"/>
      <w:lvlText w:val="%7."/>
      <w:lvlJc w:val="left"/>
      <w:pPr>
        <w:tabs>
          <w:tab w:val="num" w:pos="3219"/>
        </w:tabs>
        <w:ind w:left="2288" w:hanging="227"/>
      </w:pPr>
      <w:rPr>
        <w:rFonts w:hint="default"/>
      </w:rPr>
    </w:lvl>
    <w:lvl w:ilvl="7">
      <w:start w:val="1"/>
      <w:numFmt w:val="lowerLetter"/>
      <w:lvlText w:val="%8."/>
      <w:lvlJc w:val="left"/>
      <w:pPr>
        <w:tabs>
          <w:tab w:val="num" w:pos="3579"/>
        </w:tabs>
        <w:ind w:left="2515" w:hanging="227"/>
      </w:pPr>
      <w:rPr>
        <w:rFonts w:hint="default"/>
      </w:rPr>
    </w:lvl>
    <w:lvl w:ilvl="8">
      <w:start w:val="1"/>
      <w:numFmt w:val="lowerRoman"/>
      <w:lvlText w:val="%9."/>
      <w:lvlJc w:val="left"/>
      <w:pPr>
        <w:tabs>
          <w:tab w:val="num" w:pos="3939"/>
        </w:tabs>
        <w:ind w:left="2742" w:hanging="227"/>
      </w:pPr>
      <w:rPr>
        <w:rFonts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3643737"/>
    <w:multiLevelType w:val="multilevel"/>
    <w:tmpl w:val="E4345F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CB62B9E"/>
    <w:multiLevelType w:val="hybridMultilevel"/>
    <w:tmpl w:val="93EEA9EE"/>
    <w:lvl w:ilvl="0" w:tplc="C3BC7DDE">
      <w:start w:val="1"/>
      <w:numFmt w:val="bullet"/>
      <w:pStyle w:val="TableBulle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057DCF"/>
    <w:multiLevelType w:val="hybridMultilevel"/>
    <w:tmpl w:val="0B38CCF8"/>
    <w:lvl w:ilvl="0" w:tplc="EAAC5AAE">
      <w:start w:val="1"/>
      <w:numFmt w:val="bullet"/>
      <w:pStyle w:val="Bulletlis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C22E45"/>
    <w:multiLevelType w:val="multilevel"/>
    <w:tmpl w:val="726ADC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B94179F"/>
    <w:multiLevelType w:val="hybridMultilevel"/>
    <w:tmpl w:val="AC44357E"/>
    <w:lvl w:ilvl="0" w:tplc="EAAC5AAE">
      <w:start w:val="1"/>
      <w:numFmt w:val="bullet"/>
      <w:lvlText w:val=""/>
      <w:lvlJc w:val="left"/>
      <w:pPr>
        <w:ind w:left="360" w:hanging="360"/>
      </w:pPr>
      <w:rPr>
        <w:rFonts w:ascii="Symbol" w:hAnsi="Symbol" w:hint="default"/>
        <w:sz w:val="19"/>
      </w:rPr>
    </w:lvl>
    <w:lvl w:ilvl="1" w:tplc="41DCFCE8">
      <w:start w:val="1"/>
      <w:numFmt w:val="bullet"/>
      <w:lvlText w:val="–"/>
      <w:lvlJc w:val="left"/>
      <w:pPr>
        <w:ind w:left="1080" w:hanging="360"/>
      </w:pPr>
      <w:rPr>
        <w:rFonts w:ascii="Courier New" w:hAnsi="Courier New" w:hint="default"/>
        <w:color w:val="auto"/>
        <w:sz w:val="16"/>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206FC"/>
    <w:multiLevelType w:val="multilevel"/>
    <w:tmpl w:val="A686028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901CB9"/>
    <w:multiLevelType w:val="multilevel"/>
    <w:tmpl w:val="0409001F"/>
    <w:numStyleLink w:val="Style1"/>
  </w:abstractNum>
  <w:abstractNum w:abstractNumId="13"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5" w15:restartNumberingAfterBreak="0">
    <w:nsid w:val="47AE2588"/>
    <w:multiLevelType w:val="hybridMultilevel"/>
    <w:tmpl w:val="15D02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3411B"/>
    <w:multiLevelType w:val="multilevel"/>
    <w:tmpl w:val="DB165C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28D41EB"/>
    <w:multiLevelType w:val="multilevel"/>
    <w:tmpl w:val="34B6A9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8D77A01"/>
    <w:multiLevelType w:val="multilevel"/>
    <w:tmpl w:val="A686028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5F3A0148"/>
    <w:multiLevelType w:val="multilevel"/>
    <w:tmpl w:val="A686028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13D1DD9"/>
    <w:multiLevelType w:val="hybridMultilevel"/>
    <w:tmpl w:val="9C12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77534"/>
    <w:multiLevelType w:val="multilevel"/>
    <w:tmpl w:val="41CED4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6" w15:restartNumberingAfterBreak="0">
    <w:nsid w:val="69970B5F"/>
    <w:multiLevelType w:val="hybridMultilevel"/>
    <w:tmpl w:val="CDCC9DDC"/>
    <w:lvl w:ilvl="0" w:tplc="21B81B86">
      <w:start w:val="1"/>
      <w:numFmt w:val="bullet"/>
      <w:lvlText w:val=""/>
      <w:lvlJc w:val="left"/>
      <w:pPr>
        <w:ind w:left="1080" w:hanging="360"/>
      </w:pPr>
      <w:rPr>
        <w:rFonts w:ascii="Symbol" w:hAnsi="Symbol" w:hint="default"/>
        <w:color w:val="000000" w:themeColor="tex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44648B"/>
    <w:multiLevelType w:val="hybridMultilevel"/>
    <w:tmpl w:val="F96E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FC4460"/>
    <w:multiLevelType w:val="multilevel"/>
    <w:tmpl w:val="C7ACAD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EBC3965"/>
    <w:multiLevelType w:val="multilevel"/>
    <w:tmpl w:val="3F3E9E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22"/>
  </w:num>
  <w:num w:numId="3">
    <w:abstractNumId w:val="12"/>
  </w:num>
  <w:num w:numId="4">
    <w:abstractNumId w:val="8"/>
  </w:num>
  <w:num w:numId="5">
    <w:abstractNumId w:val="5"/>
  </w:num>
  <w:num w:numId="6">
    <w:abstractNumId w:val="1"/>
  </w:num>
  <w:num w:numId="7">
    <w:abstractNumId w:val="19"/>
  </w:num>
  <w:num w:numId="8">
    <w:abstractNumId w:val="23"/>
  </w:num>
  <w:num w:numId="9">
    <w:abstractNumId w:val="13"/>
  </w:num>
  <w:num w:numId="10">
    <w:abstractNumId w:val="10"/>
  </w:num>
  <w:num w:numId="11">
    <w:abstractNumId w:val="3"/>
  </w:num>
  <w:num w:numId="12">
    <w:abstractNumId w:val="6"/>
  </w:num>
  <w:num w:numId="13">
    <w:abstractNumId w:val="0"/>
  </w:num>
  <w:num w:numId="14">
    <w:abstractNumId w:val="25"/>
  </w:num>
  <w:num w:numId="15">
    <w:abstractNumId w:val="21"/>
  </w:num>
  <w:num w:numId="16">
    <w:abstractNumId w:val="27"/>
  </w:num>
  <w:num w:numId="17">
    <w:abstractNumId w:val="4"/>
  </w:num>
  <w:num w:numId="18">
    <w:abstractNumId w:val="9"/>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lvl w:ilvl="0">
        <w:start w:val="1"/>
        <w:numFmt w:val="decimal"/>
        <w:pStyle w:val="Heading1"/>
        <w:lvlText w:val="%1."/>
        <w:lvlJc w:val="left"/>
        <w:pPr>
          <w:ind w:left="360" w:hanging="360"/>
        </w:pPr>
        <w:rPr>
          <w:sz w:val="32"/>
          <w:szCs w:val="32"/>
        </w:rPr>
      </w:lvl>
    </w:lvlOverride>
  </w:num>
  <w:num w:numId="22">
    <w:abstractNumId w:val="20"/>
  </w:num>
  <w:num w:numId="23">
    <w:abstractNumId w:val="26"/>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18"/>
  </w:num>
  <w:num w:numId="38">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922"/>
    <w:rsid w:val="00003970"/>
    <w:rsid w:val="00006950"/>
    <w:rsid w:val="00007020"/>
    <w:rsid w:val="00013ABD"/>
    <w:rsid w:val="000149FA"/>
    <w:rsid w:val="00015288"/>
    <w:rsid w:val="0001627E"/>
    <w:rsid w:val="000163EF"/>
    <w:rsid w:val="0001741F"/>
    <w:rsid w:val="00017EE6"/>
    <w:rsid w:val="000251D3"/>
    <w:rsid w:val="000266F3"/>
    <w:rsid w:val="00031658"/>
    <w:rsid w:val="000329B3"/>
    <w:rsid w:val="00033442"/>
    <w:rsid w:val="0003395C"/>
    <w:rsid w:val="00034943"/>
    <w:rsid w:val="000352F9"/>
    <w:rsid w:val="00036CDA"/>
    <w:rsid w:val="000374A4"/>
    <w:rsid w:val="000403ED"/>
    <w:rsid w:val="000417FD"/>
    <w:rsid w:val="00041904"/>
    <w:rsid w:val="00041DE1"/>
    <w:rsid w:val="00043018"/>
    <w:rsid w:val="0004420C"/>
    <w:rsid w:val="000468D5"/>
    <w:rsid w:val="0005205F"/>
    <w:rsid w:val="00054BAA"/>
    <w:rsid w:val="00057271"/>
    <w:rsid w:val="000618C7"/>
    <w:rsid w:val="00062796"/>
    <w:rsid w:val="00062D61"/>
    <w:rsid w:val="00064C2F"/>
    <w:rsid w:val="000667B8"/>
    <w:rsid w:val="00067C64"/>
    <w:rsid w:val="00070A85"/>
    <w:rsid w:val="00072506"/>
    <w:rsid w:val="000730ED"/>
    <w:rsid w:val="00073CDE"/>
    <w:rsid w:val="0007565A"/>
    <w:rsid w:val="000819CF"/>
    <w:rsid w:val="00082B76"/>
    <w:rsid w:val="0008641F"/>
    <w:rsid w:val="0008721D"/>
    <w:rsid w:val="00087713"/>
    <w:rsid w:val="0009058B"/>
    <w:rsid w:val="00091530"/>
    <w:rsid w:val="00092649"/>
    <w:rsid w:val="000926FA"/>
    <w:rsid w:val="00094884"/>
    <w:rsid w:val="000A1231"/>
    <w:rsid w:val="000A3544"/>
    <w:rsid w:val="000A5694"/>
    <w:rsid w:val="000A5CD1"/>
    <w:rsid w:val="000A6144"/>
    <w:rsid w:val="000A6BD9"/>
    <w:rsid w:val="000A79F4"/>
    <w:rsid w:val="000A7AF4"/>
    <w:rsid w:val="000B25F2"/>
    <w:rsid w:val="000B2B85"/>
    <w:rsid w:val="000B2F0A"/>
    <w:rsid w:val="000B3436"/>
    <w:rsid w:val="000B476E"/>
    <w:rsid w:val="000B5C7F"/>
    <w:rsid w:val="000B62A5"/>
    <w:rsid w:val="000C1BB1"/>
    <w:rsid w:val="000C21C3"/>
    <w:rsid w:val="000C27BE"/>
    <w:rsid w:val="000C3090"/>
    <w:rsid w:val="000C3FCD"/>
    <w:rsid w:val="000C4A75"/>
    <w:rsid w:val="000C591B"/>
    <w:rsid w:val="000D03E9"/>
    <w:rsid w:val="000D3733"/>
    <w:rsid w:val="000D3AD5"/>
    <w:rsid w:val="000D404A"/>
    <w:rsid w:val="000D4E93"/>
    <w:rsid w:val="000D5237"/>
    <w:rsid w:val="000D602D"/>
    <w:rsid w:val="000D761C"/>
    <w:rsid w:val="000E0521"/>
    <w:rsid w:val="000E06B0"/>
    <w:rsid w:val="000E21C9"/>
    <w:rsid w:val="000E254F"/>
    <w:rsid w:val="000E68EB"/>
    <w:rsid w:val="000E7924"/>
    <w:rsid w:val="000F051E"/>
    <w:rsid w:val="000F071D"/>
    <w:rsid w:val="000F164C"/>
    <w:rsid w:val="000F1748"/>
    <w:rsid w:val="000F189F"/>
    <w:rsid w:val="000F230A"/>
    <w:rsid w:val="000F38CE"/>
    <w:rsid w:val="000F5A4B"/>
    <w:rsid w:val="000F6B41"/>
    <w:rsid w:val="000F7C79"/>
    <w:rsid w:val="00100A82"/>
    <w:rsid w:val="00104009"/>
    <w:rsid w:val="00104AB3"/>
    <w:rsid w:val="00104E74"/>
    <w:rsid w:val="00104F35"/>
    <w:rsid w:val="0010532C"/>
    <w:rsid w:val="00107A71"/>
    <w:rsid w:val="00107E85"/>
    <w:rsid w:val="001109CA"/>
    <w:rsid w:val="00110CAA"/>
    <w:rsid w:val="00111EBA"/>
    <w:rsid w:val="00112EB1"/>
    <w:rsid w:val="001146EB"/>
    <w:rsid w:val="00115347"/>
    <w:rsid w:val="00117AE2"/>
    <w:rsid w:val="00120795"/>
    <w:rsid w:val="0012088D"/>
    <w:rsid w:val="001223BA"/>
    <w:rsid w:val="00122DAB"/>
    <w:rsid w:val="00124716"/>
    <w:rsid w:val="00127B5B"/>
    <w:rsid w:val="00127DF9"/>
    <w:rsid w:val="001306D7"/>
    <w:rsid w:val="00131718"/>
    <w:rsid w:val="00132D85"/>
    <w:rsid w:val="00134115"/>
    <w:rsid w:val="0013452E"/>
    <w:rsid w:val="00137A1A"/>
    <w:rsid w:val="00137F0F"/>
    <w:rsid w:val="00140C9E"/>
    <w:rsid w:val="00140F8B"/>
    <w:rsid w:val="00146A9C"/>
    <w:rsid w:val="00147509"/>
    <w:rsid w:val="00147E02"/>
    <w:rsid w:val="0015000E"/>
    <w:rsid w:val="00150981"/>
    <w:rsid w:val="0015119E"/>
    <w:rsid w:val="00151DD2"/>
    <w:rsid w:val="00152B24"/>
    <w:rsid w:val="00154CED"/>
    <w:rsid w:val="00160775"/>
    <w:rsid w:val="001646DA"/>
    <w:rsid w:val="00166089"/>
    <w:rsid w:val="00167F49"/>
    <w:rsid w:val="00172AE4"/>
    <w:rsid w:val="00172F0C"/>
    <w:rsid w:val="00173661"/>
    <w:rsid w:val="0017616B"/>
    <w:rsid w:val="0017674D"/>
    <w:rsid w:val="00181485"/>
    <w:rsid w:val="001820B5"/>
    <w:rsid w:val="00182C8C"/>
    <w:rsid w:val="001834E0"/>
    <w:rsid w:val="00183788"/>
    <w:rsid w:val="001853F6"/>
    <w:rsid w:val="00186870"/>
    <w:rsid w:val="00187294"/>
    <w:rsid w:val="00190796"/>
    <w:rsid w:val="00191055"/>
    <w:rsid w:val="001912C7"/>
    <w:rsid w:val="0019440A"/>
    <w:rsid w:val="001967E6"/>
    <w:rsid w:val="001A12A0"/>
    <w:rsid w:val="001A1896"/>
    <w:rsid w:val="001A48D0"/>
    <w:rsid w:val="001A5A64"/>
    <w:rsid w:val="001B7C82"/>
    <w:rsid w:val="001C00BA"/>
    <w:rsid w:val="001C0C18"/>
    <w:rsid w:val="001C222C"/>
    <w:rsid w:val="001C308F"/>
    <w:rsid w:val="001C4CD2"/>
    <w:rsid w:val="001C5050"/>
    <w:rsid w:val="001C6C9C"/>
    <w:rsid w:val="001D175A"/>
    <w:rsid w:val="001D31C8"/>
    <w:rsid w:val="001D37A0"/>
    <w:rsid w:val="001D47B2"/>
    <w:rsid w:val="001D714E"/>
    <w:rsid w:val="001E20E3"/>
    <w:rsid w:val="001E2309"/>
    <w:rsid w:val="001E2B48"/>
    <w:rsid w:val="001F1C2F"/>
    <w:rsid w:val="001F561F"/>
    <w:rsid w:val="001F5AFD"/>
    <w:rsid w:val="001F6AAE"/>
    <w:rsid w:val="0020098C"/>
    <w:rsid w:val="00201050"/>
    <w:rsid w:val="002019DC"/>
    <w:rsid w:val="00202F45"/>
    <w:rsid w:val="00203434"/>
    <w:rsid w:val="00203F54"/>
    <w:rsid w:val="0020647D"/>
    <w:rsid w:val="00207450"/>
    <w:rsid w:val="002109C3"/>
    <w:rsid w:val="00210EF0"/>
    <w:rsid w:val="00213542"/>
    <w:rsid w:val="002146FC"/>
    <w:rsid w:val="00214FF6"/>
    <w:rsid w:val="00215350"/>
    <w:rsid w:val="00216273"/>
    <w:rsid w:val="0021649A"/>
    <w:rsid w:val="00217E33"/>
    <w:rsid w:val="00224329"/>
    <w:rsid w:val="00227900"/>
    <w:rsid w:val="00230503"/>
    <w:rsid w:val="00230B93"/>
    <w:rsid w:val="00232419"/>
    <w:rsid w:val="0023246C"/>
    <w:rsid w:val="002338D4"/>
    <w:rsid w:val="00234B59"/>
    <w:rsid w:val="002357E7"/>
    <w:rsid w:val="002367F0"/>
    <w:rsid w:val="00236B5C"/>
    <w:rsid w:val="00240020"/>
    <w:rsid w:val="00240478"/>
    <w:rsid w:val="00241661"/>
    <w:rsid w:val="002420ED"/>
    <w:rsid w:val="00243F9A"/>
    <w:rsid w:val="00244B75"/>
    <w:rsid w:val="00245311"/>
    <w:rsid w:val="002455C5"/>
    <w:rsid w:val="00246AC9"/>
    <w:rsid w:val="002471E0"/>
    <w:rsid w:val="002504D8"/>
    <w:rsid w:val="00250CA8"/>
    <w:rsid w:val="00251613"/>
    <w:rsid w:val="0025535A"/>
    <w:rsid w:val="0025590D"/>
    <w:rsid w:val="00256ACC"/>
    <w:rsid w:val="00260B3B"/>
    <w:rsid w:val="00261E11"/>
    <w:rsid w:val="00262BD0"/>
    <w:rsid w:val="002664EE"/>
    <w:rsid w:val="00266CF0"/>
    <w:rsid w:val="00267D79"/>
    <w:rsid w:val="00267ED0"/>
    <w:rsid w:val="0027191D"/>
    <w:rsid w:val="00271A0B"/>
    <w:rsid w:val="0027421F"/>
    <w:rsid w:val="0027741D"/>
    <w:rsid w:val="00277730"/>
    <w:rsid w:val="00277FE9"/>
    <w:rsid w:val="00280DA8"/>
    <w:rsid w:val="0028103B"/>
    <w:rsid w:val="00285578"/>
    <w:rsid w:val="00285CBE"/>
    <w:rsid w:val="0029185F"/>
    <w:rsid w:val="00292F2E"/>
    <w:rsid w:val="00292FE1"/>
    <w:rsid w:val="002952F0"/>
    <w:rsid w:val="002967F9"/>
    <w:rsid w:val="002A4641"/>
    <w:rsid w:val="002A4AE8"/>
    <w:rsid w:val="002A54E4"/>
    <w:rsid w:val="002A5634"/>
    <w:rsid w:val="002A5AD1"/>
    <w:rsid w:val="002A6216"/>
    <w:rsid w:val="002A7BB3"/>
    <w:rsid w:val="002B1792"/>
    <w:rsid w:val="002B3289"/>
    <w:rsid w:val="002B4C94"/>
    <w:rsid w:val="002B535B"/>
    <w:rsid w:val="002C09E8"/>
    <w:rsid w:val="002C0C04"/>
    <w:rsid w:val="002C3E87"/>
    <w:rsid w:val="002C4FA5"/>
    <w:rsid w:val="002D0E93"/>
    <w:rsid w:val="002D1438"/>
    <w:rsid w:val="002D25D3"/>
    <w:rsid w:val="002D307C"/>
    <w:rsid w:val="002D4C6D"/>
    <w:rsid w:val="002D6091"/>
    <w:rsid w:val="002E0950"/>
    <w:rsid w:val="002E16FC"/>
    <w:rsid w:val="002E1D8F"/>
    <w:rsid w:val="002E1E13"/>
    <w:rsid w:val="002E3D1B"/>
    <w:rsid w:val="002E555E"/>
    <w:rsid w:val="002E57A0"/>
    <w:rsid w:val="002E59DC"/>
    <w:rsid w:val="002E69CA"/>
    <w:rsid w:val="002E6D86"/>
    <w:rsid w:val="002E7ACB"/>
    <w:rsid w:val="002F061E"/>
    <w:rsid w:val="002F1155"/>
    <w:rsid w:val="002F11C0"/>
    <w:rsid w:val="002F161F"/>
    <w:rsid w:val="002F167C"/>
    <w:rsid w:val="002F23B9"/>
    <w:rsid w:val="002F4300"/>
    <w:rsid w:val="002F55C5"/>
    <w:rsid w:val="0030054A"/>
    <w:rsid w:val="00300CF1"/>
    <w:rsid w:val="0030297C"/>
    <w:rsid w:val="0030327F"/>
    <w:rsid w:val="00306450"/>
    <w:rsid w:val="00306465"/>
    <w:rsid w:val="0030702A"/>
    <w:rsid w:val="00307A4C"/>
    <w:rsid w:val="00311B84"/>
    <w:rsid w:val="0031234C"/>
    <w:rsid w:val="0031303E"/>
    <w:rsid w:val="003140CD"/>
    <w:rsid w:val="00314265"/>
    <w:rsid w:val="003149E1"/>
    <w:rsid w:val="00314BFF"/>
    <w:rsid w:val="00315345"/>
    <w:rsid w:val="00315C2F"/>
    <w:rsid w:val="00315E98"/>
    <w:rsid w:val="00317174"/>
    <w:rsid w:val="0031773E"/>
    <w:rsid w:val="00320CE9"/>
    <w:rsid w:val="0032686E"/>
    <w:rsid w:val="00326C25"/>
    <w:rsid w:val="00330823"/>
    <w:rsid w:val="003313E4"/>
    <w:rsid w:val="00333B64"/>
    <w:rsid w:val="00335083"/>
    <w:rsid w:val="003400ED"/>
    <w:rsid w:val="003403CB"/>
    <w:rsid w:val="00340A70"/>
    <w:rsid w:val="003424CE"/>
    <w:rsid w:val="00343448"/>
    <w:rsid w:val="00345F21"/>
    <w:rsid w:val="003461A6"/>
    <w:rsid w:val="00347C6F"/>
    <w:rsid w:val="00351B2F"/>
    <w:rsid w:val="00354289"/>
    <w:rsid w:val="00355F40"/>
    <w:rsid w:val="003604E6"/>
    <w:rsid w:val="00361B79"/>
    <w:rsid w:val="00364836"/>
    <w:rsid w:val="00366940"/>
    <w:rsid w:val="0036776F"/>
    <w:rsid w:val="00367BA6"/>
    <w:rsid w:val="00371AF2"/>
    <w:rsid w:val="00376083"/>
    <w:rsid w:val="00380605"/>
    <w:rsid w:val="00380A0B"/>
    <w:rsid w:val="003810F8"/>
    <w:rsid w:val="003820C0"/>
    <w:rsid w:val="00382109"/>
    <w:rsid w:val="00383D84"/>
    <w:rsid w:val="003840B4"/>
    <w:rsid w:val="003845C1"/>
    <w:rsid w:val="00384A87"/>
    <w:rsid w:val="003862AA"/>
    <w:rsid w:val="00386876"/>
    <w:rsid w:val="00390A88"/>
    <w:rsid w:val="003925C9"/>
    <w:rsid w:val="00394BAF"/>
    <w:rsid w:val="00396E53"/>
    <w:rsid w:val="0039746F"/>
    <w:rsid w:val="00397E85"/>
    <w:rsid w:val="003A1152"/>
    <w:rsid w:val="003A18DC"/>
    <w:rsid w:val="003A227F"/>
    <w:rsid w:val="003A2B39"/>
    <w:rsid w:val="003A4E2C"/>
    <w:rsid w:val="003A58A8"/>
    <w:rsid w:val="003B19CF"/>
    <w:rsid w:val="003B1D40"/>
    <w:rsid w:val="003B3321"/>
    <w:rsid w:val="003B7D9E"/>
    <w:rsid w:val="003C08C8"/>
    <w:rsid w:val="003C1B45"/>
    <w:rsid w:val="003C1EDE"/>
    <w:rsid w:val="003C287B"/>
    <w:rsid w:val="003C2E1F"/>
    <w:rsid w:val="003C40E7"/>
    <w:rsid w:val="003C5286"/>
    <w:rsid w:val="003C72CF"/>
    <w:rsid w:val="003C745A"/>
    <w:rsid w:val="003C7BC0"/>
    <w:rsid w:val="003C7FAC"/>
    <w:rsid w:val="003D075F"/>
    <w:rsid w:val="003D0CB5"/>
    <w:rsid w:val="003D158B"/>
    <w:rsid w:val="003D2CBA"/>
    <w:rsid w:val="003D3029"/>
    <w:rsid w:val="003D326B"/>
    <w:rsid w:val="003D6E88"/>
    <w:rsid w:val="003D76C9"/>
    <w:rsid w:val="003E0AF9"/>
    <w:rsid w:val="003E129C"/>
    <w:rsid w:val="003E1605"/>
    <w:rsid w:val="003E1A17"/>
    <w:rsid w:val="003E1B4E"/>
    <w:rsid w:val="003E1C68"/>
    <w:rsid w:val="003E260B"/>
    <w:rsid w:val="003E2B6C"/>
    <w:rsid w:val="003E55C6"/>
    <w:rsid w:val="003E6197"/>
    <w:rsid w:val="003E6C5F"/>
    <w:rsid w:val="003E7B6A"/>
    <w:rsid w:val="003F4F31"/>
    <w:rsid w:val="003F55E0"/>
    <w:rsid w:val="003F6207"/>
    <w:rsid w:val="003F6BCD"/>
    <w:rsid w:val="003F779C"/>
    <w:rsid w:val="003F7AA8"/>
    <w:rsid w:val="004005BF"/>
    <w:rsid w:val="004010DF"/>
    <w:rsid w:val="0040341A"/>
    <w:rsid w:val="00404A84"/>
    <w:rsid w:val="0040599B"/>
    <w:rsid w:val="004059D6"/>
    <w:rsid w:val="00405F6A"/>
    <w:rsid w:val="00407A8B"/>
    <w:rsid w:val="00410DC2"/>
    <w:rsid w:val="00412536"/>
    <w:rsid w:val="004132CB"/>
    <w:rsid w:val="00413B06"/>
    <w:rsid w:val="00413EDB"/>
    <w:rsid w:val="004141E5"/>
    <w:rsid w:val="004171D2"/>
    <w:rsid w:val="00420211"/>
    <w:rsid w:val="0042235A"/>
    <w:rsid w:val="004230B2"/>
    <w:rsid w:val="00423422"/>
    <w:rsid w:val="004240F1"/>
    <w:rsid w:val="004241BA"/>
    <w:rsid w:val="00425828"/>
    <w:rsid w:val="00432528"/>
    <w:rsid w:val="00432DB2"/>
    <w:rsid w:val="0043613E"/>
    <w:rsid w:val="004370A7"/>
    <w:rsid w:val="0044457A"/>
    <w:rsid w:val="004446A6"/>
    <w:rsid w:val="00444CCA"/>
    <w:rsid w:val="00444EC7"/>
    <w:rsid w:val="004457AB"/>
    <w:rsid w:val="00445BE8"/>
    <w:rsid w:val="00446BAE"/>
    <w:rsid w:val="004475B4"/>
    <w:rsid w:val="00447682"/>
    <w:rsid w:val="00450829"/>
    <w:rsid w:val="0045125A"/>
    <w:rsid w:val="00452159"/>
    <w:rsid w:val="004526B5"/>
    <w:rsid w:val="00452720"/>
    <w:rsid w:val="00453357"/>
    <w:rsid w:val="0045347E"/>
    <w:rsid w:val="00454AB1"/>
    <w:rsid w:val="00454E71"/>
    <w:rsid w:val="00455F61"/>
    <w:rsid w:val="00461145"/>
    <w:rsid w:val="00462282"/>
    <w:rsid w:val="00463375"/>
    <w:rsid w:val="00466CBE"/>
    <w:rsid w:val="00470601"/>
    <w:rsid w:val="00470DCE"/>
    <w:rsid w:val="00471216"/>
    <w:rsid w:val="00471420"/>
    <w:rsid w:val="0047166F"/>
    <w:rsid w:val="004723A1"/>
    <w:rsid w:val="00472F64"/>
    <w:rsid w:val="004730EA"/>
    <w:rsid w:val="004737C4"/>
    <w:rsid w:val="004742D1"/>
    <w:rsid w:val="00474631"/>
    <w:rsid w:val="00475D6A"/>
    <w:rsid w:val="004806DB"/>
    <w:rsid w:val="00481D5D"/>
    <w:rsid w:val="00485751"/>
    <w:rsid w:val="00490745"/>
    <w:rsid w:val="0049279F"/>
    <w:rsid w:val="00493E2E"/>
    <w:rsid w:val="004944C2"/>
    <w:rsid w:val="00496023"/>
    <w:rsid w:val="00496696"/>
    <w:rsid w:val="004969CF"/>
    <w:rsid w:val="004A4F8D"/>
    <w:rsid w:val="004A6D96"/>
    <w:rsid w:val="004A767A"/>
    <w:rsid w:val="004B0557"/>
    <w:rsid w:val="004B1433"/>
    <w:rsid w:val="004B6FF7"/>
    <w:rsid w:val="004B7D15"/>
    <w:rsid w:val="004C02F5"/>
    <w:rsid w:val="004C1B71"/>
    <w:rsid w:val="004C2A6F"/>
    <w:rsid w:val="004C33EB"/>
    <w:rsid w:val="004C45CD"/>
    <w:rsid w:val="004C4DC3"/>
    <w:rsid w:val="004C536F"/>
    <w:rsid w:val="004C70C4"/>
    <w:rsid w:val="004C7222"/>
    <w:rsid w:val="004C75F0"/>
    <w:rsid w:val="004D03A1"/>
    <w:rsid w:val="004D04B9"/>
    <w:rsid w:val="004D092D"/>
    <w:rsid w:val="004D153A"/>
    <w:rsid w:val="004D27CB"/>
    <w:rsid w:val="004D3444"/>
    <w:rsid w:val="004D3FC7"/>
    <w:rsid w:val="004D4E74"/>
    <w:rsid w:val="004D5577"/>
    <w:rsid w:val="004D5911"/>
    <w:rsid w:val="004D5D6A"/>
    <w:rsid w:val="004E4E7F"/>
    <w:rsid w:val="004E5105"/>
    <w:rsid w:val="004F09B9"/>
    <w:rsid w:val="004F4A03"/>
    <w:rsid w:val="004F4BCE"/>
    <w:rsid w:val="004F61C4"/>
    <w:rsid w:val="00502B50"/>
    <w:rsid w:val="005055CC"/>
    <w:rsid w:val="00507494"/>
    <w:rsid w:val="00507953"/>
    <w:rsid w:val="00507CF2"/>
    <w:rsid w:val="00511B01"/>
    <w:rsid w:val="00511C65"/>
    <w:rsid w:val="00512598"/>
    <w:rsid w:val="005129F9"/>
    <w:rsid w:val="00514BD1"/>
    <w:rsid w:val="005152A6"/>
    <w:rsid w:val="0051565E"/>
    <w:rsid w:val="00515681"/>
    <w:rsid w:val="00515713"/>
    <w:rsid w:val="005164D3"/>
    <w:rsid w:val="00522256"/>
    <w:rsid w:val="00522696"/>
    <w:rsid w:val="0052546A"/>
    <w:rsid w:val="00525EBE"/>
    <w:rsid w:val="00526921"/>
    <w:rsid w:val="0053124B"/>
    <w:rsid w:val="005330CB"/>
    <w:rsid w:val="005354EE"/>
    <w:rsid w:val="005439A6"/>
    <w:rsid w:val="00543B8B"/>
    <w:rsid w:val="00543CD2"/>
    <w:rsid w:val="00544EC4"/>
    <w:rsid w:val="0054780A"/>
    <w:rsid w:val="00547F5F"/>
    <w:rsid w:val="00550C05"/>
    <w:rsid w:val="00550DD8"/>
    <w:rsid w:val="00551D42"/>
    <w:rsid w:val="0055339D"/>
    <w:rsid w:val="00553FDB"/>
    <w:rsid w:val="00555425"/>
    <w:rsid w:val="00556294"/>
    <w:rsid w:val="0056041E"/>
    <w:rsid w:val="00561C3E"/>
    <w:rsid w:val="00563AAE"/>
    <w:rsid w:val="00565011"/>
    <w:rsid w:val="005662A3"/>
    <w:rsid w:val="005663DE"/>
    <w:rsid w:val="00567F8C"/>
    <w:rsid w:val="005721AD"/>
    <w:rsid w:val="00572D85"/>
    <w:rsid w:val="00572EAB"/>
    <w:rsid w:val="005730DB"/>
    <w:rsid w:val="00573B86"/>
    <w:rsid w:val="00575D2F"/>
    <w:rsid w:val="00576BF8"/>
    <w:rsid w:val="00576D03"/>
    <w:rsid w:val="00577DC2"/>
    <w:rsid w:val="0058051C"/>
    <w:rsid w:val="00583ADB"/>
    <w:rsid w:val="00585932"/>
    <w:rsid w:val="00585C68"/>
    <w:rsid w:val="005874F7"/>
    <w:rsid w:val="00591BE7"/>
    <w:rsid w:val="0059268A"/>
    <w:rsid w:val="0059335F"/>
    <w:rsid w:val="00594027"/>
    <w:rsid w:val="005973B0"/>
    <w:rsid w:val="005975FA"/>
    <w:rsid w:val="00597E43"/>
    <w:rsid w:val="005A0FA4"/>
    <w:rsid w:val="005A0FBD"/>
    <w:rsid w:val="005A17F4"/>
    <w:rsid w:val="005A1C5E"/>
    <w:rsid w:val="005A28D3"/>
    <w:rsid w:val="005A60B4"/>
    <w:rsid w:val="005A60F0"/>
    <w:rsid w:val="005A6CB0"/>
    <w:rsid w:val="005A7F9F"/>
    <w:rsid w:val="005B0F3A"/>
    <w:rsid w:val="005B2E7C"/>
    <w:rsid w:val="005B3238"/>
    <w:rsid w:val="005B4D7D"/>
    <w:rsid w:val="005B58AE"/>
    <w:rsid w:val="005B7A04"/>
    <w:rsid w:val="005C124A"/>
    <w:rsid w:val="005C14DF"/>
    <w:rsid w:val="005C34DC"/>
    <w:rsid w:val="005C38D2"/>
    <w:rsid w:val="005C4E35"/>
    <w:rsid w:val="005C5860"/>
    <w:rsid w:val="005C66A2"/>
    <w:rsid w:val="005D19D2"/>
    <w:rsid w:val="005D1B72"/>
    <w:rsid w:val="005D1CB2"/>
    <w:rsid w:val="005D2C77"/>
    <w:rsid w:val="005D7CEF"/>
    <w:rsid w:val="005E0201"/>
    <w:rsid w:val="005E258A"/>
    <w:rsid w:val="005E2689"/>
    <w:rsid w:val="005E2791"/>
    <w:rsid w:val="005E3050"/>
    <w:rsid w:val="005E3472"/>
    <w:rsid w:val="005E4CEF"/>
    <w:rsid w:val="005E5250"/>
    <w:rsid w:val="005E7CAE"/>
    <w:rsid w:val="005F11B8"/>
    <w:rsid w:val="005F2BC2"/>
    <w:rsid w:val="005F4A62"/>
    <w:rsid w:val="005F76AD"/>
    <w:rsid w:val="0060052B"/>
    <w:rsid w:val="00601C8C"/>
    <w:rsid w:val="00603269"/>
    <w:rsid w:val="00605E33"/>
    <w:rsid w:val="00606B74"/>
    <w:rsid w:val="006072C1"/>
    <w:rsid w:val="00611E81"/>
    <w:rsid w:val="00613815"/>
    <w:rsid w:val="006148FE"/>
    <w:rsid w:val="00614A44"/>
    <w:rsid w:val="00614F61"/>
    <w:rsid w:val="00615E96"/>
    <w:rsid w:val="00616BD1"/>
    <w:rsid w:val="006170AC"/>
    <w:rsid w:val="00617AAB"/>
    <w:rsid w:val="00620252"/>
    <w:rsid w:val="0062046D"/>
    <w:rsid w:val="0062057F"/>
    <w:rsid w:val="006209A1"/>
    <w:rsid w:val="00622E17"/>
    <w:rsid w:val="00623BDA"/>
    <w:rsid w:val="006259D6"/>
    <w:rsid w:val="00630398"/>
    <w:rsid w:val="00631ECD"/>
    <w:rsid w:val="00632B25"/>
    <w:rsid w:val="00632D2B"/>
    <w:rsid w:val="00632F42"/>
    <w:rsid w:val="006338A3"/>
    <w:rsid w:val="00634A93"/>
    <w:rsid w:val="00636244"/>
    <w:rsid w:val="00636570"/>
    <w:rsid w:val="00636B13"/>
    <w:rsid w:val="00636DC6"/>
    <w:rsid w:val="00643932"/>
    <w:rsid w:val="006473C4"/>
    <w:rsid w:val="00647E1F"/>
    <w:rsid w:val="00651C48"/>
    <w:rsid w:val="00653C65"/>
    <w:rsid w:val="00653CFE"/>
    <w:rsid w:val="0065416B"/>
    <w:rsid w:val="00654341"/>
    <w:rsid w:val="00655F07"/>
    <w:rsid w:val="00660DAD"/>
    <w:rsid w:val="00662DA1"/>
    <w:rsid w:val="0066513F"/>
    <w:rsid w:val="00665531"/>
    <w:rsid w:val="00666831"/>
    <w:rsid w:val="00666DA4"/>
    <w:rsid w:val="006679AB"/>
    <w:rsid w:val="00667E45"/>
    <w:rsid w:val="006714EE"/>
    <w:rsid w:val="006721E1"/>
    <w:rsid w:val="00675ACE"/>
    <w:rsid w:val="006778D7"/>
    <w:rsid w:val="006778E7"/>
    <w:rsid w:val="0068384F"/>
    <w:rsid w:val="0068444A"/>
    <w:rsid w:val="0068468C"/>
    <w:rsid w:val="00684CB4"/>
    <w:rsid w:val="00685025"/>
    <w:rsid w:val="00685D18"/>
    <w:rsid w:val="00686ED3"/>
    <w:rsid w:val="006910C9"/>
    <w:rsid w:val="0069216C"/>
    <w:rsid w:val="0069300E"/>
    <w:rsid w:val="006941C1"/>
    <w:rsid w:val="006964B5"/>
    <w:rsid w:val="006965B5"/>
    <w:rsid w:val="00697ACE"/>
    <w:rsid w:val="006A19F3"/>
    <w:rsid w:val="006A3B0A"/>
    <w:rsid w:val="006A71A9"/>
    <w:rsid w:val="006B1712"/>
    <w:rsid w:val="006B18CC"/>
    <w:rsid w:val="006B2053"/>
    <w:rsid w:val="006B41D9"/>
    <w:rsid w:val="006B43BA"/>
    <w:rsid w:val="006C0011"/>
    <w:rsid w:val="006C0F6A"/>
    <w:rsid w:val="006C198B"/>
    <w:rsid w:val="006C6051"/>
    <w:rsid w:val="006C6C2D"/>
    <w:rsid w:val="006D205C"/>
    <w:rsid w:val="006D5EB8"/>
    <w:rsid w:val="006D6710"/>
    <w:rsid w:val="006D6E88"/>
    <w:rsid w:val="006D7E19"/>
    <w:rsid w:val="006E001C"/>
    <w:rsid w:val="006E07A0"/>
    <w:rsid w:val="006E1366"/>
    <w:rsid w:val="006E140C"/>
    <w:rsid w:val="006E1E37"/>
    <w:rsid w:val="006E22B7"/>
    <w:rsid w:val="006E3D8A"/>
    <w:rsid w:val="006E7700"/>
    <w:rsid w:val="006E7E71"/>
    <w:rsid w:val="006F0E0E"/>
    <w:rsid w:val="006F44B6"/>
    <w:rsid w:val="006F7251"/>
    <w:rsid w:val="00700625"/>
    <w:rsid w:val="007019F5"/>
    <w:rsid w:val="007020C6"/>
    <w:rsid w:val="00705B6A"/>
    <w:rsid w:val="007077C2"/>
    <w:rsid w:val="007104D0"/>
    <w:rsid w:val="00711CDF"/>
    <w:rsid w:val="00712F4A"/>
    <w:rsid w:val="00712FE5"/>
    <w:rsid w:val="00713406"/>
    <w:rsid w:val="00714BC4"/>
    <w:rsid w:val="00715A18"/>
    <w:rsid w:val="0071746F"/>
    <w:rsid w:val="00717F2C"/>
    <w:rsid w:val="0072174A"/>
    <w:rsid w:val="00727058"/>
    <w:rsid w:val="007306AC"/>
    <w:rsid w:val="007339A0"/>
    <w:rsid w:val="00734FF7"/>
    <w:rsid w:val="007360C0"/>
    <w:rsid w:val="00737D61"/>
    <w:rsid w:val="00740866"/>
    <w:rsid w:val="007408BA"/>
    <w:rsid w:val="00744A36"/>
    <w:rsid w:val="00745BE7"/>
    <w:rsid w:val="00751038"/>
    <w:rsid w:val="00752BAA"/>
    <w:rsid w:val="00752D42"/>
    <w:rsid w:val="007542A4"/>
    <w:rsid w:val="00755826"/>
    <w:rsid w:val="00756387"/>
    <w:rsid w:val="0075685F"/>
    <w:rsid w:val="00760487"/>
    <w:rsid w:val="00760848"/>
    <w:rsid w:val="00760E83"/>
    <w:rsid w:val="00760FC1"/>
    <w:rsid w:val="007617D4"/>
    <w:rsid w:val="007628DA"/>
    <w:rsid w:val="007653DB"/>
    <w:rsid w:val="0076645E"/>
    <w:rsid w:val="00767A14"/>
    <w:rsid w:val="007716EE"/>
    <w:rsid w:val="00772DD8"/>
    <w:rsid w:val="00773666"/>
    <w:rsid w:val="00777494"/>
    <w:rsid w:val="00781059"/>
    <w:rsid w:val="007828C9"/>
    <w:rsid w:val="00784570"/>
    <w:rsid w:val="00787114"/>
    <w:rsid w:val="00790A67"/>
    <w:rsid w:val="00792830"/>
    <w:rsid w:val="00793002"/>
    <w:rsid w:val="00793305"/>
    <w:rsid w:val="00794F98"/>
    <w:rsid w:val="007952F7"/>
    <w:rsid w:val="007A20C5"/>
    <w:rsid w:val="007A3880"/>
    <w:rsid w:val="007A4F07"/>
    <w:rsid w:val="007B12FD"/>
    <w:rsid w:val="007B713F"/>
    <w:rsid w:val="007B7593"/>
    <w:rsid w:val="007C12AC"/>
    <w:rsid w:val="007C27D7"/>
    <w:rsid w:val="007C32D0"/>
    <w:rsid w:val="007C366E"/>
    <w:rsid w:val="007C3931"/>
    <w:rsid w:val="007C3D5E"/>
    <w:rsid w:val="007C42CA"/>
    <w:rsid w:val="007D149B"/>
    <w:rsid w:val="007D2A16"/>
    <w:rsid w:val="007D3787"/>
    <w:rsid w:val="007D4496"/>
    <w:rsid w:val="007D55E3"/>
    <w:rsid w:val="007D713D"/>
    <w:rsid w:val="007D7140"/>
    <w:rsid w:val="007D7657"/>
    <w:rsid w:val="007E1C98"/>
    <w:rsid w:val="007E2DAD"/>
    <w:rsid w:val="007E765B"/>
    <w:rsid w:val="007E7F79"/>
    <w:rsid w:val="007F03DB"/>
    <w:rsid w:val="007F148A"/>
    <w:rsid w:val="007F2742"/>
    <w:rsid w:val="007F2DE1"/>
    <w:rsid w:val="007F3384"/>
    <w:rsid w:val="007F4B19"/>
    <w:rsid w:val="007F63BD"/>
    <w:rsid w:val="007F642A"/>
    <w:rsid w:val="007F6A2B"/>
    <w:rsid w:val="007F7420"/>
    <w:rsid w:val="008010C1"/>
    <w:rsid w:val="0080133B"/>
    <w:rsid w:val="008016CF"/>
    <w:rsid w:val="00801CC4"/>
    <w:rsid w:val="008020F6"/>
    <w:rsid w:val="00803D02"/>
    <w:rsid w:val="00805016"/>
    <w:rsid w:val="008056B6"/>
    <w:rsid w:val="008065C7"/>
    <w:rsid w:val="00807E46"/>
    <w:rsid w:val="00811C5E"/>
    <w:rsid w:val="00811F1B"/>
    <w:rsid w:val="00812548"/>
    <w:rsid w:val="008128FA"/>
    <w:rsid w:val="008160CB"/>
    <w:rsid w:val="008206BD"/>
    <w:rsid w:val="00824980"/>
    <w:rsid w:val="00825603"/>
    <w:rsid w:val="008258CC"/>
    <w:rsid w:val="008336C4"/>
    <w:rsid w:val="00834CC4"/>
    <w:rsid w:val="00835927"/>
    <w:rsid w:val="0083628A"/>
    <w:rsid w:val="008364C2"/>
    <w:rsid w:val="00836B6D"/>
    <w:rsid w:val="00840E9D"/>
    <w:rsid w:val="00840F43"/>
    <w:rsid w:val="00841066"/>
    <w:rsid w:val="00841CFA"/>
    <w:rsid w:val="00843775"/>
    <w:rsid w:val="00843A58"/>
    <w:rsid w:val="008444E6"/>
    <w:rsid w:val="00854F42"/>
    <w:rsid w:val="00855B36"/>
    <w:rsid w:val="00855E33"/>
    <w:rsid w:val="00862210"/>
    <w:rsid w:val="00862FD0"/>
    <w:rsid w:val="00863400"/>
    <w:rsid w:val="00865317"/>
    <w:rsid w:val="0087080F"/>
    <w:rsid w:val="008708A6"/>
    <w:rsid w:val="008708C7"/>
    <w:rsid w:val="008709AA"/>
    <w:rsid w:val="00872F10"/>
    <w:rsid w:val="00876DAE"/>
    <w:rsid w:val="008803B7"/>
    <w:rsid w:val="00880C6C"/>
    <w:rsid w:val="008815BD"/>
    <w:rsid w:val="00883524"/>
    <w:rsid w:val="008849B7"/>
    <w:rsid w:val="00884CE7"/>
    <w:rsid w:val="00884E0D"/>
    <w:rsid w:val="00884FB5"/>
    <w:rsid w:val="00891E3A"/>
    <w:rsid w:val="0089268B"/>
    <w:rsid w:val="00892C8C"/>
    <w:rsid w:val="00892DBF"/>
    <w:rsid w:val="00892EE4"/>
    <w:rsid w:val="00895AD2"/>
    <w:rsid w:val="00896119"/>
    <w:rsid w:val="00896AE8"/>
    <w:rsid w:val="008A1D80"/>
    <w:rsid w:val="008A1F2F"/>
    <w:rsid w:val="008A1F73"/>
    <w:rsid w:val="008A368A"/>
    <w:rsid w:val="008A560D"/>
    <w:rsid w:val="008A5C05"/>
    <w:rsid w:val="008A654C"/>
    <w:rsid w:val="008A704F"/>
    <w:rsid w:val="008B1C24"/>
    <w:rsid w:val="008B1E0D"/>
    <w:rsid w:val="008B279A"/>
    <w:rsid w:val="008B6145"/>
    <w:rsid w:val="008B6330"/>
    <w:rsid w:val="008B7DF3"/>
    <w:rsid w:val="008C1B10"/>
    <w:rsid w:val="008C411B"/>
    <w:rsid w:val="008C6736"/>
    <w:rsid w:val="008C6B1A"/>
    <w:rsid w:val="008C6C06"/>
    <w:rsid w:val="008C75DA"/>
    <w:rsid w:val="008D151D"/>
    <w:rsid w:val="008D1D06"/>
    <w:rsid w:val="008D216F"/>
    <w:rsid w:val="008D2374"/>
    <w:rsid w:val="008D2EF9"/>
    <w:rsid w:val="008D41E3"/>
    <w:rsid w:val="008D5EA5"/>
    <w:rsid w:val="008D686C"/>
    <w:rsid w:val="008E2356"/>
    <w:rsid w:val="008E24A6"/>
    <w:rsid w:val="008E304D"/>
    <w:rsid w:val="008E32B0"/>
    <w:rsid w:val="008E4CE7"/>
    <w:rsid w:val="008E6137"/>
    <w:rsid w:val="008E6B79"/>
    <w:rsid w:val="008E75E5"/>
    <w:rsid w:val="008F05A6"/>
    <w:rsid w:val="008F05AA"/>
    <w:rsid w:val="008F346A"/>
    <w:rsid w:val="008F3D52"/>
    <w:rsid w:val="008F59D7"/>
    <w:rsid w:val="008F6487"/>
    <w:rsid w:val="008F6717"/>
    <w:rsid w:val="008F7D31"/>
    <w:rsid w:val="008F7DA4"/>
    <w:rsid w:val="008F7FBF"/>
    <w:rsid w:val="00900634"/>
    <w:rsid w:val="009010C3"/>
    <w:rsid w:val="0090148D"/>
    <w:rsid w:val="00903136"/>
    <w:rsid w:val="009048A1"/>
    <w:rsid w:val="00906158"/>
    <w:rsid w:val="00906975"/>
    <w:rsid w:val="00906E97"/>
    <w:rsid w:val="00906FE5"/>
    <w:rsid w:val="009123A0"/>
    <w:rsid w:val="00913AD0"/>
    <w:rsid w:val="009140ED"/>
    <w:rsid w:val="00915512"/>
    <w:rsid w:val="009177EC"/>
    <w:rsid w:val="0091791A"/>
    <w:rsid w:val="00917E02"/>
    <w:rsid w:val="009218E9"/>
    <w:rsid w:val="00921B28"/>
    <w:rsid w:val="00922416"/>
    <w:rsid w:val="00924229"/>
    <w:rsid w:val="00924793"/>
    <w:rsid w:val="00924CAF"/>
    <w:rsid w:val="00925615"/>
    <w:rsid w:val="00926157"/>
    <w:rsid w:val="00926639"/>
    <w:rsid w:val="00930597"/>
    <w:rsid w:val="00930E3F"/>
    <w:rsid w:val="00934460"/>
    <w:rsid w:val="00935FE4"/>
    <w:rsid w:val="009414A5"/>
    <w:rsid w:val="00942632"/>
    <w:rsid w:val="00942AC5"/>
    <w:rsid w:val="009432C9"/>
    <w:rsid w:val="00944F48"/>
    <w:rsid w:val="0094588A"/>
    <w:rsid w:val="00945967"/>
    <w:rsid w:val="009464C1"/>
    <w:rsid w:val="00946E33"/>
    <w:rsid w:val="00947D02"/>
    <w:rsid w:val="0095140F"/>
    <w:rsid w:val="00955E1A"/>
    <w:rsid w:val="00957CE7"/>
    <w:rsid w:val="00957EA8"/>
    <w:rsid w:val="0096002F"/>
    <w:rsid w:val="0096077C"/>
    <w:rsid w:val="009620C6"/>
    <w:rsid w:val="00963014"/>
    <w:rsid w:val="00964AA2"/>
    <w:rsid w:val="00965488"/>
    <w:rsid w:val="00965BB4"/>
    <w:rsid w:val="00965CAD"/>
    <w:rsid w:val="00966495"/>
    <w:rsid w:val="00966679"/>
    <w:rsid w:val="00971FF6"/>
    <w:rsid w:val="00982354"/>
    <w:rsid w:val="009837F6"/>
    <w:rsid w:val="009839C6"/>
    <w:rsid w:val="0098402C"/>
    <w:rsid w:val="00984564"/>
    <w:rsid w:val="00985763"/>
    <w:rsid w:val="009864B8"/>
    <w:rsid w:val="0099108B"/>
    <w:rsid w:val="0099344B"/>
    <w:rsid w:val="009935AC"/>
    <w:rsid w:val="009955CE"/>
    <w:rsid w:val="00995ADE"/>
    <w:rsid w:val="009A1974"/>
    <w:rsid w:val="009A250D"/>
    <w:rsid w:val="009A5E8D"/>
    <w:rsid w:val="009B1142"/>
    <w:rsid w:val="009B1ABA"/>
    <w:rsid w:val="009B45B2"/>
    <w:rsid w:val="009B511D"/>
    <w:rsid w:val="009B545D"/>
    <w:rsid w:val="009B78F8"/>
    <w:rsid w:val="009C2533"/>
    <w:rsid w:val="009C33C7"/>
    <w:rsid w:val="009C572C"/>
    <w:rsid w:val="009C5950"/>
    <w:rsid w:val="009D2921"/>
    <w:rsid w:val="009D47FE"/>
    <w:rsid w:val="009D4EBC"/>
    <w:rsid w:val="009D5128"/>
    <w:rsid w:val="009D5795"/>
    <w:rsid w:val="009E16E6"/>
    <w:rsid w:val="009E2A86"/>
    <w:rsid w:val="009E316D"/>
    <w:rsid w:val="009E4861"/>
    <w:rsid w:val="009E5679"/>
    <w:rsid w:val="009E61CB"/>
    <w:rsid w:val="009E6DBA"/>
    <w:rsid w:val="009E719B"/>
    <w:rsid w:val="009F3CC6"/>
    <w:rsid w:val="009F7704"/>
    <w:rsid w:val="00A033ED"/>
    <w:rsid w:val="00A03EDF"/>
    <w:rsid w:val="00A04BBC"/>
    <w:rsid w:val="00A04E44"/>
    <w:rsid w:val="00A059E4"/>
    <w:rsid w:val="00A05F52"/>
    <w:rsid w:val="00A06506"/>
    <w:rsid w:val="00A10603"/>
    <w:rsid w:val="00A11008"/>
    <w:rsid w:val="00A11459"/>
    <w:rsid w:val="00A11E61"/>
    <w:rsid w:val="00A12026"/>
    <w:rsid w:val="00A12437"/>
    <w:rsid w:val="00A166C2"/>
    <w:rsid w:val="00A1743A"/>
    <w:rsid w:val="00A213E3"/>
    <w:rsid w:val="00A21A18"/>
    <w:rsid w:val="00A22B37"/>
    <w:rsid w:val="00A22F39"/>
    <w:rsid w:val="00A23700"/>
    <w:rsid w:val="00A249E0"/>
    <w:rsid w:val="00A24E4B"/>
    <w:rsid w:val="00A26C0D"/>
    <w:rsid w:val="00A27FCF"/>
    <w:rsid w:val="00A308DA"/>
    <w:rsid w:val="00A328AB"/>
    <w:rsid w:val="00A33BF8"/>
    <w:rsid w:val="00A35A6A"/>
    <w:rsid w:val="00A36641"/>
    <w:rsid w:val="00A40E94"/>
    <w:rsid w:val="00A43943"/>
    <w:rsid w:val="00A447A3"/>
    <w:rsid w:val="00A52317"/>
    <w:rsid w:val="00A5477C"/>
    <w:rsid w:val="00A55521"/>
    <w:rsid w:val="00A5564E"/>
    <w:rsid w:val="00A62301"/>
    <w:rsid w:val="00A62CC2"/>
    <w:rsid w:val="00A64EC1"/>
    <w:rsid w:val="00A651CA"/>
    <w:rsid w:val="00A66A95"/>
    <w:rsid w:val="00A6780F"/>
    <w:rsid w:val="00A67A54"/>
    <w:rsid w:val="00A67D33"/>
    <w:rsid w:val="00A720DE"/>
    <w:rsid w:val="00A7585A"/>
    <w:rsid w:val="00A768C7"/>
    <w:rsid w:val="00A77526"/>
    <w:rsid w:val="00A77E42"/>
    <w:rsid w:val="00A808C2"/>
    <w:rsid w:val="00A80EF6"/>
    <w:rsid w:val="00A81032"/>
    <w:rsid w:val="00A8149E"/>
    <w:rsid w:val="00A82EF5"/>
    <w:rsid w:val="00A86A5C"/>
    <w:rsid w:val="00A90871"/>
    <w:rsid w:val="00A91A02"/>
    <w:rsid w:val="00A96647"/>
    <w:rsid w:val="00A97289"/>
    <w:rsid w:val="00AA0C5B"/>
    <w:rsid w:val="00AA115C"/>
    <w:rsid w:val="00AA3229"/>
    <w:rsid w:val="00AA41A2"/>
    <w:rsid w:val="00AB189B"/>
    <w:rsid w:val="00AB4D70"/>
    <w:rsid w:val="00AB5A00"/>
    <w:rsid w:val="00AB6A86"/>
    <w:rsid w:val="00AC0E33"/>
    <w:rsid w:val="00AC1B81"/>
    <w:rsid w:val="00AC2C70"/>
    <w:rsid w:val="00AC4079"/>
    <w:rsid w:val="00AC542D"/>
    <w:rsid w:val="00AC5849"/>
    <w:rsid w:val="00AC6BF1"/>
    <w:rsid w:val="00AD220B"/>
    <w:rsid w:val="00AD343D"/>
    <w:rsid w:val="00AD370E"/>
    <w:rsid w:val="00AD3CAD"/>
    <w:rsid w:val="00AD4BFD"/>
    <w:rsid w:val="00AD5184"/>
    <w:rsid w:val="00AD5582"/>
    <w:rsid w:val="00AD6192"/>
    <w:rsid w:val="00AD6919"/>
    <w:rsid w:val="00AD6C74"/>
    <w:rsid w:val="00AD733D"/>
    <w:rsid w:val="00AD77F5"/>
    <w:rsid w:val="00AD7B0F"/>
    <w:rsid w:val="00AD7B88"/>
    <w:rsid w:val="00AE124E"/>
    <w:rsid w:val="00AE12ED"/>
    <w:rsid w:val="00AE308B"/>
    <w:rsid w:val="00AE32FC"/>
    <w:rsid w:val="00AE61D2"/>
    <w:rsid w:val="00AE6919"/>
    <w:rsid w:val="00AE7381"/>
    <w:rsid w:val="00AE7D37"/>
    <w:rsid w:val="00AF0F24"/>
    <w:rsid w:val="00AF28DD"/>
    <w:rsid w:val="00AF405A"/>
    <w:rsid w:val="00AF6B52"/>
    <w:rsid w:val="00AF7C95"/>
    <w:rsid w:val="00B0127B"/>
    <w:rsid w:val="00B01497"/>
    <w:rsid w:val="00B02923"/>
    <w:rsid w:val="00B02EB8"/>
    <w:rsid w:val="00B035DD"/>
    <w:rsid w:val="00B04037"/>
    <w:rsid w:val="00B11421"/>
    <w:rsid w:val="00B11A58"/>
    <w:rsid w:val="00B11AE5"/>
    <w:rsid w:val="00B16DB4"/>
    <w:rsid w:val="00B230B1"/>
    <w:rsid w:val="00B231A6"/>
    <w:rsid w:val="00B23321"/>
    <w:rsid w:val="00B241EC"/>
    <w:rsid w:val="00B2471A"/>
    <w:rsid w:val="00B2525A"/>
    <w:rsid w:val="00B2770C"/>
    <w:rsid w:val="00B32843"/>
    <w:rsid w:val="00B3360D"/>
    <w:rsid w:val="00B3377F"/>
    <w:rsid w:val="00B34898"/>
    <w:rsid w:val="00B34CD6"/>
    <w:rsid w:val="00B3512B"/>
    <w:rsid w:val="00B4049F"/>
    <w:rsid w:val="00B40F77"/>
    <w:rsid w:val="00B41D5B"/>
    <w:rsid w:val="00B44F57"/>
    <w:rsid w:val="00B451B6"/>
    <w:rsid w:val="00B469EE"/>
    <w:rsid w:val="00B46E7E"/>
    <w:rsid w:val="00B5324B"/>
    <w:rsid w:val="00B53BDF"/>
    <w:rsid w:val="00B5507E"/>
    <w:rsid w:val="00B577BD"/>
    <w:rsid w:val="00B57BAC"/>
    <w:rsid w:val="00B603BF"/>
    <w:rsid w:val="00B61C32"/>
    <w:rsid w:val="00B6372C"/>
    <w:rsid w:val="00B6379D"/>
    <w:rsid w:val="00B649E2"/>
    <w:rsid w:val="00B70A6B"/>
    <w:rsid w:val="00B70E39"/>
    <w:rsid w:val="00B71A01"/>
    <w:rsid w:val="00B726A0"/>
    <w:rsid w:val="00B763D6"/>
    <w:rsid w:val="00B82C5B"/>
    <w:rsid w:val="00B82DE4"/>
    <w:rsid w:val="00B85036"/>
    <w:rsid w:val="00B86361"/>
    <w:rsid w:val="00B912CE"/>
    <w:rsid w:val="00B92769"/>
    <w:rsid w:val="00B93343"/>
    <w:rsid w:val="00B9386A"/>
    <w:rsid w:val="00B94F41"/>
    <w:rsid w:val="00B9575B"/>
    <w:rsid w:val="00B974D2"/>
    <w:rsid w:val="00BA070C"/>
    <w:rsid w:val="00BA3E43"/>
    <w:rsid w:val="00BA4767"/>
    <w:rsid w:val="00BA4873"/>
    <w:rsid w:val="00BA4E63"/>
    <w:rsid w:val="00BA6C42"/>
    <w:rsid w:val="00BA7637"/>
    <w:rsid w:val="00BB0E7F"/>
    <w:rsid w:val="00BB19E5"/>
    <w:rsid w:val="00BB2091"/>
    <w:rsid w:val="00BB29DD"/>
    <w:rsid w:val="00BB4A4F"/>
    <w:rsid w:val="00BB5FBE"/>
    <w:rsid w:val="00BB669A"/>
    <w:rsid w:val="00BC2626"/>
    <w:rsid w:val="00BC30AA"/>
    <w:rsid w:val="00BC4E85"/>
    <w:rsid w:val="00BC6056"/>
    <w:rsid w:val="00BD02F3"/>
    <w:rsid w:val="00BD0449"/>
    <w:rsid w:val="00BD047F"/>
    <w:rsid w:val="00BD2CE8"/>
    <w:rsid w:val="00BD3C0A"/>
    <w:rsid w:val="00BD48BA"/>
    <w:rsid w:val="00BD4DCD"/>
    <w:rsid w:val="00BD5358"/>
    <w:rsid w:val="00BD593A"/>
    <w:rsid w:val="00BD7957"/>
    <w:rsid w:val="00BE10D6"/>
    <w:rsid w:val="00BE40E6"/>
    <w:rsid w:val="00BE4720"/>
    <w:rsid w:val="00BE7980"/>
    <w:rsid w:val="00BF1F5C"/>
    <w:rsid w:val="00BF7AB9"/>
    <w:rsid w:val="00C00181"/>
    <w:rsid w:val="00C00BB8"/>
    <w:rsid w:val="00C01880"/>
    <w:rsid w:val="00C03C00"/>
    <w:rsid w:val="00C04388"/>
    <w:rsid w:val="00C04668"/>
    <w:rsid w:val="00C04925"/>
    <w:rsid w:val="00C04D63"/>
    <w:rsid w:val="00C058FF"/>
    <w:rsid w:val="00C06CDA"/>
    <w:rsid w:val="00C10809"/>
    <w:rsid w:val="00C11860"/>
    <w:rsid w:val="00C12F05"/>
    <w:rsid w:val="00C158F4"/>
    <w:rsid w:val="00C17EF0"/>
    <w:rsid w:val="00C20034"/>
    <w:rsid w:val="00C2132E"/>
    <w:rsid w:val="00C21CF4"/>
    <w:rsid w:val="00C23090"/>
    <w:rsid w:val="00C23371"/>
    <w:rsid w:val="00C25AEA"/>
    <w:rsid w:val="00C26B12"/>
    <w:rsid w:val="00C30D22"/>
    <w:rsid w:val="00C313CC"/>
    <w:rsid w:val="00C3174D"/>
    <w:rsid w:val="00C35540"/>
    <w:rsid w:val="00C36BCE"/>
    <w:rsid w:val="00C4139D"/>
    <w:rsid w:val="00C416FE"/>
    <w:rsid w:val="00C444F1"/>
    <w:rsid w:val="00C44D16"/>
    <w:rsid w:val="00C453F5"/>
    <w:rsid w:val="00C455FB"/>
    <w:rsid w:val="00C46A7F"/>
    <w:rsid w:val="00C50685"/>
    <w:rsid w:val="00C529CE"/>
    <w:rsid w:val="00C5390A"/>
    <w:rsid w:val="00C53F61"/>
    <w:rsid w:val="00C563F6"/>
    <w:rsid w:val="00C567B6"/>
    <w:rsid w:val="00C6027C"/>
    <w:rsid w:val="00C61831"/>
    <w:rsid w:val="00C62FD2"/>
    <w:rsid w:val="00C64820"/>
    <w:rsid w:val="00C648CD"/>
    <w:rsid w:val="00C65598"/>
    <w:rsid w:val="00C666C6"/>
    <w:rsid w:val="00C71005"/>
    <w:rsid w:val="00C71668"/>
    <w:rsid w:val="00C71F0D"/>
    <w:rsid w:val="00C7208A"/>
    <w:rsid w:val="00C75DFF"/>
    <w:rsid w:val="00C76EA2"/>
    <w:rsid w:val="00C77023"/>
    <w:rsid w:val="00C77F87"/>
    <w:rsid w:val="00C80382"/>
    <w:rsid w:val="00C81329"/>
    <w:rsid w:val="00C81AB8"/>
    <w:rsid w:val="00C84DD9"/>
    <w:rsid w:val="00C85832"/>
    <w:rsid w:val="00C86572"/>
    <w:rsid w:val="00C9086A"/>
    <w:rsid w:val="00C91FF1"/>
    <w:rsid w:val="00C9356E"/>
    <w:rsid w:val="00C946DF"/>
    <w:rsid w:val="00C94C9E"/>
    <w:rsid w:val="00C954C2"/>
    <w:rsid w:val="00C955FA"/>
    <w:rsid w:val="00C96D03"/>
    <w:rsid w:val="00CA3684"/>
    <w:rsid w:val="00CA693D"/>
    <w:rsid w:val="00CA757F"/>
    <w:rsid w:val="00CA781F"/>
    <w:rsid w:val="00CA7D28"/>
    <w:rsid w:val="00CB369B"/>
    <w:rsid w:val="00CB385F"/>
    <w:rsid w:val="00CB511E"/>
    <w:rsid w:val="00CB5378"/>
    <w:rsid w:val="00CB6EE9"/>
    <w:rsid w:val="00CB7754"/>
    <w:rsid w:val="00CB7FE3"/>
    <w:rsid w:val="00CC09D9"/>
    <w:rsid w:val="00CC2E3D"/>
    <w:rsid w:val="00CC33C1"/>
    <w:rsid w:val="00CC693C"/>
    <w:rsid w:val="00CC73D1"/>
    <w:rsid w:val="00CC783C"/>
    <w:rsid w:val="00CD318F"/>
    <w:rsid w:val="00CD553F"/>
    <w:rsid w:val="00CD6BD2"/>
    <w:rsid w:val="00CE01EC"/>
    <w:rsid w:val="00CE132D"/>
    <w:rsid w:val="00CE1F8C"/>
    <w:rsid w:val="00CE3E90"/>
    <w:rsid w:val="00CE43BF"/>
    <w:rsid w:val="00CE5743"/>
    <w:rsid w:val="00CE5B67"/>
    <w:rsid w:val="00CE6773"/>
    <w:rsid w:val="00CE740A"/>
    <w:rsid w:val="00CF01B9"/>
    <w:rsid w:val="00CF022C"/>
    <w:rsid w:val="00CF0749"/>
    <w:rsid w:val="00CF0756"/>
    <w:rsid w:val="00CF1EA8"/>
    <w:rsid w:val="00CF3D84"/>
    <w:rsid w:val="00CF4A2C"/>
    <w:rsid w:val="00CF7AE9"/>
    <w:rsid w:val="00D00A40"/>
    <w:rsid w:val="00D00D8B"/>
    <w:rsid w:val="00D014F0"/>
    <w:rsid w:val="00D01E9C"/>
    <w:rsid w:val="00D0227D"/>
    <w:rsid w:val="00D02CF1"/>
    <w:rsid w:val="00D03CF1"/>
    <w:rsid w:val="00D043D3"/>
    <w:rsid w:val="00D046D8"/>
    <w:rsid w:val="00D04CA6"/>
    <w:rsid w:val="00D06028"/>
    <w:rsid w:val="00D106D0"/>
    <w:rsid w:val="00D142D6"/>
    <w:rsid w:val="00D14840"/>
    <w:rsid w:val="00D1511F"/>
    <w:rsid w:val="00D152DF"/>
    <w:rsid w:val="00D17C12"/>
    <w:rsid w:val="00D218A5"/>
    <w:rsid w:val="00D21FFD"/>
    <w:rsid w:val="00D22347"/>
    <w:rsid w:val="00D2555E"/>
    <w:rsid w:val="00D274FF"/>
    <w:rsid w:val="00D30344"/>
    <w:rsid w:val="00D307F0"/>
    <w:rsid w:val="00D30E59"/>
    <w:rsid w:val="00D32EBC"/>
    <w:rsid w:val="00D33D1D"/>
    <w:rsid w:val="00D3480E"/>
    <w:rsid w:val="00D3601C"/>
    <w:rsid w:val="00D406C1"/>
    <w:rsid w:val="00D406F8"/>
    <w:rsid w:val="00D40ACE"/>
    <w:rsid w:val="00D428CE"/>
    <w:rsid w:val="00D429F9"/>
    <w:rsid w:val="00D44634"/>
    <w:rsid w:val="00D44A6B"/>
    <w:rsid w:val="00D4583D"/>
    <w:rsid w:val="00D458CB"/>
    <w:rsid w:val="00D47771"/>
    <w:rsid w:val="00D479B7"/>
    <w:rsid w:val="00D51689"/>
    <w:rsid w:val="00D520B1"/>
    <w:rsid w:val="00D52941"/>
    <w:rsid w:val="00D54F1D"/>
    <w:rsid w:val="00D56606"/>
    <w:rsid w:val="00D57C0D"/>
    <w:rsid w:val="00D57EEC"/>
    <w:rsid w:val="00D61DE6"/>
    <w:rsid w:val="00D6284E"/>
    <w:rsid w:val="00D62ABC"/>
    <w:rsid w:val="00D62C4A"/>
    <w:rsid w:val="00D62C7D"/>
    <w:rsid w:val="00D62FE4"/>
    <w:rsid w:val="00D631A7"/>
    <w:rsid w:val="00D64B55"/>
    <w:rsid w:val="00D66AA8"/>
    <w:rsid w:val="00D67903"/>
    <w:rsid w:val="00D70772"/>
    <w:rsid w:val="00D72845"/>
    <w:rsid w:val="00D73D51"/>
    <w:rsid w:val="00D743DB"/>
    <w:rsid w:val="00D74F5D"/>
    <w:rsid w:val="00D7584D"/>
    <w:rsid w:val="00D775EA"/>
    <w:rsid w:val="00D77863"/>
    <w:rsid w:val="00D812F8"/>
    <w:rsid w:val="00D83D8E"/>
    <w:rsid w:val="00D8456D"/>
    <w:rsid w:val="00D848C5"/>
    <w:rsid w:val="00D84B57"/>
    <w:rsid w:val="00D85C04"/>
    <w:rsid w:val="00D864E8"/>
    <w:rsid w:val="00D87341"/>
    <w:rsid w:val="00D87394"/>
    <w:rsid w:val="00D8752C"/>
    <w:rsid w:val="00D91A3C"/>
    <w:rsid w:val="00D94234"/>
    <w:rsid w:val="00D96925"/>
    <w:rsid w:val="00DA0C62"/>
    <w:rsid w:val="00DA2664"/>
    <w:rsid w:val="00DA2D97"/>
    <w:rsid w:val="00DA39AB"/>
    <w:rsid w:val="00DA5DF2"/>
    <w:rsid w:val="00DA7FE6"/>
    <w:rsid w:val="00DB031C"/>
    <w:rsid w:val="00DB09E6"/>
    <w:rsid w:val="00DB197F"/>
    <w:rsid w:val="00DB1C9C"/>
    <w:rsid w:val="00DB23A1"/>
    <w:rsid w:val="00DB351C"/>
    <w:rsid w:val="00DB3CDA"/>
    <w:rsid w:val="00DB42D0"/>
    <w:rsid w:val="00DB631B"/>
    <w:rsid w:val="00DB7080"/>
    <w:rsid w:val="00DB7341"/>
    <w:rsid w:val="00DC0434"/>
    <w:rsid w:val="00DC319F"/>
    <w:rsid w:val="00DC3BC7"/>
    <w:rsid w:val="00DD0AE1"/>
    <w:rsid w:val="00DD0FE8"/>
    <w:rsid w:val="00DD2103"/>
    <w:rsid w:val="00DD2CBA"/>
    <w:rsid w:val="00DD414A"/>
    <w:rsid w:val="00DD417E"/>
    <w:rsid w:val="00DE0128"/>
    <w:rsid w:val="00DE1A4C"/>
    <w:rsid w:val="00DE1F95"/>
    <w:rsid w:val="00DE2976"/>
    <w:rsid w:val="00DE5589"/>
    <w:rsid w:val="00DE5AFD"/>
    <w:rsid w:val="00DE6D2F"/>
    <w:rsid w:val="00DF3586"/>
    <w:rsid w:val="00DF7148"/>
    <w:rsid w:val="00DF7C73"/>
    <w:rsid w:val="00E06254"/>
    <w:rsid w:val="00E10022"/>
    <w:rsid w:val="00E104BE"/>
    <w:rsid w:val="00E11F7D"/>
    <w:rsid w:val="00E12905"/>
    <w:rsid w:val="00E12D6D"/>
    <w:rsid w:val="00E14351"/>
    <w:rsid w:val="00E153EE"/>
    <w:rsid w:val="00E1732C"/>
    <w:rsid w:val="00E2535B"/>
    <w:rsid w:val="00E25BBF"/>
    <w:rsid w:val="00E27D24"/>
    <w:rsid w:val="00E30463"/>
    <w:rsid w:val="00E30A2F"/>
    <w:rsid w:val="00E341DF"/>
    <w:rsid w:val="00E345D8"/>
    <w:rsid w:val="00E36665"/>
    <w:rsid w:val="00E40CE7"/>
    <w:rsid w:val="00E420C8"/>
    <w:rsid w:val="00E42249"/>
    <w:rsid w:val="00E42FEC"/>
    <w:rsid w:val="00E464E2"/>
    <w:rsid w:val="00E51042"/>
    <w:rsid w:val="00E5323B"/>
    <w:rsid w:val="00E53AAE"/>
    <w:rsid w:val="00E54029"/>
    <w:rsid w:val="00E54AE8"/>
    <w:rsid w:val="00E55751"/>
    <w:rsid w:val="00E57B0A"/>
    <w:rsid w:val="00E60C9B"/>
    <w:rsid w:val="00E618D7"/>
    <w:rsid w:val="00E61FFA"/>
    <w:rsid w:val="00E62228"/>
    <w:rsid w:val="00E62921"/>
    <w:rsid w:val="00E6391E"/>
    <w:rsid w:val="00E66A2F"/>
    <w:rsid w:val="00E67C2C"/>
    <w:rsid w:val="00E703C5"/>
    <w:rsid w:val="00E70643"/>
    <w:rsid w:val="00E71469"/>
    <w:rsid w:val="00E72A8D"/>
    <w:rsid w:val="00E73276"/>
    <w:rsid w:val="00E73322"/>
    <w:rsid w:val="00E75058"/>
    <w:rsid w:val="00E75E52"/>
    <w:rsid w:val="00E765BC"/>
    <w:rsid w:val="00E76DA2"/>
    <w:rsid w:val="00E80D21"/>
    <w:rsid w:val="00E81896"/>
    <w:rsid w:val="00E84455"/>
    <w:rsid w:val="00E8475E"/>
    <w:rsid w:val="00E86F65"/>
    <w:rsid w:val="00E877E1"/>
    <w:rsid w:val="00E915AA"/>
    <w:rsid w:val="00E925B1"/>
    <w:rsid w:val="00E93029"/>
    <w:rsid w:val="00E9316B"/>
    <w:rsid w:val="00E934C7"/>
    <w:rsid w:val="00E936C2"/>
    <w:rsid w:val="00E939E2"/>
    <w:rsid w:val="00E93D08"/>
    <w:rsid w:val="00E940DC"/>
    <w:rsid w:val="00E945F9"/>
    <w:rsid w:val="00E952FF"/>
    <w:rsid w:val="00E95DC2"/>
    <w:rsid w:val="00E95DD6"/>
    <w:rsid w:val="00E965E9"/>
    <w:rsid w:val="00E96B22"/>
    <w:rsid w:val="00EA0C33"/>
    <w:rsid w:val="00EA0D78"/>
    <w:rsid w:val="00EA25BD"/>
    <w:rsid w:val="00EA26FD"/>
    <w:rsid w:val="00EA2F1F"/>
    <w:rsid w:val="00EA40DB"/>
    <w:rsid w:val="00EA4941"/>
    <w:rsid w:val="00EA5F30"/>
    <w:rsid w:val="00EA6BC8"/>
    <w:rsid w:val="00EB1614"/>
    <w:rsid w:val="00EB345D"/>
    <w:rsid w:val="00EB3719"/>
    <w:rsid w:val="00EB666E"/>
    <w:rsid w:val="00EC28B7"/>
    <w:rsid w:val="00EC4E39"/>
    <w:rsid w:val="00EC7993"/>
    <w:rsid w:val="00ED1063"/>
    <w:rsid w:val="00ED1AFE"/>
    <w:rsid w:val="00ED3E96"/>
    <w:rsid w:val="00ED467B"/>
    <w:rsid w:val="00ED6D7E"/>
    <w:rsid w:val="00ED6F49"/>
    <w:rsid w:val="00ED7049"/>
    <w:rsid w:val="00ED7FC4"/>
    <w:rsid w:val="00EE1A49"/>
    <w:rsid w:val="00EE2FED"/>
    <w:rsid w:val="00EE332C"/>
    <w:rsid w:val="00EE3729"/>
    <w:rsid w:val="00EE438D"/>
    <w:rsid w:val="00EE5CA3"/>
    <w:rsid w:val="00EF0756"/>
    <w:rsid w:val="00EF21FB"/>
    <w:rsid w:val="00EF2C15"/>
    <w:rsid w:val="00EF2C9C"/>
    <w:rsid w:val="00EF4081"/>
    <w:rsid w:val="00EF4391"/>
    <w:rsid w:val="00EF5899"/>
    <w:rsid w:val="00F00A80"/>
    <w:rsid w:val="00F056BA"/>
    <w:rsid w:val="00F07221"/>
    <w:rsid w:val="00F072B0"/>
    <w:rsid w:val="00F10AB9"/>
    <w:rsid w:val="00F10BB5"/>
    <w:rsid w:val="00F1130E"/>
    <w:rsid w:val="00F15185"/>
    <w:rsid w:val="00F1643D"/>
    <w:rsid w:val="00F164AD"/>
    <w:rsid w:val="00F177FA"/>
    <w:rsid w:val="00F17866"/>
    <w:rsid w:val="00F2177A"/>
    <w:rsid w:val="00F21D6F"/>
    <w:rsid w:val="00F23183"/>
    <w:rsid w:val="00F2379F"/>
    <w:rsid w:val="00F25B08"/>
    <w:rsid w:val="00F324EC"/>
    <w:rsid w:val="00F3303D"/>
    <w:rsid w:val="00F34D06"/>
    <w:rsid w:val="00F359C3"/>
    <w:rsid w:val="00F35D91"/>
    <w:rsid w:val="00F35F0A"/>
    <w:rsid w:val="00F37420"/>
    <w:rsid w:val="00F37E75"/>
    <w:rsid w:val="00F41BDB"/>
    <w:rsid w:val="00F42FE1"/>
    <w:rsid w:val="00F445FA"/>
    <w:rsid w:val="00F46ACE"/>
    <w:rsid w:val="00F503F1"/>
    <w:rsid w:val="00F50EF3"/>
    <w:rsid w:val="00F51023"/>
    <w:rsid w:val="00F53A69"/>
    <w:rsid w:val="00F560E6"/>
    <w:rsid w:val="00F56EE8"/>
    <w:rsid w:val="00F61942"/>
    <w:rsid w:val="00F63190"/>
    <w:rsid w:val="00F632C1"/>
    <w:rsid w:val="00F66677"/>
    <w:rsid w:val="00F67EAD"/>
    <w:rsid w:val="00F70415"/>
    <w:rsid w:val="00F70EA0"/>
    <w:rsid w:val="00F713A6"/>
    <w:rsid w:val="00F71F27"/>
    <w:rsid w:val="00F723D4"/>
    <w:rsid w:val="00F743B8"/>
    <w:rsid w:val="00F758BD"/>
    <w:rsid w:val="00F75BF2"/>
    <w:rsid w:val="00F765DF"/>
    <w:rsid w:val="00F77F8A"/>
    <w:rsid w:val="00F80C4C"/>
    <w:rsid w:val="00F80D7B"/>
    <w:rsid w:val="00F8308B"/>
    <w:rsid w:val="00F83F75"/>
    <w:rsid w:val="00F8528E"/>
    <w:rsid w:val="00F86C2E"/>
    <w:rsid w:val="00F92484"/>
    <w:rsid w:val="00F92549"/>
    <w:rsid w:val="00F926B8"/>
    <w:rsid w:val="00F945E9"/>
    <w:rsid w:val="00F947E6"/>
    <w:rsid w:val="00F956AA"/>
    <w:rsid w:val="00F9600D"/>
    <w:rsid w:val="00F97F79"/>
    <w:rsid w:val="00FA0946"/>
    <w:rsid w:val="00FA1355"/>
    <w:rsid w:val="00FA1B4F"/>
    <w:rsid w:val="00FA3D21"/>
    <w:rsid w:val="00FA4B88"/>
    <w:rsid w:val="00FA6D7D"/>
    <w:rsid w:val="00FB01F4"/>
    <w:rsid w:val="00FB1E52"/>
    <w:rsid w:val="00FB1F78"/>
    <w:rsid w:val="00FB2B65"/>
    <w:rsid w:val="00FB3F62"/>
    <w:rsid w:val="00FB5891"/>
    <w:rsid w:val="00FB7148"/>
    <w:rsid w:val="00FC1419"/>
    <w:rsid w:val="00FC3537"/>
    <w:rsid w:val="00FC6EAC"/>
    <w:rsid w:val="00FD1C9F"/>
    <w:rsid w:val="00FD1D10"/>
    <w:rsid w:val="00FD3FAD"/>
    <w:rsid w:val="00FD487B"/>
    <w:rsid w:val="00FD5233"/>
    <w:rsid w:val="00FE01EB"/>
    <w:rsid w:val="00FE039C"/>
    <w:rsid w:val="00FE1706"/>
    <w:rsid w:val="00FE23ED"/>
    <w:rsid w:val="00FE663F"/>
    <w:rsid w:val="00FE739B"/>
    <w:rsid w:val="00FF0FF5"/>
    <w:rsid w:val="00FF16CA"/>
    <w:rsid w:val="00FF3508"/>
    <w:rsid w:val="00FF46AA"/>
    <w:rsid w:val="00FF4E50"/>
    <w:rsid w:val="00FF5C96"/>
    <w:rsid w:val="00FF6A47"/>
    <w:rsid w:val="00FF6E96"/>
    <w:rsid w:val="00FF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36C4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313CC"/>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313CC"/>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
    <w:basedOn w:val="Normal"/>
    <w:link w:val="ListParagraphChar"/>
    <w:uiPriority w:val="34"/>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12"/>
      </w:numPr>
    </w:pPr>
  </w:style>
  <w:style w:type="character" w:customStyle="1" w:styleId="ListParagraphChar">
    <w:name w:val="List Paragraph Char"/>
    <w:aliases w:val="Num Bullet 1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A43943"/>
    <w:pPr>
      <w:numPr>
        <w:numId w:val="5"/>
      </w:num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customStyle="1" w:styleId="Mention1">
    <w:name w:val="Mention1"/>
    <w:basedOn w:val="DefaultParagraphFont"/>
    <w:uiPriority w:val="99"/>
    <w:semiHidden/>
    <w:unhideWhenUsed/>
    <w:rsid w:val="00E54029"/>
    <w:rPr>
      <w:color w:val="2B579A"/>
      <w:shd w:val="clear" w:color="auto" w:fill="E6E6E6"/>
    </w:rPr>
  </w:style>
  <w:style w:type="paragraph" w:customStyle="1" w:styleId="TableCaption">
    <w:name w:val="Table Caption"/>
    <w:basedOn w:val="Normal"/>
    <w:uiPriority w:val="5"/>
    <w:rsid w:val="004F4A03"/>
    <w:pPr>
      <w:keepNext/>
      <w:spacing w:line="276" w:lineRule="auto"/>
      <w:contextualSpacing/>
    </w:pPr>
    <w:rPr>
      <w:rFonts w:eastAsiaTheme="minorEastAsia"/>
      <w:i/>
      <w:noProof/>
      <w:color w:val="008AC8"/>
      <w:sz w:val="18"/>
    </w:rPr>
  </w:style>
  <w:style w:type="table" w:customStyle="1" w:styleId="TableClassic21">
    <w:name w:val="Table Classic 21"/>
    <w:basedOn w:val="TableNormal"/>
    <w:next w:val="TableClassic2"/>
    <w:rsid w:val="004F4A03"/>
    <w:pPr>
      <w:spacing w:after="0" w:line="240" w:lineRule="auto"/>
    </w:pPr>
    <w:rPr>
      <w:rFonts w:ascii="Calibri" w:eastAsia="MS Mincho" w:hAnsi="Calibri" w:cs="Arial"/>
      <w:sz w:val="20"/>
      <w:szCs w:val="20"/>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F4A03"/>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utomationTag">
    <w:name w:val="Automation Tag"/>
    <w:uiPriority w:val="1"/>
    <w:rsid w:val="003820C0"/>
    <w:rPr>
      <w:rFonts w:ascii="Segoe UI" w:hAnsi="Segoe UI"/>
      <w:color w:val="00B050"/>
      <w:sz w:val="16"/>
      <w:bdr w:val="none" w:sz="0" w:space="0" w:color="auto"/>
      <w:shd w:val="clear" w:color="auto" w:fill="F2F2F2"/>
    </w:rPr>
  </w:style>
  <w:style w:type="paragraph" w:customStyle="1" w:styleId="NumBullet5">
    <w:name w:val="Num Bullet 5"/>
    <w:basedOn w:val="Normal"/>
    <w:uiPriority w:val="3"/>
    <w:rsid w:val="00F17866"/>
    <w:pPr>
      <w:numPr>
        <w:numId w:val="14"/>
      </w:numPr>
      <w:spacing w:line="276" w:lineRule="auto"/>
      <w:contextualSpacing/>
    </w:pPr>
    <w:rPr>
      <w:rFonts w:eastAsiaTheme="minorEastAsia"/>
    </w:rPr>
  </w:style>
  <w:style w:type="paragraph" w:customStyle="1" w:styleId="TableHeading-11pt">
    <w:name w:val="Table Heading - 11 pt"/>
    <w:basedOn w:val="Normal"/>
    <w:uiPriority w:val="4"/>
    <w:rsid w:val="00CF4A2C"/>
    <w:pPr>
      <w:spacing w:before="0" w:after="0" w:line="276" w:lineRule="auto"/>
    </w:pPr>
    <w:rPr>
      <w:rFonts w:eastAsiaTheme="minorEastAsia"/>
      <w:color w:val="FFFFFF" w:themeColor="background1"/>
      <w:sz w:val="22"/>
    </w:rPr>
  </w:style>
  <w:style w:type="paragraph" w:customStyle="1" w:styleId="Bullet1">
    <w:name w:val="Bullet 1"/>
    <w:basedOn w:val="ListParagraph"/>
    <w:uiPriority w:val="4"/>
    <w:rsid w:val="00FB5891"/>
    <w:pPr>
      <w:numPr>
        <w:numId w:val="17"/>
      </w:numPr>
      <w:spacing w:before="240" w:after="240" w:line="240" w:lineRule="auto"/>
    </w:pPr>
    <w:rPr>
      <w:rFonts w:eastAsiaTheme="minorEastAsia" w:cs="Segoe UI"/>
      <w:sz w:val="22"/>
      <w:szCs w:val="20"/>
    </w:rPr>
  </w:style>
  <w:style w:type="character" w:customStyle="1" w:styleId="TableTextChar">
    <w:name w:val="Table Text Char"/>
    <w:basedOn w:val="DefaultParagraphFont"/>
    <w:link w:val="TableText"/>
    <w:rsid w:val="000F071D"/>
    <w:rPr>
      <w:rFonts w:ascii="Segoe UI" w:hAnsi="Segoe UI"/>
      <w:sz w:val="20"/>
    </w:rPr>
  </w:style>
  <w:style w:type="character" w:styleId="UnresolvedMention">
    <w:name w:val="Unresolved Mention"/>
    <w:basedOn w:val="DefaultParagraphFont"/>
    <w:uiPriority w:val="99"/>
    <w:unhideWhenUsed/>
    <w:rsid w:val="006D7E19"/>
    <w:rPr>
      <w:color w:val="605E5C"/>
      <w:shd w:val="clear" w:color="auto" w:fill="E1DFDD"/>
    </w:rPr>
  </w:style>
  <w:style w:type="character" w:styleId="Mention">
    <w:name w:val="Mention"/>
    <w:basedOn w:val="DefaultParagraphFont"/>
    <w:uiPriority w:val="99"/>
    <w:unhideWhenUsed/>
    <w:rsid w:val="006D7E1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44283448">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721751153">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8812098">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692142585">
      <w:bodyDiv w:val="1"/>
      <w:marLeft w:val="0"/>
      <w:marRight w:val="0"/>
      <w:marTop w:val="0"/>
      <w:marBottom w:val="0"/>
      <w:divBdr>
        <w:top w:val="none" w:sz="0" w:space="0" w:color="auto"/>
        <w:left w:val="none" w:sz="0" w:space="0" w:color="auto"/>
        <w:bottom w:val="none" w:sz="0" w:space="0" w:color="auto"/>
        <w:right w:val="none" w:sz="0" w:space="0" w:color="auto"/>
      </w:divBdr>
      <w:divsChild>
        <w:div w:id="453136923">
          <w:marLeft w:val="0"/>
          <w:marRight w:val="0"/>
          <w:marTop w:val="0"/>
          <w:marBottom w:val="0"/>
          <w:divBdr>
            <w:top w:val="none" w:sz="0" w:space="0" w:color="auto"/>
            <w:left w:val="none" w:sz="0" w:space="0" w:color="auto"/>
            <w:bottom w:val="none" w:sz="0" w:space="0" w:color="auto"/>
            <w:right w:val="none" w:sz="0" w:space="0" w:color="auto"/>
          </w:divBdr>
          <w:divsChild>
            <w:div w:id="2062508947">
              <w:marLeft w:val="0"/>
              <w:marRight w:val="0"/>
              <w:marTop w:val="0"/>
              <w:marBottom w:val="0"/>
              <w:divBdr>
                <w:top w:val="none" w:sz="0" w:space="0" w:color="auto"/>
                <w:left w:val="none" w:sz="0" w:space="0" w:color="auto"/>
                <w:bottom w:val="none" w:sz="0" w:space="0" w:color="auto"/>
                <w:right w:val="none" w:sz="0" w:space="0" w:color="auto"/>
              </w:divBdr>
              <w:divsChild>
                <w:div w:id="220411087">
                  <w:marLeft w:val="0"/>
                  <w:marRight w:val="0"/>
                  <w:marTop w:val="0"/>
                  <w:marBottom w:val="0"/>
                  <w:divBdr>
                    <w:top w:val="none" w:sz="0" w:space="0" w:color="auto"/>
                    <w:left w:val="none" w:sz="0" w:space="0" w:color="auto"/>
                    <w:bottom w:val="none" w:sz="0" w:space="0" w:color="auto"/>
                    <w:right w:val="none" w:sz="0" w:space="0" w:color="auto"/>
                  </w:divBdr>
                  <w:divsChild>
                    <w:div w:id="1507090809">
                      <w:marLeft w:val="0"/>
                      <w:marRight w:val="0"/>
                      <w:marTop w:val="0"/>
                      <w:marBottom w:val="0"/>
                      <w:divBdr>
                        <w:top w:val="none" w:sz="0" w:space="0" w:color="auto"/>
                        <w:left w:val="none" w:sz="0" w:space="0" w:color="auto"/>
                        <w:bottom w:val="none" w:sz="0" w:space="0" w:color="auto"/>
                        <w:right w:val="none" w:sz="0" w:space="0" w:color="auto"/>
                      </w:divBdr>
                      <w:divsChild>
                        <w:div w:id="596863973">
                          <w:marLeft w:val="0"/>
                          <w:marRight w:val="0"/>
                          <w:marTop w:val="0"/>
                          <w:marBottom w:val="0"/>
                          <w:divBdr>
                            <w:top w:val="none" w:sz="0" w:space="0" w:color="auto"/>
                            <w:left w:val="none" w:sz="0" w:space="0" w:color="auto"/>
                            <w:bottom w:val="none" w:sz="0" w:space="0" w:color="auto"/>
                            <w:right w:val="none" w:sz="0" w:space="0" w:color="auto"/>
                          </w:divBdr>
                          <w:divsChild>
                            <w:div w:id="1666667727">
                              <w:marLeft w:val="0"/>
                              <w:marRight w:val="0"/>
                              <w:marTop w:val="0"/>
                              <w:marBottom w:val="0"/>
                              <w:divBdr>
                                <w:top w:val="none" w:sz="0" w:space="0" w:color="auto"/>
                                <w:left w:val="none" w:sz="0" w:space="0" w:color="auto"/>
                                <w:bottom w:val="none" w:sz="0" w:space="0" w:color="auto"/>
                                <w:right w:val="none" w:sz="0" w:space="0" w:color="auto"/>
                              </w:divBdr>
                              <w:divsChild>
                                <w:div w:id="1268540012">
                                  <w:marLeft w:val="0"/>
                                  <w:marRight w:val="0"/>
                                  <w:marTop w:val="0"/>
                                  <w:marBottom w:val="0"/>
                                  <w:divBdr>
                                    <w:top w:val="none" w:sz="0" w:space="0" w:color="auto"/>
                                    <w:left w:val="none" w:sz="0" w:space="0" w:color="auto"/>
                                    <w:bottom w:val="none" w:sz="0" w:space="0" w:color="auto"/>
                                    <w:right w:val="none" w:sz="0" w:space="0" w:color="auto"/>
                                  </w:divBdr>
                                  <w:divsChild>
                                    <w:div w:id="322584119">
                                      <w:marLeft w:val="0"/>
                                      <w:marRight w:val="0"/>
                                      <w:marTop w:val="0"/>
                                      <w:marBottom w:val="0"/>
                                      <w:divBdr>
                                        <w:top w:val="none" w:sz="0" w:space="0" w:color="auto"/>
                                        <w:left w:val="none" w:sz="0" w:space="0" w:color="auto"/>
                                        <w:bottom w:val="none" w:sz="0" w:space="0" w:color="auto"/>
                                        <w:right w:val="none" w:sz="0" w:space="0" w:color="auto"/>
                                      </w:divBdr>
                                      <w:divsChild>
                                        <w:div w:id="316689837">
                                          <w:marLeft w:val="0"/>
                                          <w:marRight w:val="0"/>
                                          <w:marTop w:val="0"/>
                                          <w:marBottom w:val="0"/>
                                          <w:divBdr>
                                            <w:top w:val="none" w:sz="0" w:space="0" w:color="auto"/>
                                            <w:left w:val="none" w:sz="0" w:space="0" w:color="auto"/>
                                            <w:bottom w:val="none" w:sz="0" w:space="0" w:color="auto"/>
                                            <w:right w:val="none" w:sz="0" w:space="0" w:color="auto"/>
                                          </w:divBdr>
                                          <w:divsChild>
                                            <w:div w:id="502279669">
                                              <w:marLeft w:val="0"/>
                                              <w:marRight w:val="0"/>
                                              <w:marTop w:val="0"/>
                                              <w:marBottom w:val="0"/>
                                              <w:divBdr>
                                                <w:top w:val="none" w:sz="0" w:space="0" w:color="auto"/>
                                                <w:left w:val="none" w:sz="0" w:space="0" w:color="auto"/>
                                                <w:bottom w:val="none" w:sz="0" w:space="0" w:color="auto"/>
                                                <w:right w:val="none" w:sz="0" w:space="0" w:color="auto"/>
                                              </w:divBdr>
                                              <w:divsChild>
                                                <w:div w:id="1140343667">
                                                  <w:marLeft w:val="0"/>
                                                  <w:marRight w:val="0"/>
                                                  <w:marTop w:val="0"/>
                                                  <w:marBottom w:val="0"/>
                                                  <w:divBdr>
                                                    <w:top w:val="none" w:sz="0" w:space="0" w:color="auto"/>
                                                    <w:left w:val="none" w:sz="0" w:space="0" w:color="auto"/>
                                                    <w:bottom w:val="none" w:sz="0" w:space="0" w:color="auto"/>
                                                    <w:right w:val="none" w:sz="0" w:space="0" w:color="auto"/>
                                                  </w:divBdr>
                                                  <w:divsChild>
                                                    <w:div w:id="13506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060342">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53350564">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4343111">
      <w:bodyDiv w:val="1"/>
      <w:marLeft w:val="0"/>
      <w:marRight w:val="0"/>
      <w:marTop w:val="0"/>
      <w:marBottom w:val="0"/>
      <w:divBdr>
        <w:top w:val="none" w:sz="0" w:space="0" w:color="auto"/>
        <w:left w:val="none" w:sz="0" w:space="0" w:color="auto"/>
        <w:bottom w:val="none" w:sz="0" w:space="0" w:color="auto"/>
        <w:right w:val="none" w:sz="0" w:space="0" w:color="auto"/>
      </w:divBdr>
      <w:divsChild>
        <w:div w:id="1688867646">
          <w:marLeft w:val="547"/>
          <w:marRight w:val="0"/>
          <w:marTop w:val="0"/>
          <w:marBottom w:val="0"/>
          <w:divBdr>
            <w:top w:val="none" w:sz="0" w:space="0" w:color="auto"/>
            <w:left w:val="none" w:sz="0" w:space="0" w:color="auto"/>
            <w:bottom w:val="none" w:sz="0" w:space="0" w:color="auto"/>
            <w:right w:val="none" w:sz="0" w:space="0" w:color="auto"/>
          </w:divBdr>
        </w:div>
        <w:div w:id="1066487069">
          <w:marLeft w:val="547"/>
          <w:marRight w:val="0"/>
          <w:marTop w:val="0"/>
          <w:marBottom w:val="0"/>
          <w:divBdr>
            <w:top w:val="none" w:sz="0" w:space="0" w:color="auto"/>
            <w:left w:val="none" w:sz="0" w:space="0" w:color="auto"/>
            <w:bottom w:val="none" w:sz="0" w:space="0" w:color="auto"/>
            <w:right w:val="none" w:sz="0" w:space="0" w:color="auto"/>
          </w:divBdr>
        </w:div>
      </w:divsChild>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750">
              <a:latin typeface="Segoe UI"/>
              <a:cs typeface="Segoe UI"/>
            </a:rPr>
            <a:t>Enable</a:t>
          </a:r>
          <a:endParaRPr lang="x-none" sz="750">
            <a:latin typeface="Segoe UI"/>
            <a:cs typeface="Segoe UI"/>
          </a:endParaRPr>
        </a:p>
        <a:p>
          <a:pPr algn="l"/>
          <a:r>
            <a:rPr lang="en-US" sz="650">
              <a:latin typeface="Segoe UI"/>
              <a:cs typeface="Segoe UI"/>
            </a:rPr>
            <a:t>5</a:t>
          </a:r>
          <a:r>
            <a:rPr lang="x-none" sz="650">
              <a:latin typeface="Segoe UI"/>
              <a:cs typeface="Segoe UI"/>
            </a:rPr>
            <a:t> </a:t>
          </a:r>
          <a:r>
            <a:rPr lang="en-US" sz="650">
              <a:latin typeface="Segoe UI"/>
              <a:cs typeface="Segoe UI"/>
            </a:rPr>
            <a:t>weeks</a:t>
          </a:r>
          <a:endParaRPr lang="x-none" sz="650">
            <a:latin typeface="Segoe UI"/>
            <a:cs typeface="Segoe UI"/>
          </a:endParaRP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750">
              <a:latin typeface="Segoe UI"/>
              <a:cs typeface="Segoe UI"/>
            </a:rPr>
            <a:t>Migrate</a:t>
          </a:r>
          <a:endParaRPr lang="x-none" sz="750">
            <a:latin typeface="Segoe UI"/>
            <a:cs typeface="Segoe UI"/>
          </a:endParaRPr>
        </a:p>
        <a:p>
          <a:pPr algn="l"/>
          <a:r>
            <a:rPr lang="en-US" sz="650">
              <a:latin typeface="Segoe UI"/>
              <a:cs typeface="Segoe UI"/>
            </a:rPr>
            <a:t>8</a:t>
          </a:r>
          <a:r>
            <a:rPr lang="x-none" sz="650">
              <a:latin typeface="Segoe UI"/>
              <a:cs typeface="Segoe UI"/>
            </a:rPr>
            <a:t> </a:t>
          </a:r>
          <a:r>
            <a:rPr lang="en-US" sz="650">
              <a:latin typeface="Segoe UI"/>
              <a:cs typeface="Segoe UI"/>
            </a:rPr>
            <a:t>weeks</a:t>
          </a:r>
          <a:endParaRPr lang="x-none" sz="650">
            <a:latin typeface="Segoe UI"/>
            <a:cs typeface="Segoe UI"/>
          </a:endParaRP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750">
              <a:latin typeface="Segoe UI"/>
              <a:cs typeface="Segoe UI"/>
            </a:rPr>
            <a:t>Closeout</a:t>
          </a:r>
          <a:endParaRPr lang="x-none" sz="750">
            <a:latin typeface="Segoe UI"/>
            <a:cs typeface="Segoe UI"/>
          </a:endParaRPr>
        </a:p>
        <a:p>
          <a:pPr algn="l"/>
          <a:r>
            <a:rPr lang="en-US" sz="650">
              <a:latin typeface="Segoe UI"/>
              <a:cs typeface="Segoe UI"/>
            </a:rPr>
            <a:t>2</a:t>
          </a:r>
          <a:r>
            <a:rPr lang="x-none" sz="650">
              <a:latin typeface="Segoe UI"/>
              <a:cs typeface="Segoe UI"/>
            </a:rPr>
            <a:t> </a:t>
          </a:r>
          <a:r>
            <a:rPr lang="en-US" sz="650">
              <a:latin typeface="Segoe UI"/>
              <a:cs typeface="Segoe UI"/>
            </a:rPr>
            <a:t>weeks</a:t>
          </a:r>
          <a:endParaRPr lang="x-none" sz="650">
            <a:latin typeface="Segoe UI"/>
            <a:cs typeface="Segoe UI"/>
          </a:endParaRP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3" custLinFactNeighborX="1601">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3">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3">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D1554337-1A84-426C-9098-B33F2A371DA4}" type="presOf" srcId="{1CF11602-05C2-4784-A89A-3EB38E4BDAB1}" destId="{F9ACCFCF-6137-4304-A781-5056DC56EEDC}" srcOrd="0" destOrd="0" presId="urn:microsoft.com/office/officeart/2005/8/layout/hChevron3"/>
    <dgm:cxn modelId="{17115339-2380-4C16-A8CE-3995152C55D7}" type="presOf" srcId="{53D7F959-0E41-47BC-B677-075E77C9C479}" destId="{022198C4-94E6-41BC-965A-01324E1D21D6}" srcOrd="0" destOrd="0" presId="urn:microsoft.com/office/officeart/2005/8/layout/hChevron3"/>
    <dgm:cxn modelId="{9B42D1AF-EFDA-4653-8C9B-0B7D82B013BF}" type="presOf" srcId="{44518100-2369-4B4F-96CB-CFABD8A1E03D}" destId="{1B6D4189-1DFC-45EE-8E69-EC935AD595A1}" srcOrd="0" destOrd="0" presId="urn:microsoft.com/office/officeart/2005/8/layout/hChevron3"/>
    <dgm:cxn modelId="{78DAB8CF-B256-44C8-AC60-F39E0CC9BF41}" srcId="{61E46EC6-57B4-4B7F-BC5C-4C518199A8E5}" destId="{44518100-2369-4B4F-96CB-CFABD8A1E03D}" srcOrd="2" destOrd="0" parTransId="{8EF10DF0-2087-49EE-8C4A-494871BE15C0}" sibTransId="{1DCE4FD4-96B0-41F5-967E-8F1B023BD0C7}"/>
    <dgm:cxn modelId="{5ACDE4CF-8532-4FF1-9551-8C15E93786DD}" type="presOf" srcId="{61E46EC6-57B4-4B7F-BC5C-4C518199A8E5}" destId="{3F7B5799-7635-47FC-9C94-5E0EBC20D49C}" srcOrd="0" destOrd="0" presId="urn:microsoft.com/office/officeart/2005/8/layout/hChevron3"/>
    <dgm:cxn modelId="{7017B9DC-8069-4A67-8A9D-35BB5483DB47}" srcId="{61E46EC6-57B4-4B7F-BC5C-4C518199A8E5}" destId="{1CF11602-05C2-4784-A89A-3EB38E4BDAB1}" srcOrd="0" destOrd="0" parTransId="{0C7898AE-956E-4299-B557-B8567BB9D6D7}" sibTransId="{C8D1416F-FDD7-4F2A-A128-D05D37B9C397}"/>
    <dgm:cxn modelId="{CB8D506E-AA11-4922-8116-070166D42335}" type="presParOf" srcId="{3F7B5799-7635-47FC-9C94-5E0EBC20D49C}" destId="{F9ACCFCF-6137-4304-A781-5056DC56EEDC}" srcOrd="0" destOrd="0" presId="urn:microsoft.com/office/officeart/2005/8/layout/hChevron3"/>
    <dgm:cxn modelId="{FF455EA9-6630-41FE-8BED-E94AE2A9430D}" type="presParOf" srcId="{3F7B5799-7635-47FC-9C94-5E0EBC20D49C}" destId="{3DD1044D-2311-46BD-9510-EF7F0027816F}" srcOrd="1" destOrd="0" presId="urn:microsoft.com/office/officeart/2005/8/layout/hChevron3"/>
    <dgm:cxn modelId="{F8617BDC-F63C-4E43-AA0C-F44B8767281A}" type="presParOf" srcId="{3F7B5799-7635-47FC-9C94-5E0EBC20D49C}" destId="{022198C4-94E6-41BC-965A-01324E1D21D6}" srcOrd="2" destOrd="0" presId="urn:microsoft.com/office/officeart/2005/8/layout/hChevron3"/>
    <dgm:cxn modelId="{32A8E8B6-E112-4719-A4A7-22253FE5C7F5}" type="presParOf" srcId="{3F7B5799-7635-47FC-9C94-5E0EBC20D49C}" destId="{56209B5B-BFAF-4BC9-BD99-66CD947C3008}" srcOrd="3" destOrd="0" presId="urn:microsoft.com/office/officeart/2005/8/layout/hChevron3"/>
    <dgm:cxn modelId="{AA4E32C7-F296-4C4F-9426-301124AA91E2}" type="presParOf" srcId="{3F7B5799-7635-47FC-9C94-5E0EBC20D49C}" destId="{1B6D4189-1DFC-45EE-8E69-EC935AD595A1}" srcOrd="4"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9524" y="0"/>
          <a:ext cx="2191752" cy="560717"/>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l" defTabSz="333375">
            <a:lnSpc>
              <a:spcPct val="90000"/>
            </a:lnSpc>
            <a:spcBef>
              <a:spcPct val="0"/>
            </a:spcBef>
            <a:spcAft>
              <a:spcPct val="35000"/>
            </a:spcAft>
            <a:buNone/>
          </a:pPr>
          <a:r>
            <a:rPr lang="en-US" sz="750" kern="1200">
              <a:latin typeface="Segoe UI"/>
              <a:cs typeface="Segoe UI"/>
            </a:rPr>
            <a:t>Enable</a:t>
          </a:r>
          <a:endParaRPr lang="x-none" sz="750" kern="1200">
            <a:latin typeface="Segoe UI"/>
            <a:cs typeface="Segoe UI"/>
          </a:endParaRPr>
        </a:p>
        <a:p>
          <a:pPr marL="0" lvl="0" indent="0" algn="l" defTabSz="333375">
            <a:lnSpc>
              <a:spcPct val="90000"/>
            </a:lnSpc>
            <a:spcBef>
              <a:spcPct val="0"/>
            </a:spcBef>
            <a:spcAft>
              <a:spcPct val="35000"/>
            </a:spcAft>
            <a:buNone/>
          </a:pPr>
          <a:r>
            <a:rPr lang="en-US" sz="650" kern="1200">
              <a:latin typeface="Segoe UI"/>
              <a:cs typeface="Segoe UI"/>
            </a:rPr>
            <a:t>5</a:t>
          </a:r>
          <a:r>
            <a:rPr lang="x-none" sz="650" kern="1200">
              <a:latin typeface="Segoe UI"/>
              <a:cs typeface="Segoe UI"/>
            </a:rPr>
            <a:t> </a:t>
          </a:r>
          <a:r>
            <a:rPr lang="en-US" sz="650" kern="1200">
              <a:latin typeface="Segoe UI"/>
              <a:cs typeface="Segoe UI"/>
            </a:rPr>
            <a:t>weeks</a:t>
          </a:r>
          <a:endParaRPr lang="x-none" sz="650" kern="1200">
            <a:latin typeface="Segoe UI"/>
            <a:cs typeface="Segoe UI"/>
          </a:endParaRPr>
        </a:p>
      </dsp:txBody>
      <dsp:txXfrm>
        <a:off x="9524" y="0"/>
        <a:ext cx="2051573" cy="560717"/>
      </dsp:txXfrm>
    </dsp:sp>
    <dsp:sp modelId="{022198C4-94E6-41BC-965A-01324E1D21D6}">
      <dsp:nvSpPr>
        <dsp:cNvPr id="0" name=""/>
        <dsp:cNvSpPr/>
      </dsp:nvSpPr>
      <dsp:spPr>
        <a:xfrm>
          <a:off x="1755908" y="0"/>
          <a:ext cx="2191752" cy="560717"/>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l" defTabSz="333375">
            <a:lnSpc>
              <a:spcPct val="90000"/>
            </a:lnSpc>
            <a:spcBef>
              <a:spcPct val="0"/>
            </a:spcBef>
            <a:spcAft>
              <a:spcPct val="35000"/>
            </a:spcAft>
            <a:buNone/>
          </a:pPr>
          <a:r>
            <a:rPr lang="en-US" sz="750" kern="1200">
              <a:latin typeface="Segoe UI"/>
              <a:cs typeface="Segoe UI"/>
            </a:rPr>
            <a:t>Migrate</a:t>
          </a:r>
          <a:endParaRPr lang="x-none" sz="750" kern="1200">
            <a:latin typeface="Segoe UI"/>
            <a:cs typeface="Segoe UI"/>
          </a:endParaRPr>
        </a:p>
        <a:p>
          <a:pPr marL="0" lvl="0" indent="0" algn="l" defTabSz="333375">
            <a:lnSpc>
              <a:spcPct val="90000"/>
            </a:lnSpc>
            <a:spcBef>
              <a:spcPct val="0"/>
            </a:spcBef>
            <a:spcAft>
              <a:spcPct val="35000"/>
            </a:spcAft>
            <a:buNone/>
          </a:pPr>
          <a:r>
            <a:rPr lang="en-US" sz="650" kern="1200">
              <a:latin typeface="Segoe UI"/>
              <a:cs typeface="Segoe UI"/>
            </a:rPr>
            <a:t>8</a:t>
          </a:r>
          <a:r>
            <a:rPr lang="x-none" sz="650" kern="1200">
              <a:latin typeface="Segoe UI"/>
              <a:cs typeface="Segoe UI"/>
            </a:rPr>
            <a:t> </a:t>
          </a:r>
          <a:r>
            <a:rPr lang="en-US" sz="650" kern="1200">
              <a:latin typeface="Segoe UI"/>
              <a:cs typeface="Segoe UI"/>
            </a:rPr>
            <a:t>weeks</a:t>
          </a:r>
          <a:endParaRPr lang="x-none" sz="650" kern="1200">
            <a:latin typeface="Segoe UI"/>
            <a:cs typeface="Segoe UI"/>
          </a:endParaRPr>
        </a:p>
      </dsp:txBody>
      <dsp:txXfrm>
        <a:off x="2036267" y="0"/>
        <a:ext cx="1631035" cy="560717"/>
      </dsp:txXfrm>
    </dsp:sp>
    <dsp:sp modelId="{1B6D4189-1DFC-45EE-8E69-EC935AD595A1}">
      <dsp:nvSpPr>
        <dsp:cNvPr id="0" name=""/>
        <dsp:cNvSpPr/>
      </dsp:nvSpPr>
      <dsp:spPr>
        <a:xfrm>
          <a:off x="3509310" y="0"/>
          <a:ext cx="2191752" cy="560717"/>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l" defTabSz="333375">
            <a:lnSpc>
              <a:spcPct val="90000"/>
            </a:lnSpc>
            <a:spcBef>
              <a:spcPct val="0"/>
            </a:spcBef>
            <a:spcAft>
              <a:spcPct val="35000"/>
            </a:spcAft>
            <a:buNone/>
          </a:pPr>
          <a:r>
            <a:rPr lang="en-US" sz="750" kern="1200">
              <a:latin typeface="Segoe UI"/>
              <a:cs typeface="Segoe UI"/>
            </a:rPr>
            <a:t>Closeout</a:t>
          </a:r>
          <a:endParaRPr lang="x-none" sz="750" kern="1200">
            <a:latin typeface="Segoe UI"/>
            <a:cs typeface="Segoe UI"/>
          </a:endParaRPr>
        </a:p>
        <a:p>
          <a:pPr marL="0" lvl="0" indent="0" algn="l" defTabSz="333375">
            <a:lnSpc>
              <a:spcPct val="90000"/>
            </a:lnSpc>
            <a:spcBef>
              <a:spcPct val="0"/>
            </a:spcBef>
            <a:spcAft>
              <a:spcPct val="35000"/>
            </a:spcAft>
            <a:buNone/>
          </a:pPr>
          <a:r>
            <a:rPr lang="en-US" sz="650" kern="1200">
              <a:latin typeface="Segoe UI"/>
              <a:cs typeface="Segoe UI"/>
            </a:rPr>
            <a:t>2</a:t>
          </a:r>
          <a:r>
            <a:rPr lang="x-none" sz="650" kern="1200">
              <a:latin typeface="Segoe UI"/>
              <a:cs typeface="Segoe UI"/>
            </a:rPr>
            <a:t> </a:t>
          </a:r>
          <a:r>
            <a:rPr lang="en-US" sz="650" kern="1200">
              <a:latin typeface="Segoe UI"/>
              <a:cs typeface="Segoe UI"/>
            </a:rPr>
            <a:t>weeks</a:t>
          </a:r>
          <a:endParaRPr lang="x-none" sz="650" kern="1200">
            <a:latin typeface="Segoe UI"/>
            <a:cs typeface="Segoe UI"/>
          </a:endParaRPr>
        </a:p>
      </dsp:txBody>
      <dsp:txXfrm>
        <a:off x="3789669" y="0"/>
        <a:ext cx="1631035" cy="560717"/>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ABF4A8-5329-4CFE-8F47-CF10A91072A5}">
  <ds:schemaRefs>
    <ds:schemaRef ds:uri="http://schemas.openxmlformats.org/officeDocument/2006/bibliography"/>
  </ds:schemaRefs>
</ds:datastoreItem>
</file>

<file path=customXml/itemProps2.xml><?xml version="1.0" encoding="utf-8"?>
<ds:datastoreItem xmlns:ds="http://schemas.openxmlformats.org/officeDocument/2006/customXml" ds:itemID="{F38F419F-E4D2-4790-88A8-36FC4DD3DCEE}"/>
</file>

<file path=customXml/itemProps3.xml><?xml version="1.0" encoding="utf-8"?>
<ds:datastoreItem xmlns:ds="http://schemas.openxmlformats.org/officeDocument/2006/customXml" ds:itemID="{3F3A6B3E-CFB5-486B-9E8E-00A0BC44E90A}"/>
</file>

<file path=customXml/itemProps4.xml><?xml version="1.0" encoding="utf-8"?>
<ds:datastoreItem xmlns:ds="http://schemas.openxmlformats.org/officeDocument/2006/customXml" ds:itemID="{F471C010-B790-42CF-B6C6-B8F975761A5D}"/>
</file>

<file path=docProps/app.xml><?xml version="1.0" encoding="utf-8"?>
<Properties xmlns="http://schemas.openxmlformats.org/officeDocument/2006/extended-properties" xmlns:vt="http://schemas.openxmlformats.org/officeDocument/2006/docPropsVTypes">
  <Template>Normal</Template>
  <TotalTime>0</TotalTime>
  <Pages>20</Pages>
  <Words>5189</Words>
  <Characters>29583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34703</CharactersWithSpaces>
  <SharedDoc>false</SharedDoc>
  <HLinks>
    <vt:vector size="144" baseType="variant">
      <vt:variant>
        <vt:i4>3932219</vt:i4>
      </vt:variant>
      <vt:variant>
        <vt:i4>146</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1835056</vt:i4>
      </vt:variant>
      <vt:variant>
        <vt:i4>116</vt:i4>
      </vt:variant>
      <vt:variant>
        <vt:i4>0</vt:i4>
      </vt:variant>
      <vt:variant>
        <vt:i4>5</vt:i4>
      </vt:variant>
      <vt:variant>
        <vt:lpwstr/>
      </vt:variant>
      <vt:variant>
        <vt:lpwstr>_Toc493510670</vt:lpwstr>
      </vt:variant>
      <vt:variant>
        <vt:i4>1900592</vt:i4>
      </vt:variant>
      <vt:variant>
        <vt:i4>110</vt:i4>
      </vt:variant>
      <vt:variant>
        <vt:i4>0</vt:i4>
      </vt:variant>
      <vt:variant>
        <vt:i4>5</vt:i4>
      </vt:variant>
      <vt:variant>
        <vt:lpwstr/>
      </vt:variant>
      <vt:variant>
        <vt:lpwstr>_Toc493510669</vt:lpwstr>
      </vt:variant>
      <vt:variant>
        <vt:i4>1900592</vt:i4>
      </vt:variant>
      <vt:variant>
        <vt:i4>104</vt:i4>
      </vt:variant>
      <vt:variant>
        <vt:i4>0</vt:i4>
      </vt:variant>
      <vt:variant>
        <vt:i4>5</vt:i4>
      </vt:variant>
      <vt:variant>
        <vt:lpwstr/>
      </vt:variant>
      <vt:variant>
        <vt:lpwstr>_Toc493510668</vt:lpwstr>
      </vt:variant>
      <vt:variant>
        <vt:i4>1900592</vt:i4>
      </vt:variant>
      <vt:variant>
        <vt:i4>98</vt:i4>
      </vt:variant>
      <vt:variant>
        <vt:i4>0</vt:i4>
      </vt:variant>
      <vt:variant>
        <vt:i4>5</vt:i4>
      </vt:variant>
      <vt:variant>
        <vt:lpwstr/>
      </vt:variant>
      <vt:variant>
        <vt:lpwstr>_Toc493510667</vt:lpwstr>
      </vt:variant>
      <vt:variant>
        <vt:i4>1900592</vt:i4>
      </vt:variant>
      <vt:variant>
        <vt:i4>92</vt:i4>
      </vt:variant>
      <vt:variant>
        <vt:i4>0</vt:i4>
      </vt:variant>
      <vt:variant>
        <vt:i4>5</vt:i4>
      </vt:variant>
      <vt:variant>
        <vt:lpwstr/>
      </vt:variant>
      <vt:variant>
        <vt:lpwstr>_Toc493510666</vt:lpwstr>
      </vt:variant>
      <vt:variant>
        <vt:i4>1900592</vt:i4>
      </vt:variant>
      <vt:variant>
        <vt:i4>86</vt:i4>
      </vt:variant>
      <vt:variant>
        <vt:i4>0</vt:i4>
      </vt:variant>
      <vt:variant>
        <vt:i4>5</vt:i4>
      </vt:variant>
      <vt:variant>
        <vt:lpwstr/>
      </vt:variant>
      <vt:variant>
        <vt:lpwstr>_Toc493510665</vt:lpwstr>
      </vt:variant>
      <vt:variant>
        <vt:i4>1900592</vt:i4>
      </vt:variant>
      <vt:variant>
        <vt:i4>80</vt:i4>
      </vt:variant>
      <vt:variant>
        <vt:i4>0</vt:i4>
      </vt:variant>
      <vt:variant>
        <vt:i4>5</vt:i4>
      </vt:variant>
      <vt:variant>
        <vt:lpwstr/>
      </vt:variant>
      <vt:variant>
        <vt:lpwstr>_Toc493510664</vt:lpwstr>
      </vt:variant>
      <vt:variant>
        <vt:i4>1900592</vt:i4>
      </vt:variant>
      <vt:variant>
        <vt:i4>74</vt:i4>
      </vt:variant>
      <vt:variant>
        <vt:i4>0</vt:i4>
      </vt:variant>
      <vt:variant>
        <vt:i4>5</vt:i4>
      </vt:variant>
      <vt:variant>
        <vt:lpwstr/>
      </vt:variant>
      <vt:variant>
        <vt:lpwstr>_Toc493510663</vt:lpwstr>
      </vt:variant>
      <vt:variant>
        <vt:i4>1900592</vt:i4>
      </vt:variant>
      <vt:variant>
        <vt:i4>68</vt:i4>
      </vt:variant>
      <vt:variant>
        <vt:i4>0</vt:i4>
      </vt:variant>
      <vt:variant>
        <vt:i4>5</vt:i4>
      </vt:variant>
      <vt:variant>
        <vt:lpwstr/>
      </vt:variant>
      <vt:variant>
        <vt:lpwstr>_Toc493510662</vt:lpwstr>
      </vt:variant>
      <vt:variant>
        <vt:i4>1900592</vt:i4>
      </vt:variant>
      <vt:variant>
        <vt:i4>62</vt:i4>
      </vt:variant>
      <vt:variant>
        <vt:i4>0</vt:i4>
      </vt:variant>
      <vt:variant>
        <vt:i4>5</vt:i4>
      </vt:variant>
      <vt:variant>
        <vt:lpwstr/>
      </vt:variant>
      <vt:variant>
        <vt:lpwstr>_Toc493510661</vt:lpwstr>
      </vt:variant>
      <vt:variant>
        <vt:i4>1900592</vt:i4>
      </vt:variant>
      <vt:variant>
        <vt:i4>56</vt:i4>
      </vt:variant>
      <vt:variant>
        <vt:i4>0</vt:i4>
      </vt:variant>
      <vt:variant>
        <vt:i4>5</vt:i4>
      </vt:variant>
      <vt:variant>
        <vt:lpwstr/>
      </vt:variant>
      <vt:variant>
        <vt:lpwstr>_Toc493510660</vt:lpwstr>
      </vt:variant>
      <vt:variant>
        <vt:i4>1966128</vt:i4>
      </vt:variant>
      <vt:variant>
        <vt:i4>50</vt:i4>
      </vt:variant>
      <vt:variant>
        <vt:i4>0</vt:i4>
      </vt:variant>
      <vt:variant>
        <vt:i4>5</vt:i4>
      </vt:variant>
      <vt:variant>
        <vt:lpwstr/>
      </vt:variant>
      <vt:variant>
        <vt:lpwstr>_Toc493510659</vt:lpwstr>
      </vt:variant>
      <vt:variant>
        <vt:i4>1966128</vt:i4>
      </vt:variant>
      <vt:variant>
        <vt:i4>44</vt:i4>
      </vt:variant>
      <vt:variant>
        <vt:i4>0</vt:i4>
      </vt:variant>
      <vt:variant>
        <vt:i4>5</vt:i4>
      </vt:variant>
      <vt:variant>
        <vt:lpwstr/>
      </vt:variant>
      <vt:variant>
        <vt:lpwstr>_Toc493510658</vt:lpwstr>
      </vt:variant>
      <vt:variant>
        <vt:i4>1966128</vt:i4>
      </vt:variant>
      <vt:variant>
        <vt:i4>38</vt:i4>
      </vt:variant>
      <vt:variant>
        <vt:i4>0</vt:i4>
      </vt:variant>
      <vt:variant>
        <vt:i4>5</vt:i4>
      </vt:variant>
      <vt:variant>
        <vt:lpwstr/>
      </vt:variant>
      <vt:variant>
        <vt:lpwstr>_Toc493510657</vt:lpwstr>
      </vt:variant>
      <vt:variant>
        <vt:i4>1966128</vt:i4>
      </vt:variant>
      <vt:variant>
        <vt:i4>32</vt:i4>
      </vt:variant>
      <vt:variant>
        <vt:i4>0</vt:i4>
      </vt:variant>
      <vt:variant>
        <vt:i4>5</vt:i4>
      </vt:variant>
      <vt:variant>
        <vt:lpwstr/>
      </vt:variant>
      <vt:variant>
        <vt:lpwstr>_Toc493510656</vt:lpwstr>
      </vt:variant>
      <vt:variant>
        <vt:i4>1966128</vt:i4>
      </vt:variant>
      <vt:variant>
        <vt:i4>26</vt:i4>
      </vt:variant>
      <vt:variant>
        <vt:i4>0</vt:i4>
      </vt:variant>
      <vt:variant>
        <vt:i4>5</vt:i4>
      </vt:variant>
      <vt:variant>
        <vt:lpwstr/>
      </vt:variant>
      <vt:variant>
        <vt:lpwstr>_Toc493510655</vt:lpwstr>
      </vt:variant>
      <vt:variant>
        <vt:i4>1966128</vt:i4>
      </vt:variant>
      <vt:variant>
        <vt:i4>20</vt:i4>
      </vt:variant>
      <vt:variant>
        <vt:i4>0</vt:i4>
      </vt:variant>
      <vt:variant>
        <vt:i4>5</vt:i4>
      </vt:variant>
      <vt:variant>
        <vt:lpwstr/>
      </vt:variant>
      <vt:variant>
        <vt:lpwstr>_Toc493510654</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852047</vt:i4>
      </vt:variant>
      <vt:variant>
        <vt:i4>6</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5111863</vt:i4>
      </vt:variant>
      <vt:variant>
        <vt:i4>0</vt:i4>
      </vt:variant>
      <vt:variant>
        <vt:i4>0</vt:i4>
      </vt:variant>
      <vt:variant>
        <vt:i4>5</vt:i4>
      </vt:variant>
      <vt:variant>
        <vt:lpwstr>mailto:Jose.Villanueva@microsoft.com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2020-06-22T17:45:00Z</dcterms:created>
  <dcterms:modified xsi:type="dcterms:W3CDTF">2020-06-22T17:45:00Z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0x0101004CEC02E0258A27448A29FB0FC0148545</vt:lpwstr>
  </property>
</Properties>
</file>