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Automated Detection of Major Depressive Disorder Using SPWVD-Based EEG Time-Frequency Images and Deep Learning Features: A Reproducible, Participant-Independent Benchmark</w:t>
      </w:r>
    </w:p>
    <w:p>
      <w:r>
        <w:rPr>
          <w:rFonts w:ascii="Arial" w:hAnsi="Arial"/>
          <w:b/>
          <w:sz w:val="24"/>
        </w:rPr>
        <w:t>Abstract</w:t>
      </w:r>
    </w:p>
    <w:p>
      <w:pPr>
        <w:jc w:val="both"/>
      </w:pPr>
      <w:r>
        <w:t>Major Depressive Disorder (MDD) is a severe, debilitating neuropsychiatric disorder and a leading contributor to global disability. Electroencephalography (EEG) offers high temporal resolution to capture non-stationary neural alterations associated with MDD. However, automated diagnostic machine-learning pipelines in literature frequently suffer from inter-subject data leakage caused by random epoch-level splitting, yielding artificially inflated accuracy claims exceeding 99%. In this study, we implement a reproducible, participant-independent machine-learning framework combining Smoothed Pseudo Wigner-Ville Distribution (SPWVD) time-frequency spectral representations, pretrained deep convolutional neural network (CNN) feature extraction, and classical classifiers. We evaluate the public 64-participant dataset from Hospital Universiti Sains Malaysia (30 healthy controls and 34 MDD patients) across both resting-state conditions under strict Stratified Group 10-Fold Cross-Validation, ensuring zero participant contamination between training and test sets. In the primary eyes-closed resting cohort (N = 58 participants: 28 controls, 30 MDD), ResNet-18 features paired with Linear SVM achieved 89.66% participant-level diagnostic accuracy (mean fold accuracy 89.90 ± 8.34%), 93.33% sensitivity, 85.71% specificity, 90.32% F1-score, and 95.36% ROC-AUC. Medium Gaussian SVM and Neural Network (Multi-Layer Perceptron) classifiers similarly achieved 89.66% accuracy (90.00% sensitivity, 89.29% specificity). In the eyes-open resting cohort (N = 61 participants: 29 controls, 32 MDD), Medium Gaussian SVM and Neural Network achieved 91.80% participant accuracy (mean fold accuracy 91.48 ± 12.49%), 90.62% sensitivity, 93.10% specificity, 92.06% F1-score, and 93.32%–96.01% ROC-AUC. At the individual 2-second segment level, accuracy ranged from 78% to 85%, demonstrating that participant-level probability aggregation across epochs critically suppresses transient artifact noise and elevates clinical diagnostic reliability. These verified empirical results establish a dependable, leakage-free benchmark for automated depression detection.</w:t>
      </w:r>
    </w:p>
    <w:p>
      <w:r>
        <w:rPr>
          <w:b/>
        </w:rPr>
        <w:t xml:space="preserve">Keywords: </w:t>
      </w:r>
      <w:r>
        <w:t>Major Depressive Disorder (MDD), Electroencephalography (EEG), Smoothed Pseudo Wigner-Ville Distribution (SPWVD), Deep Learning, Transfer Learning, Group Cross-Validation, Data Leakage Prevention.</w:t>
      </w:r>
    </w:p>
    <w:p>
      <w:pPr>
        <w:pStyle w:val="Heading1"/>
      </w:pPr>
      <w:r>
        <w:t>1. Introduction</w:t>
      </w:r>
    </w:p>
    <w:p>
      <w:r>
        <w:t>Depression is one of the most prevalent mental health disorders globally, affecting an estimated 5% of adults worldwide [1]. It is clinically characterized by persistent sadness, loss of interest or pleasure in previously rewarding activities (anhedonia), sleep disturbances, cognitive fatigue, and impaired concentration [1]. According to the World Health Organization (WHO) and Global Burden of Disease studies, depressive disorders represent the leading cause of non-fatal disability worldwide, contributing immensely to the global burden of disease and economic loss [2]. When depressive symptoms persist for two weeks or longer and cause substantial functional impairment, a diagnosis of Major Depressive Disorder (MDD) is established in accordance with DSM-5 criteria [3]. The COVID-19 pandemic further exacerbated the global prevalence of depression, triggered by widespread isolation, bereavement, economic dislocation, and prolonged psychological distress [4].</w:t>
      </w:r>
    </w:p>
    <w:p>
      <w:r>
        <w:t>Current diagnostic procedures for MDD rely predominantly on subjective clinical psychiatric interviews and self-administered questionnaires (such as the Beck Depression Inventory and Hamilton Depression Rating Scale). These clinical assessments are time-consuming, prone to inter-rater subjectivity, and frequently delay timely intervention. Consequently, objective neurophysiological biomarkers are urgently required. Electroencephalography (EEG) directly records electrical potentials generated by cerebral neuronal firing with millisecond temporal resolution [5]. Alterations in resting-state oscillatory dynamics—such as fronto-central alpha asymmetry, gamma synchrony deficits, and abnormal phase coupling—have been documented in patients with depressive disorders [6, 7]. For example, Lechner and Northoff [8] demonstrated that resting-state EEG phase dynamics differentiate MDD patients from healthy individuals and bipolar disorder cohorts. Earlier computational investigations applied handcrafted statistical and nonlinear features to classify depressive EEG signals. Erguzel et al. [9] used genetic algorithms with artificial neural networks, achieving 89.12% accuracy. Hosseinifard et al. [10] evaluated nonlinear dynamic features (Lyapunov exponents, correlation dimension), while Liao et al. [11] employed common spatial patterns to achieve 81.23% diagnostic accuracy. Mohammadi et al. [12] utilized entropy metrics with a fuzzy logic classifier to classify depression.</w:t>
      </w:r>
    </w:p>
    <w:p>
      <w:r>
        <w:t>In recent years, deep learning methodologies have gained significant traction for automated physiological signal interpretation. Acharya et al. [13] developed a 13-layer convolutional neural network (CNN) operating on raw EEG signals, achieving over 93% accuracy. Subsequent studies integrated temporal sequence modeling, such as recurrent neural networks and long short-term memory (LSTM) architectures, to capture long-range contextual temporal dependencies across EEG epochs [14, 15]. Choudhary et al. [15] explored maximum likelihood estimation for EEG channel selection. Other investigations extracted spectral power distributions and applied kernel-based classifiers; for instance, Wu et al. [16] employed conformal kernel support vector machines on power features, while Shen et al. [17] developed kernel-target alignment for optimal channel selection.</w:t>
      </w:r>
    </w:p>
    <w:p>
      <w:r>
        <w:t>Despite promising accuracy figures reported across the literature, many published deep learning and machine learning studies suffer from subtle yet devastating data leakage. The most pervasive form of leakage occurs when continuous EEG recordings from individual participants are sliced into small epochs (e.g., 2–5 seconds) and subsequently shuffled randomly into training and testing partitions. Because temporal epochs originating from the same subject share distinct anatomical traits, electrode impedance baselines, and idiosyncratic neural signatures, models evaluated under random segment-level cross-validation learn to recognize individual subjects rather than generalized pathological MDD biomarkers. This data contamination produces artificially inflated performance claims exceeding 98–99%, which collapse catastrophically when deployed on unseen patients in clinical settings.</w:t>
      </w:r>
    </w:p>
    <w:p>
      <w:r>
        <w:t>In this study, we present a rigorous, reproducible, and leakage-safe investigation into the automated detection of MDD using Smoothed Pseudo Wigner-Ville Distribution (SPWVD) time-frequency representations and pretrained CNN feature extraction. The key contributions of this work are threefold: (1) We establish a strict Stratified Group 10-Fold Cross-Validation protocol that rigorously quarantines all recordings, segments, and representations of each participant to a single fold, ensuring zero inter-subject data contamination; (2) We perform an empirical evaluation of four benchmark pretrained CNN backbones (ResNet-18, ResNet-50, AlexNet, VGG-16) paired with eight classical machine learning estimators; and (3) We evaluate both individual segment-level discriminability and participant-level probability aggregation across both Eyes-Closed (N=58) and Eyes-Open (N=61) recording conditions, providing a scientifically grounded and reproducible benchmark.</w:t>
      </w:r>
    </w:p>
    <w:p>
      <w:pPr>
        <w:pStyle w:val="Heading1"/>
      </w:pPr>
      <w:r>
        <w:t>2. Materials and Methods</w:t>
      </w:r>
    </w:p>
    <w:p>
      <w:pPr>
        <w:pStyle w:val="Heading2"/>
      </w:pPr>
      <w:r>
        <w:t>2.1 Dataset Identity, Provenance, and Participant Cohorts</w:t>
      </w:r>
    </w:p>
    <w:p>
      <w:r>
        <w:t>The electroencephalographic data utilized in this investigation originates from the publicly accessible dataset collected at the Hospital Universiti Sains Malaysia (HUSM) and curated by Mumtaz et al. [18], formatted according to the Brain Imaging Data Structure (BIDS version 1.7.0, NEMAR accession nm000114_v1.0.0, DOI: 10.82901/nemar.nm000114). The authoritative dataset comprises 64 unique participants: 30 healthy controls (HC, subjects sub-HS1 to sub-HS30) and 34 patients clinically diagnosed with Major Depressive Disorder (MDD, subjects sub-MDDS1 to sub-MDDS34) aged 12 to 77 years. MDD diagnoses were established by certified consultant psychiatrists according to DSM-IV criteria.</w:t>
        <w:br/>
        <w:br/>
        <w:t>A critical clarification must be noted regarding dataset metadata: the introductory narrative in the BIDS README text originally contained a typographical note stating '34 participants (19 healthy controls and 15 MDD patients)', which represented an uncorrected draft notation from a preliminary pilot cohort. Systematic inspection of the filesystem, the authoritative participants.tsv table, and MNE-BIDS automatic audit reports confirms that the physical dataset contains exactly 64 participants and 181 valid recordings. Participants completed up to three experimental protocols: (1) eyes-closed resting state (58 recordings: 28 HC, 30 MDD); (2) eyes-open resting state (62 recordings across 61 unique subjects: 29 HC, 32 MDD, with subject sub-HS15 having two runs); and (3) continuous recording during an auditory oddball P300 task (61 recordings: 28 HC, 33 MDD).</w:t>
      </w:r>
    </w:p>
    <w:p>
      <w:pPr>
        <w:pStyle w:val="Heading2"/>
      </w:pPr>
      <w:r>
        <w:t>2.2 Acquisition Montage and Preprocessing</w:t>
      </w:r>
    </w:p>
    <w:p>
      <w:r>
        <w:t>EEG signals were acquired at a sampling frequency of 256.0 Hz using a 19-channel monopolar electrode cap positioned according to the International 10-20 system: Fp1, F3, C3, P3, O1, F7, T3, T5, Fz, Fp2, F4, C4, P4, O2, F8, T4, T6, Cz, and Pz. Hardware acquisition filtering included a 0.5 Hz high-pass analog filter, a 70.0 Hz low-pass filter, and a 50.0 Hz notch filter to attenuate power line interference. All electrode impedances were maintained below 5 kΩ. Continuous recordings deposited in the archive were inspected to ensure segments containing severe ocular or muscular artifacts were excised during initial curation.</w:t>
        <w:br/>
        <w:br/>
        <w:t>To enforce montage homogeneity across all subjects, only the 19 standard 10-20 EEG channels common to all 181 recordings were extracted; auxiliary bipolar derivations present in a subset of recordings (e.g., 23A-23R, 24A-24R) were excluded. Continuous signals were filtered with a digital zero-phase bandpass filter between 0.5 Hz and 45.0 Hz to retain delta, theta, alpha, beta, and low-gamma physiological rhythms while suppressing high-frequency electromyographic noise.</w:t>
      </w:r>
    </w:p>
    <w:p>
      <w:pPr>
        <w:pStyle w:val="Heading2"/>
      </w:pPr>
      <w:r>
        <w:t>2.3 Window Segmentation</w:t>
      </w:r>
    </w:p>
    <w:p>
      <w:r>
        <w:t>Continuous multi-channel EEG recordings were segmented into non-overlapping temporal windows of length T = 2.0 seconds (N = 512 samples per window). Segmentation was executed strictly within each individual recording file; windows never cross session or recording boundaries. To ensure balanced participant contributions while maintaining computational efficiency, 15 non-overlapping epochs were systematically sampled across each recording. This yielded 870 epochs for the primary eyes-closed cohort (N = 58 subjects) and 930 epochs for the eyes-open cohort (N = 61 subjects). Every segment preserves complete provenance tracking, including participant ID, diagnostic label, recording condition, and start/end sample timestamps.</w:t>
      </w:r>
    </w:p>
    <w:p>
      <w:pPr>
        <w:pStyle w:val="Heading2"/>
      </w:pPr>
      <w:r>
        <w:t>2.4 Smoothed Pseudo Wigner-Ville Distribution (SPWVD)</w:t>
      </w:r>
    </w:p>
    <w:p>
      <w:r>
        <w:t>The Wigner-Ville distribution provides optimal joint time-frequency energy localization for non-stationary signals. However, for multi-component signals like EEG, quadratic cross-terms generate severe oscillatory interference artifacts between distinct frequency components. The Smoothed Pseudo Wigner-Ville Distribution (SPWVD) suppresses cross-terms by applying independent smoothing windows in both the time and frequency (lag) domains [19, 20]:</w:t>
        <w:br/>
        <w:br/>
        <w:t>W(t, f) = ∫ h(τ) [ ∫ g(s - t) z(s + τ/2) z*(s - τ/2) ds ] e^(-j 2π f τ) dτ</w:t>
        <w:br/>
        <w:br/>
        <w:t>where z(t) is the analytic representation of the real EEG signal x(t) computed via the Hilbert transform to eliminate negative frequency cross-terms; g(t) is a time-smoothing window that suppresses frequency-direction cross-terms; and h(τ) is a lag-smoothing window that suppresses time-direction cross-terms.</w:t>
        <w:br/>
        <w:br/>
        <w:t>In our implementation, frequency smoothing is performed using a Kaiser window h(τ) of length 255 samples with shape parameter β = 5.0, precisely optimizing the trade-off between mainlobe spectral resolution and sidelobe suppression. Time smoothing is performed using a symmetric Hamming window g(t) of length 31 samples. For each multi-channel epoch, the SPWVD energy distribution is computed across the 19 standard channels and averaged to obtain a robust, spatially balanced time-frequency representation. Positive frequencies [0, 128 Hz] are retained, clipped to eliminate residual negative ripples, normalized via 99.5th percentile scaling, and resized via bilinear interpolation to 224 × 224 pixels. The single-channel energy map is expanded to a 3-channel RGB image and standardized using official ImageNet channel-wise normalization parameters (mean = [0.485, 0.456, 0.406], std = [0.229, 0.224, 0.225]).</w:t>
      </w:r>
    </w:p>
    <w:p>
      <w:pPr>
        <w:pStyle w:val="Heading2"/>
      </w:pPr>
      <w:r>
        <w:t>2.5 Pretrained Deep Feature Extraction</w:t>
      </w:r>
    </w:p>
    <w:p>
      <w:r>
        <w:t>Rather than training deep networks from scratch on a limited clinical cohort, transfer learning was utilized to leverage rich visual feature hierarchies learned from large-scale datasets (ImageNet-1k) [21]. Four benchmark deep convolutional architectures were systematically evaluated:</w:t>
        <w:br/>
        <w:t>1. ResNet-18: Residual network containing 18 layers with shortcut connections, producing a 512-dimensional feature embedding from the global average pooling layer (avgpool).</w:t>
        <w:br/>
        <w:t>2. ResNet-50: 50-layer bottleneck residual network producing a 2,048-dimensional feature embedding.</w:t>
        <w:br/>
        <w:t>3. AlexNet: 8-layer deep architecture, extracting a 4,096-dimensional feature vector from the penultimate fully connected layer (classifier[5]).</w:t>
        <w:br/>
        <w:t>4. VGG-16: 16-layer architecture with small 3×3 receptive fields, extracting a 4,096-dimensional feature vector from classifier[5].</w:t>
        <w:br/>
        <w:br/>
        <w:t>All CNN backbones operate strictly as fixed feature extractors: all convolutional and pooling weights remain frozen, and activation vectors are extracted without gradient backpropagation. This design guarantees deterministic, compute-efficient feature extraction free from training overfitting.</w:t>
      </w:r>
    </w:p>
    <w:p>
      <w:pPr>
        <w:pStyle w:val="Heading2"/>
      </w:pPr>
      <w:r>
        <w:t>2.6 Downstream Machine Learning Classifiers</w:t>
      </w:r>
    </w:p>
    <w:p>
      <w:r>
        <w:t>The deep feature vectors extracted by the CNN backbones were passed to eight classical machine learning classifiers spanning linear, kernel, distance-based, ensemble, and neural network paradigms:</w:t>
        <w:br/>
        <w:t>1. Linear SVM: Support Vector Classifier with linear kernel.</w:t>
        <w:br/>
        <w:t>2. Quadratic SVM: Support Vector Classifier with polynomial kernel of degree 2.</w:t>
        <w:br/>
        <w:t>3. Cubic SVM: Support Vector Classifier with polynomial kernel of degree 3.</w:t>
        <w:br/>
        <w:t>4. Fine Gaussian SVM: Radial Basis Function (RBF) kernel with narrow kernel scale (γ = 0.5).</w:t>
        <w:br/>
        <w:t>5. Medium Gaussian SVM: RBF kernel with standard scale parameter (γ = 1 / (P · Var(X))).</w:t>
        <w:br/>
        <w:t>6. Weighted KNN: K-Nearest Neighbors (k = 10) with inverse Euclidean distance weighting.</w:t>
        <w:br/>
        <w:t>7. Ensemble Bagged Trees: Bootstrap-aggregated decision forest comprising 100 trees.</w:t>
        <w:br/>
        <w:t>8. Neural Network (MLP): Multi-Layer Perceptron containing a single hidden layer of 100 neurons with ReLU activation and Adam optimization.</w:t>
        <w:br/>
        <w:br/>
        <w:t>Critical Leakage-Prevention Rule: Feature standardization (StandardScaler) was fit strictly on training fold features and applied out-of-sample to test fold features. Zero test-fold data was ever exposed during scaling or estimator fitting.</w:t>
      </w:r>
    </w:p>
    <w:p>
      <w:pPr>
        <w:pStyle w:val="Heading2"/>
      </w:pPr>
      <w:r>
        <w:t>2.7 Validation Protocol and Participant-Level Aggregation</w:t>
      </w:r>
    </w:p>
    <w:p>
      <w:r>
        <w:t>Model evaluation was conducted using Stratified Group 10-Fold Cross-Validation. All recordings and epochs originating from each participant were assigned exclusively to a single fold. Across the 64 enrolled participants, each fold contains exactly 3 Healthy Controls and either 3 or 4 MDD Patients (Folds 0–3: 7 participants; Folds 4–9: 6 participants). Under no circumstances did any participant appear in both training and test partitions of any fold. For multi-run participants (e.g. sub-HS15 in the eyes-open condition), all runs remained strictly quarantined to Fold 3.</w:t>
        <w:br/>
        <w:br/>
        <w:t>Because clinical diagnoses are made per patient rather than per 2-second snippet, evaluation was conducted at two explicit levels:</w:t>
        <w:br/>
        <w:t>1. Primary Evaluation Unit (Participant-Level): For each test subject i with S_i segments, segment posterior probabilities p_{i, s} = P(MDD | x_{i, s}) were averaged to produce a single diagnostic probability:</w:t>
        <w:br/>
        <w:t xml:space="preserve">   P̂_i = (1 / S_i) ∑_{s=1}^{S_i} p_{i, s}</w:t>
        <w:br/>
        <w:t xml:space="preserve">   Diagnostic classification was assigned as ŷ_i = 1 if P̂_i ≥ 0.5, and 0 otherwise. Primary performance metrics were calculated on the pooled out-of-fold participant decisions as well as fold-wise means ± standard deviations.</w:t>
        <w:br/>
        <w:t>2. Secondary Evaluation Unit (Segment-Level): Raw segment predictions were evaluated across all individual epochs (870 for eyes-closed, 930 for eyes-open) to assess raw time-frequency discriminability.</w:t>
      </w:r>
    </w:p>
    <w:p>
      <w:pPr>
        <w:pStyle w:val="Heading1"/>
      </w:pPr>
      <w:r>
        <w:t>3. Results</w:t>
      </w:r>
    </w:p>
    <w:p>
      <w:pPr>
        <w:pStyle w:val="Heading2"/>
      </w:pPr>
      <w:r>
        <w:t>3.1 Pretrained CNN Backbone Architecture Comparison</w:t>
      </w:r>
    </w:p>
    <w:p>
      <w:r>
        <w:t>We first compared the feature representation capacity of the four pretrained CNN architectures (ResNet-18, ResNet-50, AlexNet, and VGG-16) under identical Stratified Group 10-Fold Cross-Validation using a Weighted KNN downstream classifier. As detailed in Table 1, ResNet-18 achieved the highest classification performance on the eyes-closed cohort, yielding a pooled participant-level accuracy of 86.21% (mean fold accuracy 86.57 ± 10.11%) and an F1-score of 86.67%. ResNet-50 achieved 84.48% pooled accuracy on eyes-closed and 90.16% on eyes-open. AlexNet and VGG-16 yielded lower accuracies (81.03% and 79.31% on eyes-closed). Consequently, ResNet-18 was selected as the primary feature extractor for comprehensive classifier evaluations.</w:t>
      </w:r>
    </w:p>
    <w:p>
      <w:r>
        <w:rPr>
          <w:b/>
        </w:rPr>
        <w:t>Table 1. Diagnostic Accuracy of Pretrained CNN Feature Extractors (Stratified Group 10-Fold Cross-Validation, Weighted KNN Classifier)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CNN Architecture</w:t>
            </w:r>
          </w:p>
        </w:tc>
        <w:tc>
          <w:tcPr>
            <w:tcW w:type="dxa" w:w="1560"/>
          </w:tcPr>
          <w:p>
            <w:r>
              <w:rPr>
                <w:b/>
              </w:rPr>
              <w:t>Feature Dim</w:t>
            </w:r>
          </w:p>
        </w:tc>
        <w:tc>
          <w:tcPr>
            <w:tcW w:type="dxa" w:w="1560"/>
          </w:tcPr>
          <w:p>
            <w:r>
              <w:rPr>
                <w:b/>
              </w:rPr>
              <w:t>EC Pooled Acc. (%)</w:t>
            </w:r>
          </w:p>
        </w:tc>
        <w:tc>
          <w:tcPr>
            <w:tcW w:type="dxa" w:w="1560"/>
          </w:tcPr>
          <w:p>
            <w:r>
              <w:rPr>
                <w:b/>
              </w:rPr>
              <w:t>EC Fold Mean ± Std (%)</w:t>
            </w:r>
          </w:p>
        </w:tc>
        <w:tc>
          <w:tcPr>
            <w:tcW w:type="dxa" w:w="1560"/>
          </w:tcPr>
          <w:p>
            <w:r>
              <w:rPr>
                <w:b/>
              </w:rPr>
              <w:t>EO Pooled Acc. (%)</w:t>
            </w:r>
          </w:p>
        </w:tc>
        <w:tc>
          <w:tcPr>
            <w:tcW w:type="dxa" w:w="1560"/>
          </w:tcPr>
          <w:p>
            <w:r>
              <w:rPr>
                <w:b/>
              </w:rPr>
              <w:t>EO Fold Mean ± Std (%)</w:t>
            </w:r>
          </w:p>
        </w:tc>
      </w:tr>
      <w:tr>
        <w:tc>
          <w:tcPr>
            <w:tcW w:type="dxa" w:w="1560"/>
          </w:tcPr>
          <w:p>
            <w:r>
              <w:t>ResNet-18</w:t>
            </w:r>
          </w:p>
        </w:tc>
        <w:tc>
          <w:tcPr>
            <w:tcW w:type="dxa" w:w="1560"/>
          </w:tcPr>
          <w:p>
            <w:r>
              <w:t>512</w:t>
            </w:r>
          </w:p>
        </w:tc>
        <w:tc>
          <w:tcPr>
            <w:tcW w:type="dxa" w:w="1560"/>
          </w:tcPr>
          <w:p>
            <w:r>
              <w:t>86.21</w:t>
            </w:r>
          </w:p>
        </w:tc>
        <w:tc>
          <w:tcPr>
            <w:tcW w:type="dxa" w:w="1560"/>
          </w:tcPr>
          <w:p>
            <w:r>
              <w:t>86.57 ± 10.11</w:t>
            </w:r>
          </w:p>
        </w:tc>
        <w:tc>
          <w:tcPr>
            <w:tcW w:type="dxa" w:w="1560"/>
          </w:tcPr>
          <w:p>
            <w:r>
              <w:t>88.52</w:t>
            </w:r>
          </w:p>
        </w:tc>
        <w:tc>
          <w:tcPr>
            <w:tcW w:type="dxa" w:w="1560"/>
          </w:tcPr>
          <w:p>
            <w:r>
              <w:t>88.14 ± 11.98</w:t>
            </w:r>
          </w:p>
        </w:tc>
      </w:tr>
      <w:tr>
        <w:tc>
          <w:tcPr>
            <w:tcW w:type="dxa" w:w="1560"/>
          </w:tcPr>
          <w:p>
            <w:r>
              <w:t>ResNet-50</w:t>
            </w:r>
          </w:p>
        </w:tc>
        <w:tc>
          <w:tcPr>
            <w:tcW w:type="dxa" w:w="1560"/>
          </w:tcPr>
          <w:p>
            <w:r>
              <w:t>2048</w:t>
            </w:r>
          </w:p>
        </w:tc>
        <w:tc>
          <w:tcPr>
            <w:tcW w:type="dxa" w:w="1560"/>
          </w:tcPr>
          <w:p>
            <w:r>
              <w:t>84.48</w:t>
            </w:r>
          </w:p>
        </w:tc>
        <w:tc>
          <w:tcPr>
            <w:tcW w:type="dxa" w:w="1560"/>
          </w:tcPr>
          <w:p>
            <w:r>
              <w:t>84.81 ± 11.19</w:t>
            </w:r>
          </w:p>
        </w:tc>
        <w:tc>
          <w:tcPr>
            <w:tcW w:type="dxa" w:w="1560"/>
          </w:tcPr>
          <w:p>
            <w:r>
              <w:t>90.16</w:t>
            </w:r>
          </w:p>
        </w:tc>
        <w:tc>
          <w:tcPr>
            <w:tcW w:type="dxa" w:w="1560"/>
          </w:tcPr>
          <w:p>
            <w:r>
              <w:t>89.81 ± 12.35</w:t>
            </w:r>
          </w:p>
        </w:tc>
      </w:tr>
      <w:tr>
        <w:tc>
          <w:tcPr>
            <w:tcW w:type="dxa" w:w="1560"/>
          </w:tcPr>
          <w:p>
            <w:r>
              <w:t>AlexNet</w:t>
            </w:r>
          </w:p>
        </w:tc>
        <w:tc>
          <w:tcPr>
            <w:tcW w:type="dxa" w:w="1560"/>
          </w:tcPr>
          <w:p>
            <w:r>
              <w:t>4096</w:t>
            </w:r>
          </w:p>
        </w:tc>
        <w:tc>
          <w:tcPr>
            <w:tcW w:type="dxa" w:w="1560"/>
          </w:tcPr>
          <w:p>
            <w:r>
              <w:t>81.03</w:t>
            </w:r>
          </w:p>
        </w:tc>
        <w:tc>
          <w:tcPr>
            <w:tcW w:type="dxa" w:w="1560"/>
          </w:tcPr>
          <w:p>
            <w:r>
              <w:t>81.81 ± 15.34</w:t>
            </w:r>
          </w:p>
        </w:tc>
        <w:tc>
          <w:tcPr>
            <w:tcW w:type="dxa" w:w="1560"/>
          </w:tcPr>
          <w:p>
            <w:r>
              <w:t>85.25</w:t>
            </w:r>
          </w:p>
        </w:tc>
        <w:tc>
          <w:tcPr>
            <w:tcW w:type="dxa" w:w="1560"/>
          </w:tcPr>
          <w:p>
            <w:r>
              <w:t>85.14 ± 15.30</w:t>
            </w:r>
          </w:p>
        </w:tc>
      </w:tr>
      <w:tr>
        <w:tc>
          <w:tcPr>
            <w:tcW w:type="dxa" w:w="1560"/>
          </w:tcPr>
          <w:p>
            <w:r>
              <w:t>VGG-16</w:t>
            </w:r>
          </w:p>
        </w:tc>
        <w:tc>
          <w:tcPr>
            <w:tcW w:type="dxa" w:w="1560"/>
          </w:tcPr>
          <w:p>
            <w:r>
              <w:t>4096</w:t>
            </w:r>
          </w:p>
        </w:tc>
        <w:tc>
          <w:tcPr>
            <w:tcW w:type="dxa" w:w="1560"/>
          </w:tcPr>
          <w:p>
            <w:r>
              <w:t>79.31</w:t>
            </w:r>
          </w:p>
        </w:tc>
        <w:tc>
          <w:tcPr>
            <w:tcW w:type="dxa" w:w="1560"/>
          </w:tcPr>
          <w:p>
            <w:r>
              <w:t>78.90 ± 11.00</w:t>
            </w:r>
          </w:p>
        </w:tc>
        <w:tc>
          <w:tcPr>
            <w:tcW w:type="dxa" w:w="1560"/>
          </w:tcPr>
          <w:p>
            <w:r>
              <w:t>83.61</w:t>
            </w:r>
          </w:p>
        </w:tc>
        <w:tc>
          <w:tcPr>
            <w:tcW w:type="dxa" w:w="1560"/>
          </w:tcPr>
          <w:p>
            <w:r>
              <w:t>83.71 ± 12.43</w:t>
            </w:r>
          </w:p>
        </w:tc>
      </w:tr>
    </w:tbl>
    <w:p/>
    <w:p>
      <w:pPr>
        <w:pStyle w:val="Heading2"/>
      </w:pPr>
      <w:r>
        <w:t>3.2 Classification Performance Across Machine Learning Estimators</w:t>
      </w:r>
    </w:p>
    <w:p>
      <w:r>
        <w:t>The 512-dimensional deep features extracted via ResNet-18 were subsequently evaluated across eight machine learning estimators under the strict 10-fold group cross-validation scheme. The empirical results are summarized in Table 2 for both the Eyes-Closed (N = 58 participants) and Eyes-Open (N = 61 participants) resting-state cohorts.</w:t>
        <w:br/>
        <w:br/>
        <w:t>In the primary Eyes-Closed cohort (N = 58: 28 controls, 30 MDD):</w:t>
        <w:br/>
        <w:t>- Linear SVM, Medium Gaussian SVM, and the Neural Network (Multi-Layer Perceptron) achieved the top participant-level accuracy of 89.66% (mean fold accuracy 89.90 ± 8.34% for Linear SVM; 89.90 ± 11.19% for Medium Gaussian SVM and Neural Network).</w:t>
        <w:br/>
        <w:t>- Linear SVM achieved exceptional diagnostic balance: 93.33% sensitivity (28/30 MDD identified), 85.71% specificity (24/28 controls identified), an F1-score of 90.32%, and an ROC-AUC of 95.36% (TN=24, FP=4, FN=2, TP=28).</w:t>
        <w:br/>
        <w:t>- Medium Gaussian SVM and Neural Network achieved 90.00% sensitivity and 89.29% specificity (TN=25, FP=3, FN=3, TP=27).</w:t>
        <w:br/>
        <w:t>- Cubic SVM attained 89.66% accuracy and 90.32% F1-score; Quadratic SVM attained 87.93%; Weighted KNN and Ensemble Bagged Trees reached 86.21%.</w:t>
        <w:br/>
        <w:t>- Fine Gaussian SVM collapsed, yielding 50.00% accuracy (86.67% sensitivity but only 10.71% specificity; TN=3, FP=25, FN=4, TP=26) due to extreme overfitting in high-dimensional feature space.</w:t>
        <w:br/>
        <w:br/>
        <w:t>In the Eyes-Open cohort (N = 61: 29 controls, 32 MDD):</w:t>
        <w:br/>
        <w:t>- Medium Gaussian SVM and Neural Network attained the highest diagnostic performance: 91.80% participant-level accuracy (mean fold accuracy 91.48 ± 12.49%), 90.62% sensitivity, 93.10% specificity, 92.06% F1-score, and 93.32%–96.01% ROC-AUC (TN=27, FP=2, FN=3, TP=29).</w:t>
        <w:br/>
        <w:t>- Linear SVM, Quadratic SVM, Cubic SVM, and Weighted KNN each achieved 88.52% participant accuracy (90.62% sensitivity, 86.21% specificity; TN=25, FP=4, FN=3, TP=29).</w:t>
        <w:br/>
        <w:t>- Ensemble Bagged Trees achieved 86.89% participant accuracy (TN=24, FP=5, FN=3, TP=29).</w:t>
        <w:br/>
        <w:br/>
        <w:t>Crucially, across both recording conditions, participant-level aggregation improved diagnostic accuracy by 7.0% to 9.5% compared to raw segment-level predictions. Averaging posterior probabilities across multiple epochs effectively cancels out transient segment-level physiological noise (such as minor eye blinks or drowsiness transients).</w:t>
      </w:r>
    </w:p>
    <w:p>
      <w:r>
        <w:rPr>
          <w:b/>
        </w:rPr>
        <w:t>Table 2. Empirical Performance of Classifiers with ResNet-18 Deep Features Under Stratified Group 10-Fold CV</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rPr>
              <w:t>Classifier</w:t>
            </w:r>
          </w:p>
        </w:tc>
        <w:tc>
          <w:tcPr>
            <w:tcW w:type="dxa" w:w="1040"/>
          </w:tcPr>
          <w:p>
            <w:r>
              <w:rPr>
                <w:b/>
              </w:rPr>
              <w:t>EC Acc. (%)</w:t>
            </w:r>
          </w:p>
        </w:tc>
        <w:tc>
          <w:tcPr>
            <w:tcW w:type="dxa" w:w="1040"/>
          </w:tcPr>
          <w:p>
            <w:r>
              <w:rPr>
                <w:b/>
              </w:rPr>
              <w:t>EC Fold Mean ± Std (%)</w:t>
            </w:r>
          </w:p>
        </w:tc>
        <w:tc>
          <w:tcPr>
            <w:tcW w:type="dxa" w:w="1040"/>
          </w:tcPr>
          <w:p>
            <w:r>
              <w:rPr>
                <w:b/>
              </w:rPr>
              <w:t>EC Sens/Spec (%)</w:t>
            </w:r>
          </w:p>
        </w:tc>
        <w:tc>
          <w:tcPr>
            <w:tcW w:type="dxa" w:w="1040"/>
          </w:tcPr>
          <w:p>
            <w:r>
              <w:rPr>
                <w:b/>
              </w:rPr>
              <w:t>EC F1 (%)</w:t>
            </w:r>
          </w:p>
        </w:tc>
        <w:tc>
          <w:tcPr>
            <w:tcW w:type="dxa" w:w="1040"/>
          </w:tcPr>
          <w:p>
            <w:r>
              <w:rPr>
                <w:b/>
              </w:rPr>
              <w:t>EO Acc. (%)</w:t>
            </w:r>
          </w:p>
        </w:tc>
        <w:tc>
          <w:tcPr>
            <w:tcW w:type="dxa" w:w="1040"/>
          </w:tcPr>
          <w:p>
            <w:r>
              <w:rPr>
                <w:b/>
              </w:rPr>
              <w:t>EO Fold Mean ± Std (%)</w:t>
            </w:r>
          </w:p>
        </w:tc>
        <w:tc>
          <w:tcPr>
            <w:tcW w:type="dxa" w:w="1040"/>
          </w:tcPr>
          <w:p>
            <w:r>
              <w:rPr>
                <w:b/>
              </w:rPr>
              <w:t>EO Sens/Spec (%)</w:t>
            </w:r>
          </w:p>
        </w:tc>
        <w:tc>
          <w:tcPr>
            <w:tcW w:type="dxa" w:w="1040"/>
          </w:tcPr>
          <w:p>
            <w:r>
              <w:rPr>
                <w:b/>
              </w:rPr>
              <w:t>EO F1 (%)</w:t>
            </w:r>
          </w:p>
        </w:tc>
      </w:tr>
      <w:tr>
        <w:tc>
          <w:tcPr>
            <w:tcW w:type="dxa" w:w="1040"/>
          </w:tcPr>
          <w:p>
            <w:r>
              <w:t>Linear SVM</w:t>
            </w:r>
          </w:p>
        </w:tc>
        <w:tc>
          <w:tcPr>
            <w:tcW w:type="dxa" w:w="1040"/>
          </w:tcPr>
          <w:p>
            <w:r>
              <w:t>89.66</w:t>
            </w:r>
          </w:p>
        </w:tc>
        <w:tc>
          <w:tcPr>
            <w:tcW w:type="dxa" w:w="1040"/>
          </w:tcPr>
          <w:p>
            <w:r>
              <w:t>89.90 ± 8.34</w:t>
            </w:r>
          </w:p>
        </w:tc>
        <w:tc>
          <w:tcPr>
            <w:tcW w:type="dxa" w:w="1040"/>
          </w:tcPr>
          <w:p>
            <w:r>
              <w:t>93.3 / 85.7</w:t>
            </w:r>
          </w:p>
        </w:tc>
        <w:tc>
          <w:tcPr>
            <w:tcW w:type="dxa" w:w="1040"/>
          </w:tcPr>
          <w:p>
            <w:r>
              <w:t>90.32</w:t>
            </w:r>
          </w:p>
        </w:tc>
        <w:tc>
          <w:tcPr>
            <w:tcW w:type="dxa" w:w="1040"/>
          </w:tcPr>
          <w:p>
            <w:r>
              <w:t>88.52</w:t>
            </w:r>
          </w:p>
        </w:tc>
        <w:tc>
          <w:tcPr>
            <w:tcW w:type="dxa" w:w="1040"/>
          </w:tcPr>
          <w:p>
            <w:r>
              <w:t>88.14 ± 11.98</w:t>
            </w:r>
          </w:p>
        </w:tc>
        <w:tc>
          <w:tcPr>
            <w:tcW w:type="dxa" w:w="1040"/>
          </w:tcPr>
          <w:p>
            <w:r>
              <w:t>90.6 / 86.2</w:t>
            </w:r>
          </w:p>
        </w:tc>
        <w:tc>
          <w:tcPr>
            <w:tcW w:type="dxa" w:w="1040"/>
          </w:tcPr>
          <w:p>
            <w:r>
              <w:t>89.23</w:t>
            </w:r>
          </w:p>
        </w:tc>
      </w:tr>
      <w:tr>
        <w:tc>
          <w:tcPr>
            <w:tcW w:type="dxa" w:w="1040"/>
          </w:tcPr>
          <w:p>
            <w:r>
              <w:t>Medium Gaussian SVM</w:t>
            </w:r>
          </w:p>
        </w:tc>
        <w:tc>
          <w:tcPr>
            <w:tcW w:type="dxa" w:w="1040"/>
          </w:tcPr>
          <w:p>
            <w:r>
              <w:t>89.66</w:t>
            </w:r>
          </w:p>
        </w:tc>
        <w:tc>
          <w:tcPr>
            <w:tcW w:type="dxa" w:w="1040"/>
          </w:tcPr>
          <w:p>
            <w:r>
              <w:t>89.90 ± 11.19</w:t>
            </w:r>
          </w:p>
        </w:tc>
        <w:tc>
          <w:tcPr>
            <w:tcW w:type="dxa" w:w="1040"/>
          </w:tcPr>
          <w:p>
            <w:r>
              <w:t>90.0 / 89.3</w:t>
            </w:r>
          </w:p>
        </w:tc>
        <w:tc>
          <w:tcPr>
            <w:tcW w:type="dxa" w:w="1040"/>
          </w:tcPr>
          <w:p>
            <w:r>
              <w:t>90.00</w:t>
            </w:r>
          </w:p>
        </w:tc>
        <w:tc>
          <w:tcPr>
            <w:tcW w:type="dxa" w:w="1040"/>
          </w:tcPr>
          <w:p>
            <w:r>
              <w:t>91.80</w:t>
            </w:r>
          </w:p>
        </w:tc>
        <w:tc>
          <w:tcPr>
            <w:tcW w:type="dxa" w:w="1040"/>
          </w:tcPr>
          <w:p>
            <w:r>
              <w:t>91.48 ± 12.49</w:t>
            </w:r>
          </w:p>
        </w:tc>
        <w:tc>
          <w:tcPr>
            <w:tcW w:type="dxa" w:w="1040"/>
          </w:tcPr>
          <w:p>
            <w:r>
              <w:t>90.6 / 93.1</w:t>
            </w:r>
          </w:p>
        </w:tc>
        <w:tc>
          <w:tcPr>
            <w:tcW w:type="dxa" w:w="1040"/>
          </w:tcPr>
          <w:p>
            <w:r>
              <w:t>92.06</w:t>
            </w:r>
          </w:p>
        </w:tc>
      </w:tr>
      <w:tr>
        <w:tc>
          <w:tcPr>
            <w:tcW w:type="dxa" w:w="1040"/>
          </w:tcPr>
          <w:p>
            <w:r>
              <w:t>Neural Network (MLP)</w:t>
            </w:r>
          </w:p>
        </w:tc>
        <w:tc>
          <w:tcPr>
            <w:tcW w:type="dxa" w:w="1040"/>
          </w:tcPr>
          <w:p>
            <w:r>
              <w:t>89.66</w:t>
            </w:r>
          </w:p>
        </w:tc>
        <w:tc>
          <w:tcPr>
            <w:tcW w:type="dxa" w:w="1040"/>
          </w:tcPr>
          <w:p>
            <w:r>
              <w:t>89.90 ± 11.19</w:t>
            </w:r>
          </w:p>
        </w:tc>
        <w:tc>
          <w:tcPr>
            <w:tcW w:type="dxa" w:w="1040"/>
          </w:tcPr>
          <w:p>
            <w:r>
              <w:t>90.0 / 89.3</w:t>
            </w:r>
          </w:p>
        </w:tc>
        <w:tc>
          <w:tcPr>
            <w:tcW w:type="dxa" w:w="1040"/>
          </w:tcPr>
          <w:p>
            <w:r>
              <w:t>90.00</w:t>
            </w:r>
          </w:p>
        </w:tc>
        <w:tc>
          <w:tcPr>
            <w:tcW w:type="dxa" w:w="1040"/>
          </w:tcPr>
          <w:p>
            <w:r>
              <w:t>91.80</w:t>
            </w:r>
          </w:p>
        </w:tc>
        <w:tc>
          <w:tcPr>
            <w:tcW w:type="dxa" w:w="1040"/>
          </w:tcPr>
          <w:p>
            <w:r>
              <w:t>91.48 ± 12.49</w:t>
            </w:r>
          </w:p>
        </w:tc>
        <w:tc>
          <w:tcPr>
            <w:tcW w:type="dxa" w:w="1040"/>
          </w:tcPr>
          <w:p>
            <w:r>
              <w:t>90.6 / 93.1</w:t>
            </w:r>
          </w:p>
        </w:tc>
        <w:tc>
          <w:tcPr>
            <w:tcW w:type="dxa" w:w="1040"/>
          </w:tcPr>
          <w:p>
            <w:r>
              <w:t>92.06</w:t>
            </w:r>
          </w:p>
        </w:tc>
      </w:tr>
      <w:tr>
        <w:tc>
          <w:tcPr>
            <w:tcW w:type="dxa" w:w="1040"/>
          </w:tcPr>
          <w:p>
            <w:r>
              <w:t>Cubic SVM</w:t>
            </w:r>
          </w:p>
        </w:tc>
        <w:tc>
          <w:tcPr>
            <w:tcW w:type="dxa" w:w="1040"/>
          </w:tcPr>
          <w:p>
            <w:r>
              <w:t>89.66</w:t>
            </w:r>
          </w:p>
        </w:tc>
        <w:tc>
          <w:tcPr>
            <w:tcW w:type="dxa" w:w="1040"/>
          </w:tcPr>
          <w:p>
            <w:r>
              <w:t>89.90 ± 11.19</w:t>
            </w:r>
          </w:p>
        </w:tc>
        <w:tc>
          <w:tcPr>
            <w:tcW w:type="dxa" w:w="1040"/>
          </w:tcPr>
          <w:p>
            <w:r>
              <w:t>93.3 / 85.7</w:t>
            </w:r>
          </w:p>
        </w:tc>
        <w:tc>
          <w:tcPr>
            <w:tcW w:type="dxa" w:w="1040"/>
          </w:tcPr>
          <w:p>
            <w:r>
              <w:t>90.32</w:t>
            </w:r>
          </w:p>
        </w:tc>
        <w:tc>
          <w:tcPr>
            <w:tcW w:type="dxa" w:w="1040"/>
          </w:tcPr>
          <w:p>
            <w:r>
              <w:t>88.52</w:t>
            </w:r>
          </w:p>
        </w:tc>
        <w:tc>
          <w:tcPr>
            <w:tcW w:type="dxa" w:w="1040"/>
          </w:tcPr>
          <w:p>
            <w:r>
              <w:t>88.14 ± 14.11</w:t>
            </w:r>
          </w:p>
        </w:tc>
        <w:tc>
          <w:tcPr>
            <w:tcW w:type="dxa" w:w="1040"/>
          </w:tcPr>
          <w:p>
            <w:r>
              <w:t>90.6 / 86.2</w:t>
            </w:r>
          </w:p>
        </w:tc>
        <w:tc>
          <w:tcPr>
            <w:tcW w:type="dxa" w:w="1040"/>
          </w:tcPr>
          <w:p>
            <w:r>
              <w:t>89.23</w:t>
            </w:r>
          </w:p>
        </w:tc>
      </w:tr>
      <w:tr>
        <w:tc>
          <w:tcPr>
            <w:tcW w:type="dxa" w:w="1040"/>
          </w:tcPr>
          <w:p>
            <w:r>
              <w:t>Quadratic SVM</w:t>
            </w:r>
          </w:p>
        </w:tc>
        <w:tc>
          <w:tcPr>
            <w:tcW w:type="dxa" w:w="1040"/>
          </w:tcPr>
          <w:p>
            <w:r>
              <w:t>87.93</w:t>
            </w:r>
          </w:p>
        </w:tc>
        <w:tc>
          <w:tcPr>
            <w:tcW w:type="dxa" w:w="1040"/>
          </w:tcPr>
          <w:p>
            <w:r>
              <w:t>88.24 ± 10.79</w:t>
            </w:r>
          </w:p>
        </w:tc>
        <w:tc>
          <w:tcPr>
            <w:tcW w:type="dxa" w:w="1040"/>
          </w:tcPr>
          <w:p>
            <w:r>
              <w:t>93.3 / 82.1</w:t>
            </w:r>
          </w:p>
        </w:tc>
        <w:tc>
          <w:tcPr>
            <w:tcW w:type="dxa" w:w="1040"/>
          </w:tcPr>
          <w:p>
            <w:r>
              <w:t>88.89</w:t>
            </w:r>
          </w:p>
        </w:tc>
        <w:tc>
          <w:tcPr>
            <w:tcW w:type="dxa" w:w="1040"/>
          </w:tcPr>
          <w:p>
            <w:r>
              <w:t>88.52</w:t>
            </w:r>
          </w:p>
        </w:tc>
        <w:tc>
          <w:tcPr>
            <w:tcW w:type="dxa" w:w="1040"/>
          </w:tcPr>
          <w:p>
            <w:r>
              <w:t>88.14 ± 11.98</w:t>
            </w:r>
          </w:p>
        </w:tc>
        <w:tc>
          <w:tcPr>
            <w:tcW w:type="dxa" w:w="1040"/>
          </w:tcPr>
          <w:p>
            <w:r>
              <w:t>90.6 / 86.2</w:t>
            </w:r>
          </w:p>
        </w:tc>
        <w:tc>
          <w:tcPr>
            <w:tcW w:type="dxa" w:w="1040"/>
          </w:tcPr>
          <w:p>
            <w:r>
              <w:t>89.23</w:t>
            </w:r>
          </w:p>
        </w:tc>
      </w:tr>
      <w:tr>
        <w:tc>
          <w:tcPr>
            <w:tcW w:type="dxa" w:w="1040"/>
          </w:tcPr>
          <w:p>
            <w:r>
              <w:t>Weighted KNN</w:t>
            </w:r>
          </w:p>
        </w:tc>
        <w:tc>
          <w:tcPr>
            <w:tcW w:type="dxa" w:w="1040"/>
          </w:tcPr>
          <w:p>
            <w:r>
              <w:t>86.21</w:t>
            </w:r>
          </w:p>
        </w:tc>
        <w:tc>
          <w:tcPr>
            <w:tcW w:type="dxa" w:w="1040"/>
          </w:tcPr>
          <w:p>
            <w:r>
              <w:t>86.57 ± 10.11</w:t>
            </w:r>
          </w:p>
        </w:tc>
        <w:tc>
          <w:tcPr>
            <w:tcW w:type="dxa" w:w="1040"/>
          </w:tcPr>
          <w:p>
            <w:r>
              <w:t>86.7 / 85.7</w:t>
            </w:r>
          </w:p>
        </w:tc>
        <w:tc>
          <w:tcPr>
            <w:tcW w:type="dxa" w:w="1040"/>
          </w:tcPr>
          <w:p>
            <w:r>
              <w:t>86.67</w:t>
            </w:r>
          </w:p>
        </w:tc>
        <w:tc>
          <w:tcPr>
            <w:tcW w:type="dxa" w:w="1040"/>
          </w:tcPr>
          <w:p>
            <w:r>
              <w:t>88.52</w:t>
            </w:r>
          </w:p>
        </w:tc>
        <w:tc>
          <w:tcPr>
            <w:tcW w:type="dxa" w:w="1040"/>
          </w:tcPr>
          <w:p>
            <w:r>
              <w:t>88.14 ± 11.98</w:t>
            </w:r>
          </w:p>
        </w:tc>
        <w:tc>
          <w:tcPr>
            <w:tcW w:type="dxa" w:w="1040"/>
          </w:tcPr>
          <w:p>
            <w:r>
              <w:t>90.6 / 86.2</w:t>
            </w:r>
          </w:p>
        </w:tc>
        <w:tc>
          <w:tcPr>
            <w:tcW w:type="dxa" w:w="1040"/>
          </w:tcPr>
          <w:p>
            <w:r>
              <w:t>89.23</w:t>
            </w:r>
          </w:p>
        </w:tc>
      </w:tr>
      <w:tr>
        <w:tc>
          <w:tcPr>
            <w:tcW w:type="dxa" w:w="1040"/>
          </w:tcPr>
          <w:p>
            <w:r>
              <w:t>Ensemble Bagged Tree</w:t>
            </w:r>
          </w:p>
        </w:tc>
        <w:tc>
          <w:tcPr>
            <w:tcW w:type="dxa" w:w="1040"/>
          </w:tcPr>
          <w:p>
            <w:r>
              <w:t>86.21</w:t>
            </w:r>
          </w:p>
        </w:tc>
        <w:tc>
          <w:tcPr>
            <w:tcW w:type="dxa" w:w="1040"/>
          </w:tcPr>
          <w:p>
            <w:r>
              <w:t>86.81 ± 14.06</w:t>
            </w:r>
          </w:p>
        </w:tc>
        <w:tc>
          <w:tcPr>
            <w:tcW w:type="dxa" w:w="1040"/>
          </w:tcPr>
          <w:p>
            <w:r>
              <w:t>93.3 / 78.6</w:t>
            </w:r>
          </w:p>
        </w:tc>
        <w:tc>
          <w:tcPr>
            <w:tcW w:type="dxa" w:w="1040"/>
          </w:tcPr>
          <w:p>
            <w:r>
              <w:t>87.50</w:t>
            </w:r>
          </w:p>
        </w:tc>
        <w:tc>
          <w:tcPr>
            <w:tcW w:type="dxa" w:w="1040"/>
          </w:tcPr>
          <w:p>
            <w:r>
              <w:t>86.89</w:t>
            </w:r>
          </w:p>
        </w:tc>
        <w:tc>
          <w:tcPr>
            <w:tcW w:type="dxa" w:w="1040"/>
          </w:tcPr>
          <w:p>
            <w:r>
              <w:t>86.48 ± 13.59</w:t>
            </w:r>
          </w:p>
        </w:tc>
        <w:tc>
          <w:tcPr>
            <w:tcW w:type="dxa" w:w="1040"/>
          </w:tcPr>
          <w:p>
            <w:r>
              <w:t>90.6 / 82.8</w:t>
            </w:r>
          </w:p>
        </w:tc>
        <w:tc>
          <w:tcPr>
            <w:tcW w:type="dxa" w:w="1040"/>
          </w:tcPr>
          <w:p>
            <w:r>
              <w:t>87.88</w:t>
            </w:r>
          </w:p>
        </w:tc>
      </w:tr>
      <w:tr>
        <w:tc>
          <w:tcPr>
            <w:tcW w:type="dxa" w:w="1040"/>
          </w:tcPr>
          <w:p>
            <w:r>
              <w:t>Fine Gaussian SVM</w:t>
            </w:r>
          </w:p>
        </w:tc>
        <w:tc>
          <w:tcPr>
            <w:tcW w:type="dxa" w:w="1040"/>
          </w:tcPr>
          <w:p>
            <w:r>
              <w:t>50.00</w:t>
            </w:r>
          </w:p>
        </w:tc>
        <w:tc>
          <w:tcPr>
            <w:tcW w:type="dxa" w:w="1040"/>
          </w:tcPr>
          <w:p>
            <w:r>
              <w:t>49.71 ± 9.52</w:t>
            </w:r>
          </w:p>
        </w:tc>
        <w:tc>
          <w:tcPr>
            <w:tcW w:type="dxa" w:w="1040"/>
          </w:tcPr>
          <w:p>
            <w:r>
              <w:t>86.7 / 10.7</w:t>
            </w:r>
          </w:p>
        </w:tc>
        <w:tc>
          <w:tcPr>
            <w:tcW w:type="dxa" w:w="1040"/>
          </w:tcPr>
          <w:p>
            <w:r>
              <w:t>64.20</w:t>
            </w:r>
          </w:p>
        </w:tc>
        <w:tc>
          <w:tcPr>
            <w:tcW w:type="dxa" w:w="1040"/>
          </w:tcPr>
          <w:p>
            <w:r>
              <w:t>52.46</w:t>
            </w:r>
          </w:p>
        </w:tc>
        <w:tc>
          <w:tcPr>
            <w:tcW w:type="dxa" w:w="1040"/>
          </w:tcPr>
          <w:p>
            <w:r>
              <w:t>51.86 ± 10.64</w:t>
            </w:r>
          </w:p>
        </w:tc>
        <w:tc>
          <w:tcPr>
            <w:tcW w:type="dxa" w:w="1040"/>
          </w:tcPr>
          <w:p>
            <w:r>
              <w:t>96.9 / 3.5</w:t>
            </w:r>
          </w:p>
        </w:tc>
        <w:tc>
          <w:tcPr>
            <w:tcW w:type="dxa" w:w="1040"/>
          </w:tcPr>
          <w:p>
            <w:r>
              <w:t>68.13</w:t>
            </w:r>
          </w:p>
        </w:tc>
      </w:tr>
    </w:tbl>
    <w:p/>
    <w:p>
      <w:pPr>
        <w:pStyle w:val="Heading2"/>
      </w:pPr>
      <w:r>
        <w:t>3.3 Methodological Improvement Experiments and Ablation Studies</w:t>
      </w:r>
    </w:p>
    <w:p>
      <w:r>
        <w:t>Following establishment of the verified baseline, four targeted, hypothesis-driven methodological experiments were conducted to evaluate prospective pipeline enhancements under identical group-isolated folds:</w:t>
        <w:br/>
        <w:br/>
        <w:t>1. Epoch Probability Aggregation Strategies: We evaluated Arithmetic Mean, Median, 10% Trimmed Mean, and Majority Voting. For Linear SVM on Eyes-Closed, Median probability aggregation improved participant-level accuracy to 91.38% (sensitivity 96.67%, 29/30 MDD identified) by dampening transient segment artifacts. For Neural Network, 10% Trimmed Mean produced the highest overall discriminability (ROC-AUC 96.34%). However, for distance-based estimators (Weighted KNN), Median aggregation reduced accuracy (82.76%), demonstrating that simple Arithmetic Mean provides the most stable universal baseline.</w:t>
        <w:br/>
        <w:br/>
        <w:t>2. Spatial Montage Weighting: Rather than uniform 19-channel averaging, a pre-specified neurobiological montage placed higher weight on frontal/central leads (Fp1, Fp2, F3, F4, Fz, Cz, C3, C4; weight 2.0) and attenuated occipital visual leads (O1, O2; weight 0.5). This spatial weighting increased Medium Gaussian SVM accuracy from 89.66% to 91.38% (+1.72%) and sensitivity to 93.33%, confirming that focusing on frontal depression biomarkers enhances non-linear boundary separation.</w:t>
        <w:br/>
        <w:br/>
        <w:t>3. SPWVD Smoothing Variations: Testing an enhanced frequency smoothing window (Kaiser lag beta = 7.0, L = 255) eliminated false negatives entirely for Linear SVM, achieving 100.00% sensitivity (30/30 MDD detected) and 93.10% participant accuracy. Conversely, a compact transient window (L = 127, beta = 3.5) allowed excessive Wigner oscillatory cross-terms, degrading Linear SVM accuracy to 82.76% (-6.90%).</w:t>
        <w:br/>
        <w:br/>
        <w:t>4. Training-Only Group-Aware Nested Hyperparameter Tuning: Using an inner 5-fold Stratified Group CV on training folds, regularized Linear SVM parameters (C in [0.01, 0.1]) were autonomously selected over the arbitrary C = 1.0 default. When evaluated on held-out outer test folds, this nested model achieved 91.38% accuracy (93.33% sensitivity, 89.29% specificity, 91.80% F1-score), verifying that stronger regularization in 512-D transfer learning space enhances out-of-sample generalizability.</w:t>
      </w:r>
    </w:p>
    <w:p>
      <w:pPr>
        <w:pStyle w:val="Heading1"/>
      </w:pPr>
      <w:r>
        <w:t>4. Discussion</w:t>
      </w:r>
    </w:p>
    <w:p>
      <w:r>
        <w:t>Automated EEG-based psychiatric screening has long been impeded by a lack of methodological reproducibility and widespread data contamination. In earlier literature and preliminary draft versions of this work, classification accuracies approaching or exceeding 99% were frequently claimed. Our rigorous audit and experimental re-evaluation reveal that such extreme metrics almost invariably arise from random epoch-level cross-validation, where correlated EEG windows from the same individual are simultaneously present in both training and test sets. By implementing strict participant-independent Stratified Group 10-Fold Cross-Validation, we demonstrate that the true, uninflated diagnostic accuracy of SPWVD-based deep transfer learning features on this 64-subject clinical cohort is approximately 89.7% for eyes-closed and 91.8% for eyes-open resting states (with ROC-AUC values of 93.32% to 96.01%). This level of performance is realistic, robust, and highly competitive with valid neuroimaging benchmarks.</w:t>
      </w:r>
    </w:p>
    <w:p>
      <w:r>
        <w:t>A critical finding of our study is the vital role of participant-level probability aggregation. Individual 2-second EEG segments achieved raw accuracies of approximately 78–85%. A single short epoch can be influenced by transient eye blinks, micromovements, or brief attentional shifts. However, because these transient disturbances are uncorrelated across time, integrating the model's posterior probability estimates across multiple epochs per subject reduced false positives and false negatives, elevating diagnostic accuracy by ~8%. In clinical psychiatric settings, diagnostic decisions are made on individual patients, not isolated 2-second epochs; hence, participant-level evaluation must be established as the primary reporting standard.</w:t>
      </w:r>
    </w:p>
    <w:p>
      <w:pPr>
        <w:pStyle w:val="Heading2"/>
      </w:pPr>
      <w:r>
        <w:t>4.1 Verification Status of Literature Comparators</w:t>
      </w:r>
    </w:p>
    <w:p>
      <w:r>
        <w:t>In Table III of preliminary drafts, comparative accuracy claims were listed across multiple published studies. In accordance with strict scientific integrity guidelines, we conducted a systematic audit of all comparator citations. Several studies from literature were confirmed:</w:t>
        <w:br/>
        <w:t>- Acharya et al. [13] evaluated a 13-layer CNN on 30 subjects (15 MDD, 15 HC) using 10-fold CV, reporting 95.49% (right hemisphere) and 93.54% (left hemisphere).</w:t>
        <w:br/>
        <w:t>- Mumtaz et al. [18, 22] evaluated 1D-CNN and wavelet features on the HUSM dataset (34 MDD, 30 HC), reporting 98.32% under epoch-level validation.</w:t>
        <w:br/>
        <w:t>- Wu et al. [16] applied conformal kernel SVM to power features from 55 subjects (24 MDD, 31 HC), reporting 83.64% accuracy.</w:t>
        <w:br/>
        <w:br/>
        <w:t>However, other entries cited in preliminary drafts lacked verified DOI links, unambiguous participant-split documentation, or consistent metrics. Consequently, the comparative table is withheld from this manuscript until all comparator studies undergo independent audit and protocol harmonization.</w:t>
      </w:r>
    </w:p>
    <w:p>
      <w:pPr>
        <w:pStyle w:val="Heading2"/>
      </w:pPr>
      <w:r>
        <w:t>4.2 Study Limitations</w:t>
      </w:r>
    </w:p>
    <w:p>
      <w:r>
        <w:t>Several limitations must be acknowledged:</w:t>
        <w:br/>
        <w:t>1. Cohort Size: Although 64 participants represents a substantial clinical cohort for EEG research, multi-center cohorts comprising hundreds of subjects across diverse demographic and clinical populations are required for external validation.</w:t>
        <w:br/>
        <w:t>2. Diagnostic Specificity: The dataset evaluated binary discrimination between MDD patients and healthy controls. In clinical practice, distinguishing MDD from other affective disorders (e.g., bipolar depression, generalized anxiety disorder) is essential.</w:t>
        <w:br/>
        <w:t>3. Interpretability: Pretrained CNN feature extractors operate as high-dimensional nonlinear mappings. While SPWVD provides clear physical time-frequency energy distributions, integrating post-hoc explainability methods (e.g., Grad-CAM, SHAP) will be important to provide clinicians with transparent neurophysiological rationales.</w:t>
      </w:r>
    </w:p>
    <w:p>
      <w:pPr>
        <w:pStyle w:val="Heading1"/>
      </w:pPr>
      <w:r>
        <w:t>5. Conclusion</w:t>
      </w:r>
    </w:p>
    <w:p>
      <w:r>
        <w:t>In this study, we presented a reproducible, leakage-free investigation of automated Major Depressive Disorder detection using Smoothed Pseudo Wigner-Ville Distribution (SPWVD) time-frequency spectral images and deep transfer learning features. By enforcing strict Stratified Group 10-Fold Cross-Validation across 64 clinical participants (30 healthy controls, 34 MDD patients), we resolved historical data leakage and clarified dataset metadata discrepancies. Pretrained ResNet-18 features demonstrated superior representation capacity compared to ResNet-50, AlexNet, and VGG-16. Coupled with Linear SVM, Medium Gaussian SVM, or Multi-Layer Perceptron classifiers, the framework achieved 89.66% participant-level diagnostic accuracy (95.36% ROC-AUC) on eyes-closed resting state and 91.80% accuracy (93.32%–96.01% ROC-AUC) on eyes-open resting state. These results establish a dependable, scientifically verified benchmark for automated psychiatric neuroimaging.</w:t>
      </w:r>
    </w:p>
    <w:p>
      <w:pPr>
        <w:pStyle w:val="Heading1"/>
      </w:pPr>
      <w:r>
        <w:t>References</w:t>
      </w:r>
    </w:p>
    <w:p>
      <w:pPr>
        <w:ind w:left="360" w:hanging="360"/>
      </w:pPr>
      <w:r>
        <w:t>[1] World Health Organization, 'Depressive disorder (depression),' WHO Fact Sheets, Geneva, 2023. [Online]. Available: https://www.who.int/news-room/fact-sheets/detail/depression</w:t>
      </w:r>
    </w:p>
    <w:p>
      <w:pPr>
        <w:ind w:left="360" w:hanging="360"/>
      </w:pPr>
      <w:r>
        <w:t>[2] GBD 2019 Mental Disorders Collaborators, 'Global, regional, and national burden of 12 mental disorders in 204 countries and territories, 1990–2019: a systematic analysis for the Global Burden of Disease Study 2019,' The Lancet Psychiatry, vol. 9, no. 2, pp. 137–150, 2022.</w:t>
      </w:r>
    </w:p>
    <w:p>
      <w:pPr>
        <w:ind w:left="360" w:hanging="360"/>
      </w:pPr>
      <w:r>
        <w:t>[3] American Psychiatric Association, Diagnostic and Statistical Manual of Mental Disorders: DSM-5-TR, 5th ed. Washington, DC: American Psychiatric Association, 2022.</w:t>
      </w:r>
    </w:p>
    <w:p>
      <w:pPr>
        <w:ind w:left="360" w:hanging="360"/>
      </w:pPr>
      <w:r>
        <w:t>[4] J. Zhou, Y. Zhang, S. He, S. Xu, Q. Sun, T. Zhao, and Y. Dai, 'Accelerated global burden of depressive disorders during the COVID-19 pandemic from 2019 to 2021,' Scientific Reports, vol. 15, no. 1, p. 9529, 2025.</w:t>
      </w:r>
    </w:p>
    <w:p>
      <w:pPr>
        <w:ind w:left="360" w:hanging="360"/>
      </w:pPr>
      <w:r>
        <w:t>[5] M. Teplan, 'Fundamentals of EEG measurement,' Measurement Science Review, vol. 2, no. 2, pp. 1–11, 2002.</w:t>
      </w:r>
    </w:p>
    <w:p>
      <w:pPr>
        <w:ind w:left="360" w:hanging="360"/>
      </w:pPr>
      <w:r>
        <w:t>[6] Y.-Y. Yin and Y.-F. Li, 'Role of neural oscillations in depression: highlights on gamma oscillations,' Translational Psychiatry, vol. 14, p. 112, 2024.</w:t>
      </w:r>
    </w:p>
    <w:p>
      <w:pPr>
        <w:ind w:left="360" w:hanging="360"/>
      </w:pPr>
      <w:r>
        <w:t>[7] H. R. Snyder, 'Major depressive disorder is associated with broad impairments on neuropsychological measures of executive function: a meta-analysis and review,' Psychological Bulletin, vol. 139, no. 1, pp. 81–132, 2013.</w:t>
      </w:r>
    </w:p>
    <w:p>
      <w:pPr>
        <w:ind w:left="360" w:hanging="360"/>
      </w:pPr>
      <w:r>
        <w:t>[8] S. Lechner and G. Northoff, 'Abnormal resting-state EEG phase dynamics distinguishes major depressive disorder and bipolar disorder,' Journal of Affective Disorders, vol. 359, pp. 269–276, 2024.</w:t>
      </w:r>
    </w:p>
    <w:p>
      <w:pPr>
        <w:ind w:left="360" w:hanging="360"/>
      </w:pPr>
      <w:r>
        <w:t>[9] T. T. Erguzel, S. Ozekes, O. Tan, and S. Gultekin, 'Feature selection and classification of electroencephalographic signals: an artificial neural network and genetic algorithm based approach,' Clinical EEG and Neuroscience, vol. 46, no. 4, pp. 321–326, 2015.</w:t>
      </w:r>
    </w:p>
    <w:p>
      <w:pPr>
        <w:ind w:left="360" w:hanging="360"/>
      </w:pPr>
      <w:r>
        <w:t>[10] B. Hosseinifard, M. H. Moradi, and R. Rostami, 'Classifying depression patients and normal subjects using machine learning techniques and nonlinear features from EEG signal,' Computer Methods and Programs in Biomedicine, vol. 109, no. 3, pp. 339–345, 2013.</w:t>
      </w:r>
    </w:p>
    <w:p>
      <w:pPr>
        <w:ind w:left="360" w:hanging="360"/>
      </w:pPr>
      <w:r>
        <w:t>[11] S.-C. Liao, C.-T. Wu, H.-C. Huang, W.-T. Cheng, and Y.-H. Liu, 'Major depression detection from EEG signals using kernel eigen-filter-bank common spatial patterns,' Sensors, vol. 17, no. 6, p. 1385, 2017.</w:t>
      </w:r>
    </w:p>
    <w:p>
      <w:pPr>
        <w:ind w:left="360" w:hanging="360"/>
      </w:pPr>
      <w:r>
        <w:t>[12] Y. Mohammadi, M. Hajian, and M. H. Moradi, 'Discrimination of depression levels using machine learning methods on EEG signals,' in 2019 27th Iranian Conference on Electrical Engineering (ICEE). IEEE, 2019, pp. 1765–1769.</w:t>
      </w:r>
    </w:p>
    <w:p>
      <w:pPr>
        <w:ind w:left="360" w:hanging="360"/>
      </w:pPr>
      <w:r>
        <w:t>[13] U. R. Acharya, S. L. Oh, Y. Hagiwara, J. H. Tan, H. Adeli, and D. P. Subha, 'Automated EEG-based screening of depression using deep convolutional neural network,' Computer Methods and Programs in Biomedicine, vol. 161, pp. 103–113, 2018.</w:t>
      </w:r>
    </w:p>
    <w:p>
      <w:pPr>
        <w:ind w:left="360" w:hanging="360"/>
      </w:pPr>
      <w:r>
        <w:t>[14] S. Hochreiter and J. Schmidhuber, 'Long short-term memory,' Neural Computation, vol. 9, no. 8, pp. 1735–1780, 1997.</w:t>
      </w:r>
    </w:p>
    <w:p>
      <w:pPr>
        <w:ind w:left="360" w:hanging="360"/>
      </w:pPr>
      <w:r>
        <w:t>[15] A. K. Choudhary, A. Mishra, K. N. Mishra, R. K. Lal, and A. Kumari, 'Detection of major depressive disorder using maximum likelihood estimation for channel selection: A novel approach,' in International Conference on Innovative Computing and Communication. Springer, 2025, pp. 375–396.</w:t>
      </w:r>
    </w:p>
    <w:p>
      <w:pPr>
        <w:ind w:left="360" w:hanging="360"/>
      </w:pPr>
      <w:r>
        <w:t>[16] C.-T. Wu, H.-C. Huang, S. Huang, H.-C. Chen, P.-C. Chen, and C.-Y. Chen, 'Resting-state EEG for the diagnosis of major depressive disorder using conformal kernel support vector machine,' IEEE Transactions on Neural Systems and Rehabilitation Engineering, vol. 28, no. 8, pp. 1762–1770, 2020.</w:t>
      </w:r>
    </w:p>
    <w:p>
      <w:pPr>
        <w:ind w:left="360" w:hanging="360"/>
      </w:pPr>
      <w:r>
        <w:t>[17] J. Shen, X. Zhang, X. Huang, M. Wu, J. Gao, D. Lu, Z. Ding, and B. Hu, 'An optimal channel selection for EEG-based depression detection via kernel-target alignment,' IEEE Journal of Biomedical and Health Informatics, vol. 25, no. 7, pp. 2545–2556, 2020.</w:t>
      </w:r>
    </w:p>
    <w:p>
      <w:pPr>
        <w:ind w:left="360" w:hanging="360"/>
      </w:pPr>
      <w:r>
        <w:t>[18] W. Mumtaz, L. Xia, S. S. A. Ali, M. A. M. Yasin, M. Hussain, and A. S. Malik, 'Electroencephalogram (EEG)-based computer-aided technique to diagnose major depressive disorder (MDD),' Biomedical Signal Processing and Control, vol. 31, pp. 108–115, 2017.</w:t>
      </w:r>
    </w:p>
    <w:p>
      <w:pPr>
        <w:ind w:left="360" w:hanging="360"/>
      </w:pPr>
      <w:r>
        <w:t>[19] L. Cohen, Time-Frequency Analysis. Englewood Cliffs, NJ: Prentice Hall, 1995.</w:t>
      </w:r>
    </w:p>
    <w:p>
      <w:pPr>
        <w:ind w:left="360" w:hanging="360"/>
      </w:pPr>
      <w:r>
        <w:t>[20] F. Auger and P. Flandrin, 'Improving the readability of time-frequency and time-scale representations by the reassignment method,' IEEE Transactions on Signal Processing, vol. 43, no. 5, pp. 1068–1089, 1995.</w:t>
      </w:r>
    </w:p>
    <w:p>
      <w:pPr>
        <w:ind w:left="360" w:hanging="360"/>
      </w:pPr>
      <w:r>
        <w:t>[21] J. Deng, W. Dong, R. Socher, L.-J. Li, K. Li, and L. Fei-Fei, 'ImageNet: A large-scale hierarchical image database,' in 2009 IEEE Conference on Computer Vision and Pattern Recognition (CVPR). IEEE, 2009, pp. 248–255.</w:t>
      </w:r>
    </w:p>
    <w:p>
      <w:pPr>
        <w:ind w:left="360" w:hanging="360"/>
      </w:pPr>
      <w:r>
        <w:t>[22] W. Mumtaz, S. S. A. Ali, M. A. M. Yasin, and A. S. Malik, 'A deep learning framework for automatic diagnosis of unipolar depression,' International Journal of Medical Informatics, vol. 132, p. 103983,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