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CC44" w14:textId="77777777" w:rsidR="00EC3D0A" w:rsidRDefault="00000000">
      <w:pPr>
        <w:spacing w:after="60"/>
        <w:jc w:val="center"/>
      </w:pPr>
      <w:r>
        <w:rPr>
          <w:b/>
          <w:bCs/>
          <w:sz w:val="36"/>
          <w:szCs w:val="36"/>
        </w:rPr>
        <w:t>EV Hackathon — Technical Report</w:t>
      </w:r>
    </w:p>
    <w:p w14:paraId="66AC21E5" w14:textId="1A425957" w:rsidR="00EC3D0A" w:rsidRDefault="00000000">
      <w:pPr>
        <w:spacing w:after="300"/>
        <w:jc w:val="center"/>
      </w:pPr>
      <w:r>
        <w:rPr>
          <w:i/>
          <w:iCs/>
          <w:color w:val="444444"/>
          <w:sz w:val="24"/>
          <w:szCs w:val="24"/>
        </w:rPr>
        <w:t xml:space="preserve">EV Range Prediction </w:t>
      </w:r>
    </w:p>
    <w:p w14:paraId="749D3C2F" w14:textId="77777777" w:rsidR="00EC3D0A" w:rsidRDefault="00000000">
      <w:pPr>
        <w:pStyle w:val="Heading1"/>
        <w:spacing w:before="300" w:after="150"/>
      </w:pPr>
      <w:r>
        <w:t>1. Problem &amp; Objective</w:t>
      </w:r>
    </w:p>
    <w:p w14:paraId="4F1AC9CA" w14:textId="77777777" w:rsidR="00EC3D0A" w:rsidRDefault="00000000">
      <w:pPr>
        <w:spacing w:after="160"/>
      </w:pPr>
      <w:r>
        <w:t>The goal is to predict an electric vehicle's official driving range (</w:t>
      </w:r>
      <w:proofErr w:type="spellStart"/>
      <w:r>
        <w:t>range_km</w:t>
      </w:r>
      <w:proofErr w:type="spellEnd"/>
      <w:r>
        <w:t>) from its static specification sheet — battery, performance, charging, dimensions, drivetrain, body type, seating, cargo and towing fields — without using any trip-level telemetry, since none is available in this dataset.</w:t>
      </w:r>
    </w:p>
    <w:p w14:paraId="51BC27D1" w14:textId="77777777" w:rsidR="00EC3D0A" w:rsidRDefault="00000000">
      <w:pPr>
        <w:spacing w:after="160"/>
      </w:pPr>
      <w:r>
        <w:rPr>
          <w:b/>
          <w:bCs/>
        </w:rPr>
        <w:t xml:space="preserve">Target variable: </w:t>
      </w:r>
      <w:proofErr w:type="spellStart"/>
      <w:r>
        <w:t>range_km</w:t>
      </w:r>
      <w:proofErr w:type="spellEnd"/>
      <w:r>
        <w:t xml:space="preserve"> (official driving range, km).</w:t>
      </w:r>
    </w:p>
    <w:p w14:paraId="3A506A2C" w14:textId="77777777" w:rsidR="00EC3D0A" w:rsidRDefault="00000000">
      <w:pPr>
        <w:spacing w:after="160"/>
      </w:pPr>
      <w:r>
        <w:rPr>
          <w:b/>
          <w:bCs/>
        </w:rPr>
        <w:t xml:space="preserve">Key restriction respected throughout: </w:t>
      </w:r>
      <w:proofErr w:type="spellStart"/>
      <w:r>
        <w:t>efficiency_wh_per_km</w:t>
      </w:r>
      <w:proofErr w:type="spellEnd"/>
      <w:r>
        <w:t xml:space="preserve"> was never used as a model input. Efficiency and range are algebraically linked through battery capacity, so including it would let the model reconstruct the target instead of genuinely learning from specifications. It was used only for EDA / sanity-checking.</w:t>
      </w:r>
    </w:p>
    <w:p w14:paraId="3A05ED61" w14:textId="77777777" w:rsidR="00EC3D0A" w:rsidRDefault="00000000">
      <w:pPr>
        <w:pStyle w:val="Heading1"/>
        <w:spacing w:before="300" w:after="150"/>
      </w:pPr>
      <w:r>
        <w:t>2. Dataset</w:t>
      </w:r>
    </w:p>
    <w:p w14:paraId="10708273" w14:textId="77777777" w:rsidR="00EC3D0A" w:rsidRDefault="00000000">
      <w:pPr>
        <w:spacing w:after="160"/>
      </w:pPr>
      <w:r>
        <w:t>478 EV models from 59 brands, one row per model, 22 columns covering battery, performance, charging, dimensions, drivetrain, body type, seating, cargo and towing specifications.</w:t>
      </w:r>
    </w:p>
    <w:p w14:paraId="474931F2" w14:textId="77777777" w:rsidR="00EC3D0A" w:rsidRDefault="00000000">
      <w:pPr>
        <w:pStyle w:val="Heading2"/>
        <w:spacing w:before="240" w:after="120"/>
      </w:pPr>
      <w:r>
        <w:t>2.1 Data Quality Issues Identified During Profiling</w:t>
      </w:r>
    </w:p>
    <w:p w14:paraId="5E0DE548" w14:textId="77777777" w:rsidR="00EC3D0A" w:rsidRDefault="00000000">
      <w:pPr>
        <w:pStyle w:val="ListParagraph"/>
        <w:numPr>
          <w:ilvl w:val="0"/>
          <w:numId w:val="2"/>
        </w:numPr>
        <w:spacing w:after="80"/>
      </w:pPr>
      <w:proofErr w:type="spellStart"/>
      <w:r>
        <w:t>battery_type</w:t>
      </w:r>
      <w:proofErr w:type="spellEnd"/>
      <w:r>
        <w:t xml:space="preserve"> is constant (Lithium-ion for all 478 rows) — zero variance, no predictive value.</w:t>
      </w:r>
    </w:p>
    <w:p w14:paraId="5621E93A" w14:textId="77777777" w:rsidR="00EC3D0A" w:rsidRDefault="00000000">
      <w:pPr>
        <w:pStyle w:val="ListParagraph"/>
        <w:numPr>
          <w:ilvl w:val="0"/>
          <w:numId w:val="2"/>
        </w:numPr>
        <w:spacing w:after="80"/>
      </w:pPr>
      <w:proofErr w:type="spellStart"/>
      <w:r>
        <w:t>fast_charge_port</w:t>
      </w:r>
      <w:proofErr w:type="spellEnd"/>
      <w:r>
        <w:t xml:space="preserve"> is almost entirely CCS (476 of 478 rows) — near-zero variance.</w:t>
      </w:r>
    </w:p>
    <w:p w14:paraId="6DFD2963" w14:textId="77777777" w:rsidR="00EC3D0A" w:rsidRDefault="00000000">
      <w:pPr>
        <w:pStyle w:val="ListParagraph"/>
        <w:numPr>
          <w:ilvl w:val="0"/>
          <w:numId w:val="2"/>
        </w:numPr>
        <w:spacing w:after="80"/>
      </w:pPr>
      <w:proofErr w:type="spellStart"/>
      <w:r>
        <w:t>source_url</w:t>
      </w:r>
      <w:proofErr w:type="spellEnd"/>
      <w:r>
        <w:t xml:space="preserve"> is listing metadata, not a specification.</w:t>
      </w:r>
    </w:p>
    <w:p w14:paraId="2429BA92" w14:textId="77777777" w:rsidR="00EC3D0A" w:rsidRDefault="00000000">
      <w:pPr>
        <w:pStyle w:val="ListParagraph"/>
        <w:numPr>
          <w:ilvl w:val="0"/>
          <w:numId w:val="2"/>
        </w:numPr>
        <w:spacing w:after="80"/>
      </w:pPr>
      <w:proofErr w:type="spellStart"/>
      <w:r>
        <w:t>number_of_cells</w:t>
      </w:r>
      <w:proofErr w:type="spellEnd"/>
      <w:r>
        <w:t xml:space="preserve"> is missing in 202 of 478 rows (~42.3%) — too unreliable to impute confidently as a trusted numeric value on its own.</w:t>
      </w:r>
    </w:p>
    <w:p w14:paraId="6FE73366" w14:textId="77777777" w:rsidR="00EC3D0A" w:rsidRDefault="00000000">
      <w:pPr>
        <w:pStyle w:val="ListParagraph"/>
        <w:numPr>
          <w:ilvl w:val="0"/>
          <w:numId w:val="2"/>
        </w:numPr>
        <w:spacing w:after="80"/>
      </w:pPr>
      <w:proofErr w:type="spellStart"/>
      <w:r>
        <w:t>torque_nm</w:t>
      </w:r>
      <w:proofErr w:type="spellEnd"/>
      <w:r>
        <w:t xml:space="preserve"> missing in 7 rows (~1.5%); </w:t>
      </w:r>
      <w:proofErr w:type="spellStart"/>
      <w:r>
        <w:t>fast_charging_power_kw_dc</w:t>
      </w:r>
      <w:proofErr w:type="spellEnd"/>
      <w:r>
        <w:t xml:space="preserve"> missing in 1 row; </w:t>
      </w:r>
      <w:proofErr w:type="spellStart"/>
      <w:r>
        <w:t>towing_capacity_kg</w:t>
      </w:r>
      <w:proofErr w:type="spellEnd"/>
      <w:r>
        <w:t xml:space="preserve"> missing in 26 rows (~5.4%) — all low enough to safely impute.</w:t>
      </w:r>
    </w:p>
    <w:p w14:paraId="13ABD162" w14:textId="77777777" w:rsidR="00EC3D0A" w:rsidRDefault="00000000">
      <w:pPr>
        <w:pStyle w:val="ListParagraph"/>
        <w:numPr>
          <w:ilvl w:val="0"/>
          <w:numId w:val="2"/>
        </w:numPr>
        <w:spacing w:after="80"/>
      </w:pPr>
      <w:proofErr w:type="spellStart"/>
      <w:r>
        <w:t>cargo_volume_l</w:t>
      </w:r>
      <w:proofErr w:type="spellEnd"/>
      <w:r>
        <w:t xml:space="preserve"> contains 3 non-numeric entries recorded as “N Banana Boxes” instead of litres (Audi Q6 e-tron quattro, Maxus MIFA 9, Mercedes-Benz EQS SUV 580 4MATIC).</w:t>
      </w:r>
    </w:p>
    <w:p w14:paraId="418C63DC" w14:textId="77777777" w:rsidR="00EC3D0A" w:rsidRDefault="00000000">
      <w:pPr>
        <w:pStyle w:val="ListParagraph"/>
        <w:numPr>
          <w:ilvl w:val="0"/>
          <w:numId w:val="2"/>
        </w:numPr>
        <w:spacing w:after="80"/>
      </w:pPr>
      <w:r>
        <w:t>model has 1 missing value.</w:t>
      </w:r>
    </w:p>
    <w:p w14:paraId="41DFBECC" w14:textId="77777777" w:rsidR="00EC3D0A" w:rsidRDefault="00000000">
      <w:pPr>
        <w:pStyle w:val="ListParagraph"/>
        <w:numPr>
          <w:ilvl w:val="0"/>
          <w:numId w:val="2"/>
        </w:numPr>
        <w:spacing w:after="80"/>
      </w:pPr>
      <w:r>
        <w:t>No exact duplicate rows were found.</w:t>
      </w:r>
    </w:p>
    <w:p w14:paraId="3FA763B6" w14:textId="77777777" w:rsidR="00EC3D0A" w:rsidRDefault="00000000">
      <w:pPr>
        <w:pStyle w:val="Heading1"/>
        <w:spacing w:before="300" w:after="150"/>
      </w:pPr>
      <w:r>
        <w:t>3. Data Cleaning — Decisions &amp; 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5"/>
        <w:gridCol w:w="4265"/>
      </w:tblGrid>
      <w:tr w:rsidR="00EC3D0A" w14:paraId="421DC6D2" w14:textId="77777777">
        <w:tblPrEx>
          <w:tblCellMar>
            <w:top w:w="0" w:type="dxa"/>
            <w:bottom w:w="0" w:type="dxa"/>
          </w:tblCellMar>
        </w:tblPrEx>
        <w:tc>
          <w:tcPr>
            <w:tcW w:w="5400" w:type="dxa"/>
            <w:shd w:val="clear" w:color="auto" w:fill="2F5496"/>
          </w:tcPr>
          <w:p w14:paraId="13A92186" w14:textId="77777777" w:rsidR="00EC3D0A" w:rsidRDefault="00000000">
            <w:r>
              <w:rPr>
                <w:b/>
                <w:bCs/>
                <w:color w:val="FFFFFF"/>
              </w:rPr>
              <w:t>Decision</w:t>
            </w:r>
          </w:p>
        </w:tc>
        <w:tc>
          <w:tcPr>
            <w:tcW w:w="3960" w:type="dxa"/>
            <w:shd w:val="clear" w:color="auto" w:fill="2F5496"/>
          </w:tcPr>
          <w:p w14:paraId="5A77D471" w14:textId="77777777" w:rsidR="00EC3D0A" w:rsidRDefault="00000000">
            <w:r>
              <w:rPr>
                <w:b/>
                <w:bCs/>
                <w:color w:val="FFFFFF"/>
              </w:rPr>
              <w:t>Why</w:t>
            </w:r>
          </w:p>
        </w:tc>
      </w:tr>
      <w:tr w:rsidR="00EC3D0A" w14:paraId="6D9AFBA0" w14:textId="77777777">
        <w:tblPrEx>
          <w:tblCellMar>
            <w:top w:w="0" w:type="dxa"/>
            <w:bottom w:w="0" w:type="dxa"/>
          </w:tblCellMar>
        </w:tblPrEx>
        <w:tc>
          <w:tcPr>
            <w:tcW w:w="5400" w:type="dxa"/>
          </w:tcPr>
          <w:p w14:paraId="0B6142FB" w14:textId="64BE38BB" w:rsidR="00EC3D0A" w:rsidRDefault="00000000">
            <w:r>
              <w:t xml:space="preserve">Convert “N Banana Boxes” entries to litres using 1 box ≈ </w:t>
            </w:r>
            <w:r w:rsidR="00EA24BB">
              <w:t>52</w:t>
            </w:r>
            <w:r>
              <w:t xml:space="preserve"> L</w:t>
            </w:r>
          </w:p>
        </w:tc>
        <w:tc>
          <w:tcPr>
            <w:tcW w:w="3960" w:type="dxa"/>
          </w:tcPr>
          <w:p w14:paraId="2D533EBF" w14:textId="77777777" w:rsidR="00EC3D0A" w:rsidRDefault="00000000">
            <w:r>
              <w:t>Documented approximation; preserves 3 real data points instead of discarding them</w:t>
            </w:r>
          </w:p>
        </w:tc>
      </w:tr>
      <w:tr w:rsidR="00EC3D0A" w14:paraId="081E3DD2" w14:textId="77777777">
        <w:tblPrEx>
          <w:tblCellMar>
            <w:top w:w="0" w:type="dxa"/>
            <w:bottom w:w="0" w:type="dxa"/>
          </w:tblCellMar>
        </w:tblPrEx>
        <w:tc>
          <w:tcPr>
            <w:tcW w:w="5400" w:type="dxa"/>
          </w:tcPr>
          <w:p w14:paraId="6DB42BF3" w14:textId="77777777" w:rsidR="00EC3D0A" w:rsidRDefault="00000000">
            <w:r>
              <w:t>Fill missing model with “Unknown”</w:t>
            </w:r>
          </w:p>
        </w:tc>
        <w:tc>
          <w:tcPr>
            <w:tcW w:w="3960" w:type="dxa"/>
          </w:tcPr>
          <w:p w14:paraId="3406E8D0" w14:textId="77777777" w:rsidR="00EC3D0A" w:rsidRDefault="00000000">
            <w:r>
              <w:t>Identifier only, not used as a model feature</w:t>
            </w:r>
          </w:p>
        </w:tc>
      </w:tr>
      <w:tr w:rsidR="00EC3D0A" w14:paraId="1D210C70" w14:textId="77777777">
        <w:tblPrEx>
          <w:tblCellMar>
            <w:top w:w="0" w:type="dxa"/>
            <w:bottom w:w="0" w:type="dxa"/>
          </w:tblCellMar>
        </w:tblPrEx>
        <w:tc>
          <w:tcPr>
            <w:tcW w:w="5400" w:type="dxa"/>
          </w:tcPr>
          <w:p w14:paraId="0B3654FE" w14:textId="77777777" w:rsidR="00EC3D0A" w:rsidRDefault="00000000">
            <w:r>
              <w:t xml:space="preserve">Create </w:t>
            </w:r>
            <w:proofErr w:type="spellStart"/>
            <w:r>
              <w:t>cells_missing_flag</w:t>
            </w:r>
            <w:proofErr w:type="spellEnd"/>
            <w:r>
              <w:t xml:space="preserve"> before imputing </w:t>
            </w:r>
            <w:proofErr w:type="spellStart"/>
            <w:r>
              <w:t>number_of_cells</w:t>
            </w:r>
            <w:proofErr w:type="spellEnd"/>
          </w:p>
        </w:tc>
        <w:tc>
          <w:tcPr>
            <w:tcW w:w="3960" w:type="dxa"/>
          </w:tcPr>
          <w:p w14:paraId="3E67547D" w14:textId="77777777" w:rsidR="00EC3D0A" w:rsidRDefault="00000000">
            <w:proofErr w:type="spellStart"/>
            <w:proofErr w:type="gramStart"/>
            <w:r>
              <w:t>Lets</w:t>
            </w:r>
            <w:proofErr w:type="spellEnd"/>
            <w:proofErr w:type="gramEnd"/>
            <w:r>
              <w:t xml:space="preserve"> the model learn whether “unknown cell count” itself is informative (e.g. brand under-reporting) instead of silently masking it</w:t>
            </w:r>
          </w:p>
        </w:tc>
      </w:tr>
      <w:tr w:rsidR="00EC3D0A" w14:paraId="5F53272D" w14:textId="77777777">
        <w:tblPrEx>
          <w:tblCellMar>
            <w:top w:w="0" w:type="dxa"/>
            <w:bottom w:w="0" w:type="dxa"/>
          </w:tblCellMar>
        </w:tblPrEx>
        <w:tc>
          <w:tcPr>
            <w:tcW w:w="5400" w:type="dxa"/>
          </w:tcPr>
          <w:p w14:paraId="17E6F40A" w14:textId="77777777" w:rsidR="00EC3D0A" w:rsidRDefault="00000000">
            <w:r>
              <w:t xml:space="preserve">Drop </w:t>
            </w:r>
            <w:proofErr w:type="spellStart"/>
            <w:r>
              <w:t>battery_type</w:t>
            </w:r>
            <w:proofErr w:type="spellEnd"/>
            <w:r>
              <w:t xml:space="preserve">, </w:t>
            </w:r>
            <w:proofErr w:type="spellStart"/>
            <w:r>
              <w:t>fast_charge_port</w:t>
            </w:r>
            <w:proofErr w:type="spellEnd"/>
            <w:r>
              <w:t xml:space="preserve">, </w:t>
            </w:r>
            <w:proofErr w:type="spellStart"/>
            <w:r>
              <w:t>source_url</w:t>
            </w:r>
            <w:proofErr w:type="spellEnd"/>
          </w:p>
        </w:tc>
        <w:tc>
          <w:tcPr>
            <w:tcW w:w="3960" w:type="dxa"/>
          </w:tcPr>
          <w:p w14:paraId="122CE4D3" w14:textId="77777777" w:rsidR="00EC3D0A" w:rsidRDefault="00000000">
            <w:r>
              <w:t>Zero / near-zero variance or non-specification metadata — no predictive signal</w:t>
            </w:r>
          </w:p>
        </w:tc>
      </w:tr>
      <w:tr w:rsidR="00EC3D0A" w14:paraId="4FF62515" w14:textId="77777777">
        <w:tblPrEx>
          <w:tblCellMar>
            <w:top w:w="0" w:type="dxa"/>
            <w:bottom w:w="0" w:type="dxa"/>
          </w:tblCellMar>
        </w:tblPrEx>
        <w:tc>
          <w:tcPr>
            <w:tcW w:w="5400" w:type="dxa"/>
          </w:tcPr>
          <w:p w14:paraId="1412CFDA" w14:textId="77777777" w:rsidR="00EC3D0A" w:rsidRDefault="00000000">
            <w:r>
              <w:t>Defer imputation of remaining numeric gaps (</w:t>
            </w:r>
            <w:proofErr w:type="spellStart"/>
            <w:r>
              <w:t>number_of_cells</w:t>
            </w:r>
            <w:proofErr w:type="spellEnd"/>
            <w:r>
              <w:t xml:space="preserve">, </w:t>
            </w:r>
            <w:proofErr w:type="spellStart"/>
            <w:r>
              <w:t>torque_nm</w:t>
            </w:r>
            <w:proofErr w:type="spellEnd"/>
            <w:r>
              <w:t xml:space="preserve">, </w:t>
            </w:r>
            <w:proofErr w:type="spellStart"/>
            <w:r>
              <w:t>fast_charging_power_kw_dc</w:t>
            </w:r>
            <w:proofErr w:type="spellEnd"/>
            <w:r>
              <w:t xml:space="preserve">, </w:t>
            </w:r>
            <w:proofErr w:type="spellStart"/>
            <w:r>
              <w:t>towing_capacity_kg</w:t>
            </w:r>
            <w:proofErr w:type="spellEnd"/>
            <w:r>
              <w:t>) into the modelling pipeline</w:t>
            </w:r>
          </w:p>
        </w:tc>
        <w:tc>
          <w:tcPr>
            <w:tcW w:w="3960" w:type="dxa"/>
          </w:tcPr>
          <w:p w14:paraId="30BCA441" w14:textId="77777777" w:rsidR="00EC3D0A" w:rsidRDefault="00000000">
            <w:r>
              <w:t>Imputing before the train/test split would leak test-set distribution into training; fitting the imputer on the training fold only avoids this</w:t>
            </w:r>
          </w:p>
        </w:tc>
      </w:tr>
    </w:tbl>
    <w:p w14:paraId="30F97DCE" w14:textId="77777777" w:rsidR="00EC3D0A" w:rsidRDefault="00000000">
      <w:pPr>
        <w:pStyle w:val="Heading1"/>
        <w:spacing w:before="300" w:after="150"/>
      </w:pPr>
      <w:r>
        <w:t>4. Exploratory Data Analysis — Key Findings</w:t>
      </w:r>
    </w:p>
    <w:p w14:paraId="6E5C263E" w14:textId="77777777" w:rsidR="00EC3D0A" w:rsidRDefault="00000000">
      <w:pPr>
        <w:pStyle w:val="ListParagraph"/>
        <w:numPr>
          <w:ilvl w:val="0"/>
          <w:numId w:val="2"/>
        </w:numPr>
        <w:spacing w:after="80"/>
      </w:pPr>
      <w:proofErr w:type="spellStart"/>
      <w:r>
        <w:t>range_km</w:t>
      </w:r>
      <w:proofErr w:type="spellEnd"/>
      <w:r>
        <w:t xml:space="preserve"> is roughly unimodal and right-skewed, with a long tail toward large-battery / high-performance vehicles. No outliers were removed since these are genuine vehicles the model must generalise to.</w:t>
      </w:r>
    </w:p>
    <w:p w14:paraId="603413A1" w14:textId="77777777" w:rsidR="00EC3D0A" w:rsidRDefault="00000000">
      <w:pPr>
        <w:pStyle w:val="ListParagraph"/>
        <w:numPr>
          <w:ilvl w:val="0"/>
          <w:numId w:val="2"/>
        </w:numPr>
        <w:spacing w:after="80"/>
      </w:pPr>
      <w:proofErr w:type="spellStart"/>
      <w:r>
        <w:lastRenderedPageBreak/>
        <w:t>battery_capacity_kWh</w:t>
      </w:r>
      <w:proofErr w:type="spellEnd"/>
      <w:r>
        <w:t xml:space="preserve"> is the strongest single numeric correlate of range, as expected physically.</w:t>
      </w:r>
    </w:p>
    <w:p w14:paraId="48E1F21C" w14:textId="77777777" w:rsidR="00EC3D0A" w:rsidRDefault="00000000">
      <w:pPr>
        <w:pStyle w:val="ListParagraph"/>
        <w:numPr>
          <w:ilvl w:val="0"/>
          <w:numId w:val="2"/>
        </w:numPr>
        <w:spacing w:after="80"/>
      </w:pPr>
      <w:proofErr w:type="spellStart"/>
      <w:r>
        <w:t>efficiency_wh_per_km</w:t>
      </w:r>
      <w:proofErr w:type="spellEnd"/>
      <w:r>
        <w:t xml:space="preserve"> also correlates strongly with range — this confirms, rather than contradicts, the decision to exclude it as a feature (it is a near-restatement of the target via battery capacity).</w:t>
      </w:r>
    </w:p>
    <w:p w14:paraId="1F120839" w14:textId="77777777" w:rsidR="00EC3D0A" w:rsidRDefault="00000000">
      <w:pPr>
        <w:pStyle w:val="ListParagraph"/>
        <w:numPr>
          <w:ilvl w:val="0"/>
          <w:numId w:val="2"/>
        </w:numPr>
        <w:spacing w:after="80"/>
      </w:pPr>
      <w:r>
        <w:t>AWD vehicles trend toward higher battery capacity and range on average, but with wide spread — drivetrain alone is a weak predictor and needs to combine with size/battery features.</w:t>
      </w:r>
    </w:p>
    <w:p w14:paraId="11D22357" w14:textId="77777777" w:rsidR="00EC3D0A" w:rsidRDefault="00000000">
      <w:pPr>
        <w:pStyle w:val="ListParagraph"/>
        <w:numPr>
          <w:ilvl w:val="0"/>
          <w:numId w:val="2"/>
        </w:numPr>
        <w:spacing w:after="80"/>
      </w:pPr>
      <w:r>
        <w:t xml:space="preserve">SUVs and larger body styles show higher median range than compact hatchbacks, consistent with larger battery packs — </w:t>
      </w:r>
      <w:proofErr w:type="spellStart"/>
      <w:r>
        <w:t>car_body_type</w:t>
      </w:r>
      <w:proofErr w:type="spellEnd"/>
      <w:r>
        <w:t xml:space="preserve"> is a useful categorical feature.</w:t>
      </w:r>
    </w:p>
    <w:p w14:paraId="45A26FA9" w14:textId="77777777" w:rsidR="00EC3D0A" w:rsidRDefault="00000000">
      <w:pPr>
        <w:pStyle w:val="Heading1"/>
        <w:spacing w:before="300" w:after="150"/>
      </w:pPr>
      <w:r>
        <w:t>5. Feature Engineering</w:t>
      </w:r>
    </w:p>
    <w:p w14:paraId="03A282EF" w14:textId="77777777" w:rsidR="00EC3D0A" w:rsidRDefault="00000000">
      <w:pPr>
        <w:spacing w:after="160"/>
      </w:pPr>
      <w:r>
        <w:t>Beyond raw columns, the following physically-motivated features were engineered: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7"/>
        <w:gridCol w:w="6203"/>
      </w:tblGrid>
      <w:tr w:rsidR="00EC3D0A" w14:paraId="54B7E412" w14:textId="77777777">
        <w:tblPrEx>
          <w:tblCellMar>
            <w:top w:w="0" w:type="dxa"/>
            <w:bottom w:w="0" w:type="dxa"/>
          </w:tblCellMar>
        </w:tblPrEx>
        <w:tc>
          <w:tcPr>
            <w:tcW w:w="3600" w:type="dxa"/>
            <w:shd w:val="clear" w:color="auto" w:fill="2F5496"/>
          </w:tcPr>
          <w:p w14:paraId="0C85CAD1" w14:textId="77777777" w:rsidR="00EC3D0A" w:rsidRDefault="00000000">
            <w:r>
              <w:rPr>
                <w:b/>
                <w:bCs/>
                <w:color w:val="FFFFFF"/>
              </w:rPr>
              <w:t>Feature</w:t>
            </w:r>
          </w:p>
        </w:tc>
        <w:tc>
          <w:tcPr>
            <w:tcW w:w="5760" w:type="dxa"/>
            <w:shd w:val="clear" w:color="auto" w:fill="2F5496"/>
          </w:tcPr>
          <w:p w14:paraId="03C26C0D" w14:textId="77777777" w:rsidR="00EC3D0A" w:rsidRDefault="00000000">
            <w:r>
              <w:rPr>
                <w:b/>
                <w:bCs/>
                <w:color w:val="FFFFFF"/>
              </w:rPr>
              <w:t>Rationale</w:t>
            </w:r>
          </w:p>
        </w:tc>
      </w:tr>
      <w:tr w:rsidR="00EC3D0A" w14:paraId="4CF953AA" w14:textId="77777777">
        <w:tblPrEx>
          <w:tblCellMar>
            <w:top w:w="0" w:type="dxa"/>
            <w:bottom w:w="0" w:type="dxa"/>
          </w:tblCellMar>
        </w:tblPrEx>
        <w:tc>
          <w:tcPr>
            <w:tcW w:w="3600" w:type="dxa"/>
          </w:tcPr>
          <w:p w14:paraId="2DB56CF8" w14:textId="77777777" w:rsidR="00EC3D0A" w:rsidRDefault="00000000">
            <w:r>
              <w:t>footprint_m2 (length × width)</w:t>
            </w:r>
          </w:p>
        </w:tc>
        <w:tc>
          <w:tcPr>
            <w:tcW w:w="5760" w:type="dxa"/>
          </w:tcPr>
          <w:p w14:paraId="2422252F" w14:textId="77777777" w:rsidR="00EC3D0A" w:rsidRDefault="00000000">
            <w:r>
              <w:t>Proxy for overall vehicle size / aerodynamic drag area</w:t>
            </w:r>
          </w:p>
        </w:tc>
      </w:tr>
      <w:tr w:rsidR="00EC3D0A" w14:paraId="07175317" w14:textId="77777777">
        <w:tblPrEx>
          <w:tblCellMar>
            <w:top w:w="0" w:type="dxa"/>
            <w:bottom w:w="0" w:type="dxa"/>
          </w:tblCellMar>
        </w:tblPrEx>
        <w:tc>
          <w:tcPr>
            <w:tcW w:w="3600" w:type="dxa"/>
          </w:tcPr>
          <w:p w14:paraId="140B8790" w14:textId="77777777" w:rsidR="00EC3D0A" w:rsidRDefault="00000000">
            <w:r>
              <w:t>volume_m3 (footprint × height)</w:t>
            </w:r>
          </w:p>
        </w:tc>
        <w:tc>
          <w:tcPr>
            <w:tcW w:w="5760" w:type="dxa"/>
          </w:tcPr>
          <w:p w14:paraId="195C5AE2" w14:textId="77777777" w:rsidR="00EC3D0A" w:rsidRDefault="00000000">
            <w:r>
              <w:t>Coarse proxy for interior / cabin volume</w:t>
            </w:r>
          </w:p>
        </w:tc>
      </w:tr>
      <w:tr w:rsidR="00EC3D0A" w14:paraId="741E0776" w14:textId="77777777">
        <w:tblPrEx>
          <w:tblCellMar>
            <w:top w:w="0" w:type="dxa"/>
            <w:bottom w:w="0" w:type="dxa"/>
          </w:tblCellMar>
        </w:tblPrEx>
        <w:tc>
          <w:tcPr>
            <w:tcW w:w="3600" w:type="dxa"/>
          </w:tcPr>
          <w:p w14:paraId="24DB5BAB" w14:textId="77777777" w:rsidR="00EC3D0A" w:rsidRDefault="00000000">
            <w:proofErr w:type="spellStart"/>
            <w:r>
              <w:t>battery_per_seat</w:t>
            </w:r>
            <w:proofErr w:type="spellEnd"/>
          </w:p>
        </w:tc>
        <w:tc>
          <w:tcPr>
            <w:tcW w:w="5760" w:type="dxa"/>
          </w:tcPr>
          <w:p w14:paraId="0E587F73" w14:textId="77777777" w:rsidR="00EC3D0A" w:rsidRDefault="00000000">
            <w:r>
              <w:t>Battery capacity normalised by seating — captures “battery generosity” relative to vehicle purpose</w:t>
            </w:r>
          </w:p>
        </w:tc>
      </w:tr>
      <w:tr w:rsidR="00EC3D0A" w14:paraId="55B20169" w14:textId="77777777">
        <w:tblPrEx>
          <w:tblCellMar>
            <w:top w:w="0" w:type="dxa"/>
            <w:bottom w:w="0" w:type="dxa"/>
          </w:tblCellMar>
        </w:tblPrEx>
        <w:tc>
          <w:tcPr>
            <w:tcW w:w="3600" w:type="dxa"/>
          </w:tcPr>
          <w:p w14:paraId="3F112BE9" w14:textId="77777777" w:rsidR="00EC3D0A" w:rsidRDefault="00000000">
            <w:r>
              <w:t>torque_per_100kwh</w:t>
            </w:r>
          </w:p>
        </w:tc>
        <w:tc>
          <w:tcPr>
            <w:tcW w:w="5760" w:type="dxa"/>
          </w:tcPr>
          <w:p w14:paraId="10CE4ECE" w14:textId="77777777" w:rsidR="00EC3D0A" w:rsidRDefault="00000000">
            <w:r>
              <w:t>Torque normalised by battery size — proxy for performance-tuned vs. range-tuned drivetrains</w:t>
            </w:r>
          </w:p>
        </w:tc>
      </w:tr>
      <w:tr w:rsidR="00EC3D0A" w14:paraId="0AF23918" w14:textId="77777777">
        <w:tblPrEx>
          <w:tblCellMar>
            <w:top w:w="0" w:type="dxa"/>
            <w:bottom w:w="0" w:type="dxa"/>
          </w:tblCellMar>
        </w:tblPrEx>
        <w:tc>
          <w:tcPr>
            <w:tcW w:w="3600" w:type="dxa"/>
          </w:tcPr>
          <w:p w14:paraId="28ED0B69" w14:textId="77777777" w:rsidR="00EC3D0A" w:rsidRDefault="00000000">
            <w:proofErr w:type="spellStart"/>
            <w:r>
              <w:t>segment_group</w:t>
            </w:r>
            <w:proofErr w:type="spellEnd"/>
          </w:p>
        </w:tc>
        <w:tc>
          <w:tcPr>
            <w:tcW w:w="5760" w:type="dxa"/>
          </w:tcPr>
          <w:p w14:paraId="28DB950F" w14:textId="77777777" w:rsidR="00EC3D0A" w:rsidRDefault="00000000">
            <w:r>
              <w:t>Letter-prefix rollup of the 15 fine-grained market segments into broader classes</w:t>
            </w:r>
          </w:p>
        </w:tc>
      </w:tr>
      <w:tr w:rsidR="00EC3D0A" w14:paraId="18AB2BCE" w14:textId="77777777">
        <w:tblPrEx>
          <w:tblCellMar>
            <w:top w:w="0" w:type="dxa"/>
            <w:bottom w:w="0" w:type="dxa"/>
          </w:tblCellMar>
        </w:tblPrEx>
        <w:tc>
          <w:tcPr>
            <w:tcW w:w="3600" w:type="dxa"/>
          </w:tcPr>
          <w:p w14:paraId="0984FCA1" w14:textId="77777777" w:rsidR="00EC3D0A" w:rsidRDefault="00000000">
            <w:proofErr w:type="spellStart"/>
            <w:r>
              <w:t>cells_missing_flag</w:t>
            </w:r>
            <w:proofErr w:type="spellEnd"/>
          </w:p>
        </w:tc>
        <w:tc>
          <w:tcPr>
            <w:tcW w:w="5760" w:type="dxa"/>
          </w:tcPr>
          <w:p w14:paraId="4DDC54B9" w14:textId="77777777" w:rsidR="00EC3D0A" w:rsidRDefault="00000000">
            <w:r>
              <w:t xml:space="preserve">Whether </w:t>
            </w:r>
            <w:proofErr w:type="spellStart"/>
            <w:r>
              <w:t>number_of_cells</w:t>
            </w:r>
            <w:proofErr w:type="spellEnd"/>
            <w:r>
              <w:t xml:space="preserve"> was reported at all (see Section 3)</w:t>
            </w:r>
          </w:p>
        </w:tc>
      </w:tr>
    </w:tbl>
    <w:p w14:paraId="79BC3534" w14:textId="77777777" w:rsidR="00EC3D0A" w:rsidRDefault="00000000">
      <w:pPr>
        <w:spacing w:after="160"/>
      </w:pPr>
      <w:proofErr w:type="spellStart"/>
      <w:r>
        <w:t>number_of_cells</w:t>
      </w:r>
      <w:proofErr w:type="spellEnd"/>
      <w:r>
        <w:t xml:space="preserve"> itself was retained as an optional numeric feature (its high missingness caps its usefulness) rather than dropped outright, per the challenge's guidance.</w:t>
      </w:r>
    </w:p>
    <w:p w14:paraId="44521502" w14:textId="77777777" w:rsidR="00EC3D0A" w:rsidRDefault="00000000">
      <w:pPr>
        <w:pStyle w:val="Heading1"/>
        <w:spacing w:before="300" w:after="150"/>
      </w:pPr>
      <w:r>
        <w:t>6. Train / Test Split &amp; Pipeline</w:t>
      </w:r>
    </w:p>
    <w:p w14:paraId="1BFCD727" w14:textId="77777777" w:rsidR="00EC3D0A" w:rsidRDefault="00000000">
      <w:pPr>
        <w:pStyle w:val="ListParagraph"/>
        <w:numPr>
          <w:ilvl w:val="0"/>
          <w:numId w:val="2"/>
        </w:numPr>
        <w:spacing w:after="80"/>
      </w:pPr>
      <w:r>
        <w:t>brand and model excluded (identifiers, not specifications a judge would enter into the tester).</w:t>
      </w:r>
    </w:p>
    <w:p w14:paraId="4DD6BC73" w14:textId="77777777" w:rsidR="00EC3D0A" w:rsidRDefault="00000000">
      <w:pPr>
        <w:pStyle w:val="ListParagraph"/>
        <w:numPr>
          <w:ilvl w:val="0"/>
          <w:numId w:val="2"/>
        </w:numPr>
        <w:spacing w:after="80"/>
      </w:pPr>
      <w:proofErr w:type="spellStart"/>
      <w:r>
        <w:t>efficiency_wh_per_km</w:t>
      </w:r>
      <w:proofErr w:type="spellEnd"/>
      <w:r>
        <w:t xml:space="preserve"> excluded (target leakage, see Section 1).</w:t>
      </w:r>
    </w:p>
    <w:p w14:paraId="420853FB" w14:textId="77777777" w:rsidR="00EC3D0A" w:rsidRDefault="00000000">
      <w:pPr>
        <w:pStyle w:val="ListParagraph"/>
        <w:numPr>
          <w:ilvl w:val="0"/>
          <w:numId w:val="2"/>
        </w:numPr>
        <w:spacing w:after="80"/>
      </w:pPr>
      <w:r>
        <w:t xml:space="preserve">80/20 train/test split, </w:t>
      </w:r>
      <w:proofErr w:type="spellStart"/>
      <w:r>
        <w:t>random_state</w:t>
      </w:r>
      <w:proofErr w:type="spellEnd"/>
      <w:r>
        <w:t xml:space="preserve"> = 42 for full reproducibility.</w:t>
      </w:r>
    </w:p>
    <w:p w14:paraId="548A939B" w14:textId="77777777" w:rsidR="00EC3D0A" w:rsidRDefault="00000000">
      <w:pPr>
        <w:pStyle w:val="ListParagraph"/>
        <w:numPr>
          <w:ilvl w:val="0"/>
          <w:numId w:val="2"/>
        </w:numPr>
        <w:spacing w:after="80"/>
      </w:pPr>
      <w:r>
        <w:t xml:space="preserve">All preprocessing — median imputation + scaling for numeric features, most-frequent imputation + one-hot encoding for categorical features — is wrapped in a single scikit-learn </w:t>
      </w:r>
      <w:proofErr w:type="spellStart"/>
      <w:r>
        <w:t>ColumnTransformer</w:t>
      </w:r>
      <w:proofErr w:type="spellEnd"/>
      <w:r>
        <w:t xml:space="preserve"> inside the Pipeline, fit only on the training fold, so the exact same transformations replay on any new input at prediction time.</w:t>
      </w:r>
    </w:p>
    <w:p w14:paraId="634D8FD3" w14:textId="77777777" w:rsidR="00EC3D0A" w:rsidRDefault="00000000">
      <w:pPr>
        <w:pStyle w:val="Heading1"/>
        <w:spacing w:before="300" w:after="150"/>
      </w:pPr>
      <w:r>
        <w:t>7. Model Comparison &amp; Selection</w:t>
      </w:r>
    </w:p>
    <w:p w14:paraId="31938EC9" w14:textId="77777777" w:rsidR="00EC3D0A" w:rsidRDefault="00000000">
      <w:pPr>
        <w:spacing w:after="160"/>
      </w:pPr>
      <w:r>
        <w:t xml:space="preserve">Six candidate models were compared with 5-fold cross-validation on the training set only: Linear Regression, Ridge, Lasso, Random Forest, Gradient Boosting and </w:t>
      </w:r>
      <w:proofErr w:type="spellStart"/>
      <w:r>
        <w:t>XGBoost</w:t>
      </w:r>
      <w:proofErr w:type="spellEnd"/>
      <w:r>
        <w:t>. A deep neural network was intentionally excluded — with only 478 rows, it offers no expected benefit over these classical methods and is prone to overfitting.</w:t>
      </w:r>
    </w:p>
    <w:p w14:paraId="04D97589" w14:textId="77777777" w:rsidR="00EC3D0A" w:rsidRDefault="00000000">
      <w:pPr>
        <w:pStyle w:val="Heading2"/>
        <w:spacing w:before="240" w:after="120"/>
      </w:pPr>
      <w:r>
        <w:t>7.1 Hyperparameter Tuning (</w:t>
      </w:r>
      <w:proofErr w:type="spellStart"/>
      <w:r>
        <w:t>GridSearchCV</w:t>
      </w:r>
      <w:proofErr w:type="spellEnd"/>
      <w:r>
        <w:t>, 5-fold CV)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6634"/>
      </w:tblGrid>
      <w:tr w:rsidR="00EC3D0A" w14:paraId="1A9B015D" w14:textId="77777777">
        <w:tblPrEx>
          <w:tblCellMar>
            <w:top w:w="0" w:type="dxa"/>
            <w:bottom w:w="0" w:type="dxa"/>
          </w:tblCellMar>
        </w:tblPrEx>
        <w:tc>
          <w:tcPr>
            <w:tcW w:w="3200" w:type="dxa"/>
            <w:shd w:val="clear" w:color="auto" w:fill="2F5496"/>
          </w:tcPr>
          <w:p w14:paraId="257ECB4F" w14:textId="77777777" w:rsidR="00EC3D0A" w:rsidRDefault="00000000">
            <w:r>
              <w:rPr>
                <w:b/>
                <w:bCs/>
                <w:color w:val="FFFFFF"/>
              </w:rPr>
              <w:t>Model</w:t>
            </w:r>
          </w:p>
        </w:tc>
        <w:tc>
          <w:tcPr>
            <w:tcW w:w="6160" w:type="dxa"/>
            <w:shd w:val="clear" w:color="auto" w:fill="2F5496"/>
          </w:tcPr>
          <w:p w14:paraId="0C4A5491" w14:textId="77777777" w:rsidR="00EC3D0A" w:rsidRDefault="00000000">
            <w:r>
              <w:rPr>
                <w:b/>
                <w:bCs/>
                <w:color w:val="FFFFFF"/>
              </w:rPr>
              <w:t>Best parameters found</w:t>
            </w:r>
          </w:p>
        </w:tc>
      </w:tr>
      <w:tr w:rsidR="00EC3D0A" w14:paraId="700B0785" w14:textId="77777777">
        <w:tblPrEx>
          <w:tblCellMar>
            <w:top w:w="0" w:type="dxa"/>
            <w:bottom w:w="0" w:type="dxa"/>
          </w:tblCellMar>
        </w:tblPrEx>
        <w:tc>
          <w:tcPr>
            <w:tcW w:w="3200" w:type="dxa"/>
          </w:tcPr>
          <w:p w14:paraId="47901996" w14:textId="77777777" w:rsidR="00EC3D0A" w:rsidRDefault="00000000">
            <w:r>
              <w:t>Ridge</w:t>
            </w:r>
          </w:p>
        </w:tc>
        <w:tc>
          <w:tcPr>
            <w:tcW w:w="6160" w:type="dxa"/>
          </w:tcPr>
          <w:p>
            <w:r>
              <w:t>alpha = 1 (CV RMSE 19.57 km)</w:t>
            </w:r>
          </w:p>
        </w:tc>
      </w:tr>
      <w:tr w:rsidR="00EC3D0A" w14:paraId="13B50740" w14:textId="77777777">
        <w:tblPrEx>
          <w:tblCellMar>
            <w:top w:w="0" w:type="dxa"/>
            <w:bottom w:w="0" w:type="dxa"/>
          </w:tblCellMar>
        </w:tblPrEx>
        <w:tc>
          <w:tcPr>
            <w:tcW w:w="3200" w:type="dxa"/>
          </w:tcPr>
          <w:p w14:paraId="722C7984" w14:textId="77777777" w:rsidR="00EC3D0A" w:rsidRDefault="00000000">
            <w:r>
              <w:t>Gradient Boosting</w:t>
            </w:r>
          </w:p>
        </w:tc>
        <w:tc>
          <w:tcPr>
            <w:tcW w:w="6160" w:type="dxa"/>
          </w:tcPr>
          <w:p>
            <w:r>
              <w:t>n_estimators = 300, max_depth = 3, learning_rate = 0.1 (CV RMSE 21.11 km)</w:t>
            </w:r>
          </w:p>
        </w:tc>
      </w:tr>
    </w:tbl>
    <w:p w14:paraId="22E3CCF6" w14:textId="77777777" w:rsidR="00EC3D0A" w:rsidRDefault="00000000">
      <w:pPr>
        <w:pStyle w:val="Heading2"/>
        <w:spacing w:before="240" w:after="120"/>
      </w:pPr>
      <w:r>
        <w:t>7.2 Final Held-Out Test Set Results</w:t>
      </w:r>
    </w:p>
    <w:p w14:paraId="183AC160" w14:textId="77777777" w:rsidR="00EC3D0A" w:rsidRDefault="00000000">
      <w:pPr>
        <w:spacing w:after="160"/>
      </w:pPr>
      <w:r>
        <w:t>The test set was untouched during model selection and tuning — these are genuine out-of-sample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2"/>
        <w:gridCol w:w="2068"/>
        <w:gridCol w:w="2068"/>
        <w:gridCol w:w="1422"/>
      </w:tblGrid>
      <w:tr w:rsidR="00EC3D0A" w14:paraId="32E03557" w14:textId="77777777">
        <w:tblPrEx>
          <w:tblCellMar>
            <w:top w:w="0" w:type="dxa"/>
            <w:bottom w:w="0" w:type="dxa"/>
          </w:tblCellMar>
        </w:tblPrEx>
        <w:tc>
          <w:tcPr>
            <w:tcW w:w="4200" w:type="dxa"/>
            <w:shd w:val="clear" w:color="auto" w:fill="2F5496"/>
          </w:tcPr>
          <w:p w14:paraId="211948B5" w14:textId="77777777" w:rsidR="00EC3D0A" w:rsidRDefault="00000000">
            <w:r>
              <w:rPr>
                <w:b/>
                <w:bCs/>
                <w:color w:val="FFFFFF"/>
              </w:rPr>
              <w:t>Model</w:t>
            </w:r>
          </w:p>
        </w:tc>
        <w:tc>
          <w:tcPr>
            <w:tcW w:w="1920" w:type="dxa"/>
            <w:shd w:val="clear" w:color="auto" w:fill="2F5496"/>
          </w:tcPr>
          <w:p w14:paraId="62071082" w14:textId="77777777" w:rsidR="00EC3D0A" w:rsidRDefault="00000000">
            <w:r>
              <w:rPr>
                <w:b/>
                <w:bCs/>
                <w:color w:val="FFFFFF"/>
              </w:rPr>
              <w:t>MAE (km)</w:t>
            </w:r>
          </w:p>
        </w:tc>
        <w:tc>
          <w:tcPr>
            <w:tcW w:w="1920" w:type="dxa"/>
            <w:shd w:val="clear" w:color="auto" w:fill="2F5496"/>
          </w:tcPr>
          <w:p w14:paraId="44113361" w14:textId="77777777" w:rsidR="00EC3D0A" w:rsidRDefault="00000000">
            <w:r>
              <w:rPr>
                <w:b/>
                <w:bCs/>
                <w:color w:val="FFFFFF"/>
              </w:rPr>
              <w:t>RMSE (km)</w:t>
            </w:r>
          </w:p>
        </w:tc>
        <w:tc>
          <w:tcPr>
            <w:tcW w:w="1320" w:type="dxa"/>
            <w:shd w:val="clear" w:color="auto" w:fill="2F5496"/>
          </w:tcPr>
          <w:p w14:paraId="62ECD625" w14:textId="77777777" w:rsidR="00EC3D0A" w:rsidRDefault="00000000">
            <w:r>
              <w:rPr>
                <w:b/>
                <w:bCs/>
                <w:color w:val="FFFFFF"/>
              </w:rPr>
              <w:t>R²</w:t>
            </w:r>
          </w:p>
        </w:tc>
      </w:tr>
      <w:tr w:rsidR="00EC3D0A" w14:paraId="7BFA7B1C" w14:textId="77777777">
        <w:tblPrEx>
          <w:tblCellMar>
            <w:top w:w="0" w:type="dxa"/>
            <w:bottom w:w="0" w:type="dxa"/>
          </w:tblCellMar>
        </w:tblPrEx>
        <w:tc>
          <w:tcPr>
            <w:tcW w:w="4200" w:type="dxa"/>
          </w:tcPr>
          <w:p w14:paraId="5E6B13A9" w14:textId="77777777" w:rsidR="00EC3D0A" w:rsidRDefault="00000000">
            <w:r>
              <w:t>Ridge (tuned)</w:t>
            </w:r>
          </w:p>
        </w:tc>
        <w:tc>
          <w:tcPr>
            <w:tcW w:w="1920" w:type="dxa"/>
          </w:tcPr>
          <w:p>
            <w:r>
              <w:t>13.96</w:t>
            </w:r>
          </w:p>
        </w:tc>
        <w:tc>
          <w:tcPr>
            <w:tcW w:w="1920" w:type="dxa"/>
          </w:tcPr>
          <w:p>
            <w:r>
              <w:t>17.61</w:t>
            </w:r>
          </w:p>
        </w:tc>
        <w:tc>
          <w:tcPr>
            <w:tcW w:w="1320" w:type="dxa"/>
          </w:tcPr>
          <w:p>
            <w:r>
              <w:t>0.9707</w:t>
            </w:r>
          </w:p>
        </w:tc>
      </w:tr>
      <w:tr w:rsidR="00EC3D0A" w14:paraId="54BE8654" w14:textId="77777777">
        <w:tblPrEx>
          <w:tblCellMar>
            <w:top w:w="0" w:type="dxa"/>
            <w:bottom w:w="0" w:type="dxa"/>
          </w:tblCellMar>
        </w:tblPrEx>
        <w:tc>
          <w:tcPr>
            <w:tcW w:w="4200" w:type="dxa"/>
          </w:tcPr>
          <w:p w14:paraId="5351DF80" w14:textId="77777777" w:rsidR="00EC3D0A" w:rsidRDefault="00000000">
            <w:r>
              <w:t>Gradient Boosting (tuned)</w:t>
            </w:r>
          </w:p>
        </w:tc>
        <w:tc>
          <w:tcPr>
            <w:tcW w:w="1920" w:type="dxa"/>
          </w:tcPr>
          <w:p>
            <w:r>
              <w:t>10.82</w:t>
            </w:r>
          </w:p>
        </w:tc>
        <w:tc>
          <w:tcPr>
            <w:tcW w:w="1920" w:type="dxa"/>
          </w:tcPr>
          <w:p>
            <w:r>
              <w:t>14.08</w:t>
            </w:r>
          </w:p>
        </w:tc>
        <w:tc>
          <w:tcPr>
            <w:tcW w:w="1320" w:type="dxa"/>
          </w:tcPr>
          <w:p>
            <w:r>
              <w:t>0.9813</w:t>
            </w:r>
          </w:p>
        </w:tc>
      </w:tr>
    </w:tbl>
    <w:p w14:paraId="2C3420D4" w14:textId="77777777" w:rsidR="00EC3D0A" w:rsidRDefault="00000000">
      <w:pPr>
        <w:spacing w:after="160"/>
      </w:pPr>
      <w:r>
        <w:rPr>
          <w:b/>
          <w:bCs/>
        </w:rPr>
        <w:t xml:space="preserve">Final model selected: </w:t>
      </w:r>
      <w:r>
        <w:t xml:space="preserve">Gradient Boosting Regressor (tuned). It achieves lower test MAE/RMSE and higher R² than Ridge, and can capture non-linear interactions between battery capacity, size and drivetrain that a linear model cannot, without </w:t>
      </w:r>
      <w:r>
        <w:lastRenderedPageBreak/>
        <w:t>overfitting given its shallow, regularised trees on this dataset size. Ridge is retained in the notebook as a simpler, more interpretable fallback.</w:t>
      </w:r>
    </w:p>
    <w:p w14:paraId="66DC3676" w14:textId="77777777" w:rsidR="00EC3D0A" w:rsidRDefault="00000000">
      <w:pPr>
        <w:pStyle w:val="Heading1"/>
        <w:spacing w:before="300" w:after="150"/>
      </w:pPr>
      <w:r>
        <w:t>8. Feature Importance</w:t>
      </w:r>
    </w:p>
    <w:p w14:paraId="292237B7" w14:textId="77777777" w:rsidR="00EC3D0A" w:rsidRDefault="00000000">
      <w:pPr>
        <w:spacing w:after="160"/>
      </w:pPr>
      <w:r>
        <w:t>The top contributors to the final Gradient Boosting model's predictions, in order:</w:t>
      </w:r>
    </w:p>
    <w:p w14:paraId="20C04212" w14:textId="77777777" w:rsidR="00EC3D0A" w:rsidRDefault="00000000">
      <w:pPr>
        <w:pStyle w:val="ListParagraph"/>
        <w:numPr>
          <w:ilvl w:val="0"/>
          <w:numId w:val="2"/>
        </w:numPr>
        <w:spacing w:after="80"/>
      </w:pPr>
      <w:proofErr w:type="spellStart"/>
      <w:r>
        <w:t>battery_per_seat</w:t>
      </w:r>
      <w:proofErr w:type="spellEnd"/>
      <w:r>
        <w:t xml:space="preserve"> — dominant driver (≈ 50% of total importance)</w:t>
      </w:r>
    </w:p>
    <w:p w14:paraId="0AB3772C" w14:textId="77777777" w:rsidR="00EC3D0A" w:rsidRDefault="00000000">
      <w:pPr>
        <w:pStyle w:val="ListParagraph"/>
        <w:numPr>
          <w:ilvl w:val="0"/>
          <w:numId w:val="2"/>
        </w:numPr>
        <w:spacing w:after="80"/>
      </w:pPr>
      <w:proofErr w:type="spellStart"/>
      <w:r>
        <w:t>battery_capacity_kWh</w:t>
      </w:r>
      <w:proofErr w:type="spellEnd"/>
      <w:r>
        <w:t xml:space="preserve"> — second largest contributor (≈ 34%)</w:t>
      </w:r>
    </w:p>
    <w:p w14:paraId="21EF832A" w14:textId="77777777" w:rsidR="00EC3D0A" w:rsidRDefault="00000000">
      <w:pPr>
        <w:pStyle w:val="ListParagraph"/>
        <w:numPr>
          <w:ilvl w:val="0"/>
          <w:numId w:val="2"/>
        </w:numPr>
        <w:spacing w:after="80"/>
      </w:pPr>
      <w:proofErr w:type="spellStart"/>
      <w:r>
        <w:t>height_mm</w:t>
      </w:r>
      <w:proofErr w:type="spellEnd"/>
      <w:r>
        <w:t xml:space="preserve">, </w:t>
      </w:r>
      <w:proofErr w:type="spellStart"/>
      <w:r>
        <w:t>fast_charging_power_kw_dc</w:t>
      </w:r>
      <w:proofErr w:type="spellEnd"/>
      <w:r>
        <w:t xml:space="preserve">, torque_per_100kwh, and </w:t>
      </w:r>
      <w:proofErr w:type="spellStart"/>
      <w:r>
        <w:t>car_body_type</w:t>
      </w:r>
      <w:proofErr w:type="spellEnd"/>
      <w:r>
        <w:t xml:space="preserve"> (SUV / Sedan) contribute smaller, physically sensible amounts.</w:t>
      </w:r>
    </w:p>
    <w:p w14:paraId="7C87B43A" w14:textId="77777777" w:rsidR="00EC3D0A" w:rsidRDefault="00000000">
      <w:pPr>
        <w:spacing w:after="160"/>
      </w:pPr>
      <w:r>
        <w:t>This confirms the model is relying on genuine specification features consistent with domain intuition, and not on anything resembling the excluded efficiency column.</w:t>
      </w:r>
    </w:p>
    <w:p w14:paraId="7D1A0A54" w14:textId="77777777" w:rsidR="00EC3D0A" w:rsidRDefault="00000000">
      <w:pPr>
        <w:pStyle w:val="Heading1"/>
        <w:spacing w:before="300" w:after="150"/>
      </w:pPr>
      <w:r>
        <w:t>9. Evaluation Sanity Checks</w:t>
      </w:r>
    </w:p>
    <w:p w14:paraId="6B0B430E" w14:textId="77777777" w:rsidR="00EC3D0A" w:rsidRDefault="00000000">
      <w:pPr>
        <w:pStyle w:val="ListParagraph"/>
        <w:numPr>
          <w:ilvl w:val="0"/>
          <w:numId w:val="2"/>
        </w:numPr>
        <w:spacing w:after="80"/>
      </w:pPr>
      <w:r>
        <w:t>Predicted-vs-actual scatter plot tracks the ideal diagonal closely across the full range of values.</w:t>
      </w:r>
    </w:p>
    <w:p w14:paraId="2A186ABF" w14:textId="77777777" w:rsidR="00EC3D0A" w:rsidRDefault="00000000">
      <w:pPr>
        <w:pStyle w:val="ListParagraph"/>
        <w:numPr>
          <w:ilvl w:val="0"/>
          <w:numId w:val="2"/>
        </w:numPr>
        <w:spacing w:after="80"/>
      </w:pPr>
      <w:r>
        <w:t>Residuals scatter evenly around zero with no funnel shape — error does not grow systematically with vehicle range, i.e. the model isn't only accurate for one market segment.</w:t>
      </w:r>
    </w:p>
    <w:p w14:paraId="05C3E234" w14:textId="77777777" w:rsidR="00EC3D0A" w:rsidRDefault="00000000">
      <w:pPr>
        <w:pStyle w:val="Heading1"/>
        <w:spacing w:before="300" w:after="150"/>
      </w:pPr>
      <w:r>
        <w:t>10. Reproducibility &amp; Deliverables</w:t>
      </w:r>
    </w:p>
    <w:p w14:paraId="46C99CF0" w14:textId="77777777" w:rsidR="00EC3D0A" w:rsidRDefault="00000000">
      <w:pPr>
        <w:pStyle w:val="ListParagraph"/>
        <w:numPr>
          <w:ilvl w:val="0"/>
          <w:numId w:val="2"/>
        </w:numPr>
        <w:spacing w:after="80"/>
      </w:pPr>
      <w:r>
        <w:t>Random seed fixed at 42 everywhere a stochastic step occurs (split, cross-validation folds, model initialisation).</w:t>
      </w:r>
    </w:p>
    <w:p w14:paraId="0A83D003" w14:textId="791B0BD1" w:rsidR="00EC3D0A" w:rsidRDefault="00000000" w:rsidP="00EA24BB">
      <w:pPr>
        <w:pStyle w:val="ListParagraph"/>
        <w:numPr>
          <w:ilvl w:val="0"/>
          <w:numId w:val="2"/>
        </w:numPr>
        <w:spacing w:after="80"/>
      </w:pPr>
      <w:r>
        <w:t xml:space="preserve">The complete pipeline (preprocessing + tuned model) is saved as </w:t>
      </w:r>
      <w:proofErr w:type="spellStart"/>
      <w:r>
        <w:t>ev_range_</w:t>
      </w:r>
      <w:proofErr w:type="gramStart"/>
      <w:r>
        <w:t>pipeline.joblib</w:t>
      </w:r>
      <w:proofErr w:type="spellEnd"/>
      <w:proofErr w:type="gramEnd"/>
      <w:r>
        <w:t xml:space="preserve"> — reload-verified to reproduce identical predictions.</w:t>
      </w:r>
    </w:p>
    <w:p w14:paraId="5D33BD0E" w14:textId="6D47DDF6" w:rsidR="00EA24BB" w:rsidRDefault="00EA24BB">
      <w:pPr>
        <w:pStyle w:val="ListParagraph"/>
        <w:numPr>
          <w:ilvl w:val="0"/>
          <w:numId w:val="2"/>
        </w:numPr>
        <w:spacing w:after="80"/>
      </w:pPr>
      <w:proofErr w:type="gramStart"/>
      <w:r>
        <w:t>A</w:t>
      </w:r>
      <w:proofErr w:type="gramEnd"/>
      <w:r>
        <w:t xml:space="preserve"> interactive website for broadcasting the prediction after the specification entry and without touching the code itself</w:t>
      </w:r>
    </w:p>
    <w:p w14:paraId="5061B45B" w14:textId="39A86FB5" w:rsidR="00EA24BB" w:rsidRDefault="00EA24BB" w:rsidP="00EA24BB">
      <w:pPr>
        <w:pStyle w:val="ListParagraph"/>
        <w:spacing w:after="80"/>
        <w:ind w:left="480"/>
      </w:pPr>
      <w:hyperlink r:id="rId5" w:history="1">
        <w:r w:rsidRPr="00EA24BB">
          <w:rPr>
            <w:rStyle w:val="Hyperlink"/>
          </w:rPr>
          <w:t>LI</w:t>
        </w:r>
        <w:r w:rsidRPr="00EA24BB">
          <w:rPr>
            <w:rStyle w:val="Hyperlink"/>
          </w:rPr>
          <w:t>V</w:t>
        </w:r>
        <w:r w:rsidRPr="00EA24BB">
          <w:rPr>
            <w:rStyle w:val="Hyperlink"/>
          </w:rPr>
          <w:t>E</w:t>
        </w:r>
      </w:hyperlink>
    </w:p>
    <w:p w14:paraId="7DCFC1CD" w14:textId="77777777" w:rsidR="00EC3D0A" w:rsidRDefault="00000000">
      <w:pPr>
        <w:pStyle w:val="Heading1"/>
        <w:spacing w:before="300" w:after="150"/>
      </w:pPr>
      <w:r>
        <w:t>11. Limitations</w:t>
      </w:r>
    </w:p>
    <w:p w14:paraId="264AD6F3" w14:textId="77777777" w:rsidR="00EC3D0A" w:rsidRDefault="00000000">
      <w:pPr>
        <w:pStyle w:val="ListParagraph"/>
        <w:numPr>
          <w:ilvl w:val="0"/>
          <w:numId w:val="2"/>
        </w:numPr>
        <w:spacing w:after="80"/>
      </w:pPr>
      <w:r>
        <w:t>This is a specification-based model, not a real-time range estimator: it has no access to trip-level telemetry (traffic, weather, HVAC load, State of Charge / State of Health), so it predicts the manufacturer-rated range only.</w:t>
      </w:r>
    </w:p>
    <w:p w14:paraId="2024FD53" w14:textId="77777777" w:rsidR="00EC3D0A" w:rsidRDefault="00000000">
      <w:pPr>
        <w:pStyle w:val="ListParagraph"/>
        <w:numPr>
          <w:ilvl w:val="0"/>
          <w:numId w:val="2"/>
        </w:numPr>
        <w:spacing w:after="80"/>
      </w:pPr>
      <w:proofErr w:type="spellStart"/>
      <w:r>
        <w:t>number_of_cells</w:t>
      </w:r>
      <w:proofErr w:type="spellEnd"/>
      <w:r>
        <w:t xml:space="preserve"> is missing for ~42% of rows; its contribution to the final model is small, limiting the practical impact of this gap.</w:t>
      </w:r>
    </w:p>
    <w:p w14:paraId="461712D9" w14:textId="77777777" w:rsidR="00EC3D0A" w:rsidRDefault="00000000">
      <w:pPr>
        <w:pStyle w:val="ListParagraph"/>
        <w:numPr>
          <w:ilvl w:val="0"/>
          <w:numId w:val="2"/>
        </w:numPr>
        <w:spacing w:after="80"/>
      </w:pPr>
      <w:r>
        <w:t>With 478 training rows, performance on future EV designs well outside the specification ranges seen here (e.g. much larger batteries) is less certain.</w:t>
      </w:r>
    </w:p>
    <w:p w14:paraId="7E3AE36C" w14:textId="77777777" w:rsidR="00EC3D0A" w:rsidRDefault="00000000">
      <w:pPr>
        <w:pStyle w:val="ListParagraph"/>
        <w:numPr>
          <w:ilvl w:val="0"/>
          <w:numId w:val="2"/>
        </w:numPr>
        <w:spacing w:after="80"/>
      </w:pPr>
      <w:r>
        <w:t>The 1 banana box ≈ 52 L conversion is a documented approximation affecting only 3 rows, not an official unit conversion.</w:t>
      </w:r>
    </w:p>
    <w:sectPr w:rsidR="00EC3D0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6AA"/>
    <w:multiLevelType w:val="hybridMultilevel"/>
    <w:tmpl w:val="9B7A19A0"/>
    <w:lvl w:ilvl="0" w:tplc="69C66B52">
      <w:start w:val="1"/>
      <w:numFmt w:val="bullet"/>
      <w:lvlText w:val="●"/>
      <w:lvlJc w:val="left"/>
      <w:pPr>
        <w:ind w:left="720" w:hanging="360"/>
      </w:pPr>
    </w:lvl>
    <w:lvl w:ilvl="1" w:tplc="B7282E3E">
      <w:start w:val="1"/>
      <w:numFmt w:val="bullet"/>
      <w:lvlText w:val="○"/>
      <w:lvlJc w:val="left"/>
      <w:pPr>
        <w:ind w:left="1440" w:hanging="360"/>
      </w:pPr>
    </w:lvl>
    <w:lvl w:ilvl="2" w:tplc="4778534A">
      <w:start w:val="1"/>
      <w:numFmt w:val="bullet"/>
      <w:lvlText w:val="■"/>
      <w:lvlJc w:val="left"/>
      <w:pPr>
        <w:ind w:left="2160" w:hanging="360"/>
      </w:pPr>
    </w:lvl>
    <w:lvl w:ilvl="3" w:tplc="BA7A6E02">
      <w:start w:val="1"/>
      <w:numFmt w:val="bullet"/>
      <w:lvlText w:val="●"/>
      <w:lvlJc w:val="left"/>
      <w:pPr>
        <w:ind w:left="2880" w:hanging="360"/>
      </w:pPr>
    </w:lvl>
    <w:lvl w:ilvl="4" w:tplc="CD5A6FF6">
      <w:start w:val="1"/>
      <w:numFmt w:val="bullet"/>
      <w:lvlText w:val="○"/>
      <w:lvlJc w:val="left"/>
      <w:pPr>
        <w:ind w:left="3600" w:hanging="360"/>
      </w:pPr>
    </w:lvl>
    <w:lvl w:ilvl="5" w:tplc="8F983D4E">
      <w:start w:val="1"/>
      <w:numFmt w:val="bullet"/>
      <w:lvlText w:val="■"/>
      <w:lvlJc w:val="left"/>
      <w:pPr>
        <w:ind w:left="4320" w:hanging="360"/>
      </w:pPr>
    </w:lvl>
    <w:lvl w:ilvl="6" w:tplc="5B82257E">
      <w:start w:val="1"/>
      <w:numFmt w:val="bullet"/>
      <w:lvlText w:val="●"/>
      <w:lvlJc w:val="left"/>
      <w:pPr>
        <w:ind w:left="5040" w:hanging="360"/>
      </w:pPr>
    </w:lvl>
    <w:lvl w:ilvl="7" w:tplc="C7D4B226">
      <w:start w:val="1"/>
      <w:numFmt w:val="bullet"/>
      <w:lvlText w:val="●"/>
      <w:lvlJc w:val="left"/>
      <w:pPr>
        <w:ind w:left="5760" w:hanging="360"/>
      </w:pPr>
    </w:lvl>
    <w:lvl w:ilvl="8" w:tplc="FA6A3CF8">
      <w:start w:val="1"/>
      <w:numFmt w:val="bullet"/>
      <w:lvlText w:val="●"/>
      <w:lvlJc w:val="left"/>
      <w:pPr>
        <w:ind w:left="6480" w:hanging="360"/>
      </w:pPr>
    </w:lvl>
  </w:abstractNum>
  <w:abstractNum w:abstractNumId="1" w15:restartNumberingAfterBreak="0">
    <w:nsid w:val="4CF105DB"/>
    <w:multiLevelType w:val="hybridMultilevel"/>
    <w:tmpl w:val="A26A6812"/>
    <w:lvl w:ilvl="0" w:tplc="E2A6B870">
      <w:start w:val="1"/>
      <w:numFmt w:val="bullet"/>
      <w:lvlText w:val="•"/>
      <w:lvlJc w:val="left"/>
      <w:pPr>
        <w:ind w:left="480" w:hanging="260"/>
      </w:pPr>
    </w:lvl>
    <w:lvl w:ilvl="1" w:tplc="335CC9A4">
      <w:numFmt w:val="decimal"/>
      <w:lvlText w:val=""/>
      <w:lvlJc w:val="left"/>
    </w:lvl>
    <w:lvl w:ilvl="2" w:tplc="31388D72">
      <w:numFmt w:val="decimal"/>
      <w:lvlText w:val=""/>
      <w:lvlJc w:val="left"/>
    </w:lvl>
    <w:lvl w:ilvl="3" w:tplc="D374B012">
      <w:numFmt w:val="decimal"/>
      <w:lvlText w:val=""/>
      <w:lvlJc w:val="left"/>
    </w:lvl>
    <w:lvl w:ilvl="4" w:tplc="54C448F6">
      <w:numFmt w:val="decimal"/>
      <w:lvlText w:val=""/>
      <w:lvlJc w:val="left"/>
    </w:lvl>
    <w:lvl w:ilvl="5" w:tplc="6F6ACB56">
      <w:numFmt w:val="decimal"/>
      <w:lvlText w:val=""/>
      <w:lvlJc w:val="left"/>
    </w:lvl>
    <w:lvl w:ilvl="6" w:tplc="16FC2DF8">
      <w:numFmt w:val="decimal"/>
      <w:lvlText w:val=""/>
      <w:lvlJc w:val="left"/>
    </w:lvl>
    <w:lvl w:ilvl="7" w:tplc="E8049176">
      <w:numFmt w:val="decimal"/>
      <w:lvlText w:val=""/>
      <w:lvlJc w:val="left"/>
    </w:lvl>
    <w:lvl w:ilvl="8" w:tplc="DD30061C">
      <w:numFmt w:val="decimal"/>
      <w:lvlText w:val=""/>
      <w:lvlJc w:val="left"/>
    </w:lvl>
  </w:abstractNum>
  <w:num w:numId="1" w16cid:durableId="774329587">
    <w:abstractNumId w:val="0"/>
    <w:lvlOverride w:ilvl="0">
      <w:startOverride w:val="1"/>
    </w:lvlOverride>
  </w:num>
  <w:num w:numId="2" w16cid:durableId="1689288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D0A"/>
    <w:rsid w:val="00334EB2"/>
    <w:rsid w:val="00EA24BB"/>
    <w:rsid w:val="00EC3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F63B"/>
  <w15:docId w15:val="{F4CAFA56-DA5F-4D71-91ED-AB314D2B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A24BB"/>
    <w:rPr>
      <w:color w:val="605E5C"/>
      <w:shd w:val="clear" w:color="auto" w:fill="E1DFDD"/>
    </w:rPr>
  </w:style>
  <w:style w:type="character" w:styleId="FollowedHyperlink">
    <w:name w:val="FollowedHyperlink"/>
    <w:basedOn w:val="DefaultParagraphFont"/>
    <w:uiPriority w:val="99"/>
    <w:semiHidden/>
    <w:unhideWhenUsed/>
    <w:rsid w:val="00EA24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yesian-blueprints-range-predictor.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Saini</cp:lastModifiedBy>
  <cp:revision>2</cp:revision>
  <dcterms:created xsi:type="dcterms:W3CDTF">2026-09-02T03:09:00Z</dcterms:created>
  <dcterms:modified xsi:type="dcterms:W3CDTF">2026-09-02T16:10:00Z</dcterms:modified>
</cp:coreProperties>
</file>