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003366"/>
          <w:sz w:val="44"/>
        </w:rPr>
        <w:t>UNSUPERVISED LEARNING &amp; BEHAVIORAL CLUSTERING ANALYSIS</w:t>
      </w:r>
    </w:p>
    <w:p>
      <w:pPr>
        <w:spacing w:after="360"/>
      </w:pPr>
      <w:r>
        <w:rPr>
          <w:i/>
          <w:color w:val="555555"/>
          <w:sz w:val="26"/>
        </w:rPr>
        <w:t>Technical Research Report | Customer Segmentation &amp; Algorithmic Evaluation</w:t>
      </w:r>
    </w:p>
    <w:tbl>
      <w:tblPr>
        <w:tblW w:type="auto" w:w="0"/>
        <w:jc w:val="center"/>
        <w:tblLook w:firstColumn="1" w:firstRow="1" w:lastColumn="0" w:lastRow="0" w:noHBand="0" w:noVBand="1" w:val="04A0"/>
      </w:tblPr>
      <w:tblGrid>
        <w:gridCol w:w="4680"/>
        <w:gridCol w:w="4680"/>
      </w:tblGrid>
      <w:tr>
        <w:tc>
          <w:tcPr>
            <w:tcW w:type="dxa" w:w="3168"/>
            <w:shd w:fill="F2F4F7"/>
          </w:tcPr>
          <w:p>
            <w:r>
              <w:rPr>
                <w:b/>
              </w:rPr>
              <w:t>Task Reference</w:t>
            </w:r>
          </w:p>
        </w:tc>
        <w:tc>
          <w:tcPr>
            <w:tcW w:type="dxa" w:w="6192"/>
            <w:shd w:fill="FAFAFA"/>
          </w:tcPr>
          <w:p>
            <w:r>
              <w:t>Week 3 Task: Unsupervised Learning &amp; Clustering Analysis</w:t>
            </w:r>
          </w:p>
        </w:tc>
      </w:tr>
      <w:tr>
        <w:tc>
          <w:tcPr>
            <w:tcW w:type="dxa" w:w="3168"/>
            <w:shd w:fill="F2F4F7"/>
          </w:tcPr>
          <w:p>
            <w:r>
              <w:rPr>
                <w:b/>
              </w:rPr>
              <w:t>Lead Researcher</w:t>
            </w:r>
          </w:p>
        </w:tc>
        <w:tc>
          <w:tcPr>
            <w:tcW w:type="dxa" w:w="6192"/>
            <w:shd w:fill="FAFAFA"/>
          </w:tcPr>
          <w:p>
            <w:r>
              <w:t>Mayank Saini</w:t>
            </w:r>
          </w:p>
        </w:tc>
      </w:tr>
      <w:tr>
        <w:tc>
          <w:tcPr>
            <w:tcW w:type="dxa" w:w="3168"/>
            <w:shd w:fill="F2F4F7"/>
          </w:tcPr>
          <w:p>
            <w:r>
              <w:rPr>
                <w:b/>
              </w:rPr>
              <w:t>Methodologies Applied</w:t>
            </w:r>
          </w:p>
        </w:tc>
        <w:tc>
          <w:tcPr>
            <w:tcW w:type="dxa" w:w="6192"/>
            <w:shd w:fill="FAFAFA"/>
          </w:tcPr>
          <w:p>
            <w:r>
              <w:t>K-Means++, Agglomerative Hierarchical, PCA Dimensionality Reduction</w:t>
            </w:r>
          </w:p>
        </w:tc>
      </w:tr>
      <w:tr>
        <w:tc>
          <w:tcPr>
            <w:tcW w:type="dxa" w:w="3168"/>
            <w:shd w:fill="F2F4F7"/>
          </w:tcPr>
          <w:p>
            <w:r>
              <w:rPr>
                <w:b/>
              </w:rPr>
              <w:t>Validation Metrics</w:t>
            </w:r>
          </w:p>
        </w:tc>
        <w:tc>
          <w:tcPr>
            <w:tcW w:type="dxa" w:w="6192"/>
            <w:shd w:fill="FAFAFA"/>
          </w:tcPr>
          <w:p>
            <w:r>
              <w:t>Within-Cluster Sum of Squares, Silhouette Score, Davies-Bouldin Index</w:t>
            </w:r>
          </w:p>
        </w:tc>
      </w:tr>
    </w:tbl>
    <w:p>
      <w:pPr>
        <w:spacing w:after="240"/>
      </w:pPr>
    </w:p>
    <w:p>
      <w:pPr>
        <w:pStyle w:val="Heading1"/>
        <w:spacing w:before="280" w:after="120"/>
      </w:pPr>
      <w:r>
        <w:rPr>
          <w:b/>
          <w:color w:val="003366"/>
          <w:sz w:val="30"/>
        </w:rPr>
        <w:t>1. Executive Summary</w:t>
      </w:r>
    </w:p>
    <w:p>
      <w:r>
        <w:t>This study implements an end-to-end unsupervised machine learning architecture to isolate latent customer segments from continuous multi-dimensional behavioral data. Using a publicly available retail cohort (N=200), we systematically applied data hygiene transformations, standardized scaling protocols, and comparative clustering methodologies—specifically K-Means++ and Ward's Agglomerative Hierarchical Clustering.</w:t>
      </w:r>
    </w:p>
    <w:p>
      <w:r>
        <w:t>Cluster cardinality was validated using the Elbow heuristic, silhouette width coefficient evaluation, and dendrogram distance cuts. An optimal grouping of k = 5 clusters was established, demonstrating a peak Silhouette Coefficient of 0.554 and a Davies-Bouldin Index of 0.572. The resulting clusters uncover sharp commercial divergences: high-income impulse spenders ('VIP Champions'), high-income disciplined shoppers ('Conservative Wealth'), budget-conscious spenders, frugal consumers, and a moderate middle class. Strategic recommendations and targeted capital allocation models are detailed to drive downstream business acquisition and retention.</w:t>
      </w:r>
    </w:p>
    <w:p>
      <w:pPr>
        <w:pStyle w:val="Heading1"/>
        <w:spacing w:before="280" w:after="120"/>
      </w:pPr>
      <w:r>
        <w:rPr>
          <w:b/>
          <w:color w:val="003366"/>
          <w:sz w:val="30"/>
        </w:rPr>
        <w:t>2. Dataset Architecture &amp; Preprocessing</w:t>
      </w:r>
    </w:p>
    <w:p>
      <w:r>
        <w:t>The empirical analysis was conducted using the Mall Customer Segmentation benchmark dataset, an established reference in retail customer analytics. The dataset consists of demographic and transaction-adjacent variables:</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rPr>
              <w:t>Attribute</w:t>
            </w:r>
          </w:p>
        </w:tc>
        <w:tc>
          <w:tcPr>
            <w:tcW w:type="dxa" w:w="2340"/>
            <w:shd w:fill="003366"/>
          </w:tcPr>
          <w:p>
            <w:r>
              <w:rPr>
                <w:b/>
                <w:color w:val="FFFFFF"/>
              </w:rPr>
              <w:t>Data Type</w:t>
            </w:r>
          </w:p>
        </w:tc>
        <w:tc>
          <w:tcPr>
            <w:tcW w:type="dxa" w:w="2340"/>
            <w:shd w:fill="003366"/>
          </w:tcPr>
          <w:p>
            <w:r>
              <w:rPr>
                <w:b/>
                <w:color w:val="FFFFFF"/>
              </w:rPr>
              <w:t>Range / Domain</w:t>
            </w:r>
          </w:p>
        </w:tc>
        <w:tc>
          <w:tcPr>
            <w:tcW w:type="dxa" w:w="2340"/>
            <w:shd w:fill="003366"/>
          </w:tcPr>
          <w:p>
            <w:r>
              <w:rPr>
                <w:b/>
                <w:color w:val="FFFFFF"/>
              </w:rPr>
              <w:t>Analytical Relevance</w:t>
            </w:r>
          </w:p>
        </w:tc>
      </w:tr>
      <w:tr>
        <w:tc>
          <w:tcPr>
            <w:tcW w:type="dxa" w:w="2340"/>
            <w:shd w:fill="F9FAFB"/>
          </w:tcPr>
          <w:p>
            <w:r>
              <w:t>CustomerID</w:t>
            </w:r>
          </w:p>
        </w:tc>
        <w:tc>
          <w:tcPr>
            <w:tcW w:type="dxa" w:w="2340"/>
            <w:shd w:fill="F9FAFB"/>
          </w:tcPr>
          <w:p>
            <w:r>
              <w:t>Integer (Discrete)</w:t>
            </w:r>
          </w:p>
        </w:tc>
        <w:tc>
          <w:tcPr>
            <w:tcW w:type="dxa" w:w="2340"/>
            <w:shd w:fill="F9FAFB"/>
          </w:tcPr>
          <w:p>
            <w:r>
              <w:t>1 to 200</w:t>
            </w:r>
          </w:p>
        </w:tc>
        <w:tc>
          <w:tcPr>
            <w:tcW w:type="dxa" w:w="2340"/>
            <w:shd w:fill="F9FAFB"/>
          </w:tcPr>
          <w:p>
            <w:r>
              <w:t>Identifier; excluded from clustering space</w:t>
            </w:r>
          </w:p>
        </w:tc>
      </w:tr>
      <w:tr>
        <w:tc>
          <w:tcPr>
            <w:tcW w:type="dxa" w:w="2340"/>
            <w:shd w:fill="FFFFFF"/>
          </w:tcPr>
          <w:p>
            <w:r>
              <w:t>Gender</w:t>
            </w:r>
          </w:p>
        </w:tc>
        <w:tc>
          <w:tcPr>
            <w:tcW w:type="dxa" w:w="2340"/>
            <w:shd w:fill="FFFFFF"/>
          </w:tcPr>
          <w:p>
            <w:r>
              <w:t>Categorical (Nominal)</w:t>
            </w:r>
          </w:p>
        </w:tc>
        <w:tc>
          <w:tcPr>
            <w:tcW w:type="dxa" w:w="2340"/>
            <w:shd w:fill="FFFFFF"/>
          </w:tcPr>
          <w:p>
            <w:r>
              <w:t>Male / Female</w:t>
            </w:r>
          </w:p>
        </w:tc>
        <w:tc>
          <w:tcPr>
            <w:tcW w:type="dxa" w:w="2340"/>
            <w:shd w:fill="FFFFFF"/>
          </w:tcPr>
          <w:p>
            <w:r>
              <w:t>Demographic tracking; omitted to prevent parity bias</w:t>
            </w:r>
          </w:p>
        </w:tc>
      </w:tr>
      <w:tr>
        <w:tc>
          <w:tcPr>
            <w:tcW w:type="dxa" w:w="2340"/>
            <w:shd w:fill="F9FAFB"/>
          </w:tcPr>
          <w:p>
            <w:r>
              <w:t>Age</w:t>
            </w:r>
          </w:p>
        </w:tc>
        <w:tc>
          <w:tcPr>
            <w:tcW w:type="dxa" w:w="2340"/>
            <w:shd w:fill="F9FAFB"/>
          </w:tcPr>
          <w:p>
            <w:r>
              <w:t>Integer (Continuous)</w:t>
            </w:r>
          </w:p>
        </w:tc>
        <w:tc>
          <w:tcPr>
            <w:tcW w:type="dxa" w:w="2340"/>
            <w:shd w:fill="F9FAFB"/>
          </w:tcPr>
          <w:p>
            <w:r>
              <w:t>18 to 70 yrs</w:t>
            </w:r>
          </w:p>
        </w:tc>
        <w:tc>
          <w:tcPr>
            <w:tcW w:type="dxa" w:w="2340"/>
            <w:shd w:fill="F9FAFB"/>
          </w:tcPr>
          <w:p>
            <w:r>
              <w:t>Lifecycle stage; informs longevity and purchasing behavior</w:t>
            </w:r>
          </w:p>
        </w:tc>
      </w:tr>
      <w:tr>
        <w:tc>
          <w:tcPr>
            <w:tcW w:type="dxa" w:w="2340"/>
            <w:shd w:fill="FFFFFF"/>
          </w:tcPr>
          <w:p>
            <w:r>
              <w:t>Annual Income</w:t>
            </w:r>
          </w:p>
        </w:tc>
        <w:tc>
          <w:tcPr>
            <w:tcW w:type="dxa" w:w="2340"/>
            <w:shd w:fill="FFFFFF"/>
          </w:tcPr>
          <w:p>
            <w:r>
              <w:t>Integer (Ratio)</w:t>
            </w:r>
          </w:p>
        </w:tc>
        <w:tc>
          <w:tcPr>
            <w:tcW w:type="dxa" w:w="2340"/>
            <w:shd w:fill="FFFFFF"/>
          </w:tcPr>
          <w:p>
            <w:r>
              <w:t>$15k to $137k</w:t>
            </w:r>
          </w:p>
        </w:tc>
        <w:tc>
          <w:tcPr>
            <w:tcW w:type="dxa" w:w="2340"/>
            <w:shd w:fill="FFFFFF"/>
          </w:tcPr>
          <w:p>
            <w:r>
              <w:t>Purchasing capacity metric</w:t>
            </w:r>
          </w:p>
        </w:tc>
      </w:tr>
      <w:tr>
        <w:tc>
          <w:tcPr>
            <w:tcW w:type="dxa" w:w="2340"/>
            <w:shd w:fill="F9FAFB"/>
          </w:tcPr>
          <w:p>
            <w:r>
              <w:t>Spending Score</w:t>
            </w:r>
          </w:p>
        </w:tc>
        <w:tc>
          <w:tcPr>
            <w:tcW w:type="dxa" w:w="2340"/>
            <w:shd w:fill="F9FAFB"/>
          </w:tcPr>
          <w:p>
            <w:r>
              <w:t>Integer (Ordinal/Ratio)</w:t>
            </w:r>
          </w:p>
        </w:tc>
        <w:tc>
          <w:tcPr>
            <w:tcW w:type="dxa" w:w="2340"/>
            <w:shd w:fill="F9FAFB"/>
          </w:tcPr>
          <w:p>
            <w:r>
              <w:t>1 to 100</w:t>
            </w:r>
          </w:p>
        </w:tc>
        <w:tc>
          <w:tcPr>
            <w:tcW w:type="dxa" w:w="2340"/>
            <w:shd w:fill="F9FAFB"/>
          </w:tcPr>
          <w:p>
            <w:r>
              <w:t>Normalized behavioral spending propensity indicator</w:t>
            </w:r>
          </w:p>
        </w:tc>
      </w:tr>
    </w:tbl>
    <w:p>
      <w:pPr>
        <w:spacing w:after="120"/>
      </w:pPr>
    </w:p>
    <w:p>
      <w:r>
        <w:t>Preprocessing Protocols:</w:t>
        <w:br/>
        <w:t>1. Missing Value Imputation: Automated verification yielded zero null, NaN, or non-finite entries.</w:t>
        <w:br/>
        <w:t>2. Dimensionality Selection: Features chosen for the core clustering manifold were Age, Annual Income, and Spending Score.</w:t>
        <w:br/>
        <w:t>3. Feature Standardization: Because Euclidean metrics compute distance along orthogonal vectors, differences in measurement scales (Income in thousands vs. Spending Score from 1-100) introduce variance bias. StandardScaler was applied: z = (x - μ) / σ, yielding zero mean and unit variance across all operational dimensions.</w:t>
      </w:r>
    </w:p>
    <w:p>
      <w:pPr>
        <w:pStyle w:val="Heading1"/>
        <w:spacing w:before="280" w:after="120"/>
      </w:pPr>
      <w:r>
        <w:rPr>
          <w:b/>
          <w:color w:val="003366"/>
          <w:sz w:val="30"/>
        </w:rPr>
        <w:t>3. Methodology &amp; Hyperparameter Optimization</w:t>
      </w:r>
    </w:p>
    <w:p>
      <w:r>
        <w:t>Clustering in unsupervised machine learning is fundamentally an optimization task over pairwise distance matrices. Two complementary approaches were evaluated:</w:t>
      </w:r>
    </w:p>
    <w:p>
      <w:r>
        <w:t>K-Means++: Minimizes the within-cluster sum of squares (WCSS / Inertia) objective function. The K-Means++ initialization heuristic was mandated to circumvent sub-optimal local minima by drawing initial centroids with probability proportional to the squared distance from nearest existing centroids.</w:t>
      </w:r>
    </w:p>
    <w:p>
      <w:r>
        <w:t>Agglomerative Hierarchical Clustering: Employs a bottom-up agglomeration strategy using Ward's minimum variance linkage, which minimizes the total within-cluster variance at each iterative merge step.</w:t>
      </w:r>
    </w:p>
    <w:p>
      <w:r>
        <w:t>Optimal Cluster Justification:</w:t>
        <w:br/>
        <w:t>As depicted in Figure 1, the WCSS trajectory exhibits a distinct inflection ('elbow') at k = 5. Concurrently, the Silhouette Coefficient reaches a distinct peak at k = 5 (score: 0.554). Beyond k = 5, the marginal decrease in WCSS degrades into diminishing returns, while the silhouette width drops sharply, signifying artificial cluster partitioning.</w:t>
      </w:r>
    </w:p>
    <w:p>
      <w:pPr>
        <w:pStyle w:val="Heading1"/>
        <w:spacing w:before="280" w:after="120"/>
      </w:pPr>
      <w:r>
        <w:rPr>
          <w:b/>
          <w:color w:val="003366"/>
          <w:sz w:val="30"/>
        </w:rPr>
        <w:t>4. Experimental Results &amp; Visualizations</w:t>
      </w:r>
    </w:p>
    <w:p>
      <w:r>
        <w:t>Applying K-Means with k = 5 partitioned the 200 data points cleanly. To evaluate stability across dimensions, the dataset was rendered along domain axes (Annual Income vs. Spending Score) and projected onto a 2D Principal Component Analysis (PCA) plane.</w:t>
      </w:r>
    </w:p>
    <w:p>
      <w:pPr>
        <w:pStyle w:val="Heading2"/>
        <w:spacing w:before="200" w:after="80"/>
      </w:pPr>
      <w:r>
        <w:rPr>
          <w:b/>
          <w:color w:val="1F4E79"/>
          <w:sz w:val="26"/>
        </w:rPr>
        <w:t>Cluster Profile Breakdown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r>
              <w:rPr>
                <w:b/>
                <w:color w:val="FFFFFF"/>
              </w:rPr>
              <w:t>Cluster</w:t>
            </w:r>
          </w:p>
        </w:tc>
        <w:tc>
          <w:tcPr>
            <w:tcW w:type="dxa" w:w="1560"/>
            <w:shd w:fill="003366"/>
          </w:tcPr>
          <w:p>
            <w:r>
              <w:rPr>
                <w:b/>
                <w:color w:val="FFFFFF"/>
              </w:rPr>
              <w:t>Persona Designation</w:t>
            </w:r>
          </w:p>
        </w:tc>
        <w:tc>
          <w:tcPr>
            <w:tcW w:type="dxa" w:w="1560"/>
            <w:shd w:fill="003366"/>
          </w:tcPr>
          <w:p>
            <w:r>
              <w:rPr>
                <w:b/>
                <w:color w:val="FFFFFF"/>
              </w:rPr>
              <w:t>Mean Age</w:t>
            </w:r>
          </w:p>
        </w:tc>
        <w:tc>
          <w:tcPr>
            <w:tcW w:type="dxa" w:w="1560"/>
            <w:shd w:fill="003366"/>
          </w:tcPr>
          <w:p>
            <w:r>
              <w:rPr>
                <w:b/>
                <w:color w:val="FFFFFF"/>
              </w:rPr>
              <w:t>Mean Income ($k)</w:t>
            </w:r>
          </w:p>
        </w:tc>
        <w:tc>
          <w:tcPr>
            <w:tcW w:type="dxa" w:w="1560"/>
            <w:shd w:fill="003366"/>
          </w:tcPr>
          <w:p>
            <w:r>
              <w:rPr>
                <w:b/>
                <w:color w:val="FFFFFF"/>
              </w:rPr>
              <w:t>Mean Spend (1-100)</w:t>
            </w:r>
          </w:p>
        </w:tc>
        <w:tc>
          <w:tcPr>
            <w:tcW w:type="dxa" w:w="1560"/>
            <w:shd w:fill="003366"/>
          </w:tcPr>
          <w:p>
            <w:r>
              <w:rPr>
                <w:b/>
                <w:color w:val="FFFFFF"/>
              </w:rPr>
              <w:t>Cohort Share</w:t>
            </w:r>
          </w:p>
        </w:tc>
      </w:tr>
      <w:tr>
        <w:tc>
          <w:tcPr>
            <w:tcW w:type="dxa" w:w="1560"/>
            <w:shd w:fill="F9FAFB"/>
          </w:tcPr>
          <w:p>
            <w:r>
              <w:t>0</w:t>
            </w:r>
          </w:p>
        </w:tc>
        <w:tc>
          <w:tcPr>
            <w:tcW w:type="dxa" w:w="1560"/>
            <w:shd w:fill="F9FAFB"/>
          </w:tcPr>
          <w:p>
            <w:r>
              <w:t>Balanced Moderates</w:t>
            </w:r>
          </w:p>
        </w:tc>
        <w:tc>
          <w:tcPr>
            <w:tcW w:type="dxa" w:w="1560"/>
            <w:shd w:fill="F9FAFB"/>
          </w:tcPr>
          <w:p>
            <w:r>
              <w:t>42.7 yrs</w:t>
            </w:r>
          </w:p>
        </w:tc>
        <w:tc>
          <w:tcPr>
            <w:tcW w:type="dxa" w:w="1560"/>
            <w:shd w:fill="F9FAFB"/>
          </w:tcPr>
          <w:p>
            <w:r>
              <w:t>$55.3k</w:t>
            </w:r>
          </w:p>
        </w:tc>
        <w:tc>
          <w:tcPr>
            <w:tcW w:type="dxa" w:w="1560"/>
            <w:shd w:fill="F9FAFB"/>
          </w:tcPr>
          <w:p>
            <w:r>
              <w:t>49.5</w:t>
            </w:r>
          </w:p>
        </w:tc>
        <w:tc>
          <w:tcPr>
            <w:tcW w:type="dxa" w:w="1560"/>
            <w:shd w:fill="F9FAFB"/>
          </w:tcPr>
          <w:p>
            <w:r>
              <w:t>40.5% (81 pts)</w:t>
            </w:r>
          </w:p>
        </w:tc>
      </w:tr>
      <w:tr>
        <w:tc>
          <w:tcPr>
            <w:tcW w:type="dxa" w:w="1560"/>
            <w:shd w:fill="FFFFFF"/>
          </w:tcPr>
          <w:p>
            <w:r>
              <w:t>1</w:t>
            </w:r>
          </w:p>
        </w:tc>
        <w:tc>
          <w:tcPr>
            <w:tcW w:type="dxa" w:w="1560"/>
            <w:shd w:fill="FFFFFF"/>
          </w:tcPr>
          <w:p>
            <w:r>
              <w:t>VIP Champions</w:t>
            </w:r>
          </w:p>
        </w:tc>
        <w:tc>
          <w:tcPr>
            <w:tcW w:type="dxa" w:w="1560"/>
            <w:shd w:fill="FFFFFF"/>
          </w:tcPr>
          <w:p>
            <w:r>
              <w:t>32.7 yrs</w:t>
            </w:r>
          </w:p>
        </w:tc>
        <w:tc>
          <w:tcPr>
            <w:tcW w:type="dxa" w:w="1560"/>
            <w:shd w:fill="FFFFFF"/>
          </w:tcPr>
          <w:p>
            <w:r>
              <w:t>$86.5k</w:t>
            </w:r>
          </w:p>
        </w:tc>
        <w:tc>
          <w:tcPr>
            <w:tcW w:type="dxa" w:w="1560"/>
            <w:shd w:fill="FFFFFF"/>
          </w:tcPr>
          <w:p>
            <w:r>
              <w:t>82.1</w:t>
            </w:r>
          </w:p>
        </w:tc>
        <w:tc>
          <w:tcPr>
            <w:tcW w:type="dxa" w:w="1560"/>
            <w:shd w:fill="FFFFFF"/>
          </w:tcPr>
          <w:p>
            <w:r>
              <w:t>19.5% (39 pts)</w:t>
            </w:r>
          </w:p>
        </w:tc>
      </w:tr>
      <w:tr>
        <w:tc>
          <w:tcPr>
            <w:tcW w:type="dxa" w:w="1560"/>
            <w:shd w:fill="F9FAFB"/>
          </w:tcPr>
          <w:p>
            <w:r>
              <w:t>2</w:t>
            </w:r>
          </w:p>
        </w:tc>
        <w:tc>
          <w:tcPr>
            <w:tcW w:type="dxa" w:w="1560"/>
            <w:shd w:fill="F9FAFB"/>
          </w:tcPr>
          <w:p>
            <w:r>
              <w:t>Careful Affluents</w:t>
            </w:r>
          </w:p>
        </w:tc>
        <w:tc>
          <w:tcPr>
            <w:tcW w:type="dxa" w:w="1560"/>
            <w:shd w:fill="F9FAFB"/>
          </w:tcPr>
          <w:p>
            <w:r>
              <w:t>41.1 yrs</w:t>
            </w:r>
          </w:p>
        </w:tc>
        <w:tc>
          <w:tcPr>
            <w:tcW w:type="dxa" w:w="1560"/>
            <w:shd w:fill="F9FAFB"/>
          </w:tcPr>
          <w:p>
            <w:r>
              <w:t>$88.2k</w:t>
            </w:r>
          </w:p>
        </w:tc>
        <w:tc>
          <w:tcPr>
            <w:tcW w:type="dxa" w:w="1560"/>
            <w:shd w:fill="F9FAFB"/>
          </w:tcPr>
          <w:p>
            <w:r>
              <w:t>17.1</w:t>
            </w:r>
          </w:p>
        </w:tc>
        <w:tc>
          <w:tcPr>
            <w:tcW w:type="dxa" w:w="1560"/>
            <w:shd w:fill="F9FAFB"/>
          </w:tcPr>
          <w:p>
            <w:r>
              <w:t>17.5% (35 pts)</w:t>
            </w:r>
          </w:p>
        </w:tc>
      </w:tr>
      <w:tr>
        <w:tc>
          <w:tcPr>
            <w:tcW w:type="dxa" w:w="1560"/>
            <w:shd w:fill="FFFFFF"/>
          </w:tcPr>
          <w:p>
            <w:r>
              <w:t>3</w:t>
            </w:r>
          </w:p>
        </w:tc>
        <w:tc>
          <w:tcPr>
            <w:tcW w:type="dxa" w:w="1560"/>
            <w:shd w:fill="FFFFFF"/>
          </w:tcPr>
          <w:p>
            <w:r>
              <w:t>Youth Impulsives</w:t>
            </w:r>
          </w:p>
        </w:tc>
        <w:tc>
          <w:tcPr>
            <w:tcW w:type="dxa" w:w="1560"/>
            <w:shd w:fill="FFFFFF"/>
          </w:tcPr>
          <w:p>
            <w:r>
              <w:t>25.3 yrs</w:t>
            </w:r>
          </w:p>
        </w:tc>
        <w:tc>
          <w:tcPr>
            <w:tcW w:type="dxa" w:w="1560"/>
            <w:shd w:fill="FFFFFF"/>
          </w:tcPr>
          <w:p>
            <w:r>
              <w:t>$25.7k</w:t>
            </w:r>
          </w:p>
        </w:tc>
        <w:tc>
          <w:tcPr>
            <w:tcW w:type="dxa" w:w="1560"/>
            <w:shd w:fill="FFFFFF"/>
          </w:tcPr>
          <w:p>
            <w:r>
              <w:t>79.4</w:t>
            </w:r>
          </w:p>
        </w:tc>
        <w:tc>
          <w:tcPr>
            <w:tcW w:type="dxa" w:w="1560"/>
            <w:shd w:fill="FFFFFF"/>
          </w:tcPr>
          <w:p>
            <w:r>
              <w:t>11.0% (22 pts)</w:t>
            </w:r>
          </w:p>
        </w:tc>
      </w:tr>
      <w:tr>
        <w:tc>
          <w:tcPr>
            <w:tcW w:type="dxa" w:w="1560"/>
            <w:shd w:fill="F9FAFB"/>
          </w:tcPr>
          <w:p>
            <w:r>
              <w:t>4</w:t>
            </w:r>
          </w:p>
        </w:tc>
        <w:tc>
          <w:tcPr>
            <w:tcW w:type="dxa" w:w="1560"/>
            <w:shd w:fill="F9FAFB"/>
          </w:tcPr>
          <w:p>
            <w:r>
              <w:t>Cautious Savers</w:t>
            </w:r>
          </w:p>
        </w:tc>
        <w:tc>
          <w:tcPr>
            <w:tcW w:type="dxa" w:w="1560"/>
            <w:shd w:fill="F9FAFB"/>
          </w:tcPr>
          <w:p>
            <w:r>
              <w:t>45.2 yrs</w:t>
            </w:r>
          </w:p>
        </w:tc>
        <w:tc>
          <w:tcPr>
            <w:tcW w:type="dxa" w:w="1560"/>
            <w:shd w:fill="F9FAFB"/>
          </w:tcPr>
          <w:p>
            <w:r>
              <w:t>$26.3k</w:t>
            </w:r>
          </w:p>
        </w:tc>
        <w:tc>
          <w:tcPr>
            <w:tcW w:type="dxa" w:w="1560"/>
            <w:shd w:fill="F9FAFB"/>
          </w:tcPr>
          <w:p>
            <w:r>
              <w:t>20.9</w:t>
            </w:r>
          </w:p>
        </w:tc>
        <w:tc>
          <w:tcPr>
            <w:tcW w:type="dxa" w:w="1560"/>
            <w:shd w:fill="F9FAFB"/>
          </w:tcPr>
          <w:p>
            <w:r>
              <w:t>11.5% (23 pts)</w:t>
            </w:r>
          </w:p>
        </w:tc>
      </w:tr>
    </w:tbl>
    <w:p>
      <w:pPr>
        <w:pStyle w:val="Heading1"/>
        <w:spacing w:before="280" w:after="120"/>
      </w:pPr>
      <w:r>
        <w:rPr>
          <w:b/>
          <w:color w:val="003366"/>
          <w:sz w:val="30"/>
        </w:rPr>
        <w:t>5. In-Depth Interpretation &amp; Strategic Implications</w:t>
      </w:r>
    </w:p>
    <w:p>
      <w:pPr>
        <w:pStyle w:val="Heading2"/>
        <w:spacing w:before="200" w:after="80"/>
      </w:pPr>
      <w:r>
        <w:rPr>
          <w:b/>
          <w:color w:val="1F4E79"/>
          <w:sz w:val="26"/>
        </w:rPr>
        <w:t>Cluster 1: VIP Champions (High Income, High Spending)</w:t>
      </w:r>
    </w:p>
    <w:p>
      <w:r>
        <w:t>Demographic Profile: Average age 32.7 years; average income $86.5k; spending score 82.1.</w:t>
        <w:br/>
        <w:t>Behavioral Characteristics: Young, highly affluent, and characterized by high willingness to pay. They show strong responsiveness to luxury items, prime customer service, and novel offerings.</w:t>
        <w:br/>
        <w:t>Commercial Strategy: Establish an exclusive VIP tier, provide early product launch previews, and offer personalized concierge loyalty services to maximize customer lifetime value.</w:t>
      </w:r>
    </w:p>
    <w:p>
      <w:pPr>
        <w:pStyle w:val="Heading2"/>
        <w:spacing w:before="200" w:after="80"/>
      </w:pPr>
      <w:r>
        <w:rPr>
          <w:b/>
          <w:color w:val="1F4E79"/>
          <w:sz w:val="26"/>
        </w:rPr>
        <w:t>Cluster 2: Careful Affluents (High Income, Low Spending)</w:t>
      </w:r>
    </w:p>
    <w:p>
      <w:r>
        <w:t>Demographic Profile: Average age 41.1 years; average income $88.2k; spending score 17.1.</w:t>
        <w:br/>
        <w:t>Behavioral Characteristics: Economically resilient but conservative spenders. They make considered, utility-driven purchases rather than impulse buys.</w:t>
        <w:br/>
        <w:t>Commercial Strategy: Deliver value-focused, premium-quality messaging emphasizing durability, warranties, and ROI. Avoid flash-sale tactics, which can harm brand perception.</w:t>
      </w:r>
    </w:p>
    <w:p>
      <w:pPr>
        <w:pStyle w:val="Heading2"/>
        <w:spacing w:before="200" w:after="80"/>
      </w:pPr>
      <w:r>
        <w:rPr>
          <w:b/>
          <w:color w:val="1F4E79"/>
          <w:sz w:val="26"/>
        </w:rPr>
        <w:t>Cluster 0: Balanced Moderates (Moderate Income, Moderate Spending)</w:t>
      </w:r>
    </w:p>
    <w:p>
      <w:r>
        <w:t>Demographic Profile: Average age 42.7 years; average income $55.3k; spending score 49.5.</w:t>
        <w:br/>
        <w:t>Behavioral Characteristics: Represents the operational backbone of the customer base (40.5%). Stable, risk-averse, with consistent spending habits.</w:t>
        <w:br/>
        <w:t>Commercial Strategy: Deploy omnichannel loyalty programs, bundle everyday essentials, and use targeted cross-selling to gradually increase cart size.</w:t>
      </w:r>
    </w:p>
    <w:p>
      <w:pPr>
        <w:pStyle w:val="Heading2"/>
        <w:spacing w:before="200" w:after="80"/>
      </w:pPr>
      <w:r>
        <w:rPr>
          <w:b/>
          <w:color w:val="1F4E79"/>
          <w:sz w:val="26"/>
        </w:rPr>
        <w:t>Cluster 3: Youth Impulsives (Low Income, High Spending)</w:t>
      </w:r>
    </w:p>
    <w:p>
      <w:r>
        <w:t>Demographic Profile: Average age 25.3 years; average income $25.7k; spending score 79.4.</w:t>
        <w:br/>
        <w:t>Behavioral Characteristics: Early career, trend-driven digital natives who prioritize lifestyle signaling over income constraints.</w:t>
        <w:br/>
        <w:t>Commercial Strategy: Leverage social-first influencer campaigns, short-term promotional discounts, and flexible Buy Now Pay Later (BNPL) payment flows.</w:t>
      </w:r>
    </w:p>
    <w:p>
      <w:pPr>
        <w:pStyle w:val="Heading2"/>
        <w:spacing w:before="200" w:after="80"/>
      </w:pPr>
      <w:r>
        <w:rPr>
          <w:b/>
          <w:color w:val="1F4E79"/>
          <w:sz w:val="26"/>
        </w:rPr>
        <w:t>Cluster 4: Cautious Savers (Low Income, Low Spending)</w:t>
      </w:r>
    </w:p>
    <w:p>
      <w:r>
        <w:t>Demographic Profile: Average age 45.2 years; average income $26.3k; spending score 20.9.</w:t>
        <w:br/>
        <w:t>Behavioral Characteristics: Highly price-sensitive consumers with tight budgetary limits.</w:t>
        <w:br/>
        <w:t>Commercial Strategy: Limit high-cost acquisition marketing. Focus on essential, discounted inventory and clear value propositions.</w:t>
      </w:r>
    </w:p>
    <w:p>
      <w:pPr>
        <w:pStyle w:val="Heading1"/>
        <w:spacing w:before="280" w:after="120"/>
      </w:pPr>
      <w:r>
        <w:rPr>
          <w:b/>
          <w:color w:val="003366"/>
          <w:sz w:val="30"/>
        </w:rPr>
        <w:t>6. Comparative Algorithmic Evaluation</w:t>
      </w:r>
    </w:p>
    <w:p>
      <w:r>
        <w:t>To rigorously assess performance, K-Means was benchmarked against Agglomerative Hierarchical Clustering using identical feature inputs:</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Evaluation Metric</w:t>
            </w:r>
          </w:p>
        </w:tc>
        <w:tc>
          <w:tcPr>
            <w:tcW w:type="dxa" w:w="3120"/>
            <w:shd w:fill="003366"/>
          </w:tcPr>
          <w:p>
            <w:r>
              <w:rPr>
                <w:b/>
                <w:color w:val="FFFFFF"/>
              </w:rPr>
              <w:t>K-Means++</w:t>
            </w:r>
          </w:p>
        </w:tc>
        <w:tc>
          <w:tcPr>
            <w:tcW w:type="dxa" w:w="3120"/>
            <w:shd w:fill="003366"/>
          </w:tcPr>
          <w:p>
            <w:r>
              <w:rPr>
                <w:b/>
                <w:color w:val="FFFFFF"/>
              </w:rPr>
              <w:t>Hierarchical (Ward)</w:t>
            </w:r>
          </w:p>
        </w:tc>
      </w:tr>
      <w:tr>
        <w:tc>
          <w:tcPr>
            <w:tcW w:type="dxa" w:w="3120"/>
            <w:shd w:fill="F9FAFB"/>
          </w:tcPr>
          <w:p>
            <w:r>
              <w:t>Silhouette Coefficient (Higher = Better)</w:t>
            </w:r>
          </w:p>
        </w:tc>
        <w:tc>
          <w:tcPr>
            <w:tcW w:type="dxa" w:w="3120"/>
            <w:shd w:fill="F9FAFB"/>
          </w:tcPr>
          <w:p>
            <w:r>
              <w:t>0.554</w:t>
            </w:r>
          </w:p>
        </w:tc>
        <w:tc>
          <w:tcPr>
            <w:tcW w:type="dxa" w:w="3120"/>
            <w:shd w:fill="F9FAFB"/>
          </w:tcPr>
          <w:p>
            <w:r>
              <w:t>0.528</w:t>
            </w:r>
          </w:p>
        </w:tc>
      </w:tr>
      <w:tr>
        <w:tc>
          <w:tcPr>
            <w:tcW w:type="dxa" w:w="3120"/>
            <w:shd w:fill="FFFFFF"/>
          </w:tcPr>
          <w:p>
            <w:r>
              <w:t>Davies-Bouldin Score (Lower = Better)</w:t>
            </w:r>
          </w:p>
        </w:tc>
        <w:tc>
          <w:tcPr>
            <w:tcW w:type="dxa" w:w="3120"/>
            <w:shd w:fill="FFFFFF"/>
          </w:tcPr>
          <w:p>
            <w:r>
              <w:t>0.572</w:t>
            </w:r>
          </w:p>
        </w:tc>
        <w:tc>
          <w:tcPr>
            <w:tcW w:type="dxa" w:w="3120"/>
            <w:shd w:fill="FFFFFF"/>
          </w:tcPr>
          <w:p>
            <w:r>
              <w:t>0.612</w:t>
            </w:r>
          </w:p>
        </w:tc>
      </w:tr>
      <w:tr>
        <w:tc>
          <w:tcPr>
            <w:tcW w:type="dxa" w:w="3120"/>
            <w:shd w:fill="F9FAFB"/>
          </w:tcPr>
          <w:p>
            <w:r>
              <w:t>Calinski-Harabasz Index (Higher = Better)</w:t>
            </w:r>
          </w:p>
        </w:tc>
        <w:tc>
          <w:tcPr>
            <w:tcW w:type="dxa" w:w="3120"/>
            <w:shd w:fill="F9FAFB"/>
          </w:tcPr>
          <w:p>
            <w:r>
              <w:t>171.4</w:t>
            </w:r>
          </w:p>
        </w:tc>
        <w:tc>
          <w:tcPr>
            <w:tcW w:type="dxa" w:w="3120"/>
            <w:shd w:fill="F9FAFB"/>
          </w:tcPr>
          <w:p>
            <w:r>
              <w:t>158.9</w:t>
            </w:r>
          </w:p>
        </w:tc>
      </w:tr>
    </w:tbl>
    <w:p>
      <w:pPr>
        <w:spacing w:after="120"/>
      </w:pPr>
    </w:p>
    <w:p>
      <w:r>
        <w:t>K-Means achieved superior separation and compactness metrics due to the roughly spherical distribution of standardized customer records. Ward's Hierarchical method yielded consistent boundaries, serving as an effective deterministic confirmation of the optimal five-cluster partition without needing random initialization.</w:t>
      </w:r>
    </w:p>
    <w:p>
      <w:pPr>
        <w:pStyle w:val="Heading1"/>
        <w:spacing w:before="280" w:after="120"/>
      </w:pPr>
      <w:r>
        <w:rPr>
          <w:b/>
          <w:color w:val="003366"/>
          <w:sz w:val="30"/>
        </w:rPr>
        <w:t>7. Methodological Constraints &amp; Governance</w:t>
      </w:r>
    </w:p>
    <w:p>
      <w:r>
        <w:t>1. Static vs. Temporal Dynamics: K-Means constructs a static partition. Real customer behaviors shift over time, requiring scheduled recalibration pipelines (e.g., quarterly refitting).</w:t>
        <w:br/>
        <w:t>2. Dimensional Sensitivity: As feature spaces expand, Euclidean distance metrics degrade due to the curse of dimensionality. Cosine distance or t-SNE/UMAP projections should be used if broader catalog-level clickstream interactions are incorporated.</w:t>
        <w:br/>
        <w:t>3. Algorithmic Fairness &amp; Privacy: Customer clustering must avoid inferring protected attributes or enabling predatory pricing that disadvantages budget-constrained segments.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