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Breast Cancer Classification</w:t>
        <w:br/>
        <w:t>Using Supervised Learning</w:t>
      </w:r>
    </w:p>
    <w:p>
      <w:r>
        <w:t>Week 4 Project Report</w:t>
      </w:r>
    </w:p>
    <w:p>
      <w:r>
        <w:t>Prepared for academic submission</w:t>
      </w:r>
    </w:p>
    <w:p>
      <w:r>
        <w:t>Author: Mayank</w:t>
      </w:r>
    </w:p>
    <w:p>
      <w:pPr>
        <w:pStyle w:val="Heading2"/>
      </w:pPr>
      <w:r>
        <w:t>Project objective</w:t>
      </w:r>
    </w:p>
    <w:p>
      <w:r>
        <w:t>This project builds, evaluates, and compares three supervised learning classifiers — Logistic Regression, Random Forest, and SVM (RBF kernel) — to predict whether a breast tumour is Malignant or Benign using digitised fine-needle aspirate (FNA) features from the Breast Cancer Wisconsin (Diagnostic) dataset, originally sourced from the UCI Machine Learning Repository and bundled with scikit-learn.</w:t>
      </w:r>
    </w:p>
    <w:p>
      <w:pPr>
        <w:pStyle w:val="Heading2"/>
      </w:pPr>
      <w:r>
        <w:t>Main results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64"/>
        <w:gridCol w:w="5328"/>
      </w:tblGrid>
      <w:tr>
        <w:trPr>
          <w:tblHeader/>
        </w:trPr>
        <w:tc>
          <w:tcPr>
            <w:tcW w:type="dxa" w:w="446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Measure</w:t>
            </w:r>
          </w:p>
        </w:tc>
        <w:tc>
          <w:tcPr>
            <w:tcW w:type="dxa" w:w="5328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Dataset size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569 samples × 32 features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Class balance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357 benign / 212 malignant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Missing values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Best model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Logistic Regression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Test accuracy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0.9649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Test F1 score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0.9722</w:t>
            </w:r>
          </w:p>
        </w:tc>
      </w:tr>
      <w:tr>
        <w:tc>
          <w:tcPr>
            <w:tcW w:type="dxa" w:w="446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Test ROC-AUC</w:t>
            </w:r>
          </w:p>
        </w:tc>
        <w:tc>
          <w:tcPr>
            <w:tcW w:type="dxa" w:w="532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0.9944</w:t>
            </w:r>
          </w:p>
        </w:tc>
      </w:tr>
    </w:tbl>
    <w:p>
      <w:pPr>
        <w:pStyle w:val="Heading2"/>
      </w:pPr>
      <w:r>
        <w:t>Scope</w:t>
      </w:r>
    </w:p>
    <w:p>
      <w:r>
        <w:t>The work covers data loading, exploratory analysis, domain-informed feature engineering, pipeline-based model training with stratified cross-validation, hyperparameter tuning via grid search, and final evaluation on a held-out test set. All preprocessing is encapsulated inside scikit-learn Pipelines to prevent data leakage.</w:t>
      </w:r>
    </w:p>
    <w:p>
      <w:r>
        <w:br w:type="page"/>
      </w:r>
    </w:p>
    <w:p>
      <w:pPr>
        <w:pStyle w:val="Heading1"/>
      </w:pPr>
      <w:r>
        <w:t>1  Dataset Description and Exploratory Analysis</w:t>
      </w:r>
    </w:p>
    <w:p>
      <w:pPr>
        <w:pStyle w:val="Heading2"/>
      </w:pPr>
      <w:r>
        <w:t>1.1  Data source</w:t>
      </w:r>
    </w:p>
    <w:p>
      <w:r>
        <w:t>The Breast Cancer Wisconsin (Diagnostic) dataset contains 569 observations, each described by 30 real-valued features computed from a digitised image of a fine-needle aspirate of a breast mass. These features describe characteristics of the cell nuclei present in the image, including radius, texture, perimeter, area, smoothness, compactness, concavity, concave points, symmetry and fractal dimension — each reported as mean, standard error and worst (largest) value. The target variable 'diagnosis' has two classes: Malignant (0) and Benign (1). The dataset has no missing values.</w:t>
      </w:r>
    </w:p>
    <w:p>
      <w:pPr>
        <w:pStyle w:val="Heading2"/>
      </w:pPr>
      <w:r>
        <w:t>1.2  Class distribution</w:t>
      </w:r>
    </w:p>
    <w:p>
      <w:r>
        <w:drawing>
          <wp:inline xmlns:a="http://schemas.openxmlformats.org/drawingml/2006/main" xmlns:pic="http://schemas.openxmlformats.org/drawingml/2006/picture">
            <wp:extent cx="6217920" cy="4974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74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1. Class distribution showing the balance between malignant and benign diagnoses. The dataset is moderately imbalanced, with benign cases outnumbering malignant cases roughly 1.7:1.</w:t>
      </w:r>
    </w:p>
    <w:p>
      <w:pPr>
        <w:pStyle w:val="Heading2"/>
      </w:pPr>
      <w:r>
        <w:t>1.3  Feature statistics (excerpt)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1584"/>
        <w:gridCol w:w="1584"/>
        <w:gridCol w:w="1584"/>
        <w:gridCol w:w="1584"/>
      </w:tblGrid>
      <w:tr>
        <w:trPr>
          <w:tblHeader/>
        </w:trPr>
        <w:tc>
          <w:tcPr>
            <w:tcW w:type="dxa" w:w="3168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58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158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Std Dev</w:t>
            </w:r>
          </w:p>
        </w:tc>
        <w:tc>
          <w:tcPr>
            <w:tcW w:type="dxa" w:w="158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type="dxa" w:w="158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316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 radius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14.127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3.524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6.981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28.110</w:t>
            </w:r>
          </w:p>
        </w:tc>
      </w:tr>
      <w:tr>
        <w:tc>
          <w:tcPr>
            <w:tcW w:type="dxa" w:w="316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 texture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19.290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4.301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9.710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39.280</w:t>
            </w:r>
          </w:p>
        </w:tc>
      </w:tr>
      <w:tr>
        <w:tc>
          <w:tcPr>
            <w:tcW w:type="dxa" w:w="316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 perimeter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91.969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24.299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43.790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188.500</w:t>
            </w:r>
          </w:p>
        </w:tc>
      </w:tr>
      <w:tr>
        <w:tc>
          <w:tcPr>
            <w:tcW w:type="dxa" w:w="316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 area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654.889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351.914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143.500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2501.000</w:t>
            </w:r>
          </w:p>
        </w:tc>
      </w:tr>
      <w:tr>
        <w:tc>
          <w:tcPr>
            <w:tcW w:type="dxa" w:w="316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 concavity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0.089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0.080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0.427</w:t>
            </w:r>
          </w:p>
        </w:tc>
      </w:tr>
      <w:tr>
        <w:tc>
          <w:tcPr>
            <w:tcW w:type="dxa" w:w="316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 concave points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0.049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0.039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0.201</w:t>
            </w:r>
          </w:p>
        </w:tc>
      </w:tr>
      <w:tr>
        <w:tc>
          <w:tcPr>
            <w:tcW w:type="dxa" w:w="316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worst radius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16.269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4.833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7.930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36.040</w:t>
            </w:r>
          </w:p>
        </w:tc>
      </w:tr>
      <w:tr>
        <w:tc>
          <w:tcPr>
            <w:tcW w:type="dxa" w:w="316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worst area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880.583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569.357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185.200</w:t>
            </w:r>
          </w:p>
        </w:tc>
        <w:tc>
          <w:tcPr>
            <w:tcW w:type="dxa" w:w="15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4254.000</w:t>
            </w:r>
          </w:p>
        </w:tc>
      </w:tr>
    </w:tbl>
    <w:p>
      <w:r>
        <w:t>Only a representative subset is shown; the full summary is in summary_statistics.csv.</w:t>
      </w:r>
    </w:p>
    <w:p>
      <w:pPr>
        <w:pStyle w:val="Heading2"/>
      </w:pPr>
      <w:r>
        <w:t>1.4  Correlation heatmap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2. Correlation heatmap of the top features correlated with 'mean radius'. High collinearity is expected among size-related features (radius, perimeter, area), motivating feature selection.</w:t>
      </w:r>
    </w:p>
    <w:p>
      <w:pPr>
        <w:pStyle w:val="Heading2"/>
      </w:pPr>
      <w:r>
        <w:t>1.5  Feature distributions by class</w:t>
      </w:r>
    </w:p>
    <w:p>
      <w:r>
        <w:drawing>
          <wp:inline xmlns:a="http://schemas.openxmlformats.org/drawingml/2006/main" xmlns:pic="http://schemas.openxmlformats.org/drawingml/2006/picture">
            <wp:extent cx="6217920" cy="2261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boxpl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6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3. Boxplots of mean radius and mean texture by diagnosis. Malignant tumours tend to have larger radius and higher texture values, confirming their discriminative power.</w:t>
      </w:r>
    </w:p>
    <w:p>
      <w:r>
        <w:br w:type="page"/>
      </w:r>
    </w:p>
    <w:p>
      <w:pPr>
        <w:pStyle w:val="Heading1"/>
      </w:pPr>
      <w:r>
        <w:t>2  Feature Engineering and Preprocessing</w:t>
      </w:r>
    </w:p>
    <w:p>
      <w:pPr>
        <w:pStyle w:val="Heading2"/>
      </w:pPr>
      <w:r>
        <w:t>2.1  Engineered features</w:t>
      </w:r>
    </w:p>
    <w:p>
      <w:r>
        <w:t>Three domain-informed ratio features were created to capture relationships between existing predictors: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3312"/>
        <w:gridCol w:w="3600"/>
      </w:tblGrid>
      <w:tr>
        <w:trPr>
          <w:tblHeader/>
        </w:trPr>
        <w:tc>
          <w:tcPr>
            <w:tcW w:type="dxa" w:w="2880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312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Formula</w:t>
            </w:r>
          </w:p>
        </w:tc>
        <w:tc>
          <w:tcPr>
            <w:tcW w:type="dxa" w:w="3600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radius_texture_ratio</w:t>
            </w:r>
          </w:p>
        </w:tc>
        <w:tc>
          <w:tcPr>
            <w:tcW w:type="dxa" w:w="331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mean_radius / mean_texture</w:t>
            </w:r>
          </w:p>
        </w:tc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Captures whether size outpaces surface irregularity</w:t>
            </w:r>
          </w:p>
        </w:tc>
      </w:tr>
      <w:tr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concavity_area_ratio</w:t>
            </w:r>
          </w:p>
        </w:tc>
        <w:tc>
          <w:tcPr>
            <w:tcW w:type="dxa" w:w="331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mean_concavity / mean_area</w:t>
            </w:r>
          </w:p>
        </w:tc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Normalises concavity by overall mass size</w:t>
            </w:r>
          </w:p>
        </w:tc>
      </w:tr>
      <w:tr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perimeter_radius_ratio</w:t>
            </w:r>
          </w:p>
        </w:tc>
        <w:tc>
          <w:tcPr>
            <w:tcW w:type="dxa" w:w="3312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mean_perimeter / mean_radius</w:t>
            </w:r>
          </w:p>
        </w:tc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Detects shape deviations from a perfect circle</w:t>
            </w:r>
          </w:p>
        </w:tc>
      </w:tr>
    </w:tbl>
    <w:p>
      <w:pPr>
        <w:spacing w:after="180" w:line="240" w:lineRule="auto"/>
      </w:pPr>
      <w:r>
        <w:rPr>
          <w:rFonts w:ascii="DejaVu Sans Mono" w:hAnsi="DejaVu Sans Mono"/>
          <w:sz w:val="16"/>
        </w:rPr>
        <w:t>X["radius_texture_ratio"] = X["mean radius"] / (X["mean texture"] + 1e-6)</w:t>
      </w:r>
      <w:r>
        <w:rPr>
          <w:rFonts w:ascii="DejaVu Sans Mono" w:hAnsi="DejaVu Sans Mono"/>
          <w:sz w:val="16"/>
        </w:rPr>
        <w:br/>
        <w:t>X["concavity_area_ratio"]  = X["mean concavity"] / (X["mean area"] + 1e-6)</w:t>
      </w:r>
      <w:r>
        <w:rPr>
          <w:rFonts w:ascii="DejaVu Sans Mono" w:hAnsi="DejaVu Sans Mono"/>
          <w:sz w:val="16"/>
        </w:rPr>
        <w:br/>
        <w:t>X["perimeter_radius_ratio"] = X["mean perimeter"] / (X["mean radius"] + 1e-6)</w:t>
      </w:r>
    </w:p>
    <w:p>
      <w:pPr>
        <w:pStyle w:val="Heading2"/>
      </w:pPr>
      <w:r>
        <w:t>2.2  Train–test split</w:t>
      </w:r>
    </w:p>
    <w:p>
      <w:r>
        <w:t>The data were split 80/20 using stratified sampling (random_state = 42) to preserve the class ratio in both partitions. The resulting training set contains 455 samples and the test set contains 114 samples.</w:t>
      </w:r>
    </w:p>
    <w:p>
      <w:pPr>
        <w:pStyle w:val="Heading2"/>
      </w:pPr>
      <w:r>
        <w:t>2.3  Pipeline architecture</w:t>
      </w:r>
    </w:p>
    <w:p>
      <w:r>
        <w:t>Each model is wrapped in a scikit-learn Pipeline comprising three stages: (1) StandardScaler for feature normalisation, (2) SelectKBest with ANOVA F-value for univariate feature selection (initial k = 15), and (3) the classifier itself. This design ensures all preprocessing is fitted only on training folds during cross-validation, preventing data leakage.</w:t>
      </w:r>
    </w:p>
    <w:p>
      <w:pPr>
        <w:spacing w:after="180" w:line="240" w:lineRule="auto"/>
      </w:pPr>
      <w:r>
        <w:rPr>
          <w:rFonts w:ascii="DejaVu Sans Mono" w:hAnsi="DejaVu Sans Mono"/>
          <w:sz w:val="16"/>
        </w:rPr>
        <w:t>Pipeline([</w:t>
      </w:r>
      <w:r>
        <w:rPr>
          <w:rFonts w:ascii="DejaVu Sans Mono" w:hAnsi="DejaVu Sans Mono"/>
          <w:sz w:val="16"/>
        </w:rPr>
        <w:br/>
        <w:t xml:space="preserve">    ("scaler", StandardScaler()),</w:t>
      </w:r>
      <w:r>
        <w:rPr>
          <w:rFonts w:ascii="DejaVu Sans Mono" w:hAnsi="DejaVu Sans Mono"/>
          <w:sz w:val="16"/>
        </w:rPr>
        <w:br/>
        <w:t xml:space="preserve">    ("select", SelectKBest(score_func=f_classif, k=15)),</w:t>
      </w:r>
      <w:r>
        <w:rPr>
          <w:rFonts w:ascii="DejaVu Sans Mono" w:hAnsi="DejaVu Sans Mono"/>
          <w:sz w:val="16"/>
        </w:rPr>
        <w:br/>
        <w:t xml:space="preserve">    ("clf", LogisticRegression(max_iter=5000, random_state=42))</w:t>
      </w:r>
      <w:r>
        <w:rPr>
          <w:rFonts w:ascii="DejaVu Sans Mono" w:hAnsi="DejaVu Sans Mono"/>
          <w:sz w:val="16"/>
        </w:rPr>
        <w:br/>
        <w:t>])</w:t>
      </w:r>
    </w:p>
    <w:p>
      <w:r>
        <w:br w:type="page"/>
      </w:r>
    </w:p>
    <w:p>
      <w:pPr>
        <w:pStyle w:val="Heading1"/>
      </w:pPr>
      <w:r>
        <w:t>3  Model Training and Cross-Validation</w:t>
      </w:r>
    </w:p>
    <w:p>
      <w:pPr>
        <w:pStyle w:val="Heading2"/>
      </w:pPr>
      <w:r>
        <w:t>3.1  Models evaluated</w:t>
      </w:r>
    </w:p>
    <w:p>
      <w:r>
        <w:t>Three classifiers were evaluated using 5-fold stratified cross-validation with F1 score as the primary metric (appropriate for the moderate class imbalance):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0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Mean CV F1</w:t>
            </w:r>
          </w:p>
        </w:tc>
        <w:tc>
          <w:tcPr>
            <w:tcW w:type="dxa" w:w="2880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Std Dev</w:t>
            </w:r>
          </w:p>
        </w:tc>
      </w:tr>
      <w:tr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0.9563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±0.0080</w:t>
            </w:r>
          </w:p>
        </w:tc>
      </w:tr>
      <w:tr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0.9513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±0.0117</w:t>
            </w:r>
          </w:p>
        </w:tc>
      </w:tr>
      <w:tr>
        <w:tc>
          <w:tcPr>
            <w:tcW w:type="dxa" w:w="360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SVM (RBF)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0.9478</w:t>
            </w:r>
          </w:p>
        </w:tc>
        <w:tc>
          <w:tcPr>
            <w:tcW w:type="dxa" w:w="28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±0.0178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4145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4. Cross-validated F1 scores across the three models. All three perform comparably, with Logistic Regression slightly ahead.</w:t>
      </w:r>
    </w:p>
    <w:p>
      <w:pPr>
        <w:pStyle w:val="Heading2"/>
      </w:pPr>
      <w:r>
        <w:t>3.2  Best model selection</w:t>
      </w:r>
    </w:p>
    <w:p>
      <w:r>
        <w:t>Based on cross-validation, Logistic Regression was selected as the best candidate with a mean CV F1 of 0.9563.</w:t>
      </w:r>
    </w:p>
    <w:p>
      <w:r>
        <w:br w:type="page"/>
      </w:r>
    </w:p>
    <w:p>
      <w:pPr>
        <w:pStyle w:val="Heading1"/>
      </w:pPr>
      <w:r>
        <w:t>4  Hyperparameter Tuning</w:t>
      </w:r>
    </w:p>
    <w:p>
      <w:pPr>
        <w:pStyle w:val="Heading2"/>
      </w:pPr>
      <w:r>
        <w:t>4.1  Grid search configuration</w:t>
      </w:r>
    </w:p>
    <w:p>
      <w:r>
        <w:t>GridSearchCV was applied to the Logistic Regression pipeline with the following parameter grid: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896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Values tested</w:t>
            </w:r>
          </w:p>
        </w:tc>
      </w:tr>
      <w:tr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select__k (number of features)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10, 15, 20</w:t>
            </w:r>
          </w:p>
        </w:tc>
      </w:tr>
      <w:tr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clf__C (regularisation strength)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0.01, 0.1, 1, 10</w:t>
            </w:r>
          </w:p>
        </w:tc>
      </w:tr>
    </w:tbl>
    <w:p>
      <w:pPr>
        <w:pStyle w:val="Heading2"/>
      </w:pPr>
      <w:r>
        <w:t>4.2  Best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896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Optimal value</w:t>
            </w:r>
          </w:p>
        </w:tc>
      </w:tr>
      <w:tr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clf__C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select__k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</w:t>
            </w:r>
          </w:p>
        </w:tc>
      </w:tr>
    </w:tbl>
    <w:p>
      <w:r>
        <w:t>After tuning, the best cross-validated F1 score improved to 0.9789. The model selected k = 20 features with regularisation C = 10.</w:t>
      </w:r>
    </w:p>
    <w:p>
      <w:r>
        <w:br w:type="page"/>
      </w:r>
    </w:p>
    <w:p>
      <w:pPr>
        <w:pStyle w:val="Heading1"/>
      </w:pPr>
      <w:r>
        <w:t>5  Final Evaluation on Held-Out Test Set</w:t>
      </w:r>
    </w:p>
    <w:p>
      <w:pPr>
        <w:pStyle w:val="Heading2"/>
      </w:pPr>
      <w:r>
        <w:t>5.1  Performance 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4896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0.9649</w:t>
            </w:r>
          </w:p>
        </w:tc>
      </w:tr>
      <w:tr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Precision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0.9722</w:t>
            </w:r>
          </w:p>
        </w:tc>
      </w:tr>
      <w:tr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0.9722</w:t>
            </w:r>
          </w:p>
        </w:tc>
      </w:tr>
      <w:tr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F1 Score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0.9722</w:t>
            </w:r>
          </w:p>
        </w:tc>
      </w:tr>
      <w:tr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ROC-AUC</w:t>
            </w:r>
          </w:p>
        </w:tc>
        <w:tc>
          <w:tcPr>
            <w:tcW w:type="dxa" w:w="4896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0.9944</w:t>
            </w:r>
          </w:p>
        </w:tc>
      </w:tr>
    </w:tbl>
    <w:p>
      <w:pPr>
        <w:pStyle w:val="Heading2"/>
      </w:pPr>
      <w:r>
        <w:t>5.2  Classification report</w:t>
      </w:r>
    </w:p>
    <w:p>
      <w:pPr>
        <w:spacing w:after="180" w:line="240" w:lineRule="auto"/>
      </w:pPr>
      <w:r>
        <w:rPr>
          <w:rFonts w:ascii="DejaVu Sans Mono" w:hAnsi="DejaVu Sans Mono"/>
          <w:sz w:val="16"/>
        </w:rPr>
        <w:t>precision    recall  f1-score   support</w:t>
      </w:r>
      <w:r>
        <w:rPr>
          <w:rFonts w:ascii="DejaVu Sans Mono" w:hAnsi="DejaVu Sans Mono"/>
          <w:sz w:val="16"/>
        </w:rPr>
        <w:br/>
      </w:r>
      <w:r>
        <w:rPr>
          <w:rFonts w:ascii="DejaVu Sans Mono" w:hAnsi="DejaVu Sans Mono"/>
          <w:sz w:val="16"/>
        </w:rPr>
        <w:br/>
        <w:t xml:space="preserve">   malignant       0.95      0.95      0.95        42</w:t>
      </w:r>
      <w:r>
        <w:rPr>
          <w:rFonts w:ascii="DejaVu Sans Mono" w:hAnsi="DejaVu Sans Mono"/>
          <w:sz w:val="16"/>
        </w:rPr>
        <w:br/>
        <w:t xml:space="preserve">      benign       0.97      0.97      0.97        72</w:t>
      </w:r>
      <w:r>
        <w:rPr>
          <w:rFonts w:ascii="DejaVu Sans Mono" w:hAnsi="DejaVu Sans Mono"/>
          <w:sz w:val="16"/>
        </w:rPr>
        <w:br/>
      </w:r>
      <w:r>
        <w:rPr>
          <w:rFonts w:ascii="DejaVu Sans Mono" w:hAnsi="DejaVu Sans Mono"/>
          <w:sz w:val="16"/>
        </w:rPr>
        <w:br/>
        <w:t xml:space="preserve">    accuracy                           0.96       114</w:t>
      </w:r>
      <w:r>
        <w:rPr>
          <w:rFonts w:ascii="DejaVu Sans Mono" w:hAnsi="DejaVu Sans Mono"/>
          <w:sz w:val="16"/>
        </w:rPr>
        <w:br/>
        <w:t xml:space="preserve">   macro avg       0.96      0.96      0.96       114</w:t>
      </w:r>
      <w:r>
        <w:rPr>
          <w:rFonts w:ascii="DejaVu Sans Mono" w:hAnsi="DejaVu Sans Mono"/>
          <w:sz w:val="16"/>
        </w:rPr>
        <w:br/>
        <w:t>weighted avg       0.96      0.96      0.96       114</w:t>
      </w:r>
    </w:p>
    <w:p>
      <w:pPr>
        <w:pStyle w:val="Heading2"/>
      </w:pPr>
      <w:r>
        <w:t>5.3  Confusion matrix</w:t>
      </w:r>
    </w:p>
    <w:p>
      <w:r>
        <w:drawing>
          <wp:inline xmlns:a="http://schemas.openxmlformats.org/drawingml/2006/main" xmlns:pic="http://schemas.openxmlformats.org/drawingml/2006/picture">
            <wp:extent cx="41148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5. Confusion matrix for Logistic Regression on the test set. The model achieves strong performance on both classes, with very few misclassifications.</w:t>
      </w:r>
    </w:p>
    <w:p>
      <w:pPr>
        <w:pStyle w:val="Heading2"/>
      </w:pPr>
      <w:r>
        <w:t>5.4  ROC curve</w:t>
      </w:r>
    </w:p>
    <w:p>
      <w:r>
        <w:drawing>
          <wp:inline xmlns:a="http://schemas.openxmlformats.org/drawingml/2006/main" xmlns:pic="http://schemas.openxmlformats.org/drawingml/2006/picture">
            <wp:extent cx="41148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6. ROC curve for Logistic Regression. The area under the curve (AUC = 0.994) indicates excellent discriminative ability, with the curve hugging the top-left corner.</w:t>
      </w:r>
    </w:p>
    <w:p>
      <w:r>
        <w:br w:type="page"/>
      </w:r>
    </w:p>
    <w:p>
      <w:pPr>
        <w:pStyle w:val="Heading1"/>
      </w:pPr>
      <w:r>
        <w:t>6  Feature Importance Analysis</w:t>
      </w:r>
    </w:p>
    <w:p>
      <w:pPr>
        <w:pStyle w:val="Heading2"/>
      </w:pPr>
      <w:r>
        <w:t>6.1  Selected features</w:t>
      </w:r>
    </w:p>
    <w:p>
      <w:r>
        <w:t>The final model selected 20 features via ANOVA F-value ranking. The selected features span size measurements (radius, perimeter, area), shape descriptors (compactness, concavity, concave points), and the engineered perimeter_radius_ratio, confirming that both raw and engineered features contribute to the model.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0"/>
        <w:gridCol w:w="2160"/>
      </w:tblGrid>
      <w:tr>
        <w:trPr>
          <w:tblHeader/>
        </w:trPr>
        <w:tc>
          <w:tcPr>
            <w:tcW w:type="dxa" w:w="6480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Selected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 radius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 perimeter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 area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 compactness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 concavity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mean concave points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radius error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perimeter error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area error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concave points error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worst radius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worst texture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worst perimeter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worst area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worst smoothness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worst compactness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worst concavity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worst concave points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worst symmetry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648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perimeter_radius_ratio</w:t>
            </w:r>
          </w:p>
        </w:tc>
        <w:tc>
          <w:tcPr>
            <w:tcW w:type="dxa" w:w="2160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✓</w:t>
            </w:r>
          </w:p>
        </w:tc>
      </w:tr>
    </w:tbl>
    <w:p>
      <w:pPr>
        <w:pStyle w:val="Heading2"/>
      </w:pPr>
      <w:r>
        <w:t>6.2  Feature importance / coefficient plot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7. Feature importances or coefficients from Logistic Regression. Features related to worst-case measurements (worst radius, worst area, worst concave points) tend to carry the highest weight.</w:t>
      </w:r>
    </w:p>
    <w:p>
      <w:r>
        <w:br w:type="page"/>
      </w:r>
    </w:p>
    <w:p>
      <w:pPr>
        <w:pStyle w:val="Heading1"/>
      </w:pPr>
      <w:r>
        <w:t>7  Conclusions and Future Work</w:t>
      </w:r>
    </w:p>
    <w:p>
      <w:pPr>
        <w:pStyle w:val="Heading2"/>
      </w:pPr>
      <w:r>
        <w:t>7.1  Summary of findings</w:t>
      </w:r>
    </w:p>
    <w:p>
      <w:r>
        <w:t>The Logistic Regression classifier achieves a test accuracy of 96.49% and an ROC-AUC of 0.9944 on the Breast Cancer Wisconsin dataset. The pipeline-based approach with stratified cross-validation and grid search ensured robust model selection without data leakage. Domain-informed feature engineering (ratio features) and ANOVA-based feature selection both contributed to the final model's performance.</w:t>
      </w:r>
    </w:p>
    <w:p>
      <w:pPr>
        <w:pStyle w:val="Heading2"/>
      </w:pPr>
      <w:r>
        <w:t>7.2  Key takeaways</w:t>
      </w:r>
    </w:p>
    <w:p>
      <w:r>
        <w:t>1. All three classifiers (Logistic Regression, Random Forest, SVM) performed well on this dataset, indicating that the features are highly discriminative for the binary classification task.</w:t>
      </w:r>
    </w:p>
    <w:p>
      <w:r>
        <w:t>2. Encapsulating preprocessing inside Pipelines prevented data leakage and made the workflow reproducible.</w:t>
      </w:r>
    </w:p>
    <w:p>
      <w:r>
        <w:t>3. The engineered perimeter_radius_ratio feature was selected by the final model, validating the domain-informed feature engineering step.</w:t>
      </w:r>
    </w:p>
    <w:p>
      <w:pPr>
        <w:pStyle w:val="Heading2"/>
      </w:pPr>
      <w:r>
        <w:t>7.3  Limitations and future work</w:t>
      </w:r>
    </w:p>
    <w:p>
      <w:r>
        <w:t>• The dataset is relatively small (569 samples); performance on larger clinical datasets should be validated.</w:t>
      </w:r>
    </w:p>
    <w:p>
      <w:r>
        <w:t>• More advanced feature selection (e.g. recursive feature elimination) or dimensionality reduction (PCA) could be explored.</w:t>
      </w:r>
    </w:p>
    <w:p>
      <w:r>
        <w:t>• Ensemble methods such as XGBoost or stacking could potentially improve performance further.</w:t>
      </w:r>
    </w:p>
    <w:p>
      <w:r>
        <w:t>• The clinical applicability of this model requires external validation on independent hospital datasets.</w:t>
      </w:r>
    </w:p>
    <w:p>
      <w:r>
        <w:br w:type="page"/>
      </w:r>
    </w:p>
    <w:p>
      <w:pPr>
        <w:pStyle w:val="Heading1"/>
      </w:pPr>
      <w:r>
        <w:t>8  Reproduction and References</w:t>
      </w:r>
    </w:p>
    <w:p>
      <w:pPr>
        <w:pStyle w:val="Heading2"/>
      </w:pPr>
      <w:r>
        <w:t>How to run</w:t>
      </w:r>
    </w:p>
    <w:p>
      <w:pPr>
        <w:spacing w:after="180" w:line="240" w:lineRule="auto"/>
      </w:pPr>
      <w:r>
        <w:rPr>
          <w:rFonts w:ascii="DejaVu Sans Mono" w:hAnsi="DejaVu Sans Mono"/>
          <w:sz w:val="16"/>
        </w:rPr>
        <w:t>python -m venv .venv</w:t>
      </w:r>
      <w:r>
        <w:rPr>
          <w:rFonts w:ascii="DejaVu Sans Mono" w:hAnsi="DejaVu Sans Mono"/>
          <w:sz w:val="16"/>
        </w:rPr>
        <w:br/>
        <w:t># Windows activation</w:t>
      </w:r>
      <w:r>
        <w:rPr>
          <w:rFonts w:ascii="DejaVu Sans Mono" w:hAnsi="DejaVu Sans Mono"/>
          <w:sz w:val="16"/>
        </w:rPr>
        <w:br/>
        <w:t>.venv\Scripts\activate</w:t>
      </w:r>
      <w:r>
        <w:rPr>
          <w:rFonts w:ascii="DejaVu Sans Mono" w:hAnsi="DejaVu Sans Mono"/>
          <w:sz w:val="16"/>
        </w:rPr>
        <w:br/>
        <w:t>pip install -r requirements.txt</w:t>
      </w:r>
      <w:r>
        <w:rPr>
          <w:rFonts w:ascii="DejaVu Sans Mono" w:hAnsi="DejaVu Sans Mono"/>
          <w:sz w:val="16"/>
        </w:rPr>
        <w:br/>
        <w:t>python breast_cancer_classification.py</w:t>
      </w:r>
      <w:r>
        <w:rPr>
          <w:rFonts w:ascii="DejaVu Sans Mono" w:hAnsi="DejaVu Sans Mono"/>
          <w:sz w:val="16"/>
        </w:rPr>
        <w:br/>
        <w:t>python build_report.py</w:t>
      </w:r>
    </w:p>
    <w:p>
      <w:pPr>
        <w:pStyle w:val="Heading2"/>
      </w:pPr>
      <w:r>
        <w:t>Essential files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184"/>
      </w:tblGrid>
      <w:tr>
        <w:trPr>
          <w:tblHeader/>
        </w:trPr>
        <w:tc>
          <w:tcPr>
            <w:tcW w:type="dxa" w:w="4608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5184"/>
            <w:shd w:fill="DCE6EC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60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Week4_Report.docx</w:t>
            </w:r>
          </w:p>
        </w:tc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This submission report</w:t>
            </w:r>
          </w:p>
        </w:tc>
      </w:tr>
      <w:tr>
        <w:tc>
          <w:tcPr>
            <w:tcW w:type="dxa" w:w="460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breast_cancer_classification.py</w:t>
            </w:r>
          </w:p>
        </w:tc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Main pipeline script</w:t>
            </w:r>
          </w:p>
        </w:tc>
      </w:tr>
      <w:tr>
        <w:tc>
          <w:tcPr>
            <w:tcW w:type="dxa" w:w="460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build_report.py</w:t>
            </w:r>
          </w:p>
        </w:tc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Regenerates this report from saved outputs</w:t>
            </w:r>
          </w:p>
        </w:tc>
      </w:tr>
      <w:tr>
        <w:tc>
          <w:tcPr>
            <w:tcW w:type="dxa" w:w="460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results_summary.json</w:t>
            </w:r>
          </w:p>
        </w:tc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Serialised metrics and parameters</w:t>
            </w:r>
          </w:p>
        </w:tc>
      </w:tr>
      <w:tr>
        <w:tc>
          <w:tcPr>
            <w:tcW w:type="dxa" w:w="460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classification_report.txt</w:t>
            </w:r>
          </w:p>
        </w:tc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Scikit-learn classification report</w:t>
            </w:r>
          </w:p>
        </w:tc>
      </w:tr>
      <w:tr>
        <w:tc>
          <w:tcPr>
            <w:tcW w:type="dxa" w:w="460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summary_statistics.csv</w:t>
            </w:r>
          </w:p>
        </w:tc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Descriptive statistics of all features</w:t>
            </w:r>
          </w:p>
        </w:tc>
      </w:tr>
      <w:tr>
        <w:tc>
          <w:tcPr>
            <w:tcW w:type="dxa" w:w="4608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figures/</w:t>
            </w:r>
          </w:p>
        </w:tc>
        <w:tc>
          <w:tcPr>
            <w:tcW w:type="dxa" w:w="5184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All generated plots embedded in this report</w:t>
            </w:r>
          </w:p>
        </w:tc>
      </w:tr>
    </w:tbl>
    <w:p>
      <w:pPr>
        <w:pStyle w:val="Heading2"/>
      </w:pPr>
      <w:r>
        <w:t>References</w:t>
      </w:r>
    </w:p>
    <w:p>
      <w:r>
        <w:rPr>
          <w:sz w:val="17"/>
        </w:rPr>
        <w:t>[1] Street, W.N., Wolberg, W.H. and Mangasarian, O.L. (1993). Nuclear feature extraction for breast tumor diagnosis. IS&amp;T/SPIE 1993 International Symposium on Electronic Imaging.</w:t>
      </w:r>
    </w:p>
    <w:p>
      <w:r>
        <w:rPr>
          <w:sz w:val="17"/>
        </w:rPr>
        <w:t>[2] UCI Machine Learning Repository — Breast Cancer Wisconsin (Diagnostic). https://archive.ics.uci.edu/ml/datasets/Breast+Cancer+Wisconsin+(Diagnostic)</w:t>
      </w:r>
    </w:p>
    <w:p>
      <w:r>
        <w:rPr>
          <w:sz w:val="17"/>
        </w:rPr>
        <w:t>[3] scikit-learn documentation: Pipelines and composite estimators. https://scikit-learn.org/stable/modules/compose.html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Week 4 report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WEEK 4    |    SUPERVISED LEARNING — BREAST CANCER CLASSIFICATION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Breast Cancer Classification Using Supervised Learning</dc:title>
  <dc:subject>Week 4 supervised learning report</dc:subject>
  <dc:creator>Mayank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