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Diamond Pricing Analytics</w:t>
        <w:br/>
        <w:t>Predictive Pricing and Market Segmentation</w:t>
      </w:r>
    </w:p>
    <w:p>
      <w:r>
        <w:t>Week 6 — Integrative Capstone Project Report</w:t>
      </w:r>
    </w:p>
    <w:p>
      <w:r>
        <w:t>Prepared for academic submission</w:t>
      </w:r>
    </w:p>
    <w:p>
      <w:r>
        <w:t>Author: Mayank</w:t>
      </w:r>
    </w:p>
    <w:p>
      <w:pPr>
        <w:pStyle w:val="Heading2"/>
      </w:pPr>
      <w:r>
        <w:t>Project objective</w:t>
      </w:r>
    </w:p>
    <w:p>
      <w:r>
        <w:t>This capstone project integrates the full data-science pipeline — from data acquisition and cleaning through exploratory analysis, feature engineering, supervised regression modelling, and unsupervised clustering — to build a diamond price prediction system and discover natural market segments within the diamond trade. The project uses the publicly available 'diamonds' dataset (~54 000 records) from the seaborn-data repository.</w:t>
      </w:r>
    </w:p>
    <w:p>
      <w:pPr>
        <w:pStyle w:val="Heading2"/>
      </w:pPr>
      <w:r>
        <w:t>Main results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5328"/>
      </w:tblGrid>
      <w:tr>
        <w:trPr>
          <w:tblHeader/>
        </w:trPr>
        <w:tc>
          <w:tcPr>
            <w:tcW w:type="dxa" w:w="446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Measure</w:t>
            </w:r>
          </w:p>
        </w:tc>
        <w:tc>
          <w:tcPr>
            <w:tcW w:type="dxa" w:w="5328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Raw dataset size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53,940 records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Cleaned dataset size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53,771 records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Best regression model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Gradient Boosting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Test R²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0.9752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Test RMSE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$621.54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Test MAE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$345.96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Market segments discovered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Clustering silhouette score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0.2090</w:t>
            </w:r>
          </w:p>
        </w:tc>
      </w:tr>
    </w:tbl>
    <w:p>
      <w:pPr>
        <w:spacing w:after="20"/>
      </w:pPr>
    </w:p>
    <w:p>
      <w:pPr>
        <w:pStyle w:val="Heading2"/>
      </w:pPr>
      <w:r>
        <w:t>Scope</w:t>
      </w:r>
    </w:p>
    <w:p>
      <w:r>
        <w:t>This report documents all eight pipeline stages: data acquisition, data cleaning, exploratory data analysis, feature engineering, supervised price prediction (regression), unsupervised market segmentation (K-Means clustering), evaluation, and insight generation. Both supervised and unsupervised techniques are combined in a single integrative workflow.</w:t>
      </w:r>
    </w:p>
    <w:p>
      <w:r>
        <w:br w:type="page"/>
      </w:r>
    </w:p>
    <w:p>
      <w:pPr>
        <w:pStyle w:val="Heading1"/>
      </w:pPr>
      <w:r>
        <w:t>1  Data Acquisition and Cleaning</w:t>
      </w:r>
    </w:p>
    <w:p>
      <w:pPr>
        <w:pStyle w:val="Heading2"/>
      </w:pPr>
      <w:r>
        <w:t>1.1  Data source</w:t>
      </w:r>
    </w:p>
    <w:p>
      <w:r>
        <w:t>The diamonds dataset contains records of round-cut diamond transactions, with each record described by 10 attributes: carat weight, cut quality (Fair to Ideal), color grade (D–J), clarity grade (I1–IF), depth percentage, table width, price (USD), and three physical dimension measurements (x, y, z in mm). The dataset is widely used in data science education and benchmarking.</w:t>
      </w:r>
    </w:p>
    <w:p>
      <w:pPr>
        <w:pStyle w:val="Heading2"/>
      </w:pPr>
      <w:r>
        <w:t>1.2  Cleaning steps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2"/>
        <w:gridCol w:w="4320"/>
      </w:tblGrid>
      <w:tr>
        <w:trPr>
          <w:tblHeader/>
        </w:trPr>
        <w:tc>
          <w:tcPr>
            <w:tcW w:type="dxa" w:w="5472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Cleaning step</w:t>
            </w:r>
          </w:p>
        </w:tc>
        <w:tc>
          <w:tcPr>
            <w:tcW w:type="dxa" w:w="432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Records affected</w:t>
            </w:r>
          </w:p>
        </w:tc>
      </w:tr>
      <w:tr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Exact duplicate removal</w:t>
            </w:r>
          </w:p>
        </w:tc>
        <w:tc>
          <w:tcPr>
            <w:tcW w:type="dxa" w:w="432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146</w:t>
            </w:r>
          </w:p>
        </w:tc>
      </w:tr>
      <w:tr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Invalid zero-dimension rows</w:t>
            </w:r>
          </w:p>
        </w:tc>
        <w:tc>
          <w:tcPr>
            <w:tcW w:type="dxa" w:w="432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19</w:t>
            </w:r>
          </w:p>
        </w:tc>
      </w:tr>
      <w:tr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Physical outliers (domain bounds)</w:t>
            </w:r>
          </w:p>
        </w:tc>
        <w:tc>
          <w:tcPr>
            <w:tcW w:type="dxa" w:w="432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Remaining missing values</w:t>
            </w:r>
          </w:p>
        </w:tc>
        <w:tc>
          <w:tcPr>
            <w:tcW w:type="dxa" w:w="432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t>After cleaning, 53,771 records remain from the original 53,940. Duplicate removal, zero-dimension filtering, and domain-informed outlier bounds (e.g. y &gt; 20 mm, z &gt; 10 mm, table outside 40–80, depth outside 40–80) were applied sequentially.</w:t>
      </w:r>
    </w:p>
    <w:p>
      <w:pPr>
        <w:spacing w:after="180" w:line="240" w:lineRule="auto"/>
      </w:pPr>
      <w:r>
        <w:rPr>
          <w:rFonts w:ascii="DejaVu Sans Mono" w:hAnsi="DejaVu Sans Mono"/>
          <w:sz w:val="16"/>
        </w:rPr>
        <w:t>df = df.drop_duplicates()</w:t>
      </w:r>
      <w:r>
        <w:rPr>
          <w:rFonts w:ascii="DejaVu Sans Mono" w:hAnsi="DejaVu Sans Mono"/>
          <w:sz w:val="16"/>
        </w:rPr>
        <w:br/>
        <w:t>df = df[(df["x"] &gt; 0) &amp; (df["y"] &gt; 0) &amp; (df["z"] &gt; 0)]</w:t>
      </w:r>
      <w:r>
        <w:rPr>
          <w:rFonts w:ascii="DejaVu Sans Mono" w:hAnsi="DejaVu Sans Mono"/>
          <w:sz w:val="16"/>
        </w:rPr>
        <w:br/>
        <w:t>outlier_mask = (df["y"] &gt; 20) | (df["z"] &gt; 10) | \</w:t>
      </w:r>
      <w:r>
        <w:rPr>
          <w:rFonts w:ascii="DejaVu Sans Mono" w:hAnsi="DejaVu Sans Mono"/>
          <w:sz w:val="16"/>
        </w:rPr>
        <w:br/>
        <w:t xml:space="preserve">               (df["table"] &gt; 80) | (df["table"] &lt; 40) | \</w:t>
      </w:r>
      <w:r>
        <w:rPr>
          <w:rFonts w:ascii="DejaVu Sans Mono" w:hAnsi="DejaVu Sans Mono"/>
          <w:sz w:val="16"/>
        </w:rPr>
        <w:br/>
        <w:t xml:space="preserve">               (df["depth"] &gt; 80) | (df["depth"] &lt; 40)</w:t>
      </w:r>
      <w:r>
        <w:rPr>
          <w:rFonts w:ascii="DejaVu Sans Mono" w:hAnsi="DejaVu Sans Mono"/>
          <w:sz w:val="16"/>
        </w:rPr>
        <w:br/>
        <w:t>df = df[~outlier_mask]</w:t>
      </w:r>
    </w:p>
    <w:p>
      <w:r>
        <w:br w:type="page"/>
      </w:r>
    </w:p>
    <w:p>
      <w:pPr>
        <w:pStyle w:val="Heading1"/>
      </w:pPr>
      <w:r>
        <w:t>2  Exploratory Data Analysis</w:t>
      </w:r>
    </w:p>
    <w:p>
      <w:pPr>
        <w:pStyle w:val="Heading2"/>
      </w:pPr>
      <w:r>
        <w:t>2.1  Price distribution</w:t>
      </w:r>
    </w:p>
    <w:p>
      <w:r>
        <w:drawing>
          <wp:inline xmlns:a="http://schemas.openxmlformats.org/drawingml/2006/main" xmlns:pic="http://schemas.openxmlformats.org/drawingml/2006/picture">
            <wp:extent cx="6217920" cy="2261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6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Price distribution in raw scale (left) and log-transformed scale (right). The raw distribution is right-skewed, with the bulk of diamonds priced under $5,000 and a long tail extending to $18,000+. Log transformation reveals a bimodal pattern.</w:t>
      </w:r>
    </w:p>
    <w:p>
      <w:pPr>
        <w:pStyle w:val="Heading2"/>
      </w:pPr>
      <w:r>
        <w:t>2.2  Price vs. carat</w:t>
      </w:r>
    </w:p>
    <w:p>
      <w:r>
        <w:drawing>
          <wp:inline xmlns:a="http://schemas.openxmlformats.org/drawingml/2006/main" xmlns:pic="http://schemas.openxmlformats.org/drawingml/2006/picture">
            <wp:extent cx="6217920" cy="518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vs_car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 Scatter plot of price vs. carat (4,000-record sample, colored by cut quality). The strong nonlinear relationship between carat and price is evident, with higher-quality cuts clustering at various price points.</w:t>
      </w:r>
    </w:p>
    <w:p>
      <w:pPr>
        <w:pStyle w:val="Heading2"/>
      </w:pPr>
      <w:r>
        <w:t>2.3  Categorical price breakdown</w:t>
      </w:r>
    </w:p>
    <w:p>
      <w:r>
        <w:drawing>
          <wp:inline xmlns:a="http://schemas.openxmlformats.org/drawingml/2006/main" xmlns:pic="http://schemas.openxmlformats.org/drawingml/2006/picture">
            <wp:extent cx="5943600" cy="1698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cal_price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 Mean price by cut, color, and clarity grades. Counter-intuitively, 'Fair' cut diamonds sometimes show higher mean prices because larger stones tend to receive more conservative cuts. This confound motivates controlling for carat in the regression model.</w:t>
      </w:r>
    </w:p>
    <w:p>
      <w:pPr>
        <w:pStyle w:val="Heading2"/>
      </w:pPr>
      <w:r>
        <w:t>2.4  Correlation heatmap</w:t>
      </w:r>
    </w:p>
    <w:p>
      <w:r>
        <w:drawing>
          <wp:inline xmlns:a="http://schemas.openxmlformats.org/drawingml/2006/main" xmlns:pic="http://schemas.openxmlformats.org/drawingml/2006/picture">
            <wp:extent cx="5029200" cy="4310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 Correlation matrix of numeric features. Carat, x, y, z, and price are highly intercorrelated (all r &gt; 0.85), confirming that physical size dominates price. Depth and table show weaker correlations.</w:t>
      </w:r>
    </w:p>
    <w:p>
      <w:r>
        <w:br w:type="page"/>
      </w:r>
    </w:p>
    <w:p>
      <w:pPr>
        <w:pStyle w:val="Heading1"/>
      </w:pPr>
      <w:r>
        <w:t>3  Feature Engineering</w:t>
      </w:r>
    </w:p>
    <w:p>
      <w:pPr>
        <w:pStyle w:val="Heading2"/>
      </w:pPr>
      <w:r>
        <w:t>3.1  Engineered features</w:t>
      </w:r>
    </w:p>
    <w:p>
      <w:r>
        <w:t>Five features were created or encoded to improve model performance: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1872"/>
        <w:gridCol w:w="5472"/>
      </w:tblGrid>
      <w:tr>
        <w:trPr>
          <w:tblHeader/>
        </w:trPr>
        <w:tc>
          <w:tcPr>
            <w:tcW w:type="dxa" w:w="2448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872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5472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44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volume</w:t>
            </w:r>
          </w:p>
        </w:tc>
        <w:tc>
          <w:tcPr>
            <w:tcW w:type="dxa" w:w="18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Engineered</w:t>
            </w:r>
          </w:p>
        </w:tc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x × y × z — physical volume proxy</w:t>
            </w:r>
          </w:p>
        </w:tc>
      </w:tr>
      <w:tr>
        <w:tc>
          <w:tcPr>
            <w:tcW w:type="dxa" w:w="244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price_per_carat</w:t>
            </w:r>
          </w:p>
        </w:tc>
        <w:tc>
          <w:tcPr>
            <w:tcW w:type="dxa" w:w="18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Engineered</w:t>
            </w:r>
          </w:p>
        </w:tc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price / carat — unit value (used for clustering)</w:t>
            </w:r>
          </w:p>
        </w:tc>
      </w:tr>
      <w:tr>
        <w:tc>
          <w:tcPr>
            <w:tcW w:type="dxa" w:w="244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cut_enc</w:t>
            </w:r>
          </w:p>
        </w:tc>
        <w:tc>
          <w:tcPr>
            <w:tcW w:type="dxa" w:w="18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Ordinal</w:t>
            </w:r>
          </w:p>
        </w:tc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Fair=0 → Ideal=4</w:t>
            </w:r>
          </w:p>
        </w:tc>
      </w:tr>
      <w:tr>
        <w:tc>
          <w:tcPr>
            <w:tcW w:type="dxa" w:w="244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color_enc</w:t>
            </w:r>
          </w:p>
        </w:tc>
        <w:tc>
          <w:tcPr>
            <w:tcW w:type="dxa" w:w="18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Ordinal</w:t>
            </w:r>
          </w:p>
        </w:tc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J=0 (worst) → D=6 (best)</w:t>
            </w:r>
          </w:p>
        </w:tc>
      </w:tr>
      <w:tr>
        <w:tc>
          <w:tcPr>
            <w:tcW w:type="dxa" w:w="244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clarity_enc</w:t>
            </w:r>
          </w:p>
        </w:tc>
        <w:tc>
          <w:tcPr>
            <w:tcW w:type="dxa" w:w="18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Ordinal</w:t>
            </w:r>
          </w:p>
        </w:tc>
        <w:tc>
          <w:tcPr>
            <w:tcW w:type="dxa" w:w="54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I1=0 (worst) → IF=7 (best)</w:t>
            </w:r>
          </w:p>
        </w:tc>
      </w:tr>
    </w:tbl>
    <w:p>
      <w:pPr>
        <w:spacing w:after="20"/>
      </w:pPr>
    </w:p>
    <w:p>
      <w:pPr>
        <w:spacing w:after="180" w:line="240" w:lineRule="auto"/>
      </w:pPr>
      <w:r>
        <w:rPr>
          <w:rFonts w:ascii="DejaVu Sans Mono" w:hAnsi="DejaVu Sans Mono"/>
          <w:sz w:val="16"/>
        </w:rPr>
        <w:t>df_fe["volume"] = df_fe["x"] * df_fe["y"] * df_fe["z"]</w:t>
      </w:r>
      <w:r>
        <w:rPr>
          <w:rFonts w:ascii="DejaVu Sans Mono" w:hAnsi="DejaVu Sans Mono"/>
          <w:sz w:val="16"/>
        </w:rPr>
        <w:br/>
        <w:t>df_fe["price_per_carat"] = df_fe["price"] / df_fe["carat"]</w:t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br/>
        <w:t>cut_order = ["Fair", "Good", "Very Good", "Premium", "Ideal"]</w:t>
      </w:r>
      <w:r>
        <w:rPr>
          <w:rFonts w:ascii="DejaVu Sans Mono" w:hAnsi="DejaVu Sans Mono"/>
          <w:sz w:val="16"/>
        </w:rPr>
        <w:br/>
        <w:t>color_order = ["J", "I", "H", "G", "F", "E", "D"]</w:t>
      </w:r>
      <w:r>
        <w:rPr>
          <w:rFonts w:ascii="DejaVu Sans Mono" w:hAnsi="DejaVu Sans Mono"/>
          <w:sz w:val="16"/>
        </w:rPr>
        <w:br/>
        <w:t>clarity_order = ["I1", "SI2", "SI1", "VS2", "VS1", "VVS2", "VVS1", "IF"]</w:t>
      </w:r>
    </w:p>
    <w:p>
      <w:pPr>
        <w:pStyle w:val="Heading2"/>
      </w:pPr>
      <w:r>
        <w:t>3.2  Final feature set for regression</w:t>
      </w:r>
    </w:p>
    <w:p>
      <w:r>
        <w:t>The regression model uses 10 features: carat, depth, table, x, y, z, volume, cut_enc, color_enc, clarity_enc.</w:t>
      </w:r>
    </w:p>
    <w:p>
      <w:r>
        <w:br w:type="page"/>
      </w:r>
    </w:p>
    <w:p>
      <w:pPr>
        <w:pStyle w:val="Heading1"/>
      </w:pPr>
      <w:r>
        <w:t>4  Supervised Modelling — Price Prediction</w:t>
      </w:r>
    </w:p>
    <w:p>
      <w:pPr>
        <w:pStyle w:val="Heading2"/>
      </w:pPr>
      <w:r>
        <w:t>4.1  Models evaluated</w:t>
      </w:r>
    </w:p>
    <w:p>
      <w:r>
        <w:t>Four regression models were compared using 3-fold cross-validation (on a 6,000-sample subsample for computational efficiency) with R² as the evaluation metric. All models include a StandardScaler step.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Mean CV R²</w:t>
            </w:r>
          </w:p>
        </w:tc>
        <w:tc>
          <w:tcPr>
            <w:tcW w:type="dxa" w:w="288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Std Dev</w:t>
            </w:r>
          </w:p>
        </w:tc>
      </w:tr>
      <w:t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Linear Regression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0.9044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±0.0124</w:t>
            </w:r>
          </w:p>
        </w:tc>
      </w:tr>
      <w:t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Ridge Regression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0.9046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±0.0125</w:t>
            </w:r>
          </w:p>
        </w:tc>
      </w:tr>
      <w:t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0.9711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±0.0027</w:t>
            </w:r>
          </w:p>
        </w:tc>
      </w:tr>
      <w:t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0.9711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±0.0031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5. Cross-validated R² scores for all four regression models. Tree-based models (Random Forest, Gradient Boosting) clearly outperform linear models, capturing the nonlinear price–feature relationships.</w:t>
      </w:r>
    </w:p>
    <w:p>
      <w:pPr>
        <w:pStyle w:val="Heading2"/>
      </w:pPr>
      <w:r>
        <w:t>4.2  Model selection and tuning</w:t>
      </w:r>
    </w:p>
    <w:p>
      <w:r>
        <w:t>Gradient Boosting was selected as the best model with a CV R² of 0.9711. A lightweight grid search was performed: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Optimal value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model__learning_rate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0.1</w:t>
            </w:r>
          </w:p>
        </w:tc>
      </w:tr>
    </w:tbl>
    <w:p>
      <w:pPr>
        <w:spacing w:after="20"/>
      </w:pPr>
    </w:p>
    <w:p>
      <w:pPr>
        <w:pStyle w:val="Heading2"/>
      </w:pPr>
      <w:r>
        <w:t>4.3  Test set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R²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0.9752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RMSE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$621.54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MAE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$345.96</w:t>
            </w:r>
          </w:p>
        </w:tc>
      </w:tr>
    </w:tbl>
    <w:p>
      <w:pPr>
        <w:spacing w:after="20"/>
      </w:pPr>
    </w:p>
    <w:p>
      <w:r>
        <w:t>The Gradient Boosting explains 97.5% of the price variance on held-out test data, with an average prediction error of $346 (MAE).</w:t>
      </w:r>
    </w:p>
    <w:p>
      <w:pPr>
        <w:pStyle w:val="Heading2"/>
      </w:pPr>
      <w:r>
        <w:t>4.4  Actual vs. predicted prices</w:t>
      </w:r>
    </w:p>
    <w:p>
      <w:r>
        <w:drawing>
          <wp:inline xmlns:a="http://schemas.openxmlformats.org/drawingml/2006/main" xmlns:pic="http://schemas.openxmlformats.org/drawingml/2006/picture">
            <wp:extent cx="4572000" cy="4156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6. Actual vs. predicted prices for Gradient Boosting. Points cluster tightly around the diagonal, with some dispersion at higher price points where fewer training samples exist.</w:t>
      </w:r>
    </w:p>
    <w:p>
      <w:pPr>
        <w:pStyle w:val="Heading2"/>
      </w:pPr>
      <w:r>
        <w:t>4.5  Residual analysis</w:t>
      </w:r>
    </w:p>
    <w:p>
      <w:r>
        <w:drawing>
          <wp:inline xmlns:a="http://schemas.openxmlformats.org/drawingml/2006/main" xmlns:pic="http://schemas.openxmlformats.org/drawingml/2006/picture">
            <wp:extent cx="4572000" cy="3325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7. Residual plot showing prediction errors vs. predicted price. The increasing spread at higher prices indicates mild heteroscedasticity, suggesting that predicting premium diamonds is inherently harder.</w:t>
      </w:r>
    </w:p>
    <w:p>
      <w:pPr>
        <w:pStyle w:val="Heading2"/>
      </w:pPr>
      <w:r>
        <w:t>4.6  Feature importance</w:t>
      </w:r>
    </w:p>
    <w:p>
      <w:r>
        <w:drawing>
          <wp:inline xmlns:a="http://schemas.openxmlformats.org/drawingml/2006/main" xmlns:pic="http://schemas.openxmlformats.org/drawingml/2006/picture">
            <wp:extent cx="4572000" cy="3516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8. Feature importances from Gradient Boosting. Carat (and its correlated volume/dimension features) dominates, followed by clarity and color encodings.</w:t>
      </w:r>
    </w:p>
    <w:p>
      <w:r>
        <w:br w:type="page"/>
      </w:r>
    </w:p>
    <w:p>
      <w:pPr>
        <w:pStyle w:val="Heading1"/>
      </w:pPr>
      <w:r>
        <w:t>5  Unsupervised Modelling — Market Segmentation</w:t>
      </w:r>
    </w:p>
    <w:p>
      <w:pPr>
        <w:pStyle w:val="Heading2"/>
      </w:pPr>
      <w:r>
        <w:t>5.1  Clustering approach</w:t>
      </w:r>
    </w:p>
    <w:p>
      <w:r>
        <w:t>K-Means clustering was applied to an 8,000-sample subset using seven features: carat, depth, table, cut_enc, color_enc, clarity_enc, and price_per_carat. All features were standardised before clustering.</w:t>
      </w:r>
    </w:p>
    <w:p>
      <w:pPr>
        <w:pStyle w:val="Heading2"/>
      </w:pPr>
      <w:r>
        <w:t>5.2  Optimal cluster selection</w:t>
      </w:r>
    </w:p>
    <w:p>
      <w:r>
        <w:drawing>
          <wp:inline xmlns:a="http://schemas.openxmlformats.org/drawingml/2006/main" xmlns:pic="http://schemas.openxmlformats.org/drawingml/2006/picture">
            <wp:extent cx="5943600" cy="21613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sele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9. Elbow method (left) and silhouette analysis (right) for selecting the number of clusters. While k = 2 maximises the silhouette score, a 2-segment view has little practical value for merchandising.</w:t>
      </w:r>
    </w:p>
    <w:p>
      <w:r>
        <w:t>The silhouette-optimal k is 2, but a business-informed decision selected k = 4 to provide actionable market segments. The margin between the two was within 0.02, making the trade-off acceptable.</w:t>
      </w:r>
    </w:p>
    <w:p>
      <w:pPr>
        <w:pStyle w:val="Heading2"/>
      </w:pPr>
      <w:r>
        <w:t>5.3  Cluster profiles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tblHeader/>
        </w:trPr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cluster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carat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depth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cut_enc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color_enc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clarity_enc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price_per_carat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99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0.67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60.42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59.89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2.35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3.96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2.55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3304.19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2497.54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1640.0</w:t>
            </w:r>
          </w:p>
        </w:tc>
      </w:tr>
      <w:tr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0.46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61.73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56.07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3.69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3.64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3.9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2883.21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1435.65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2939.0</w:t>
            </w:r>
          </w:p>
        </w:tc>
      </w:tr>
      <w:tr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1.37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61.68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57.46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3.23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2.68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2.69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6414.2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8980.84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2103.0</w:t>
            </w:r>
          </w:p>
        </w:tc>
      </w:tr>
      <w:tr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0.8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63.59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57.33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1.4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3.31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2.33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3544.39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3217.04</w:t>
            </w:r>
          </w:p>
        </w:tc>
        <w:tc>
          <w:tcPr>
            <w:tcW w:type="dxa" w:w="99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1318.0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rofile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10. Cluster profile heatmap showing z-score normalised feature levels (color intensity) with actual mean values annotated. This reveals distinct segment characteristics.</w:t>
      </w:r>
    </w:p>
    <w:p>
      <w:pPr>
        <w:pStyle w:val="Heading2"/>
      </w:pPr>
      <w:r>
        <w:t>5.4  PCA visualization</w:t>
      </w:r>
    </w:p>
    <w:p>
      <w:r>
        <w:drawing>
          <wp:inline xmlns:a="http://schemas.openxmlformats.org/drawingml/2006/main" xmlns:pic="http://schemas.openxmlformats.org/drawingml/2006/picture">
            <wp:extent cx="5029200" cy="42554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11. PCA projection of the 4 clusters. The first two principal components capture the dominant variation (primarily driven by carat/size). Clusters show reasonable separation in this reduced space.</w:t>
      </w:r>
    </w:p>
    <w:p>
      <w:pPr>
        <w:pStyle w:val="Heading2"/>
      </w:pPr>
      <w:r>
        <w:t>5.5  Segment interpretation</w:t>
      </w:r>
    </w:p>
    <w:p>
      <w:r>
        <w:t>Based on the cluster profiles, the four market segments can be characterised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2880"/>
        <w:gridCol w:w="5760"/>
      </w:tblGrid>
      <w:tr>
        <w:trPr>
          <w:tblHeader/>
        </w:trPr>
        <w:tc>
          <w:tcPr>
            <w:tcW w:type="dxa" w:w="1152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Cluster</w:t>
            </w:r>
          </w:p>
        </w:tc>
        <w:tc>
          <w:tcPr>
            <w:tcW w:type="dxa" w:w="288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type="dxa" w:w="576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1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Mid-range standard</w:t>
            </w:r>
          </w:p>
        </w:tc>
        <w:tc>
          <w:tcPr>
            <w:tcW w:type="dxa" w:w="57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Medium carat (~0.67), moderate quality grades, average price-per-carat. The everyday consumer segment.</w:t>
            </w:r>
          </w:p>
        </w:tc>
      </w:tr>
      <w:tr>
        <w:tc>
          <w:tcPr>
            <w:tcW w:type="dxa" w:w="11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Budget small stones</w:t>
            </w:r>
          </w:p>
        </w:tc>
        <w:tc>
          <w:tcPr>
            <w:tcW w:type="dxa" w:w="57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Small carat (~0.46), high cut quality (Ideal-dominant), good clarity. Entry-level, value-oriented buyers.</w:t>
            </w:r>
          </w:p>
        </w:tc>
      </w:tr>
      <w:tr>
        <w:tc>
          <w:tcPr>
            <w:tcW w:type="dxa" w:w="11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Premium large stones</w:t>
            </w:r>
          </w:p>
        </w:tc>
        <w:tc>
          <w:tcPr>
            <w:tcW w:type="dxa" w:w="57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Large carat (~1.37), moderate quality, highest absolute price ($8,981 avg). Luxury/investment segment.</w:t>
            </w:r>
          </w:p>
        </w:tc>
      </w:tr>
      <w:tr>
        <w:tc>
          <w:tcPr>
            <w:tcW w:type="dxa" w:w="11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Deep-cut mid-range</w:t>
            </w:r>
          </w:p>
        </w:tc>
        <w:tc>
          <w:tcPr>
            <w:tcW w:type="dxa" w:w="57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Medium carat (~0.80), deepest depth (63.6%), lower cut quality. Conservative cuts on mid-size stones.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  Integration and Insights</w:t>
      </w:r>
    </w:p>
    <w:p>
      <w:pPr>
        <w:pStyle w:val="Heading2"/>
      </w:pPr>
      <w:r>
        <w:t>6.1  How supervised and unsupervised results complement each other</w:t>
      </w:r>
    </w:p>
    <w:p>
      <w:r>
        <w:t>The regression model quantifies how each attribute contributes to price, while the clustering reveals that the market naturally stratifies into segments with distinct feature profiles. Together, they enable segment-specific pricing strategies: for example, the premium large-stone segment (Cluster 2) shows higher residual variance, suggesting that within that segment, additional factors (brand, certification, fluorescence) likely play a larger role.</w:t>
      </w:r>
    </w:p>
    <w:p>
      <w:pPr>
        <w:pStyle w:val="Heading2"/>
      </w:pPr>
      <w:r>
        <w:t>6.2  Business recommendations</w:t>
      </w:r>
    </w:p>
    <w:p>
      <w:r>
        <w:t>1. Pricing engine: Deploy the Gradient Boosting model as a baseline price estimator for incoming inventory. The $346 MAE provides a useful benchmark for negotiation and listing.</w:t>
      </w:r>
    </w:p>
    <w:p>
      <w:r>
        <w:t>2. Inventory segmentation: Use the 4-cluster segmentation to tailor marketing strategies — budget buyers (Cluster 1) respond to value messaging, while premium buyers (Cluster 2) value rarity and size.</w:t>
      </w:r>
    </w:p>
    <w:p>
      <w:r>
        <w:t>3. Quality vs. size trade-offs: The counter-intuitive EDA finding — that lower-cut grades sometimes show higher mean prices — should be communicated to sales teams with the carat-confound explanation.</w:t>
      </w:r>
    </w:p>
    <w:p>
      <w:r>
        <w:br w:type="page"/>
      </w:r>
    </w:p>
    <w:p>
      <w:pPr>
        <w:pStyle w:val="Heading1"/>
      </w:pPr>
      <w:r>
        <w:t>7  Conclusions and Future Work</w:t>
      </w:r>
    </w:p>
    <w:p>
      <w:pPr>
        <w:pStyle w:val="Heading2"/>
      </w:pPr>
      <w:r>
        <w:t>7.1  Summary</w:t>
      </w:r>
    </w:p>
    <w:p>
      <w:r>
        <w:t>This capstone project delivered a Gradient Boosting regression model achieving R² = 0.9752 on held-out test data, and a K-Means clustering model that identified 4 actionable market segments with a silhouette score of 0.2090. The end-to-end pipeline covers all stages from raw data to insights.</w:t>
      </w:r>
    </w:p>
    <w:p>
      <w:pPr>
        <w:pStyle w:val="Heading2"/>
      </w:pPr>
      <w:r>
        <w:t>7.2  Limitations</w:t>
      </w:r>
    </w:p>
    <w:p>
      <w:r>
        <w:t>• The model does not account for diamond certification body, fluorescence, or cut proportions beyond depth and table.</w:t>
      </w:r>
    </w:p>
    <w:p>
      <w:r>
        <w:t>• Clustering on a subsample may miss rare segments. Full-dataset clustering or mini-batch K-Means could address this.</w:t>
      </w:r>
    </w:p>
    <w:p>
      <w:r>
        <w:t>• Heteroscedasticity in residuals suggests that a log-price model or quantile regression might improve predictions for high-value stones.</w:t>
      </w:r>
    </w:p>
    <w:p>
      <w:pPr>
        <w:pStyle w:val="Heading2"/>
      </w:pPr>
      <w:r>
        <w:t>7.3  Future work</w:t>
      </w:r>
    </w:p>
    <w:p>
      <w:r>
        <w:t>• Incorporate external data (GIA reports, auction records) for richer feature sets.</w:t>
      </w:r>
    </w:p>
    <w:p>
      <w:r>
        <w:t>• Experiment with XGBoost, LightGBM, or neural network regressors.</w:t>
      </w:r>
    </w:p>
    <w:p>
      <w:r>
        <w:t>• Apply DBSCAN or Gaussian Mixture Models for non-spherical cluster discovery.</w:t>
      </w:r>
    </w:p>
    <w:p>
      <w:r>
        <w:t>• Build an interactive dashboard (Streamlit/Dash) for real-time pricing and segment assignment.</w:t>
      </w:r>
    </w:p>
    <w:p>
      <w:r>
        <w:br w:type="page"/>
      </w:r>
    </w:p>
    <w:p>
      <w:pPr>
        <w:pStyle w:val="Heading1"/>
      </w:pPr>
      <w:r>
        <w:t>8  Reproduction and References</w:t>
      </w:r>
    </w:p>
    <w:p>
      <w:pPr>
        <w:pStyle w:val="Heading2"/>
      </w:pPr>
      <w:r>
        <w:t>How to run</w:t>
      </w:r>
    </w:p>
    <w:p>
      <w:pPr>
        <w:spacing w:after="180" w:line="240" w:lineRule="auto"/>
      </w:pPr>
      <w:r>
        <w:rPr>
          <w:rFonts w:ascii="DejaVu Sans Mono" w:hAnsi="DejaVu Sans Mono"/>
          <w:sz w:val="16"/>
        </w:rPr>
        <w:t>python -m venv .venv</w:t>
      </w:r>
      <w:r>
        <w:rPr>
          <w:rFonts w:ascii="DejaVu Sans Mono" w:hAnsi="DejaVu Sans Mono"/>
          <w:sz w:val="16"/>
        </w:rPr>
        <w:br/>
        <w:t># Windows activation</w:t>
      </w:r>
      <w:r>
        <w:rPr>
          <w:rFonts w:ascii="DejaVu Sans Mono" w:hAnsi="DejaVu Sans Mono"/>
          <w:sz w:val="16"/>
        </w:rPr>
        <w:br/>
        <w:t>.venv\Scripts\activate</w:t>
      </w:r>
      <w:r>
        <w:rPr>
          <w:rFonts w:ascii="DejaVu Sans Mono" w:hAnsi="DejaVu Sans Mono"/>
          <w:sz w:val="16"/>
        </w:rPr>
        <w:br/>
        <w:t>pip install -r requirements.txt</w:t>
      </w:r>
      <w:r>
        <w:rPr>
          <w:rFonts w:ascii="DejaVu Sans Mono" w:hAnsi="DejaVu Sans Mono"/>
          <w:sz w:val="16"/>
        </w:rPr>
        <w:br/>
        <w:t>python diamond_capstone.py</w:t>
      </w:r>
      <w:r>
        <w:rPr>
          <w:rFonts w:ascii="DejaVu Sans Mono" w:hAnsi="DejaVu Sans Mono"/>
          <w:sz w:val="16"/>
        </w:rPr>
        <w:br/>
        <w:t>python build_report.py</w:t>
      </w:r>
    </w:p>
    <w:p>
      <w:pPr>
        <w:pStyle w:val="Heading2"/>
      </w:pPr>
      <w:r>
        <w:t>Essential 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184"/>
      </w:tblGrid>
      <w:tr>
        <w:trPr>
          <w:tblHeader/>
        </w:trPr>
        <w:tc>
          <w:tcPr>
            <w:tcW w:type="dxa" w:w="4608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518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Week6_Report.docx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This submission report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diamond_capstone.py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Complete capstone pipeline script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build_report.py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Regenerates this report from saved outputs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results_summary.json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All metrics, parameters, and clustering results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cluster_profile.csv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feature values per cluster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summary_statistics.csv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Descriptive statistics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figures/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All generated plots embedded in this report</w:t>
            </w:r>
          </w:p>
        </w:tc>
      </w:tr>
    </w:tbl>
    <w:p>
      <w:pPr>
        <w:spacing w:after="20"/>
      </w:pPr>
    </w:p>
    <w:p>
      <w:pPr>
        <w:pStyle w:val="Heading2"/>
      </w:pPr>
      <w:r>
        <w:t>References</w:t>
      </w:r>
    </w:p>
    <w:p>
      <w:r>
        <w:rPr>
          <w:sz w:val="17"/>
        </w:rPr>
        <w:t>[1] Wickham, H. (2016). ggplot2: Elegant Graphics for Data Analysis. Springer-Verlag New York. (Original diamonds dataset source.)</w:t>
      </w:r>
    </w:p>
    <w:p>
      <w:r>
        <w:rPr>
          <w:sz w:val="17"/>
        </w:rPr>
        <w:t>[2] scikit-learn documentation: KMeans clustering. https://scikit-learn.org/stable/modules/clustering.html#k-means</w:t>
      </w:r>
    </w:p>
    <w:p>
      <w:r>
        <w:rPr>
          <w:sz w:val="17"/>
        </w:rPr>
        <w:t>[3] scikit-learn documentation: Gradient Boosting Regressor. https://scikit-learn.org/stable/modules/ensemble.html#gradient-boosted-regression-trees</w:t>
      </w:r>
    </w:p>
    <w:p>
      <w:r>
        <w:rPr>
          <w:sz w:val="17"/>
        </w:rPr>
        <w:t>[4] Rousseeuw, P.J. (1987). Silhouettes: a graphical aid to the interpretation and validation of cluster analysis. Journal of Computational and Applied Mathematics, 20, 53–65.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Week 6 report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WEEK 6    |    INTEGRATIVE CAPSTONE — DIAMOND PRICING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Diamond Pricing Analytics — Predictive Pricing and Market Segmentation</dc:title>
  <dc:subject>Week 6 integrative capstone report</dc:subject>
  <dc:creator>Mayank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