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PROJECT RESEARCH &amp; IMPLEMENTATION PLAN</w:t>
      </w:r>
    </w:p>
    <w:p>
      <w:pPr>
        <w:jc w:val="center"/>
      </w:pPr>
      <w:r>
        <w:rPr>
          <w:b/>
          <w:sz w:val="30"/>
        </w:rPr>
        <w:t>Physiology-Based State Estimation and Adaptive Training</w:t>
      </w:r>
    </w:p>
    <w:p>
      <w:pPr>
        <w:jc w:val="center"/>
      </w:pPr>
      <w:r>
        <w:rPr>
          <w:i/>
        </w:rPr>
        <w:t>Detailed sensor selection, signal ranges, filtering, feature rationale, dataset fit, and implementation roadmap</w:t>
        <w:br/>
      </w:r>
      <w:r>
        <w:t>Research-guided implementation based on Bian et al. (2019) and the WESAD dataset • October 2026</w:t>
      </w:r>
    </w:p>
    <w:p>
      <w:r>
        <w:br w:type="page"/>
      </w:r>
    </w:p>
    <w:p>
      <w:pPr>
        <w:pStyle w:val="Heading1"/>
      </w:pPr>
      <w:r>
        <w:t>1. Executive summary</w:t>
      </w:r>
    </w:p>
    <w:p>
      <w:r>
        <w:t>We are building a research-guided pipeline that takes physiological recordings, checks and filters each signal, extracts a small set of interpretable numerical features from fixed time windows, and prepares those features for a machine-learning model. The long-term idea is to support an adaptive virtual-reality training experience: the application could combine task performance with an estimate of a participant’s state and adjust difficulty accordingly.</w:t>
      </w:r>
    </w:p>
    <w:p>
      <w:r>
        <w:t>The target paper is “Design of a Physiology-based Adaptive Virtual Reality Driving Platform for Individuals with ASD” by Bian et al. (2019). The paper used PPG, galvanic skin response (GSR), and respiration. It extracted 10 features per three-minute window and used a Random Forest to classify observer-rated engagement as High or Low.</w:t>
      </w:r>
    </w:p>
    <w:p>
      <w:r>
        <w:t>For development, we are using WESAD because it publicly provides wrist BVP/PPG, electrodermal activity (EDA; closely related to GSR), and chest respiration, alongside protocol labels. However, WESAD labels stress, amusement, meditation, and baseline—not High/Low engagement. Therefore, we can reproduce much of the signal-processing and feature-engineering approach, but cannot honestly claim to reproduce the original engagement model without suitable engagement labels.</w:t>
      </w:r>
    </w:p>
    <w:p>
      <w:r>
        <w:t>Important terminology: PPG is the optical measurement method; BVP is the blood-volume pulse waveform recorded by a PPG sensor. EDA and GSR are commonly used for the same family of skin-conductance measurements. The paper’s exact sensor transducer models are not specified, so this document distinguishes the original paper’s documented setup from our selected WESAD channels.</w:t>
      </w:r>
    </w:p>
    <w:p>
      <w:pPr>
        <w:pStyle w:val="Heading1"/>
      </w:pPr>
      <w:r>
        <w:t>2. Project goal, scope, and outputs</w:t>
      </w:r>
    </w:p>
    <w:p>
      <w:pPr>
        <w:pStyle w:val="Heading2"/>
      </w:pPr>
      <w:r>
        <w:t>2.1 Main goal</w:t>
      </w:r>
    </w:p>
    <w:p>
      <w:r>
        <w:t>Create a reproducible, documented pipeline that: (1) loads the WESAD signals, (2) checks quality and timing, (3) applies modality-specific preprocessing, (4) extracts the reference paper’s 10 feature types where the signals allow, (5) aligns the features to valid WESAD labels, and (6) evaluates a classifier using subject-wise validation.</w:t>
      </w:r>
    </w:p>
    <w:p>
      <w:pPr>
        <w:pStyle w:val="Heading2"/>
      </w:pPr>
      <w:r>
        <w:t>2.2 Deliverables</w:t>
      </w:r>
    </w:p>
    <w:p>
      <w:pPr>
        <w:pStyle w:val="ListBullet"/>
      </w:pPr>
      <w:r>
        <w:t>Raw-versus-filtered plots for each modality, with filter settings recorded.</w:t>
      </w:r>
    </w:p>
    <w:p>
      <w:pPr>
        <w:pStyle w:val="ListBullet"/>
      </w:pPr>
      <w:r>
        <w:t>A quality report that flags suspicious sections without automatically deleting data based only on amplitude.</w:t>
      </w:r>
    </w:p>
    <w:p>
      <w:pPr>
        <w:pStyle w:val="ListBullet"/>
      </w:pPr>
      <w:r>
        <w:t>A feature-definition sheet specifying each formula, unit, window duration, and missing-value rule.</w:t>
      </w:r>
    </w:p>
    <w:p>
      <w:pPr>
        <w:pStyle w:val="ListBullet"/>
      </w:pPr>
      <w:r>
        <w:t>A window-level dataset: one row per subject and time window, with features, subject ID, timestamps, quality flags, and the relevant WESAD label.</w:t>
      </w:r>
    </w:p>
    <w:p>
      <w:pPr>
        <w:pStyle w:val="ListBullet"/>
      </w:pPr>
      <w:r>
        <w:t>A reproducible baseline classifier and subject-wise evaluation report.</w:t>
      </w:r>
    </w:p>
    <w:p>
      <w:pPr>
        <w:pStyle w:val="ListBullet"/>
      </w:pPr>
      <w:r>
        <w:t>A clear comparison between the target paper and our implementation, including every deviation.</w:t>
      </w:r>
    </w:p>
    <w:p>
      <w:pPr>
        <w:pStyle w:val="Heading1"/>
      </w:pPr>
      <w:r>
        <w:t>3. Research paper we are following</w:t>
      </w:r>
    </w:p>
    <w:p>
      <w:r>
        <w:t>Bian, D., Wade, J., Swanson, A., Weitlauf, A., Warren, Z., &amp; Sarkar, N. (2019). “Design of a Physiology-based Adaptive Virtual Reality Driving Platform for Individuals with ASD.” ACM Transactions on Accessible Computing, 12(1), Article 2. DOI: 10.1145/3301498.</w:t>
      </w:r>
    </w:p>
    <w:p>
      <w:r>
        <w:t>Paper PDF: https://cdn.vanderbilt.edu/t2-main/lab-prd/wp-content/uploads/sites/179/2022/09/3301498.pdf</w:t>
      </w:r>
    </w:p>
    <w:p>
      <w:pPr>
        <w:pStyle w:val="Heading2"/>
      </w:pPr>
      <w:r>
        <w:t>3.1 What the paper did</w:t>
      </w:r>
    </w:p>
    <w:p>
      <w:pPr>
        <w:pStyle w:val="ListBullet"/>
      </w:pPr>
      <w:r>
        <w:t>Built a Unity3D virtual driving environment using a Logitech G27 steering wheel.</w:t>
      </w:r>
    </w:p>
    <w:p>
      <w:pPr>
        <w:pStyle w:val="ListBullet"/>
      </w:pPr>
      <w:r>
        <w:t>Recorded PPG at the left middle toe, GSR at the toes, and respiration with a belt around the abdomen.</w:t>
      </w:r>
    </w:p>
    <w:p>
      <w:pPr>
        <w:pStyle w:val="ListBullet"/>
      </w:pPr>
      <w:r>
        <w:t>Used a BIOPAC MP150 acquisition system and recorded physiological signals at 1,000 samples/second.</w:t>
      </w:r>
    </w:p>
    <w:p>
      <w:pPr>
        <w:pStyle w:val="ListBullet"/>
      </w:pPr>
      <w:r>
        <w:t>Preprocessed each modality with different filters, then calculated 10 features over three-minute windows.</w:t>
      </w:r>
    </w:p>
    <w:p>
      <w:pPr>
        <w:pStyle w:val="ListBullet"/>
      </w:pPr>
      <w:r>
        <w:t>Trained several classifiers and reported Random Forest as the best of the compared models, with 84.72% accuracy under participant-grouped 10-fold cross-validation.</w:t>
      </w:r>
    </w:p>
    <w:p>
      <w:pPr>
        <w:pStyle w:val="ListBullet"/>
      </w:pPr>
      <w:r>
        <w:t>Produced a High/Low engagement estimate every three minutes and used it alongside task performance to adapt driving difficulty.</w:t>
      </w:r>
    </w:p>
    <w:p>
      <w:r>
        <w:t>The 84.72% result belongs to the original paper’s data, labels, protocol, and validation setup. It is not a performance target that a WESAD model should be expected to reproduce.</w:t>
      </w:r>
    </w:p>
    <w:p>
      <w:pPr>
        <w:pStyle w:val="Heading1"/>
      </w:pPr>
      <w:r>
        <w:t>4. Sensor plan: what we will use and why</w:t>
      </w:r>
    </w:p>
    <w:p>
      <w:r>
        <w:t>We do not need to purchase physical sensors for the first implementation because we are using recorded WESAD data. The “sensor plan” below means which recorded channels we will use in software. If we later collect our own data, we will need to choose and validate real hardware separately.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440"/>
            <w:vAlign w:val="center"/>
            <w:shd w:fill="D9EAF7"/>
          </w:tcPr>
          <w:p>
            <w:pPr>
              <w:spacing w:after="20"/>
            </w:pPr>
            <w:r/>
            <w:r>
              <w:rPr>
                <w:b/>
                <w:sz w:val="16"/>
              </w:rPr>
              <w:t>Modality</w:t>
            </w:r>
          </w:p>
        </w:tc>
        <w:tc>
          <w:tcPr>
            <w:tcW w:type="dxa" w:w="2376"/>
            <w:vAlign w:val="center"/>
            <w:shd w:fill="D9EAF7"/>
          </w:tcPr>
          <w:p>
            <w:pPr>
              <w:spacing w:after="20"/>
            </w:pPr>
            <w:r/>
            <w:r>
              <w:rPr>
                <w:b/>
                <w:sz w:val="16"/>
              </w:rPr>
              <w:t>Original paper</w:t>
            </w:r>
          </w:p>
        </w:tc>
        <w:tc>
          <w:tcPr>
            <w:tcW w:type="dxa" w:w="2520"/>
            <w:vAlign w:val="center"/>
            <w:shd w:fill="D9EAF7"/>
          </w:tcPr>
          <w:p>
            <w:pPr>
              <w:spacing w:after="20"/>
            </w:pPr>
            <w:r/>
            <w:r>
              <w:rPr>
                <w:b/>
                <w:sz w:val="16"/>
              </w:rPr>
              <w:t>Selected WESAD channel for this project</w:t>
            </w:r>
          </w:p>
        </w:tc>
        <w:tc>
          <w:tcPr>
            <w:tcW w:type="dxa" w:w="1080"/>
            <w:vAlign w:val="center"/>
            <w:shd w:fill="D9EAF7"/>
          </w:tcPr>
          <w:p>
            <w:pPr>
              <w:spacing w:after="20"/>
            </w:pPr>
            <w:r/>
            <w:r>
              <w:rPr>
                <w:b/>
                <w:sz w:val="16"/>
              </w:rPr>
              <w:t>Sampling rate</w:t>
            </w:r>
          </w:p>
        </w:tc>
        <w:tc>
          <w:tcPr>
            <w:tcW w:type="dxa" w:w="2880"/>
            <w:vAlign w:val="center"/>
            <w:shd w:fill="D9EAF7"/>
          </w:tcPr>
          <w:p>
            <w:pPr>
              <w:spacing w:after="20"/>
            </w:pPr>
            <w:r/>
            <w:r>
              <w:rPr>
                <w:b/>
                <w:sz w:val="16"/>
              </w:rPr>
              <w:t>Why we use it</w:t>
            </w:r>
          </w:p>
        </w:tc>
      </w:tr>
      <w:tr>
        <w:tc>
          <w:tcPr>
            <w:tcW w:type="dxa" w:w="1440"/>
            <w:vAlign w:val="center"/>
          </w:tcPr>
          <w:p>
            <w:pPr>
              <w:spacing w:after="20"/>
            </w:pPr>
            <w:r/>
            <w:r>
              <w:rPr>
                <w:b w:val="0"/>
                <w:sz w:val="16"/>
              </w:rPr>
              <w:t>PPG / BVP</w:t>
            </w:r>
          </w:p>
        </w:tc>
        <w:tc>
          <w:tcPr>
            <w:tcW w:type="dxa" w:w="2376"/>
            <w:vAlign w:val="center"/>
          </w:tcPr>
          <w:p>
            <w:pPr>
              <w:spacing w:after="20"/>
            </w:pPr>
            <w:r/>
            <w:r>
              <w:rPr>
                <w:b w:val="0"/>
                <w:sz w:val="16"/>
              </w:rPr>
              <w:t>PPG at left middle toe; exact transducer model not stated</w:t>
            </w:r>
          </w:p>
        </w:tc>
        <w:tc>
          <w:tcPr>
            <w:tcW w:type="dxa" w:w="2520"/>
            <w:vAlign w:val="center"/>
          </w:tcPr>
          <w:p>
            <w:pPr>
              <w:spacing w:after="20"/>
            </w:pPr>
            <w:r/>
            <w:r>
              <w:rPr>
                <w:b w:val="0"/>
                <w:sz w:val="16"/>
              </w:rPr>
              <w:t>Empatica E4 wrist BVP in S2.pkl</w:t>
            </w:r>
          </w:p>
        </w:tc>
        <w:tc>
          <w:tcPr>
            <w:tcW w:type="dxa" w:w="1080"/>
            <w:vAlign w:val="center"/>
          </w:tcPr>
          <w:p>
            <w:pPr>
              <w:spacing w:after="20"/>
            </w:pPr>
            <w:r/>
            <w:r>
              <w:rPr>
                <w:b w:val="0"/>
                <w:sz w:val="16"/>
              </w:rPr>
              <w:t>64 Hz</w:t>
            </w:r>
          </w:p>
        </w:tc>
        <w:tc>
          <w:tcPr>
            <w:tcW w:type="dxa" w:w="2880"/>
            <w:vAlign w:val="center"/>
          </w:tcPr>
          <w:p>
            <w:pPr>
              <w:spacing w:after="20"/>
            </w:pPr>
            <w:r/>
            <w:r>
              <w:rPr>
                <w:b w:val="0"/>
                <w:sz w:val="16"/>
              </w:rPr>
              <w:t>Pulse waveform provides beat timing and pulse-shape information. It is our first implementation stage.</w:t>
            </w:r>
          </w:p>
        </w:tc>
      </w:tr>
      <w:tr>
        <w:tc>
          <w:tcPr>
            <w:tcW w:type="dxa" w:w="1440"/>
            <w:vAlign w:val="center"/>
          </w:tcPr>
          <w:p>
            <w:pPr>
              <w:spacing w:after="20"/>
            </w:pPr>
            <w:r/>
            <w:r>
              <w:rPr>
                <w:b w:val="0"/>
                <w:sz w:val="16"/>
              </w:rPr>
              <w:t>Respiration (RSP)</w:t>
            </w:r>
          </w:p>
        </w:tc>
        <w:tc>
          <w:tcPr>
            <w:tcW w:type="dxa" w:w="2376"/>
            <w:vAlign w:val="center"/>
          </w:tcPr>
          <w:p>
            <w:pPr>
              <w:spacing w:after="20"/>
            </w:pPr>
            <w:r/>
            <w:r>
              <w:rPr>
                <w:b w:val="0"/>
                <w:sz w:val="16"/>
              </w:rPr>
              <w:t>Respiration belt around abdomen; exact belt model not stated</w:t>
            </w:r>
          </w:p>
        </w:tc>
        <w:tc>
          <w:tcPr>
            <w:tcW w:type="dxa" w:w="2520"/>
            <w:vAlign w:val="center"/>
          </w:tcPr>
          <w:p>
            <w:pPr>
              <w:spacing w:after="20"/>
            </w:pPr>
            <w:r/>
            <w:r>
              <w:rPr>
                <w:b w:val="0"/>
                <w:sz w:val="16"/>
              </w:rPr>
              <w:t>RespiBAN chest RESP channel</w:t>
            </w:r>
          </w:p>
        </w:tc>
        <w:tc>
          <w:tcPr>
            <w:tcW w:type="dxa" w:w="1080"/>
            <w:vAlign w:val="center"/>
          </w:tcPr>
          <w:p>
            <w:pPr>
              <w:spacing w:after="20"/>
            </w:pPr>
            <w:r/>
            <w:r>
              <w:rPr>
                <w:b w:val="0"/>
                <w:sz w:val="16"/>
              </w:rPr>
              <w:t>700 Hz</w:t>
            </w:r>
          </w:p>
        </w:tc>
        <w:tc>
          <w:tcPr>
            <w:tcW w:type="dxa" w:w="2880"/>
            <w:vAlign w:val="center"/>
          </w:tcPr>
          <w:p>
            <w:pPr>
              <w:spacing w:after="20"/>
            </w:pPr>
            <w:r/>
            <w:r>
              <w:rPr>
                <w:b w:val="0"/>
                <w:sz w:val="16"/>
              </w:rPr>
              <w:t>Breathing rhythm and breath amplitude can change with effort, stress, and state.</w:t>
            </w:r>
          </w:p>
        </w:tc>
      </w:tr>
      <w:tr>
        <w:tc>
          <w:tcPr>
            <w:tcW w:type="dxa" w:w="1440"/>
            <w:vAlign w:val="center"/>
          </w:tcPr>
          <w:p>
            <w:pPr>
              <w:spacing w:after="20"/>
            </w:pPr>
            <w:r/>
            <w:r>
              <w:rPr>
                <w:b w:val="0"/>
                <w:sz w:val="16"/>
              </w:rPr>
              <w:t>EDA / GSR</w:t>
            </w:r>
          </w:p>
        </w:tc>
        <w:tc>
          <w:tcPr>
            <w:tcW w:type="dxa" w:w="2376"/>
            <w:vAlign w:val="center"/>
          </w:tcPr>
          <w:p>
            <w:pPr>
              <w:spacing w:after="20"/>
            </w:pPr>
            <w:r/>
            <w:r>
              <w:rPr>
                <w:b w:val="0"/>
                <w:sz w:val="16"/>
              </w:rPr>
              <w:t>GSR electrodes at toes; exact transducer model not stated</w:t>
            </w:r>
          </w:p>
        </w:tc>
        <w:tc>
          <w:tcPr>
            <w:tcW w:type="dxa" w:w="2520"/>
            <w:vAlign w:val="center"/>
          </w:tcPr>
          <w:p>
            <w:pPr>
              <w:spacing w:after="20"/>
            </w:pPr>
            <w:r/>
            <w:r>
              <w:rPr>
                <w:b w:val="0"/>
                <w:sz w:val="16"/>
              </w:rPr>
              <w:t>Primary recommendation: Empatica E4 wrist EDA</w:t>
            </w:r>
          </w:p>
        </w:tc>
        <w:tc>
          <w:tcPr>
            <w:tcW w:type="dxa" w:w="1080"/>
            <w:vAlign w:val="center"/>
          </w:tcPr>
          <w:p>
            <w:pPr>
              <w:spacing w:after="20"/>
            </w:pPr>
            <w:r/>
            <w:r>
              <w:rPr>
                <w:b w:val="0"/>
                <w:sz w:val="16"/>
              </w:rPr>
              <w:t>4 Hz</w:t>
            </w:r>
          </w:p>
        </w:tc>
        <w:tc>
          <w:tcPr>
            <w:tcW w:type="dxa" w:w="2880"/>
            <w:vAlign w:val="center"/>
          </w:tcPr>
          <w:p>
            <w:pPr>
              <w:spacing w:after="20"/>
            </w:pPr>
            <w:r/>
            <w:r>
              <w:rPr>
                <w:b w:val="0"/>
                <w:sz w:val="16"/>
              </w:rPr>
              <w:t>Skin conductance reflects sympathetic arousal and supports tonic/phasic response features.</w:t>
            </w:r>
          </w:p>
        </w:tc>
      </w:tr>
      <w:tr>
        <w:tc>
          <w:tcPr>
            <w:tcW w:type="dxa" w:w="1440"/>
            <w:vAlign w:val="center"/>
          </w:tcPr>
          <w:p>
            <w:pPr>
              <w:spacing w:after="20"/>
            </w:pPr>
            <w:r/>
            <w:r>
              <w:rPr>
                <w:b w:val="0"/>
                <w:sz w:val="16"/>
              </w:rPr>
              <w:t>Optional supporting channel</w:t>
            </w:r>
          </w:p>
        </w:tc>
        <w:tc>
          <w:tcPr>
            <w:tcW w:type="dxa" w:w="2376"/>
            <w:vAlign w:val="center"/>
          </w:tcPr>
          <w:p>
            <w:pPr>
              <w:spacing w:after="20"/>
            </w:pPr>
            <w:r/>
            <w:r>
              <w:rPr>
                <w:b w:val="0"/>
                <w:sz w:val="16"/>
              </w:rPr>
              <w:t>Not one of the paper’s 10 features</w:t>
            </w:r>
          </w:p>
        </w:tc>
        <w:tc>
          <w:tcPr>
            <w:tcW w:type="dxa" w:w="2520"/>
            <w:vAlign w:val="center"/>
          </w:tcPr>
          <w:p>
            <w:pPr>
              <w:spacing w:after="20"/>
            </w:pPr>
            <w:r/>
            <w:r>
              <w:rPr>
                <w:b w:val="0"/>
                <w:sz w:val="16"/>
              </w:rPr>
              <w:t>RespiBAN ECG or wrist accelerometer</w:t>
            </w:r>
          </w:p>
        </w:tc>
        <w:tc>
          <w:tcPr>
            <w:tcW w:type="dxa" w:w="1080"/>
            <w:vAlign w:val="center"/>
          </w:tcPr>
          <w:p>
            <w:pPr>
              <w:spacing w:after="20"/>
            </w:pPr>
            <w:r/>
            <w:r>
              <w:rPr>
                <w:b w:val="0"/>
                <w:sz w:val="16"/>
              </w:rPr>
              <w:t>ECG 700 Hz; accelerometer 32 Hz</w:t>
            </w:r>
          </w:p>
        </w:tc>
        <w:tc>
          <w:tcPr>
            <w:tcW w:type="dxa" w:w="2880"/>
            <w:vAlign w:val="center"/>
          </w:tcPr>
          <w:p>
            <w:pPr>
              <w:spacing w:after="20"/>
            </w:pPr>
            <w:r/>
            <w:r>
              <w:rPr>
                <w:b w:val="0"/>
                <w:sz w:val="16"/>
              </w:rPr>
              <w:t>ECG can help validate beat timing; accelerometer can help identify motion-related BVP artefacts. Keep these as quality/context channels, not silently add them to the 10-feature reproduction.</w:t>
            </w:r>
          </w:p>
        </w:tc>
      </w:tr>
    </w:tbl>
    <w:p/>
    <w:p>
      <w:r>
        <w:t>WESAD sensor details are from the dataset documentation and paper. The original paper did not give enough information to name an exact PPG/GSR transducer model; we should not invent one.</w:t>
      </w:r>
    </w:p>
    <w:p>
      <w:pPr>
        <w:pStyle w:val="Heading2"/>
      </w:pPr>
      <w:r>
        <w:t>4.1 Why begin with wrist BVP only?</w:t>
      </w:r>
    </w:p>
    <w:p>
      <w:r>
        <w:t>Starting with one channel makes it easier to debug the data loader, sample-rate assumptions, filter behaviour, peak detection, and feature calculations. If we add three modalities immediately, an error in a final feature table could come from any of those stages. The PPG-first phase is an engineering strategy, not a claim that PPG alone captures engagement.</w:t>
      </w:r>
    </w:p>
    <w:p>
      <w:pPr>
        <w:pStyle w:val="Heading2"/>
      </w:pPr>
      <w:r>
        <w:t>4.2 EDA selection: wrist or chest?</w:t>
      </w:r>
    </w:p>
    <w:p>
      <w:r>
        <w:t>WESAD provides EDA on the Empatica E4 wrist device at 4 Hz and an EDA-related channel on the RespiBAN at 700 Hz. They differ in sensor location, acquisition hardware, sample rate, and potentially signal scaling. We will use wrist EDA as the primary channel for the first multimodal version because it is part of the same wrist wearable as BVP and is straightforward to access. We will not concatenate or interchange the two EDA channels without a separately documented comparison.</w:t>
      </w:r>
    </w:p>
    <w:p>
      <w:pPr>
        <w:pStyle w:val="Heading2"/>
      </w:pPr>
      <w:r>
        <w:t>4.3 Physical sensor ranges versus signal-processing frequency ranges</w:t>
      </w:r>
    </w:p>
    <w:p>
      <w:r>
        <w:t>A critical distinction: 1.1–3.6 Hz is a digital filter passband, not the PPG sensor’s hardware measurement range. It describes which temporal frequency components we retain in the recorded waveform. Sensor hardware range, sample rate, measurement units, and digital filter passband are different specifications.</w:t>
      </w:r>
    </w:p>
    <w:p>
      <w:r>
        <w:t>For this dataset, the practical limits are the recorded channel and its sampling rate. At 64 Hz, wrist BVP has a Nyquist frequency of 32 Hz. At 4 Hz, wrist EDA has a Nyquist frequency of 2 Hz. At 700 Hz, chest respiration and EDA have a Nyquist frequency of 350 Hz. A digital filter cannot retain meaningful information above the Nyquist frequency, and resampling upward does not recover information that was never measured.</w:t>
      </w:r>
    </w:p>
    <w:p>
      <w:pPr>
        <w:pStyle w:val="Heading1"/>
      </w:pPr>
      <w:r>
        <w:t>5. Signal preprocessing: ranges and exact rationale</w:t>
      </w:r>
    </w:p>
    <w:p>
      <w:r>
        <w:t>The reference paper’s cutoffs are our starting reference, not universal laws. The paper says its cutoffs were selected empirically for its BIOPAC recordings and may not transfer directly to another dataset. We will compare the paper settings with WESAD-appropriate settings and keep the setting that is justified by signal inspection and the feature objective.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224"/>
            <w:vAlign w:val="center"/>
            <w:shd w:fill="D9EAF7"/>
          </w:tcPr>
          <w:p>
            <w:pPr>
              <w:spacing w:after="20"/>
            </w:pPr>
            <w:r/>
            <w:r>
              <w:rPr>
                <w:b/>
                <w:sz w:val="16"/>
              </w:rPr>
              <w:t>Signal</w:t>
            </w:r>
          </w:p>
        </w:tc>
        <w:tc>
          <w:tcPr>
            <w:tcW w:type="dxa" w:w="2448"/>
            <w:vAlign w:val="center"/>
            <w:shd w:fill="D9EAF7"/>
          </w:tcPr>
          <w:p>
            <w:pPr>
              <w:spacing w:after="20"/>
            </w:pPr>
            <w:r/>
            <w:r>
              <w:rPr>
                <w:b/>
                <w:sz w:val="16"/>
              </w:rPr>
              <w:t>Reference paper filter / processing</w:t>
            </w:r>
          </w:p>
        </w:tc>
        <w:tc>
          <w:tcPr>
            <w:tcW w:type="dxa" w:w="3096"/>
            <w:vAlign w:val="center"/>
            <w:shd w:fill="D9EAF7"/>
          </w:tcPr>
          <w:p>
            <w:pPr>
              <w:spacing w:after="20"/>
            </w:pPr>
            <w:r/>
            <w:r>
              <w:rPr>
                <w:b/>
                <w:sz w:val="16"/>
              </w:rPr>
              <w:t>What the range means</w:t>
            </w:r>
          </w:p>
        </w:tc>
        <w:tc>
          <w:tcPr>
            <w:tcW w:type="dxa" w:w="3456"/>
            <w:vAlign w:val="center"/>
            <w:shd w:fill="D9EAF7"/>
          </w:tcPr>
          <w:p>
            <w:pPr>
              <w:spacing w:after="20"/>
            </w:pPr>
            <w:r/>
            <w:r>
              <w:rPr>
                <w:b/>
                <w:sz w:val="16"/>
              </w:rPr>
              <w:t>Our implementation rule</w:t>
            </w:r>
          </w:p>
        </w:tc>
      </w:tr>
      <w:tr>
        <w:tc>
          <w:tcPr>
            <w:tcW w:type="dxa" w:w="1224"/>
            <w:vAlign w:val="center"/>
          </w:tcPr>
          <w:p>
            <w:pPr>
              <w:spacing w:after="20"/>
            </w:pPr>
            <w:r/>
            <w:r>
              <w:rPr>
                <w:b w:val="0"/>
                <w:sz w:val="16"/>
              </w:rPr>
              <w:t>PPG</w:t>
            </w:r>
          </w:p>
        </w:tc>
        <w:tc>
          <w:tcPr>
            <w:tcW w:type="dxa" w:w="2448"/>
            <w:vAlign w:val="center"/>
          </w:tcPr>
          <w:p>
            <w:pPr>
              <w:spacing w:after="20"/>
            </w:pPr>
            <w:r/>
            <w:r>
              <w:rPr>
                <w:b w:val="0"/>
                <w:sz w:val="16"/>
              </w:rPr>
              <w:t>High-pass 1.1 Hz + low-pass 3.6 Hz = band-pass 1.1–3.6 Hz</w:t>
            </w:r>
          </w:p>
        </w:tc>
        <w:tc>
          <w:tcPr>
            <w:tcW w:type="dxa" w:w="3096"/>
            <w:vAlign w:val="center"/>
          </w:tcPr>
          <w:p>
            <w:pPr>
              <w:spacing w:after="20"/>
            </w:pPr>
            <w:r/>
            <w:r>
              <w:rPr>
                <w:b w:val="0"/>
                <w:sz w:val="16"/>
              </w:rPr>
              <w:t>Retains a pulse-related band and suppresses slower baseline drift and faster noise. This range is in cycles/second (Hz), not sensor amplitude.</w:t>
            </w:r>
          </w:p>
        </w:tc>
        <w:tc>
          <w:tcPr>
            <w:tcW w:type="dxa" w:w="3456"/>
            <w:vAlign w:val="center"/>
          </w:tcPr>
          <w:p>
            <w:pPr>
              <w:spacing w:after="20"/>
            </w:pPr>
            <w:r/>
            <w:r>
              <w:rPr>
                <w:b w:val="0"/>
                <w:sz w:val="16"/>
              </w:rPr>
              <w:t>For 64 Hz wrist BVP, compare 0.5–4 Hz, 0.7–4 Hz, 1.1–3.6 Hz (paper reference), and 0.5–8 Hz. Inspect wave shape and peak stability before choosing.</w:t>
            </w:r>
          </w:p>
        </w:tc>
      </w:tr>
      <w:tr>
        <w:tc>
          <w:tcPr>
            <w:tcW w:type="dxa" w:w="1224"/>
            <w:vAlign w:val="center"/>
          </w:tcPr>
          <w:p>
            <w:pPr>
              <w:spacing w:after="20"/>
            </w:pPr>
            <w:r/>
            <w:r>
              <w:rPr>
                <w:b w:val="0"/>
                <w:sz w:val="16"/>
              </w:rPr>
              <w:t>Respiration</w:t>
            </w:r>
          </w:p>
        </w:tc>
        <w:tc>
          <w:tcPr>
            <w:tcW w:type="dxa" w:w="2448"/>
            <w:vAlign w:val="center"/>
          </w:tcPr>
          <w:p>
            <w:pPr>
              <w:spacing w:after="20"/>
            </w:pPr>
            <w:r/>
            <w:r>
              <w:rPr>
                <w:b w:val="0"/>
                <w:sz w:val="16"/>
              </w:rPr>
              <w:t>High-pass 0.05 Hz + low-pass 0.35 Hz = band-pass 0.05–0.35 Hz</w:t>
            </w:r>
          </w:p>
        </w:tc>
        <w:tc>
          <w:tcPr>
            <w:tcW w:type="dxa" w:w="3096"/>
            <w:vAlign w:val="center"/>
          </w:tcPr>
          <w:p>
            <w:pPr>
              <w:spacing w:after="20"/>
            </w:pPr>
            <w:r/>
            <w:r>
              <w:rPr>
                <w:b w:val="0"/>
                <w:sz w:val="16"/>
              </w:rPr>
              <w:t>Corresponds to about 3–21 cycles/minute because Hz × 60 = cycles/minute. It retains slow breathing oscillations while rejecting drift and faster components.</w:t>
            </w:r>
          </w:p>
        </w:tc>
        <w:tc>
          <w:tcPr>
            <w:tcW w:type="dxa" w:w="3456"/>
            <w:vAlign w:val="center"/>
          </w:tcPr>
          <w:p>
            <w:pPr>
              <w:spacing w:after="20"/>
            </w:pPr>
            <w:r/>
            <w:r>
              <w:rPr>
                <w:b w:val="0"/>
                <w:sz w:val="16"/>
              </w:rPr>
              <w:t>Use as an initial candidate on RESP, then inspect the actual WESAD channel and test whether the filter preserves plausible breaths. Do not assume all respiration sensors have identical scaling.</w:t>
            </w:r>
          </w:p>
        </w:tc>
      </w:tr>
      <w:tr>
        <w:tc>
          <w:tcPr>
            <w:tcW w:type="dxa" w:w="1224"/>
            <w:vAlign w:val="center"/>
          </w:tcPr>
          <w:p>
            <w:pPr>
              <w:spacing w:after="20"/>
            </w:pPr>
            <w:r/>
            <w:r>
              <w:rPr>
                <w:b w:val="0"/>
                <w:sz w:val="16"/>
              </w:rPr>
              <w:t>EDA / GSR</w:t>
            </w:r>
          </w:p>
        </w:tc>
        <w:tc>
          <w:tcPr>
            <w:tcW w:type="dxa" w:w="2448"/>
            <w:vAlign w:val="center"/>
          </w:tcPr>
          <w:p>
            <w:pPr>
              <w:spacing w:after="20"/>
            </w:pPr>
            <w:r/>
            <w:r>
              <w:rPr>
                <w:b w:val="0"/>
                <w:sz w:val="16"/>
              </w:rPr>
              <w:t>Low-pass 0.5 Hz; tonic component obtained using a 0.05 Hz high-pass operation as described in the paper; phasic = preprocessed GSR − tonic</w:t>
            </w:r>
          </w:p>
        </w:tc>
        <w:tc>
          <w:tcPr>
            <w:tcW w:type="dxa" w:w="3096"/>
            <w:vAlign w:val="center"/>
          </w:tcPr>
          <w:p>
            <w:pPr>
              <w:spacing w:after="20"/>
            </w:pPr>
            <w:r/>
            <w:r>
              <w:rPr>
                <w:b w:val="0"/>
                <w:sz w:val="16"/>
              </w:rPr>
              <w:t>EDA changes more slowly than the pulse waveform. Low-pass filtering suppresses faster noise. Tonic activity is the slow baseline; phasic activity captures faster responses relative to it.</w:t>
            </w:r>
          </w:p>
        </w:tc>
        <w:tc>
          <w:tcPr>
            <w:tcW w:type="dxa" w:w="3456"/>
            <w:vAlign w:val="center"/>
          </w:tcPr>
          <w:p>
            <w:pPr>
              <w:spacing w:after="20"/>
            </w:pPr>
            <w:r/>
            <w:r>
              <w:rPr>
                <w:b w:val="0"/>
                <w:sz w:val="16"/>
              </w:rPr>
              <w:t>For wrist EDA at 4 Hz, 0.5 Hz is below Nyquist (2 Hz), so it is numerically possible. Validate the decomposition and avoid over-interpreting individual peaks at only 4 samples/sec.</w:t>
            </w:r>
          </w:p>
        </w:tc>
      </w:tr>
      <w:tr>
        <w:tc>
          <w:tcPr>
            <w:tcW w:type="dxa" w:w="1224"/>
            <w:vAlign w:val="center"/>
          </w:tcPr>
          <w:p>
            <w:pPr>
              <w:spacing w:after="20"/>
            </w:pPr>
            <w:r/>
            <w:r>
              <w:rPr>
                <w:b w:val="0"/>
                <w:sz w:val="16"/>
              </w:rPr>
              <w:t>All original signals</w:t>
            </w:r>
          </w:p>
        </w:tc>
        <w:tc>
          <w:tcPr>
            <w:tcW w:type="dxa" w:w="2448"/>
            <w:vAlign w:val="center"/>
          </w:tcPr>
          <w:p>
            <w:pPr>
              <w:spacing w:after="20"/>
            </w:pPr>
            <w:r/>
            <w:r>
              <w:rPr>
                <w:b w:val="0"/>
                <w:sz w:val="16"/>
              </w:rPr>
              <w:t>60 Hz notch; 1,000 Hz downsampled to 100 Hz after preprocessing</w:t>
            </w:r>
          </w:p>
        </w:tc>
        <w:tc>
          <w:tcPr>
            <w:tcW w:type="dxa" w:w="3096"/>
            <w:vAlign w:val="center"/>
          </w:tcPr>
          <w:p>
            <w:pPr>
              <w:spacing w:after="20"/>
            </w:pPr>
            <w:r/>
            <w:r>
              <w:rPr>
                <w:b w:val="0"/>
                <w:sz w:val="16"/>
              </w:rPr>
              <w:t>A notch removes a narrow mains-frequency component; downsampling reduces data volume after appropriate anti-alias filtering.</w:t>
            </w:r>
          </w:p>
        </w:tc>
        <w:tc>
          <w:tcPr>
            <w:tcW w:type="dxa" w:w="3456"/>
            <w:vAlign w:val="center"/>
          </w:tcPr>
          <w:p>
            <w:pPr>
              <w:spacing w:after="20"/>
            </w:pPr>
            <w:r/>
            <w:r>
              <w:rPr>
                <w:b w:val="0"/>
                <w:sz w:val="16"/>
              </w:rPr>
              <w:t>Do NOT apply the original 60 Hz notch to 64 Hz BVP: Nyquist is 32 Hz. Do not resample 64 Hz BVP to 100 Hz as if it creates new information. Keep each WESAD channel at its documented native rate initially.</w:t>
            </w:r>
          </w:p>
        </w:tc>
      </w:tr>
    </w:tbl>
    <w:p/>
    <w:p>
      <w:pPr>
        <w:pStyle w:val="Heading2"/>
      </w:pPr>
      <w:r>
        <w:t>5.1 Why do we filter at all?</w:t>
      </w:r>
    </w:p>
    <w:p>
      <w:pPr>
        <w:pStyle w:val="ListBullet"/>
      </w:pPr>
      <w:r>
        <w:t>Baseline drift can make the waveform move up and down slowly, confusing peak amplitude and local-trough calculations.</w:t>
      </w:r>
    </w:p>
    <w:p>
      <w:pPr>
        <w:pStyle w:val="ListBullet"/>
      </w:pPr>
      <w:r>
        <w:t>High-frequency noise can create false peaks and inflate amplitude variability.</w:t>
      </w:r>
    </w:p>
    <w:p>
      <w:pPr>
        <w:pStyle w:val="ListBullet"/>
      </w:pPr>
      <w:r>
        <w:t>A signal-specific filter preserves the physiological time scale of interest. Pulse, breathing, and skin conductance do not vary at the same speed.</w:t>
      </w:r>
    </w:p>
    <w:p>
      <w:pPr>
        <w:pStyle w:val="ListBullet"/>
      </w:pPr>
      <w:r>
        <w:t>Filtering is not a magic artefact remover. Motion artefacts can overlap the physiological frequency range, so visual checks and quality flags remain necessary.</w:t>
      </w:r>
    </w:p>
    <w:p>
      <w:pPr>
        <w:pStyle w:val="Heading2"/>
      </w:pPr>
      <w:r>
        <w:t>5.2 Outlier handling</w:t>
      </w:r>
    </w:p>
    <w:p>
      <w:r>
        <w:t>The original paper reports detecting/removing outliers and interpolating affected values. Our first implementation should be conservative: calculate robust flags (for example, using local differences or robust deviation), plot the flagged points, and retain a copy of the untouched raw signal. Do not delete a sample just because its amplitude is large. A real pulse can be large, and an artefact can have moderate amplitude. If interpolation is used, record the fraction and duration of affected samples.</w:t>
      </w:r>
    </w:p>
    <w:p>
      <w:pPr>
        <w:pStyle w:val="Heading2"/>
      </w:pPr>
      <w:r>
        <w:t>5.3 Sample rate and filter implementation</w:t>
      </w:r>
    </w:p>
    <w:p>
      <w:r>
        <w:t>Digital filters must be designed using the correct sampling rate for each channel. For example, a 3.6 Hz low-pass cutoff is valid for 64 Hz BVP because it is below the 32 Hz Nyquist limit. For EDA at 4 Hz, every cutoff must be below 2 Hz. When resampling, apply suitable anti-alias filtering first. Never treat a higher interpolated sample count as additional measured physiological detail.</w:t>
      </w:r>
    </w:p>
    <w:p>
      <w:pPr>
        <w:pStyle w:val="Heading1"/>
      </w:pPr>
      <w:r>
        <w:t>6. Why exactly these 10 features?</w:t>
      </w:r>
    </w:p>
    <w:p>
      <w:r>
        <w:t>The original paper groups 10 features across three modalities: two from PPG, five from respiration, and three from GSR. These features compress a three-minute signal into a manageable numerical summary. They were chosen to represent different aspects of the physiological response—beat timing, pulse amplitude, breathing level/variability/regularity, and skin-conductance response/tonic level/trend—without feeding every raw sample into the classifier.</w:t>
      </w:r>
    </w:p>
    <w:p>
      <w:r>
        <w:t>The paper’s feature set is the target specification. Where the paper does not fully define an implementation detail (such as the exact peak detector or spectral-entropy normalization), we must write down our operational definition and mark it as an implementation choice rather than claiming it is the authors’ exact code.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504"/>
            <w:vAlign w:val="center"/>
            <w:shd w:fill="D9EAF7"/>
          </w:tcPr>
          <w:p>
            <w:pPr>
              <w:spacing w:after="20"/>
            </w:pPr>
            <w:r/>
            <w:r>
              <w:rPr>
                <w:b/>
                <w:sz w:val="16"/>
              </w:rPr>
              <w:t>No.</w:t>
            </w:r>
          </w:p>
        </w:tc>
        <w:tc>
          <w:tcPr>
            <w:tcW w:type="dxa" w:w="1080"/>
            <w:vAlign w:val="center"/>
            <w:shd w:fill="D9EAF7"/>
          </w:tcPr>
          <w:p>
            <w:pPr>
              <w:spacing w:after="20"/>
            </w:pPr>
            <w:r/>
            <w:r>
              <w:rPr>
                <w:b/>
                <w:sz w:val="16"/>
              </w:rPr>
              <w:t>Signal</w:t>
            </w:r>
          </w:p>
        </w:tc>
        <w:tc>
          <w:tcPr>
            <w:tcW w:type="dxa" w:w="1800"/>
            <w:vAlign w:val="center"/>
            <w:shd w:fill="D9EAF7"/>
          </w:tcPr>
          <w:p>
            <w:pPr>
              <w:spacing w:after="20"/>
            </w:pPr>
            <w:r/>
            <w:r>
              <w:rPr>
                <w:b/>
                <w:sz w:val="16"/>
              </w:rPr>
              <w:t>Feature from the paper</w:t>
            </w:r>
          </w:p>
        </w:tc>
        <w:tc>
          <w:tcPr>
            <w:tcW w:type="dxa" w:w="3672"/>
            <w:vAlign w:val="center"/>
            <w:shd w:fill="D9EAF7"/>
          </w:tcPr>
          <w:p>
            <w:pPr>
              <w:spacing w:after="20"/>
            </w:pPr>
            <w:r/>
            <w:r>
              <w:rPr>
                <w:b/>
                <w:sz w:val="16"/>
              </w:rPr>
              <w:t>How we operationalize it</w:t>
            </w:r>
          </w:p>
        </w:tc>
        <w:tc>
          <w:tcPr>
            <w:tcW w:type="dxa" w:w="3240"/>
            <w:vAlign w:val="center"/>
            <w:shd w:fill="D9EAF7"/>
          </w:tcPr>
          <w:p>
            <w:pPr>
              <w:spacing w:after="20"/>
            </w:pPr>
            <w:r/>
            <w:r>
              <w:rPr>
                <w:b/>
                <w:sz w:val="16"/>
              </w:rPr>
              <w:t>Why it can be useful / caveat</w:t>
            </w:r>
          </w:p>
        </w:tc>
      </w:tr>
      <w:tr>
        <w:tc>
          <w:tcPr>
            <w:tcW w:type="dxa" w:w="504"/>
            <w:vAlign w:val="center"/>
          </w:tcPr>
          <w:p>
            <w:pPr>
              <w:spacing w:after="20"/>
            </w:pPr>
            <w:r/>
            <w:r>
              <w:rPr>
                <w:b w:val="0"/>
                <w:sz w:val="16"/>
              </w:rPr>
              <w:t>1</w:t>
            </w:r>
          </w:p>
        </w:tc>
        <w:tc>
          <w:tcPr>
            <w:tcW w:type="dxa" w:w="1080"/>
            <w:vAlign w:val="center"/>
          </w:tcPr>
          <w:p>
            <w:pPr>
              <w:spacing w:after="20"/>
            </w:pPr>
            <w:r/>
            <w:r>
              <w:rPr>
                <w:b w:val="0"/>
                <w:sz w:val="16"/>
              </w:rPr>
              <w:t>PPG</w:t>
            </w:r>
          </w:p>
        </w:tc>
        <w:tc>
          <w:tcPr>
            <w:tcW w:type="dxa" w:w="1800"/>
            <w:vAlign w:val="center"/>
          </w:tcPr>
          <w:p>
            <w:pPr>
              <w:spacing w:after="20"/>
            </w:pPr>
            <w:r/>
            <w:r>
              <w:rPr>
                <w:b w:val="0"/>
                <w:sz w:val="16"/>
              </w:rPr>
              <w:t>Mean HRV (ms)</w:t>
            </w:r>
          </w:p>
        </w:tc>
        <w:tc>
          <w:tcPr>
            <w:tcW w:type="dxa" w:w="3672"/>
            <w:vAlign w:val="center"/>
          </w:tcPr>
          <w:p>
            <w:pPr>
              <w:spacing w:after="20"/>
            </w:pPr>
            <w:r/>
            <w:r>
              <w:rPr>
                <w:b w:val="0"/>
                <w:sz w:val="16"/>
              </w:rPr>
              <w:t>Detect pulse peaks; calculate inter-beat intervals (IBIs) in ms; calculate the defined interval-variability metric for the window. The exact metric must be checked against the paper’s terminology before finalizing.</w:t>
            </w:r>
          </w:p>
        </w:tc>
        <w:tc>
          <w:tcPr>
            <w:tcW w:type="dxa" w:w="3240"/>
            <w:vAlign w:val="center"/>
          </w:tcPr>
          <w:p>
            <w:pPr>
              <w:spacing w:after="20"/>
            </w:pPr>
            <w:r/>
            <w:r>
              <w:rPr>
                <w:b w:val="0"/>
                <w:sz w:val="16"/>
              </w:rPr>
              <w:t>Beat timing varies with autonomic activity. Mean IBI itself is not the same as HRV; do not label mean IBI as HRV unless the chosen formula actually measures variability.</w:t>
            </w:r>
          </w:p>
        </w:tc>
      </w:tr>
      <w:tr>
        <w:tc>
          <w:tcPr>
            <w:tcW w:type="dxa" w:w="504"/>
            <w:vAlign w:val="center"/>
          </w:tcPr>
          <w:p>
            <w:pPr>
              <w:spacing w:after="20"/>
            </w:pPr>
            <w:r/>
            <w:r>
              <w:rPr>
                <w:b w:val="0"/>
                <w:sz w:val="16"/>
              </w:rPr>
              <w:t>2</w:t>
            </w:r>
          </w:p>
        </w:tc>
        <w:tc>
          <w:tcPr>
            <w:tcW w:type="dxa" w:w="1080"/>
            <w:vAlign w:val="center"/>
          </w:tcPr>
          <w:p>
            <w:pPr>
              <w:spacing w:after="20"/>
            </w:pPr>
            <w:r/>
            <w:r>
              <w:rPr>
                <w:b w:val="0"/>
                <w:sz w:val="16"/>
              </w:rPr>
              <w:t>PPG</w:t>
            </w:r>
          </w:p>
        </w:tc>
        <w:tc>
          <w:tcPr>
            <w:tcW w:type="dxa" w:w="1800"/>
            <w:vAlign w:val="center"/>
          </w:tcPr>
          <w:p>
            <w:pPr>
              <w:spacing w:after="20"/>
            </w:pPr>
            <w:r/>
            <w:r>
              <w:rPr>
                <w:b w:val="0"/>
                <w:sz w:val="16"/>
              </w:rPr>
              <w:t>Mean peak amplitude</w:t>
            </w:r>
          </w:p>
        </w:tc>
        <w:tc>
          <w:tcPr>
            <w:tcW w:type="dxa" w:w="3672"/>
            <w:vAlign w:val="center"/>
          </w:tcPr>
          <w:p>
            <w:pPr>
              <w:spacing w:after="20"/>
            </w:pPr>
            <w:r/>
            <w:r>
              <w:rPr>
                <w:b w:val="0"/>
                <w:sz w:val="16"/>
              </w:rPr>
              <w:t>For each accepted pulse peak, measure its amplitude relative to a defined local trough/baseline; average valid pulse amplitudes in the window.</w:t>
            </w:r>
          </w:p>
        </w:tc>
        <w:tc>
          <w:tcPr>
            <w:tcW w:type="dxa" w:w="3240"/>
            <w:vAlign w:val="center"/>
          </w:tcPr>
          <w:p>
            <w:pPr>
              <w:spacing w:after="20"/>
            </w:pPr>
            <w:r/>
            <w:r>
              <w:rPr>
                <w:b w:val="0"/>
                <w:sz w:val="16"/>
              </w:rPr>
              <w:t>Pulse amplitude can reflect waveform shape and peripheral blood-volume changes, but is sensitive to sensor fit, placement, movement, and device scaling. WESAD BVP units must not be called µV without calibration.</w:t>
            </w:r>
          </w:p>
        </w:tc>
      </w:tr>
      <w:tr>
        <w:tc>
          <w:tcPr>
            <w:tcW w:type="dxa" w:w="504"/>
            <w:vAlign w:val="center"/>
          </w:tcPr>
          <w:p>
            <w:pPr>
              <w:spacing w:after="20"/>
            </w:pPr>
            <w:r/>
            <w:r>
              <w:rPr>
                <w:b w:val="0"/>
                <w:sz w:val="16"/>
              </w:rPr>
              <w:t>3</w:t>
            </w:r>
          </w:p>
        </w:tc>
        <w:tc>
          <w:tcPr>
            <w:tcW w:type="dxa" w:w="1080"/>
            <w:vAlign w:val="center"/>
          </w:tcPr>
          <w:p>
            <w:pPr>
              <w:spacing w:after="20"/>
            </w:pPr>
            <w:r/>
            <w:r>
              <w:rPr>
                <w:b w:val="0"/>
                <w:sz w:val="16"/>
              </w:rPr>
              <w:t>Respiration</w:t>
            </w:r>
          </w:p>
        </w:tc>
        <w:tc>
          <w:tcPr>
            <w:tcW w:type="dxa" w:w="1800"/>
            <w:vAlign w:val="center"/>
          </w:tcPr>
          <w:p>
            <w:pPr>
              <w:spacing w:after="20"/>
            </w:pPr>
            <w:r/>
            <w:r>
              <w:rPr>
                <w:b w:val="0"/>
                <w:sz w:val="16"/>
              </w:rPr>
              <w:t>Mean amplitude</w:t>
            </w:r>
          </w:p>
        </w:tc>
        <w:tc>
          <w:tcPr>
            <w:tcW w:type="dxa" w:w="3672"/>
            <w:vAlign w:val="center"/>
          </w:tcPr>
          <w:p>
            <w:pPr>
              <w:spacing w:after="20"/>
            </w:pPr>
            <w:r/>
            <w:r>
              <w:rPr>
                <w:b w:val="0"/>
                <w:sz w:val="16"/>
              </w:rPr>
              <w:t>Detect valid breaths or use a documented breath-cycle segmentation; calculate the mean breath amplitude over the window.</w:t>
            </w:r>
          </w:p>
        </w:tc>
        <w:tc>
          <w:tcPr>
            <w:tcW w:type="dxa" w:w="3240"/>
            <w:vAlign w:val="center"/>
          </w:tcPr>
          <w:p>
            <w:pPr>
              <w:spacing w:after="20"/>
            </w:pPr>
            <w:r/>
            <w:r>
              <w:rPr>
                <w:b w:val="0"/>
                <w:sz w:val="16"/>
              </w:rPr>
              <w:t>Summarizes average breathing excursion. It is sensor- and preprocessing-dependent, so the unit must be taken from the actual channel documentation.</w:t>
            </w:r>
          </w:p>
        </w:tc>
      </w:tr>
      <w:tr>
        <w:tc>
          <w:tcPr>
            <w:tcW w:type="dxa" w:w="504"/>
            <w:vAlign w:val="center"/>
          </w:tcPr>
          <w:p>
            <w:pPr>
              <w:spacing w:after="20"/>
            </w:pPr>
            <w:r/>
            <w:r>
              <w:rPr>
                <w:b w:val="0"/>
                <w:sz w:val="16"/>
              </w:rPr>
              <w:t>4</w:t>
            </w:r>
          </w:p>
        </w:tc>
        <w:tc>
          <w:tcPr>
            <w:tcW w:type="dxa" w:w="1080"/>
            <w:vAlign w:val="center"/>
          </w:tcPr>
          <w:p>
            <w:pPr>
              <w:spacing w:after="20"/>
            </w:pPr>
            <w:r/>
            <w:r>
              <w:rPr>
                <w:b w:val="0"/>
                <w:sz w:val="16"/>
              </w:rPr>
              <w:t>Respiration</w:t>
            </w:r>
          </w:p>
        </w:tc>
        <w:tc>
          <w:tcPr>
            <w:tcW w:type="dxa" w:w="1800"/>
            <w:vAlign w:val="center"/>
          </w:tcPr>
          <w:p>
            <w:pPr>
              <w:spacing w:after="20"/>
            </w:pPr>
            <w:r/>
            <w:r>
              <w:rPr>
                <w:b w:val="0"/>
                <w:sz w:val="16"/>
              </w:rPr>
              <w:t>Standard deviation of amplitude</w:t>
            </w:r>
          </w:p>
        </w:tc>
        <w:tc>
          <w:tcPr>
            <w:tcW w:type="dxa" w:w="3672"/>
            <w:vAlign w:val="center"/>
          </w:tcPr>
          <w:p>
            <w:pPr>
              <w:spacing w:after="20"/>
            </w:pPr>
            <w:r/>
            <w:r>
              <w:rPr>
                <w:b w:val="0"/>
                <w:sz w:val="16"/>
              </w:rPr>
              <w:t>Calculate the standard deviation of valid breath amplitudes in the window.</w:t>
            </w:r>
          </w:p>
        </w:tc>
        <w:tc>
          <w:tcPr>
            <w:tcW w:type="dxa" w:w="3240"/>
            <w:vAlign w:val="center"/>
          </w:tcPr>
          <w:p>
            <w:pPr>
              <w:spacing w:after="20"/>
            </w:pPr>
            <w:r/>
            <w:r>
              <w:rPr>
                <w:b w:val="0"/>
                <w:sz w:val="16"/>
              </w:rPr>
              <w:t>Captures whether breathing depth is relatively consistent or variable. It can also rise due to motion or poor belt contact.</w:t>
            </w:r>
          </w:p>
        </w:tc>
      </w:tr>
      <w:tr>
        <w:tc>
          <w:tcPr>
            <w:tcW w:type="dxa" w:w="504"/>
            <w:vAlign w:val="center"/>
          </w:tcPr>
          <w:p>
            <w:pPr>
              <w:spacing w:after="20"/>
            </w:pPr>
            <w:r/>
            <w:r>
              <w:rPr>
                <w:b w:val="0"/>
                <w:sz w:val="16"/>
              </w:rPr>
              <w:t>5</w:t>
            </w:r>
          </w:p>
        </w:tc>
        <w:tc>
          <w:tcPr>
            <w:tcW w:type="dxa" w:w="1080"/>
            <w:vAlign w:val="center"/>
          </w:tcPr>
          <w:p>
            <w:pPr>
              <w:spacing w:after="20"/>
            </w:pPr>
            <w:r/>
            <w:r>
              <w:rPr>
                <w:b w:val="0"/>
                <w:sz w:val="16"/>
              </w:rPr>
              <w:t>Respiration</w:t>
            </w:r>
          </w:p>
        </w:tc>
        <w:tc>
          <w:tcPr>
            <w:tcW w:type="dxa" w:w="1800"/>
            <w:vAlign w:val="center"/>
          </w:tcPr>
          <w:p>
            <w:pPr>
              <w:spacing w:after="20"/>
            </w:pPr>
            <w:r/>
            <w:r>
              <w:rPr>
                <w:b w:val="0"/>
                <w:sz w:val="16"/>
              </w:rPr>
              <w:t>Spectral entropy in 0.05–0.35 Hz</w:t>
            </w:r>
          </w:p>
        </w:tc>
        <w:tc>
          <w:tcPr>
            <w:tcW w:type="dxa" w:w="3672"/>
            <w:vAlign w:val="center"/>
          </w:tcPr>
          <w:p>
            <w:pPr>
              <w:spacing w:after="20"/>
            </w:pPr>
            <w:r/>
            <w:r>
              <w:rPr>
                <w:b w:val="0"/>
                <w:sz w:val="16"/>
              </w:rPr>
              <w:t>Estimate the power spectrum, retain the 0.05–0.35 Hz band, normalize the spectral power to a probability distribution, and calculate entropy using a documented log base/normalization.</w:t>
            </w:r>
          </w:p>
        </w:tc>
        <w:tc>
          <w:tcPr>
            <w:tcW w:type="dxa" w:w="3240"/>
            <w:vAlign w:val="center"/>
          </w:tcPr>
          <w:p>
            <w:pPr>
              <w:spacing w:after="20"/>
            </w:pPr>
            <w:r/>
            <w:r>
              <w:rPr>
                <w:b w:val="0"/>
                <w:sz w:val="16"/>
              </w:rPr>
              <w:t>Measures how concentrated or spread out breathing power is in the target band. More concentrated rhythmic breathing and more distributed breathing can have different entropy, but entropy is not a direct stress or engagement score.</w:t>
            </w:r>
          </w:p>
        </w:tc>
      </w:tr>
      <w:tr>
        <w:tc>
          <w:tcPr>
            <w:tcW w:type="dxa" w:w="504"/>
            <w:vAlign w:val="center"/>
          </w:tcPr>
          <w:p>
            <w:pPr>
              <w:spacing w:after="20"/>
            </w:pPr>
            <w:r/>
            <w:r>
              <w:rPr>
                <w:b w:val="0"/>
                <w:sz w:val="16"/>
              </w:rPr>
              <w:t>6</w:t>
            </w:r>
          </w:p>
        </w:tc>
        <w:tc>
          <w:tcPr>
            <w:tcW w:type="dxa" w:w="1080"/>
            <w:vAlign w:val="center"/>
          </w:tcPr>
          <w:p>
            <w:pPr>
              <w:spacing w:after="20"/>
            </w:pPr>
            <w:r/>
            <w:r>
              <w:rPr>
                <w:b w:val="0"/>
                <w:sz w:val="16"/>
              </w:rPr>
              <w:t>Respiration</w:t>
            </w:r>
          </w:p>
        </w:tc>
        <w:tc>
          <w:tcPr>
            <w:tcW w:type="dxa" w:w="1800"/>
            <w:vAlign w:val="center"/>
          </w:tcPr>
          <w:p>
            <w:pPr>
              <w:spacing w:after="20"/>
            </w:pPr>
            <w:r/>
            <w:r>
              <w:rPr>
                <w:b w:val="0"/>
                <w:sz w:val="16"/>
              </w:rPr>
              <w:t>Mean peak–valley magnitude</w:t>
            </w:r>
          </w:p>
        </w:tc>
        <w:tc>
          <w:tcPr>
            <w:tcW w:type="dxa" w:w="3672"/>
            <w:vAlign w:val="center"/>
          </w:tcPr>
          <w:p>
            <w:pPr>
              <w:spacing w:after="20"/>
            </w:pPr>
            <w:r/>
            <w:r>
              <w:rPr>
                <w:b w:val="0"/>
                <w:sz w:val="16"/>
              </w:rPr>
              <w:t>Identify valid consecutive respiratory peaks and valleys; calculate the peak-to-valley difference for each breath; average those differences.</w:t>
            </w:r>
          </w:p>
        </w:tc>
        <w:tc>
          <w:tcPr>
            <w:tcW w:type="dxa" w:w="3240"/>
            <w:vAlign w:val="center"/>
          </w:tcPr>
          <w:p>
            <w:pPr>
              <w:spacing w:after="20"/>
            </w:pPr>
            <w:r/>
            <w:r>
              <w:rPr>
                <w:b w:val="0"/>
                <w:sz w:val="16"/>
              </w:rPr>
              <w:t>Represents average breath excursion using a cycle-based measure. Results depend on how peaks, valleys, and incomplete breaths are handled.</w:t>
            </w:r>
          </w:p>
        </w:tc>
      </w:tr>
      <w:tr>
        <w:tc>
          <w:tcPr>
            <w:tcW w:type="dxa" w:w="504"/>
            <w:vAlign w:val="center"/>
          </w:tcPr>
          <w:p>
            <w:pPr>
              <w:spacing w:after="20"/>
            </w:pPr>
            <w:r/>
            <w:r>
              <w:rPr>
                <w:b w:val="0"/>
                <w:sz w:val="16"/>
              </w:rPr>
              <w:t>7</w:t>
            </w:r>
          </w:p>
        </w:tc>
        <w:tc>
          <w:tcPr>
            <w:tcW w:type="dxa" w:w="1080"/>
            <w:vAlign w:val="center"/>
          </w:tcPr>
          <w:p>
            <w:pPr>
              <w:spacing w:after="20"/>
            </w:pPr>
            <w:r/>
            <w:r>
              <w:rPr>
                <w:b w:val="0"/>
                <w:sz w:val="16"/>
              </w:rPr>
              <w:t>Respiration</w:t>
            </w:r>
          </w:p>
        </w:tc>
        <w:tc>
          <w:tcPr>
            <w:tcW w:type="dxa" w:w="1800"/>
            <w:vAlign w:val="center"/>
          </w:tcPr>
          <w:p>
            <w:pPr>
              <w:spacing w:after="20"/>
            </w:pPr>
            <w:r/>
            <w:r>
              <w:rPr>
                <w:b w:val="0"/>
                <w:sz w:val="16"/>
              </w:rPr>
              <w:t>Standard deviation of peak–valley magnitude</w:t>
            </w:r>
          </w:p>
        </w:tc>
        <w:tc>
          <w:tcPr>
            <w:tcW w:type="dxa" w:w="3672"/>
            <w:vAlign w:val="center"/>
          </w:tcPr>
          <w:p>
            <w:pPr>
              <w:spacing w:after="20"/>
            </w:pPr>
            <w:r/>
            <w:r>
              <w:rPr>
                <w:b w:val="0"/>
                <w:sz w:val="16"/>
              </w:rPr>
              <w:t>Calculate the standard deviation of the valid peak-to-valley differences.</w:t>
            </w:r>
          </w:p>
        </w:tc>
        <w:tc>
          <w:tcPr>
            <w:tcW w:type="dxa" w:w="3240"/>
            <w:vAlign w:val="center"/>
          </w:tcPr>
          <w:p>
            <w:pPr>
              <w:spacing w:after="20"/>
            </w:pPr>
            <w:r/>
            <w:r>
              <w:rPr>
                <w:b w:val="0"/>
                <w:sz w:val="16"/>
              </w:rPr>
              <w:t>Captures variability in breath depth across cycles; artefacts and segmentation mistakes can inflate it.</w:t>
            </w:r>
          </w:p>
        </w:tc>
      </w:tr>
      <w:tr>
        <w:tc>
          <w:tcPr>
            <w:tcW w:type="dxa" w:w="504"/>
            <w:vAlign w:val="center"/>
          </w:tcPr>
          <w:p>
            <w:pPr>
              <w:spacing w:after="20"/>
            </w:pPr>
            <w:r/>
            <w:r>
              <w:rPr>
                <w:b w:val="0"/>
                <w:sz w:val="16"/>
              </w:rPr>
              <w:t>8</w:t>
            </w:r>
          </w:p>
        </w:tc>
        <w:tc>
          <w:tcPr>
            <w:tcW w:type="dxa" w:w="1080"/>
            <w:vAlign w:val="center"/>
          </w:tcPr>
          <w:p>
            <w:pPr>
              <w:spacing w:after="20"/>
            </w:pPr>
            <w:r/>
            <w:r>
              <w:rPr>
                <w:b w:val="0"/>
                <w:sz w:val="16"/>
              </w:rPr>
              <w:t>EDA / GSR</w:t>
            </w:r>
          </w:p>
        </w:tc>
        <w:tc>
          <w:tcPr>
            <w:tcW w:type="dxa" w:w="1800"/>
            <w:vAlign w:val="center"/>
          </w:tcPr>
          <w:p>
            <w:pPr>
              <w:spacing w:after="20"/>
            </w:pPr>
            <w:r/>
            <w:r>
              <w:rPr>
                <w:b w:val="0"/>
                <w:sz w:val="16"/>
              </w:rPr>
              <w:t>Phasic response peak rate (responses/sec)</w:t>
            </w:r>
          </w:p>
        </w:tc>
        <w:tc>
          <w:tcPr>
            <w:tcW w:type="dxa" w:w="3672"/>
            <w:vAlign w:val="center"/>
          </w:tcPr>
          <w:p>
            <w:pPr>
              <w:spacing w:after="20"/>
            </w:pPr>
            <w:r/>
            <w:r>
              <w:rPr>
                <w:b w:val="0"/>
                <w:sz w:val="16"/>
              </w:rPr>
              <w:t>Separate phasic activity from tonic level using a documented decomposition; detect valid phasic response peaks; divide the count by valid window duration in seconds.</w:t>
            </w:r>
          </w:p>
        </w:tc>
        <w:tc>
          <w:tcPr>
            <w:tcW w:type="dxa" w:w="3240"/>
            <w:vAlign w:val="center"/>
          </w:tcPr>
          <w:p>
            <w:pPr>
              <w:spacing w:after="20"/>
            </w:pPr>
            <w:r/>
            <w:r>
              <w:rPr>
                <w:b w:val="0"/>
                <w:sz w:val="16"/>
              </w:rPr>
              <w:t>Summarizes how frequently faster skin-conductance responses occur. At wrist EDA 4 Hz, response timing is coarse, so thresholds and detection sensitivity require validation.</w:t>
            </w:r>
          </w:p>
        </w:tc>
      </w:tr>
      <w:tr>
        <w:tc>
          <w:tcPr>
            <w:tcW w:type="dxa" w:w="504"/>
            <w:vAlign w:val="center"/>
          </w:tcPr>
          <w:p>
            <w:pPr>
              <w:spacing w:after="20"/>
            </w:pPr>
            <w:r/>
            <w:r>
              <w:rPr>
                <w:b w:val="0"/>
                <w:sz w:val="16"/>
              </w:rPr>
              <w:t>9</w:t>
            </w:r>
          </w:p>
        </w:tc>
        <w:tc>
          <w:tcPr>
            <w:tcW w:type="dxa" w:w="1080"/>
            <w:vAlign w:val="center"/>
          </w:tcPr>
          <w:p>
            <w:pPr>
              <w:spacing w:after="20"/>
            </w:pPr>
            <w:r/>
            <w:r>
              <w:rPr>
                <w:b w:val="0"/>
                <w:sz w:val="16"/>
              </w:rPr>
              <w:t>EDA / GSR</w:t>
            </w:r>
          </w:p>
        </w:tc>
        <w:tc>
          <w:tcPr>
            <w:tcW w:type="dxa" w:w="1800"/>
            <w:vAlign w:val="center"/>
          </w:tcPr>
          <w:p>
            <w:pPr>
              <w:spacing w:after="20"/>
            </w:pPr>
            <w:r/>
            <w:r>
              <w:rPr>
                <w:b w:val="0"/>
                <w:sz w:val="16"/>
              </w:rPr>
              <w:t>Standard deviation of tonic activity</w:t>
            </w:r>
          </w:p>
        </w:tc>
        <w:tc>
          <w:tcPr>
            <w:tcW w:type="dxa" w:w="3672"/>
            <w:vAlign w:val="center"/>
          </w:tcPr>
          <w:p>
            <w:pPr>
              <w:spacing w:after="20"/>
            </w:pPr>
            <w:r/>
            <w:r>
              <w:rPr>
                <w:b w:val="0"/>
                <w:sz w:val="16"/>
              </w:rPr>
              <w:t>Estimate the slow tonic component and calculate its standard deviation within the window.</w:t>
            </w:r>
          </w:p>
        </w:tc>
        <w:tc>
          <w:tcPr>
            <w:tcW w:type="dxa" w:w="3240"/>
            <w:vAlign w:val="center"/>
          </w:tcPr>
          <w:p>
            <w:pPr>
              <w:spacing w:after="20"/>
            </w:pPr>
            <w:r/>
            <w:r>
              <w:rPr>
                <w:b w:val="0"/>
                <w:sz w:val="16"/>
              </w:rPr>
              <w:t>Captures variation in the slower conductance level, rather than the short-lived response peaks. It depends on the decomposition method.</w:t>
            </w:r>
          </w:p>
        </w:tc>
      </w:tr>
      <w:tr>
        <w:tc>
          <w:tcPr>
            <w:tcW w:type="dxa" w:w="504"/>
            <w:vAlign w:val="center"/>
          </w:tcPr>
          <w:p>
            <w:pPr>
              <w:spacing w:after="20"/>
            </w:pPr>
            <w:r/>
            <w:r>
              <w:rPr>
                <w:b w:val="0"/>
                <w:sz w:val="16"/>
              </w:rPr>
              <w:t>10</w:t>
            </w:r>
          </w:p>
        </w:tc>
        <w:tc>
          <w:tcPr>
            <w:tcW w:type="dxa" w:w="1080"/>
            <w:vAlign w:val="center"/>
          </w:tcPr>
          <w:p>
            <w:pPr>
              <w:spacing w:after="20"/>
            </w:pPr>
            <w:r/>
            <w:r>
              <w:rPr>
                <w:b w:val="0"/>
                <w:sz w:val="16"/>
              </w:rPr>
              <w:t>EDA / GSR</w:t>
            </w:r>
          </w:p>
        </w:tc>
        <w:tc>
          <w:tcPr>
            <w:tcW w:type="dxa" w:w="1800"/>
            <w:vAlign w:val="center"/>
          </w:tcPr>
          <w:p>
            <w:pPr>
              <w:spacing w:after="20"/>
            </w:pPr>
            <w:r/>
            <w:r>
              <w:rPr>
                <w:b w:val="0"/>
                <w:sz w:val="16"/>
              </w:rPr>
              <w:t>Tonic activity slope (µS/sec in original setup)</w:t>
            </w:r>
          </w:p>
        </w:tc>
        <w:tc>
          <w:tcPr>
            <w:tcW w:type="dxa" w:w="3672"/>
            <w:vAlign w:val="center"/>
          </w:tcPr>
          <w:p>
            <w:pPr>
              <w:spacing w:after="20"/>
            </w:pPr>
            <w:r/>
            <w:r>
              <w:rPr>
                <w:b w:val="0"/>
                <w:sz w:val="16"/>
              </w:rPr>
              <w:t>Fit a straight line to tonic activity against time within the window; use the slope in conductance units per second when the channel is calibrated in µS.</w:t>
            </w:r>
          </w:p>
        </w:tc>
        <w:tc>
          <w:tcPr>
            <w:tcW w:type="dxa" w:w="3240"/>
            <w:vAlign w:val="center"/>
          </w:tcPr>
          <w:p>
            <w:pPr>
              <w:spacing w:after="20"/>
            </w:pPr>
            <w:r/>
            <w:r>
              <w:rPr>
                <w:b w:val="0"/>
                <w:sz w:val="16"/>
              </w:rPr>
              <w:t>Shows whether tonic conductance trends upward or downward over the window. For WESAD wrist EDA, confirm the units and scaling before reporting µS/sec.</w:t>
            </w:r>
          </w:p>
        </w:tc>
      </w:tr>
    </w:tbl>
    <w:p/>
    <w:p>
      <w:pPr>
        <w:pStyle w:val="Heading2"/>
      </w:pPr>
      <w:r>
        <w:t>6.1 Why not use hundreds of features?</w:t>
      </w:r>
    </w:p>
    <w:p>
      <w:r>
        <w:t>The aim is to stay close to the reference study and keep the model interpretable. A fixed set of 10 features also makes it easier to compare signal modalities and explain what the model receives. We may later test additional features as a separate extension, but they must not be mixed into the paper-inspired baseline without reporting that change.</w:t>
      </w:r>
    </w:p>
    <w:p>
      <w:pPr>
        <w:pStyle w:val="Heading2"/>
      </w:pPr>
      <w:r>
        <w:t>6.2 Why use three-minute windows?</w:t>
      </w:r>
    </w:p>
    <w:p>
      <w:r>
        <w:t>The original study used three-minute intervals for observer engagement ratings and model updates. Keeping 180-second windows makes the feature table and baseline-normalization procedure comparable in structure. It is not proof that three minutes is optimal for every WESAD task. We should also check how the WESAD protocol labels align with the window boundaries and exclude mixed/transient windows according to a predefined rule.</w:t>
      </w:r>
    </w:p>
    <w:p>
      <w:pPr>
        <w:pStyle w:val="Heading2"/>
      </w:pPr>
      <w:r>
        <w:t>6.3 Why use baseline differences?</w:t>
      </w:r>
    </w:p>
    <w:p>
      <w:r>
        <w:t>The original online procedure used an initial three-minute baseline and subtracted baseline feature values from later windows. This attempts to represent change relative to the individual’s own starting state, rather than treating everyone’s absolute physiology as identical. In WESAD, baseline normalization is an experiment to test—not an automatic assumption. Use only valid baseline data from the same subject, avoid using test-set information to fit global transformations, and compare normalized versus unnormalized results.</w:t>
      </w:r>
    </w:p>
    <w:p>
      <w:pPr>
        <w:pStyle w:val="Heading1"/>
      </w:pPr>
      <w:r>
        <w:t>7. WESAD dataset and its own research paper</w:t>
      </w:r>
    </w:p>
    <w:p>
      <w:r>
        <w:t>Dataset name: WESAD — Wearable Stress and Affect Detection.</w:t>
      </w:r>
    </w:p>
    <w:p>
      <w:r>
        <w:t>Dataset paper: Schmidt, P., Reiss, A., Dürichen, R., Marberger, C., &amp; Van Laerhoven, K. (2018). “Introducing WESAD, a multimodal dataset for Wearable Stress and Affect Detection.” Proceedings of the 20th ACM International Conference on Multimodal Interaction, pp. 400–408. DOI: 10.1145/3242969.3242985.</w:t>
      </w:r>
    </w:p>
    <w:p>
      <w:r>
        <w:t>Official dataset page: https://ubi29.informatik.uni-siegen.de/usi/data_wesad.html</w:t>
      </w:r>
    </w:p>
    <w:p>
      <w:r>
        <w:t>Paper PDF: https://www.eti.uni-siegen.de/ubicomp/papers/ubi_icmi2018.pdf</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376"/>
            <w:vAlign w:val="center"/>
            <w:shd w:fill="D9EAF7"/>
          </w:tcPr>
          <w:p>
            <w:pPr>
              <w:spacing w:after="20"/>
            </w:pPr>
            <w:r/>
            <w:r>
              <w:rPr>
                <w:b/>
                <w:sz w:val="16"/>
              </w:rPr>
              <w:t>WESAD channel/device</w:t>
            </w:r>
          </w:p>
        </w:tc>
        <w:tc>
          <w:tcPr>
            <w:tcW w:type="dxa" w:w="1080"/>
            <w:vAlign w:val="center"/>
            <w:shd w:fill="D9EAF7"/>
          </w:tcPr>
          <w:p>
            <w:pPr>
              <w:spacing w:after="20"/>
            </w:pPr>
            <w:r/>
            <w:r>
              <w:rPr>
                <w:b/>
                <w:sz w:val="16"/>
              </w:rPr>
              <w:t>Sampling rate</w:t>
            </w:r>
          </w:p>
        </w:tc>
        <w:tc>
          <w:tcPr>
            <w:tcW w:type="dxa" w:w="3168"/>
            <w:vAlign w:val="center"/>
            <w:shd w:fill="D9EAF7"/>
          </w:tcPr>
          <w:p>
            <w:pPr>
              <w:spacing w:after="20"/>
            </w:pPr>
            <w:r/>
            <w:r>
              <w:rPr>
                <w:b/>
                <w:sz w:val="16"/>
              </w:rPr>
              <w:t>Use in our plan</w:t>
            </w:r>
          </w:p>
        </w:tc>
        <w:tc>
          <w:tcPr>
            <w:tcW w:type="dxa" w:w="3528"/>
            <w:vAlign w:val="center"/>
            <w:shd w:fill="D9EAF7"/>
          </w:tcPr>
          <w:p>
            <w:pPr>
              <w:spacing w:after="20"/>
            </w:pPr>
            <w:r/>
            <w:r>
              <w:rPr>
                <w:b/>
                <w:sz w:val="16"/>
              </w:rPr>
              <w:t>Important note</w:t>
            </w:r>
          </w:p>
        </w:tc>
      </w:tr>
      <w:tr>
        <w:tc>
          <w:tcPr>
            <w:tcW w:type="dxa" w:w="2376"/>
            <w:vAlign w:val="center"/>
          </w:tcPr>
          <w:p>
            <w:pPr>
              <w:spacing w:after="20"/>
            </w:pPr>
            <w:r/>
            <w:r>
              <w:rPr>
                <w:b w:val="0"/>
                <w:sz w:val="16"/>
              </w:rPr>
              <w:t>Empatica E4 wrist BVP</w:t>
            </w:r>
          </w:p>
        </w:tc>
        <w:tc>
          <w:tcPr>
            <w:tcW w:type="dxa" w:w="1080"/>
            <w:vAlign w:val="center"/>
          </w:tcPr>
          <w:p>
            <w:pPr>
              <w:spacing w:after="20"/>
            </w:pPr>
            <w:r/>
            <w:r>
              <w:rPr>
                <w:b w:val="0"/>
                <w:sz w:val="16"/>
              </w:rPr>
              <w:t>64 Hz</w:t>
            </w:r>
          </w:p>
        </w:tc>
        <w:tc>
          <w:tcPr>
            <w:tcW w:type="dxa" w:w="3168"/>
            <w:vAlign w:val="center"/>
          </w:tcPr>
          <w:p>
            <w:pPr>
              <w:spacing w:after="20"/>
            </w:pPr>
            <w:r/>
            <w:r>
              <w:rPr>
                <w:b w:val="0"/>
                <w:sz w:val="16"/>
              </w:rPr>
              <w:t>Primary first-stage PPG input</w:t>
            </w:r>
          </w:p>
        </w:tc>
        <w:tc>
          <w:tcPr>
            <w:tcW w:type="dxa" w:w="3528"/>
            <w:vAlign w:val="center"/>
          </w:tcPr>
          <w:p>
            <w:pPr>
              <w:spacing w:after="20"/>
            </w:pPr>
            <w:r/>
            <w:r>
              <w:rPr>
                <w:b w:val="0"/>
                <w:sz w:val="16"/>
              </w:rPr>
              <w:t>Optical BVP waveform; not automatically calibrated in µV.</w:t>
            </w:r>
          </w:p>
        </w:tc>
      </w:tr>
      <w:tr>
        <w:tc>
          <w:tcPr>
            <w:tcW w:type="dxa" w:w="2376"/>
            <w:vAlign w:val="center"/>
          </w:tcPr>
          <w:p>
            <w:pPr>
              <w:spacing w:after="20"/>
            </w:pPr>
            <w:r/>
            <w:r>
              <w:rPr>
                <w:b w:val="0"/>
                <w:sz w:val="16"/>
              </w:rPr>
              <w:t>Empatica E4 wrist EDA</w:t>
            </w:r>
          </w:p>
        </w:tc>
        <w:tc>
          <w:tcPr>
            <w:tcW w:type="dxa" w:w="1080"/>
            <w:vAlign w:val="center"/>
          </w:tcPr>
          <w:p>
            <w:pPr>
              <w:spacing w:after="20"/>
            </w:pPr>
            <w:r/>
            <w:r>
              <w:rPr>
                <w:b w:val="0"/>
                <w:sz w:val="16"/>
              </w:rPr>
              <w:t>4 Hz</w:t>
            </w:r>
          </w:p>
        </w:tc>
        <w:tc>
          <w:tcPr>
            <w:tcW w:type="dxa" w:w="3168"/>
            <w:vAlign w:val="center"/>
          </w:tcPr>
          <w:p>
            <w:pPr>
              <w:spacing w:after="20"/>
            </w:pPr>
            <w:r/>
            <w:r>
              <w:rPr>
                <w:b w:val="0"/>
                <w:sz w:val="16"/>
              </w:rPr>
              <w:t>Primary EDA/GSR input in multimodal phase</w:t>
            </w:r>
          </w:p>
        </w:tc>
        <w:tc>
          <w:tcPr>
            <w:tcW w:type="dxa" w:w="3528"/>
            <w:vAlign w:val="center"/>
          </w:tcPr>
          <w:p>
            <w:pPr>
              <w:spacing w:after="20"/>
            </w:pPr>
            <w:r/>
            <w:r>
              <w:rPr>
                <w:b w:val="0"/>
                <w:sz w:val="16"/>
              </w:rPr>
              <w:t>Low sampling rate; validate phasic peak detection carefully.</w:t>
            </w:r>
          </w:p>
        </w:tc>
      </w:tr>
      <w:tr>
        <w:tc>
          <w:tcPr>
            <w:tcW w:type="dxa" w:w="2376"/>
            <w:vAlign w:val="center"/>
          </w:tcPr>
          <w:p>
            <w:pPr>
              <w:spacing w:after="20"/>
            </w:pPr>
            <w:r/>
            <w:r>
              <w:rPr>
                <w:b w:val="0"/>
                <w:sz w:val="16"/>
              </w:rPr>
              <w:t>Empatica E4 wrist temperature</w:t>
            </w:r>
          </w:p>
        </w:tc>
        <w:tc>
          <w:tcPr>
            <w:tcW w:type="dxa" w:w="1080"/>
            <w:vAlign w:val="center"/>
          </w:tcPr>
          <w:p>
            <w:pPr>
              <w:spacing w:after="20"/>
            </w:pPr>
            <w:r/>
            <w:r>
              <w:rPr>
                <w:b w:val="0"/>
                <w:sz w:val="16"/>
              </w:rPr>
              <w:t>4 Hz</w:t>
            </w:r>
          </w:p>
        </w:tc>
        <w:tc>
          <w:tcPr>
            <w:tcW w:type="dxa" w:w="3168"/>
            <w:vAlign w:val="center"/>
          </w:tcPr>
          <w:p>
            <w:pPr>
              <w:spacing w:after="20"/>
            </w:pPr>
            <w:r/>
            <w:r>
              <w:rPr>
                <w:b w:val="0"/>
                <w:sz w:val="16"/>
              </w:rPr>
              <w:t>Optional context feature, not in reference 10</w:t>
            </w:r>
          </w:p>
        </w:tc>
        <w:tc>
          <w:tcPr>
            <w:tcW w:type="dxa" w:w="3528"/>
            <w:vAlign w:val="center"/>
          </w:tcPr>
          <w:p>
            <w:pPr>
              <w:spacing w:after="20"/>
            </w:pPr>
            <w:r/>
            <w:r>
              <w:rPr>
                <w:b w:val="0"/>
                <w:sz w:val="16"/>
              </w:rPr>
              <w:t>Do not silently add to baseline feature set.</w:t>
            </w:r>
          </w:p>
        </w:tc>
      </w:tr>
      <w:tr>
        <w:tc>
          <w:tcPr>
            <w:tcW w:type="dxa" w:w="2376"/>
            <w:vAlign w:val="center"/>
          </w:tcPr>
          <w:p>
            <w:pPr>
              <w:spacing w:after="20"/>
            </w:pPr>
            <w:r/>
            <w:r>
              <w:rPr>
                <w:b w:val="0"/>
                <w:sz w:val="16"/>
              </w:rPr>
              <w:t>Empatica E4 wrist accelerometer</w:t>
            </w:r>
          </w:p>
        </w:tc>
        <w:tc>
          <w:tcPr>
            <w:tcW w:type="dxa" w:w="1080"/>
            <w:vAlign w:val="center"/>
          </w:tcPr>
          <w:p>
            <w:pPr>
              <w:spacing w:after="20"/>
            </w:pPr>
            <w:r/>
            <w:r>
              <w:rPr>
                <w:b w:val="0"/>
                <w:sz w:val="16"/>
              </w:rPr>
              <w:t>32 Hz</w:t>
            </w:r>
          </w:p>
        </w:tc>
        <w:tc>
          <w:tcPr>
            <w:tcW w:type="dxa" w:w="3168"/>
            <w:vAlign w:val="center"/>
          </w:tcPr>
          <w:p>
            <w:pPr>
              <w:spacing w:after="20"/>
            </w:pPr>
            <w:r/>
            <w:r>
              <w:rPr>
                <w:b w:val="0"/>
                <w:sz w:val="16"/>
              </w:rPr>
              <w:t>Motion-artifact context / quality check</w:t>
            </w:r>
          </w:p>
        </w:tc>
        <w:tc>
          <w:tcPr>
            <w:tcW w:type="dxa" w:w="3528"/>
            <w:vAlign w:val="center"/>
          </w:tcPr>
          <w:p>
            <w:pPr>
              <w:spacing w:after="20"/>
            </w:pPr>
            <w:r/>
            <w:r>
              <w:rPr>
                <w:b w:val="0"/>
                <w:sz w:val="16"/>
              </w:rPr>
              <w:t>Useful for flagging motion; not one of the original 10 features.</w:t>
            </w:r>
          </w:p>
        </w:tc>
      </w:tr>
      <w:tr>
        <w:tc>
          <w:tcPr>
            <w:tcW w:type="dxa" w:w="2376"/>
            <w:vAlign w:val="center"/>
          </w:tcPr>
          <w:p>
            <w:pPr>
              <w:spacing w:after="20"/>
            </w:pPr>
            <w:r/>
            <w:r>
              <w:rPr>
                <w:b w:val="0"/>
                <w:sz w:val="16"/>
              </w:rPr>
              <w:t>RespiBAN chest RESP</w:t>
            </w:r>
          </w:p>
        </w:tc>
        <w:tc>
          <w:tcPr>
            <w:tcW w:type="dxa" w:w="1080"/>
            <w:vAlign w:val="center"/>
          </w:tcPr>
          <w:p>
            <w:pPr>
              <w:spacing w:after="20"/>
            </w:pPr>
            <w:r/>
            <w:r>
              <w:rPr>
                <w:b w:val="0"/>
                <w:sz w:val="16"/>
              </w:rPr>
              <w:t>700 Hz</w:t>
            </w:r>
          </w:p>
        </w:tc>
        <w:tc>
          <w:tcPr>
            <w:tcW w:type="dxa" w:w="3168"/>
            <w:vAlign w:val="center"/>
          </w:tcPr>
          <w:p>
            <w:pPr>
              <w:spacing w:after="20"/>
            </w:pPr>
            <w:r/>
            <w:r>
              <w:rPr>
                <w:b w:val="0"/>
                <w:sz w:val="16"/>
              </w:rPr>
              <w:t>Respiration features</w:t>
            </w:r>
          </w:p>
        </w:tc>
        <w:tc>
          <w:tcPr>
            <w:tcW w:type="dxa" w:w="3528"/>
            <w:vAlign w:val="center"/>
          </w:tcPr>
          <w:p>
            <w:pPr>
              <w:spacing w:after="20"/>
            </w:pPr>
            <w:r/>
            <w:r>
              <w:rPr>
                <w:b w:val="0"/>
                <w:sz w:val="16"/>
              </w:rPr>
              <w:t>Inspect channel metadata and scaling; resample only if required and documented.</w:t>
            </w:r>
          </w:p>
        </w:tc>
      </w:tr>
      <w:tr>
        <w:tc>
          <w:tcPr>
            <w:tcW w:type="dxa" w:w="2376"/>
            <w:vAlign w:val="center"/>
          </w:tcPr>
          <w:p>
            <w:pPr>
              <w:spacing w:after="20"/>
            </w:pPr>
            <w:r/>
            <w:r>
              <w:rPr>
                <w:b w:val="0"/>
                <w:sz w:val="16"/>
              </w:rPr>
              <w:t>RespiBAN chest EDA</w:t>
            </w:r>
          </w:p>
        </w:tc>
        <w:tc>
          <w:tcPr>
            <w:tcW w:type="dxa" w:w="1080"/>
            <w:vAlign w:val="center"/>
          </w:tcPr>
          <w:p>
            <w:pPr>
              <w:spacing w:after="20"/>
            </w:pPr>
            <w:r/>
            <w:r>
              <w:rPr>
                <w:b w:val="0"/>
                <w:sz w:val="16"/>
              </w:rPr>
              <w:t>700 Hz</w:t>
            </w:r>
          </w:p>
        </w:tc>
        <w:tc>
          <w:tcPr>
            <w:tcW w:type="dxa" w:w="3168"/>
            <w:vAlign w:val="center"/>
          </w:tcPr>
          <w:p>
            <w:pPr>
              <w:spacing w:after="20"/>
            </w:pPr>
            <w:r/>
            <w:r>
              <w:rPr>
                <w:b w:val="0"/>
                <w:sz w:val="16"/>
              </w:rPr>
              <w:t>Alternative EDA source for a separate comparison</w:t>
            </w:r>
          </w:p>
        </w:tc>
        <w:tc>
          <w:tcPr>
            <w:tcW w:type="dxa" w:w="3528"/>
            <w:vAlign w:val="center"/>
          </w:tcPr>
          <w:p>
            <w:pPr>
              <w:spacing w:after="20"/>
            </w:pPr>
            <w:r/>
            <w:r>
              <w:rPr>
                <w:b w:val="0"/>
                <w:sz w:val="16"/>
              </w:rPr>
              <w:t>Not interchangeable with E4 wrist EDA.</w:t>
            </w:r>
          </w:p>
        </w:tc>
      </w:tr>
      <w:tr>
        <w:tc>
          <w:tcPr>
            <w:tcW w:type="dxa" w:w="2376"/>
            <w:vAlign w:val="center"/>
          </w:tcPr>
          <w:p>
            <w:pPr>
              <w:spacing w:after="20"/>
            </w:pPr>
            <w:r/>
            <w:r>
              <w:rPr>
                <w:b w:val="0"/>
                <w:sz w:val="16"/>
              </w:rPr>
              <w:t>RespiBAN chest ECG</w:t>
            </w:r>
          </w:p>
        </w:tc>
        <w:tc>
          <w:tcPr>
            <w:tcW w:type="dxa" w:w="1080"/>
            <w:vAlign w:val="center"/>
          </w:tcPr>
          <w:p>
            <w:pPr>
              <w:spacing w:after="20"/>
            </w:pPr>
            <w:r/>
            <w:r>
              <w:rPr>
                <w:b w:val="0"/>
                <w:sz w:val="16"/>
              </w:rPr>
              <w:t>700 Hz</w:t>
            </w:r>
          </w:p>
        </w:tc>
        <w:tc>
          <w:tcPr>
            <w:tcW w:type="dxa" w:w="3168"/>
            <w:vAlign w:val="center"/>
          </w:tcPr>
          <w:p>
            <w:pPr>
              <w:spacing w:after="20"/>
            </w:pPr>
            <w:r/>
            <w:r>
              <w:rPr>
                <w:b w:val="0"/>
                <w:sz w:val="16"/>
              </w:rPr>
              <w:t>Optional validation of beat timing</w:t>
            </w:r>
          </w:p>
        </w:tc>
        <w:tc>
          <w:tcPr>
            <w:tcW w:type="dxa" w:w="3528"/>
            <w:vAlign w:val="center"/>
          </w:tcPr>
          <w:p>
            <w:pPr>
              <w:spacing w:after="20"/>
            </w:pPr>
            <w:r/>
            <w:r>
              <w:rPr>
                <w:b w:val="0"/>
                <w:sz w:val="16"/>
              </w:rPr>
              <w:t>Do not use it to replace PPG in the main reproduction without clearly labelling the change.</w:t>
            </w:r>
          </w:p>
        </w:tc>
      </w:tr>
    </w:tbl>
    <w:p/>
    <w:p>
      <w:r>
        <w:t>The study enrolled 17 participants; two were excluded because of sensor malfunctions, leaving 15 subjects in the released dataset. The protocol includes baseline/neutral, stress, amusement, and guided meditation. The subject pickle files contain synchronized signals and labels; inspect the README and each channel’s shape before coding assumptions.</w:t>
      </w:r>
    </w:p>
    <w:p>
      <w:pPr>
        <w:pStyle w:val="Heading2"/>
      </w:pPr>
      <w:r>
        <w:t>7.1 WESAD labels and what we can predict</w:t>
      </w:r>
    </w:p>
    <w:tbl>
      <w:tblPr>
        <w:tblStyle w:val="TableGrid"/>
        <w:tblW w:type="auto" w:w="0"/>
        <w:jc w:val="center"/>
        <w:tblLook w:firstColumn="1" w:firstRow="1" w:lastColumn="0" w:lastRow="0" w:noHBand="0" w:noVBand="1" w:val="04A0"/>
      </w:tblPr>
      <w:tblGrid>
        <w:gridCol w:w="3360"/>
        <w:gridCol w:w="3360"/>
        <w:gridCol w:w="3360"/>
      </w:tblGrid>
      <w:tr>
        <w:tc>
          <w:tcPr>
            <w:tcW w:type="dxa" w:w="1296"/>
            <w:vAlign w:val="center"/>
            <w:shd w:fill="D9EAF7"/>
          </w:tcPr>
          <w:p>
            <w:pPr>
              <w:spacing w:after="20"/>
            </w:pPr>
            <w:r/>
            <w:r>
              <w:rPr>
                <w:b/>
                <w:sz w:val="16"/>
              </w:rPr>
              <w:t>Label value</w:t>
            </w:r>
          </w:p>
        </w:tc>
        <w:tc>
          <w:tcPr>
            <w:tcW w:type="dxa" w:w="3744"/>
            <w:vAlign w:val="center"/>
            <w:shd w:fill="D9EAF7"/>
          </w:tcPr>
          <w:p>
            <w:pPr>
              <w:spacing w:after="20"/>
            </w:pPr>
            <w:r/>
            <w:r>
              <w:rPr>
                <w:b/>
                <w:sz w:val="16"/>
              </w:rPr>
              <w:t>Dataset interpretation</w:t>
            </w:r>
          </w:p>
        </w:tc>
        <w:tc>
          <w:tcPr>
            <w:tcW w:type="dxa" w:w="5040"/>
            <w:vAlign w:val="center"/>
            <w:shd w:fill="D9EAF7"/>
          </w:tcPr>
          <w:p>
            <w:pPr>
              <w:spacing w:after="20"/>
            </w:pPr>
            <w:r/>
            <w:r>
              <w:rPr>
                <w:b/>
                <w:sz w:val="16"/>
              </w:rPr>
              <w:t>Our handling</w:t>
            </w:r>
          </w:p>
        </w:tc>
      </w:tr>
      <w:tr>
        <w:tc>
          <w:tcPr>
            <w:tcW w:type="dxa" w:w="1296"/>
            <w:vAlign w:val="center"/>
          </w:tcPr>
          <w:p>
            <w:pPr>
              <w:spacing w:after="20"/>
            </w:pPr>
            <w:r/>
            <w:r>
              <w:rPr>
                <w:b w:val="0"/>
                <w:sz w:val="16"/>
              </w:rPr>
              <w:t>0</w:t>
            </w:r>
          </w:p>
        </w:tc>
        <w:tc>
          <w:tcPr>
            <w:tcW w:type="dxa" w:w="3744"/>
            <w:vAlign w:val="center"/>
          </w:tcPr>
          <w:p>
            <w:pPr>
              <w:spacing w:after="20"/>
            </w:pPr>
            <w:r/>
            <w:r>
              <w:rPr>
                <w:b w:val="0"/>
                <w:sz w:val="16"/>
              </w:rPr>
              <w:t>Undefined/transient</w:t>
            </w:r>
          </w:p>
        </w:tc>
        <w:tc>
          <w:tcPr>
            <w:tcW w:type="dxa" w:w="5040"/>
            <w:vAlign w:val="center"/>
          </w:tcPr>
          <w:p>
            <w:pPr>
              <w:spacing w:after="20"/>
            </w:pPr>
            <w:r/>
            <w:r>
              <w:rPr>
                <w:b w:val="0"/>
                <w:sz w:val="16"/>
              </w:rPr>
              <w:t>Exclude from supervised training unless a specific analysis justifies it.</w:t>
            </w:r>
          </w:p>
        </w:tc>
      </w:tr>
      <w:tr>
        <w:tc>
          <w:tcPr>
            <w:tcW w:type="dxa" w:w="1296"/>
            <w:vAlign w:val="center"/>
          </w:tcPr>
          <w:p>
            <w:pPr>
              <w:spacing w:after="20"/>
            </w:pPr>
            <w:r/>
            <w:r>
              <w:rPr>
                <w:b w:val="0"/>
                <w:sz w:val="16"/>
              </w:rPr>
              <w:t>1</w:t>
            </w:r>
          </w:p>
        </w:tc>
        <w:tc>
          <w:tcPr>
            <w:tcW w:type="dxa" w:w="3744"/>
            <w:vAlign w:val="center"/>
          </w:tcPr>
          <w:p>
            <w:pPr>
              <w:spacing w:after="20"/>
            </w:pPr>
            <w:r/>
            <w:r>
              <w:rPr>
                <w:b w:val="0"/>
                <w:sz w:val="16"/>
              </w:rPr>
              <w:t>Baseline</w:t>
            </w:r>
          </w:p>
        </w:tc>
        <w:tc>
          <w:tcPr>
            <w:tcW w:type="dxa" w:w="5040"/>
            <w:vAlign w:val="center"/>
          </w:tcPr>
          <w:p>
            <w:pPr>
              <w:spacing w:after="20"/>
            </w:pPr>
            <w:r/>
            <w:r>
              <w:rPr>
                <w:b w:val="0"/>
                <w:sz w:val="16"/>
              </w:rPr>
              <w:t>Use for baseline condition and possible baseline normalization.</w:t>
            </w:r>
          </w:p>
        </w:tc>
      </w:tr>
      <w:tr>
        <w:tc>
          <w:tcPr>
            <w:tcW w:type="dxa" w:w="1296"/>
            <w:vAlign w:val="center"/>
          </w:tcPr>
          <w:p>
            <w:pPr>
              <w:spacing w:after="20"/>
            </w:pPr>
            <w:r/>
            <w:r>
              <w:rPr>
                <w:b w:val="0"/>
                <w:sz w:val="16"/>
              </w:rPr>
              <w:t>2</w:t>
            </w:r>
          </w:p>
        </w:tc>
        <w:tc>
          <w:tcPr>
            <w:tcW w:type="dxa" w:w="3744"/>
            <w:vAlign w:val="center"/>
          </w:tcPr>
          <w:p>
            <w:pPr>
              <w:spacing w:after="20"/>
            </w:pPr>
            <w:r/>
            <w:r>
              <w:rPr>
                <w:b w:val="0"/>
                <w:sz w:val="16"/>
              </w:rPr>
              <w:t>Stress</w:t>
            </w:r>
          </w:p>
        </w:tc>
        <w:tc>
          <w:tcPr>
            <w:tcW w:type="dxa" w:w="5040"/>
            <w:vAlign w:val="center"/>
          </w:tcPr>
          <w:p>
            <w:pPr>
              <w:spacing w:after="20"/>
            </w:pPr>
            <w:r/>
            <w:r>
              <w:rPr>
                <w:b w:val="0"/>
                <w:sz w:val="16"/>
              </w:rPr>
              <w:t>Use for a WESAD stress-classification experiment.</w:t>
            </w:r>
          </w:p>
        </w:tc>
      </w:tr>
      <w:tr>
        <w:tc>
          <w:tcPr>
            <w:tcW w:type="dxa" w:w="1296"/>
            <w:vAlign w:val="center"/>
          </w:tcPr>
          <w:p>
            <w:pPr>
              <w:spacing w:after="20"/>
            </w:pPr>
            <w:r/>
            <w:r>
              <w:rPr>
                <w:b w:val="0"/>
                <w:sz w:val="16"/>
              </w:rPr>
              <w:t>3</w:t>
            </w:r>
          </w:p>
        </w:tc>
        <w:tc>
          <w:tcPr>
            <w:tcW w:type="dxa" w:w="3744"/>
            <w:vAlign w:val="center"/>
          </w:tcPr>
          <w:p>
            <w:pPr>
              <w:spacing w:after="20"/>
            </w:pPr>
            <w:r/>
            <w:r>
              <w:rPr>
                <w:b w:val="0"/>
                <w:sz w:val="16"/>
              </w:rPr>
              <w:t>Amusement</w:t>
            </w:r>
          </w:p>
        </w:tc>
        <w:tc>
          <w:tcPr>
            <w:tcW w:type="dxa" w:w="5040"/>
            <w:vAlign w:val="center"/>
          </w:tcPr>
          <w:p>
            <w:pPr>
              <w:spacing w:after="20"/>
            </w:pPr>
            <w:r/>
            <w:r>
              <w:rPr>
                <w:b w:val="0"/>
                <w:sz w:val="16"/>
              </w:rPr>
              <w:t>Use for a WESAD protocol-state experiment if enough valid windows exist.</w:t>
            </w:r>
          </w:p>
        </w:tc>
      </w:tr>
      <w:tr>
        <w:tc>
          <w:tcPr>
            <w:tcW w:type="dxa" w:w="1296"/>
            <w:vAlign w:val="center"/>
          </w:tcPr>
          <w:p>
            <w:pPr>
              <w:spacing w:after="20"/>
            </w:pPr>
            <w:r/>
            <w:r>
              <w:rPr>
                <w:b w:val="0"/>
                <w:sz w:val="16"/>
              </w:rPr>
              <w:t>4</w:t>
            </w:r>
          </w:p>
        </w:tc>
        <w:tc>
          <w:tcPr>
            <w:tcW w:type="dxa" w:w="3744"/>
            <w:vAlign w:val="center"/>
          </w:tcPr>
          <w:p>
            <w:pPr>
              <w:spacing w:after="20"/>
            </w:pPr>
            <w:r/>
            <w:r>
              <w:rPr>
                <w:b w:val="0"/>
                <w:sz w:val="16"/>
              </w:rPr>
              <w:t>Meditation</w:t>
            </w:r>
          </w:p>
        </w:tc>
        <w:tc>
          <w:tcPr>
            <w:tcW w:type="dxa" w:w="5040"/>
            <w:vAlign w:val="center"/>
          </w:tcPr>
          <w:p>
            <w:pPr>
              <w:spacing w:after="20"/>
            </w:pPr>
            <w:r/>
            <w:r>
              <w:rPr>
                <w:b w:val="0"/>
                <w:sz w:val="16"/>
              </w:rPr>
              <w:t>Use for a WESAD protocol-state experiment if enough valid windows exist.</w:t>
            </w:r>
          </w:p>
        </w:tc>
      </w:tr>
      <w:tr>
        <w:tc>
          <w:tcPr>
            <w:tcW w:type="dxa" w:w="1296"/>
            <w:vAlign w:val="center"/>
          </w:tcPr>
          <w:p>
            <w:pPr>
              <w:spacing w:after="20"/>
            </w:pPr>
            <w:r/>
            <w:r>
              <w:rPr>
                <w:b w:val="0"/>
                <w:sz w:val="16"/>
              </w:rPr>
              <w:t>5, 6, 7</w:t>
            </w:r>
          </w:p>
        </w:tc>
        <w:tc>
          <w:tcPr>
            <w:tcW w:type="dxa" w:w="3744"/>
            <w:vAlign w:val="center"/>
          </w:tcPr>
          <w:p>
            <w:pPr>
              <w:spacing w:after="20"/>
            </w:pPr>
            <w:r/>
            <w:r>
              <w:rPr>
                <w:b w:val="0"/>
                <w:sz w:val="16"/>
              </w:rPr>
              <w:t>Ignore/undefined codes as described in the README</w:t>
            </w:r>
          </w:p>
        </w:tc>
        <w:tc>
          <w:tcPr>
            <w:tcW w:type="dxa" w:w="5040"/>
            <w:vAlign w:val="center"/>
          </w:tcPr>
          <w:p>
            <w:pPr>
              <w:spacing w:after="20"/>
            </w:pPr>
            <w:r/>
            <w:r>
              <w:rPr>
                <w:b w:val="0"/>
                <w:sz w:val="16"/>
              </w:rPr>
              <w:t>Exclude according to the official README.</w:t>
            </w:r>
          </w:p>
        </w:tc>
      </w:tr>
    </w:tbl>
    <w:p/>
    <w:p>
      <w:r>
        <w:t>A WESAD model can be trained to distinguish WESAD protocol conditions (for example, stress versus baseline) if the labels and window alignment are valid. It cannot be trained as an engagement classifier merely by renaming stress as low engagement or amusement as high engagement; those constructs are not equivalent.</w:t>
      </w:r>
    </w:p>
    <w:p>
      <w:pPr>
        <w:pStyle w:val="Heading1"/>
      </w:pPr>
      <w:r>
        <w:t>8. How close WESAD is to the target paper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440"/>
            <w:vAlign w:val="center"/>
            <w:shd w:fill="D9EAF7"/>
          </w:tcPr>
          <w:p>
            <w:pPr>
              <w:spacing w:after="20"/>
            </w:pPr>
            <w:r/>
            <w:r>
              <w:rPr>
                <w:b/>
                <w:sz w:val="16"/>
              </w:rPr>
              <w:t>Aspect</w:t>
            </w:r>
          </w:p>
        </w:tc>
        <w:tc>
          <w:tcPr>
            <w:tcW w:type="dxa" w:w="2520"/>
            <w:vAlign w:val="center"/>
            <w:shd w:fill="D9EAF7"/>
          </w:tcPr>
          <w:p>
            <w:pPr>
              <w:spacing w:after="20"/>
            </w:pPr>
            <w:r/>
            <w:r>
              <w:rPr>
                <w:b/>
                <w:sz w:val="16"/>
              </w:rPr>
              <w:t>Target paper</w:t>
            </w:r>
          </w:p>
        </w:tc>
        <w:tc>
          <w:tcPr>
            <w:tcW w:type="dxa" w:w="2736"/>
            <w:vAlign w:val="center"/>
            <w:shd w:fill="D9EAF7"/>
          </w:tcPr>
          <w:p>
            <w:pPr>
              <w:spacing w:after="20"/>
            </w:pPr>
            <w:r/>
            <w:r>
              <w:rPr>
                <w:b/>
                <w:sz w:val="16"/>
              </w:rPr>
              <w:t>WESAD</w:t>
            </w:r>
          </w:p>
        </w:tc>
        <w:tc>
          <w:tcPr>
            <w:tcW w:type="dxa" w:w="3240"/>
            <w:vAlign w:val="center"/>
            <w:shd w:fill="D9EAF7"/>
          </w:tcPr>
          <w:p>
            <w:pPr>
              <w:spacing w:after="20"/>
            </w:pPr>
            <w:r/>
            <w:r>
              <w:rPr>
                <w:b/>
                <w:sz w:val="16"/>
              </w:rPr>
              <w:t>Impact</w:t>
            </w:r>
          </w:p>
        </w:tc>
      </w:tr>
      <w:tr>
        <w:tc>
          <w:tcPr>
            <w:tcW w:type="dxa" w:w="1440"/>
            <w:vAlign w:val="center"/>
          </w:tcPr>
          <w:p>
            <w:pPr>
              <w:spacing w:after="20"/>
            </w:pPr>
            <w:r/>
            <w:r>
              <w:rPr>
                <w:b w:val="0"/>
                <w:sz w:val="16"/>
              </w:rPr>
              <w:t>Physiology</w:t>
            </w:r>
          </w:p>
        </w:tc>
        <w:tc>
          <w:tcPr>
            <w:tcW w:type="dxa" w:w="2520"/>
            <w:vAlign w:val="center"/>
          </w:tcPr>
          <w:p>
            <w:pPr>
              <w:spacing w:after="20"/>
            </w:pPr>
            <w:r/>
            <w:r>
              <w:rPr>
                <w:b w:val="0"/>
                <w:sz w:val="16"/>
              </w:rPr>
              <w:t>PPG, GSR, respiration</w:t>
            </w:r>
          </w:p>
        </w:tc>
        <w:tc>
          <w:tcPr>
            <w:tcW w:type="dxa" w:w="2736"/>
            <w:vAlign w:val="center"/>
          </w:tcPr>
          <w:p>
            <w:pPr>
              <w:spacing w:after="20"/>
            </w:pPr>
            <w:r/>
            <w:r>
              <w:rPr>
                <w:b w:val="0"/>
                <w:sz w:val="16"/>
              </w:rPr>
              <w:t>BVP/PPG, EDA, respiration available</w:t>
            </w:r>
          </w:p>
        </w:tc>
        <w:tc>
          <w:tcPr>
            <w:tcW w:type="dxa" w:w="3240"/>
            <w:vAlign w:val="center"/>
          </w:tcPr>
          <w:p>
            <w:pPr>
              <w:spacing w:after="20"/>
            </w:pPr>
            <w:r/>
            <w:r>
              <w:rPr>
                <w:b w:val="0"/>
                <w:sz w:val="16"/>
              </w:rPr>
              <w:t>Strong overlap in broad modalities.</w:t>
            </w:r>
          </w:p>
        </w:tc>
      </w:tr>
      <w:tr>
        <w:tc>
          <w:tcPr>
            <w:tcW w:type="dxa" w:w="1440"/>
            <w:vAlign w:val="center"/>
          </w:tcPr>
          <w:p>
            <w:pPr>
              <w:spacing w:after="20"/>
            </w:pPr>
            <w:r/>
            <w:r>
              <w:rPr>
                <w:b w:val="0"/>
                <w:sz w:val="16"/>
              </w:rPr>
              <w:t>PPG location</w:t>
            </w:r>
          </w:p>
        </w:tc>
        <w:tc>
          <w:tcPr>
            <w:tcW w:type="dxa" w:w="2520"/>
            <w:vAlign w:val="center"/>
          </w:tcPr>
          <w:p>
            <w:pPr>
              <w:spacing w:after="20"/>
            </w:pPr>
            <w:r/>
            <w:r>
              <w:rPr>
                <w:b w:val="0"/>
                <w:sz w:val="16"/>
              </w:rPr>
              <w:t>Left middle toe</w:t>
            </w:r>
          </w:p>
        </w:tc>
        <w:tc>
          <w:tcPr>
            <w:tcW w:type="dxa" w:w="2736"/>
            <w:vAlign w:val="center"/>
          </w:tcPr>
          <w:p>
            <w:pPr>
              <w:spacing w:after="20"/>
            </w:pPr>
            <w:r/>
            <w:r>
              <w:rPr>
                <w:b w:val="0"/>
                <w:sz w:val="16"/>
              </w:rPr>
              <w:t>Wrist</w:t>
            </w:r>
          </w:p>
        </w:tc>
        <w:tc>
          <w:tcPr>
            <w:tcW w:type="dxa" w:w="3240"/>
            <w:vAlign w:val="center"/>
          </w:tcPr>
          <w:p>
            <w:pPr>
              <w:spacing w:after="20"/>
            </w:pPr>
            <w:r/>
            <w:r>
              <w:rPr>
                <w:b w:val="0"/>
                <w:sz w:val="16"/>
              </w:rPr>
              <w:t>Different movement, perfusion, sensor fit, and artefact profile.</w:t>
            </w:r>
          </w:p>
        </w:tc>
      </w:tr>
      <w:tr>
        <w:tc>
          <w:tcPr>
            <w:tcW w:type="dxa" w:w="1440"/>
            <w:vAlign w:val="center"/>
          </w:tcPr>
          <w:p>
            <w:pPr>
              <w:spacing w:after="20"/>
            </w:pPr>
            <w:r/>
            <w:r>
              <w:rPr>
                <w:b w:val="0"/>
                <w:sz w:val="16"/>
              </w:rPr>
              <w:t>Acquisition</w:t>
            </w:r>
          </w:p>
        </w:tc>
        <w:tc>
          <w:tcPr>
            <w:tcW w:type="dxa" w:w="2520"/>
            <w:vAlign w:val="center"/>
          </w:tcPr>
          <w:p>
            <w:pPr>
              <w:spacing w:after="20"/>
            </w:pPr>
            <w:r/>
            <w:r>
              <w:rPr>
                <w:b w:val="0"/>
                <w:sz w:val="16"/>
              </w:rPr>
              <w:t>BIOPAC, 1,000 Hz</w:t>
            </w:r>
          </w:p>
        </w:tc>
        <w:tc>
          <w:tcPr>
            <w:tcW w:type="dxa" w:w="2736"/>
            <w:vAlign w:val="center"/>
          </w:tcPr>
          <w:p>
            <w:pPr>
              <w:spacing w:after="20"/>
            </w:pPr>
            <w:r/>
            <w:r>
              <w:rPr>
                <w:b w:val="0"/>
                <w:sz w:val="16"/>
              </w:rPr>
              <w:t>E4 BVP 64 Hz; E4 EDA 4 Hz; RespiBAN channels 700 Hz</w:t>
            </w:r>
          </w:p>
        </w:tc>
        <w:tc>
          <w:tcPr>
            <w:tcW w:type="dxa" w:w="3240"/>
            <w:vAlign w:val="center"/>
          </w:tcPr>
          <w:p>
            <w:pPr>
              <w:spacing w:after="20"/>
            </w:pPr>
            <w:r/>
            <w:r>
              <w:rPr>
                <w:b w:val="0"/>
                <w:sz w:val="16"/>
              </w:rPr>
              <w:t>Filters, sample counts, and temporal resolution must be channel-specific.</w:t>
            </w:r>
          </w:p>
        </w:tc>
      </w:tr>
      <w:tr>
        <w:tc>
          <w:tcPr>
            <w:tcW w:type="dxa" w:w="1440"/>
            <w:vAlign w:val="center"/>
          </w:tcPr>
          <w:p>
            <w:pPr>
              <w:spacing w:after="20"/>
            </w:pPr>
            <w:r/>
            <w:r>
              <w:rPr>
                <w:b w:val="0"/>
                <w:sz w:val="16"/>
              </w:rPr>
              <w:t>Context</w:t>
            </w:r>
          </w:p>
        </w:tc>
        <w:tc>
          <w:tcPr>
            <w:tcW w:type="dxa" w:w="2520"/>
            <w:vAlign w:val="center"/>
          </w:tcPr>
          <w:p>
            <w:pPr>
              <w:spacing w:after="20"/>
            </w:pPr>
            <w:r/>
            <w:r>
              <w:rPr>
                <w:b w:val="0"/>
                <w:sz w:val="16"/>
              </w:rPr>
              <w:t>VR driving task involving participants with ASD</w:t>
            </w:r>
          </w:p>
        </w:tc>
        <w:tc>
          <w:tcPr>
            <w:tcW w:type="dxa" w:w="2736"/>
            <w:vAlign w:val="center"/>
          </w:tcPr>
          <w:p>
            <w:pPr>
              <w:spacing w:after="20"/>
            </w:pPr>
            <w:r/>
            <w:r>
              <w:rPr>
                <w:b w:val="0"/>
                <w:sz w:val="16"/>
              </w:rPr>
              <w:t>Laboratory stress/affect protocol</w:t>
            </w:r>
          </w:p>
        </w:tc>
        <w:tc>
          <w:tcPr>
            <w:tcW w:type="dxa" w:w="3240"/>
            <w:vAlign w:val="center"/>
          </w:tcPr>
          <w:p>
            <w:pPr>
              <w:spacing w:after="20"/>
            </w:pPr>
            <w:r/>
            <w:r>
              <w:rPr>
                <w:b w:val="0"/>
                <w:sz w:val="16"/>
              </w:rPr>
              <w:t>Not the same task or population context.</w:t>
            </w:r>
          </w:p>
        </w:tc>
      </w:tr>
      <w:tr>
        <w:tc>
          <w:tcPr>
            <w:tcW w:type="dxa" w:w="1440"/>
            <w:vAlign w:val="center"/>
          </w:tcPr>
          <w:p>
            <w:pPr>
              <w:spacing w:after="20"/>
            </w:pPr>
            <w:r/>
            <w:r>
              <w:rPr>
                <w:b w:val="0"/>
                <w:sz w:val="16"/>
              </w:rPr>
              <w:t>Ground truth</w:t>
            </w:r>
          </w:p>
        </w:tc>
        <w:tc>
          <w:tcPr>
            <w:tcW w:type="dxa" w:w="2520"/>
            <w:vAlign w:val="center"/>
          </w:tcPr>
          <w:p>
            <w:pPr>
              <w:spacing w:after="20"/>
            </w:pPr>
            <w:r/>
            <w:r>
              <w:rPr>
                <w:b w:val="0"/>
                <w:sz w:val="16"/>
              </w:rPr>
              <w:t>Observer-rated High/Low engagement</w:t>
            </w:r>
          </w:p>
        </w:tc>
        <w:tc>
          <w:tcPr>
            <w:tcW w:type="dxa" w:w="2736"/>
            <w:vAlign w:val="center"/>
          </w:tcPr>
          <w:p>
            <w:pPr>
              <w:spacing w:after="20"/>
            </w:pPr>
            <w:r/>
            <w:r>
              <w:rPr>
                <w:b w:val="0"/>
                <w:sz w:val="16"/>
              </w:rPr>
              <w:t>Baseline, stress, amusement, meditation protocol labels</w:t>
            </w:r>
          </w:p>
        </w:tc>
        <w:tc>
          <w:tcPr>
            <w:tcW w:type="dxa" w:w="3240"/>
            <w:vAlign w:val="center"/>
          </w:tcPr>
          <w:p>
            <w:pPr>
              <w:spacing w:after="20"/>
            </w:pPr>
            <w:r/>
            <w:r>
              <w:rPr>
                <w:b w:val="0"/>
                <w:sz w:val="16"/>
              </w:rPr>
              <w:t>Cannot directly reproduce engagement classification.</w:t>
            </w:r>
          </w:p>
        </w:tc>
      </w:tr>
      <w:tr>
        <w:tc>
          <w:tcPr>
            <w:tcW w:type="dxa" w:w="1440"/>
            <w:vAlign w:val="center"/>
          </w:tcPr>
          <w:p>
            <w:pPr>
              <w:spacing w:after="20"/>
            </w:pPr>
            <w:r/>
            <w:r>
              <w:rPr>
                <w:b w:val="0"/>
                <w:sz w:val="16"/>
              </w:rPr>
              <w:t>Features</w:t>
            </w:r>
          </w:p>
        </w:tc>
        <w:tc>
          <w:tcPr>
            <w:tcW w:type="dxa" w:w="2520"/>
            <w:vAlign w:val="center"/>
          </w:tcPr>
          <w:p>
            <w:pPr>
              <w:spacing w:after="20"/>
            </w:pPr>
            <w:r/>
            <w:r>
              <w:rPr>
                <w:b w:val="0"/>
                <w:sz w:val="16"/>
              </w:rPr>
              <w:t>10 features over 3-minute windows</w:t>
            </w:r>
          </w:p>
        </w:tc>
        <w:tc>
          <w:tcPr>
            <w:tcW w:type="dxa" w:w="2736"/>
            <w:vAlign w:val="center"/>
          </w:tcPr>
          <w:p>
            <w:pPr>
              <w:spacing w:after="20"/>
            </w:pPr>
            <w:r/>
            <w:r>
              <w:rPr>
                <w:b w:val="0"/>
                <w:sz w:val="16"/>
              </w:rPr>
              <w:t>Can implement analogous features where channel quality permits</w:t>
            </w:r>
          </w:p>
        </w:tc>
        <w:tc>
          <w:tcPr>
            <w:tcW w:type="dxa" w:w="3240"/>
            <w:vAlign w:val="center"/>
          </w:tcPr>
          <w:p>
            <w:pPr>
              <w:spacing w:after="20"/>
            </w:pPr>
            <w:r/>
            <w:r>
              <w:rPr>
                <w:b w:val="0"/>
                <w:sz w:val="16"/>
              </w:rPr>
              <w:t>Feature engineering can be reproduced approximately; exact internal implementation may remain uncertain.</w:t>
            </w:r>
          </w:p>
        </w:tc>
      </w:tr>
      <w:tr>
        <w:tc>
          <w:tcPr>
            <w:tcW w:type="dxa" w:w="1440"/>
            <w:vAlign w:val="center"/>
          </w:tcPr>
          <w:p>
            <w:pPr>
              <w:spacing w:after="20"/>
            </w:pPr>
            <w:r/>
            <w:r>
              <w:rPr>
                <w:b w:val="0"/>
                <w:sz w:val="16"/>
              </w:rPr>
              <w:t>Model</w:t>
            </w:r>
          </w:p>
        </w:tc>
        <w:tc>
          <w:tcPr>
            <w:tcW w:type="dxa" w:w="2520"/>
            <w:vAlign w:val="center"/>
          </w:tcPr>
          <w:p>
            <w:pPr>
              <w:spacing w:after="20"/>
            </w:pPr>
            <w:r/>
            <w:r>
              <w:rPr>
                <w:b w:val="0"/>
                <w:sz w:val="16"/>
              </w:rPr>
              <w:t>Random Forest; reported 84.72% in original evaluation</w:t>
            </w:r>
          </w:p>
        </w:tc>
        <w:tc>
          <w:tcPr>
            <w:tcW w:type="dxa" w:w="2736"/>
            <w:vAlign w:val="center"/>
          </w:tcPr>
          <w:p>
            <w:pPr>
              <w:spacing w:after="20"/>
            </w:pPr>
            <w:r/>
            <w:r>
              <w:rPr>
                <w:b w:val="0"/>
                <w:sz w:val="16"/>
              </w:rPr>
              <w:t>A new model trained and tested on WESAD labels</w:t>
            </w:r>
          </w:p>
        </w:tc>
        <w:tc>
          <w:tcPr>
            <w:tcW w:type="dxa" w:w="3240"/>
            <w:vAlign w:val="center"/>
          </w:tcPr>
          <w:p>
            <w:pPr>
              <w:spacing w:after="20"/>
            </w:pPr>
            <w:r/>
            <w:r>
              <w:rPr>
                <w:b w:val="0"/>
                <w:sz w:val="16"/>
              </w:rPr>
              <w:t>Must report as a separate WESAD experiment.</w:t>
            </w:r>
          </w:p>
        </w:tc>
      </w:tr>
    </w:tbl>
    <w:p/>
    <w:p>
      <w:pPr>
        <w:pStyle w:val="Heading1"/>
      </w:pPr>
      <w:r>
        <w:t>9. Detailed end-to-end methodology</w:t>
      </w:r>
    </w:p>
    <w:p>
      <w:pPr>
        <w:pStyle w:val="Heading2"/>
      </w:pPr>
      <w:r>
        <w:t>Phase 1 — Dataset and channel audit</w:t>
      </w:r>
    </w:p>
    <w:p>
      <w:r>
        <w:t>Load one subject file, verify the nested keys, array shapes, finite values, labels, sample rates, and synchronization assumptions. Save a channel inventory. Do not start modelling until time axes are correct.</w:t>
      </w:r>
    </w:p>
    <w:p>
      <w:pPr>
        <w:pStyle w:val="Heading2"/>
      </w:pPr>
      <w:r>
        <w:t>Phase 2 — Raw BVP inspection</w:t>
      </w:r>
    </w:p>
    <w:p>
      <w:r>
        <w:t>Plot the complete BVP signal and representative short segments. Report sample count, duration, min/max, percentiles, missing/non-finite values, and abrupt changes. Keep raw data immutable.</w:t>
      </w:r>
    </w:p>
    <w:p>
      <w:pPr>
        <w:pStyle w:val="Heading2"/>
      </w:pPr>
      <w:r>
        <w:t>Phase 3 — Compare BVP filters</w:t>
      </w:r>
    </w:p>
    <w:p>
      <w:r>
        <w:t>Apply candidate filters to the same segment: 0.5–4 Hz, 0.7–4 Hz, the paper’s 1.1–3.6 Hz, and 0.5–8 Hz. Compare pulse shape, baseline behaviour, and peak detection. Choose only after visual and quantitative review.</w:t>
      </w:r>
    </w:p>
    <w:p>
      <w:pPr>
        <w:pStyle w:val="Heading2"/>
      </w:pPr>
      <w:r>
        <w:t>Phase 4 — BVP quality and peak detection</w:t>
      </w:r>
    </w:p>
    <w:p>
      <w:r>
        <w:t>Create conservative artefact flags, inspect flagged regions, detect peaks, and review overlays on raw/filtered traces. Check interval plausibility and the percentage of valid beats. Do not treat every detected peak as a true heartbeat.</w:t>
      </w:r>
    </w:p>
    <w:p>
      <w:pPr>
        <w:pStyle w:val="Heading2"/>
      </w:pPr>
      <w:r>
        <w:t>Phase 5 — PPG features</w:t>
      </w:r>
    </w:p>
    <w:p>
      <w:r>
        <w:t>Within each valid 180-second window, compute the documented interval-variability feature and mean pulse amplitude. Until the exact HRV formula is confirmed, report intermediate IBI statistics separately and do not mislabel mean IBI as HRV.</w:t>
      </w:r>
    </w:p>
    <w:p>
      <w:pPr>
        <w:pStyle w:val="Heading2"/>
      </w:pPr>
      <w:r>
        <w:t>Phase 6 — Respiration preprocessing</w:t>
      </w:r>
    </w:p>
    <w:p>
      <w:r>
        <w:t>Load RespiBAN RESP at 700 Hz. Plot raw segments, inspect units, test a 0.05–0.35 Hz band-pass as the paper-inspired candidate, and validate breath peaks/valleys. Calculate the four respiration features with explicit cycle definitions.</w:t>
      </w:r>
    </w:p>
    <w:p>
      <w:pPr>
        <w:pStyle w:val="Heading2"/>
      </w:pPr>
      <w:r>
        <w:t>Phase 7 — EDA preprocessing</w:t>
      </w:r>
    </w:p>
    <w:p>
      <w:r>
        <w:t>Use wrist E4 EDA at 4 Hz for the first combined dataset. Inspect raw units and quality; test low-pass 0.5 Hz; derive tonic and phasic components using a documented method. Validate that the chosen decomposition is stable at 4 Hz before detecting response peaks.</w:t>
      </w:r>
    </w:p>
    <w:p>
      <w:pPr>
        <w:pStyle w:val="Heading2"/>
      </w:pPr>
      <w:r>
        <w:t>Phase 8 — Window and label alignment</w:t>
      </w:r>
    </w:p>
    <w:p>
      <w:r>
        <w:t>Use 180-second windows and map sample indices to time with the correct native sampling rate. Determine a clear rule for assigning a label (for example, majority label only when a window is sufficiently pure); exclude transition/transient windows. Confirm alignment visually and with counts.</w:t>
      </w:r>
    </w:p>
    <w:p>
      <w:pPr>
        <w:pStyle w:val="Heading2"/>
      </w:pPr>
      <w:r>
        <w:t>Phase 9 — Build feature table</w:t>
      </w:r>
    </w:p>
    <w:p>
      <w:r>
        <w:t>Create one row per subject-window with 10 features, subject ID, start/end time, valid-sample percentage, quality flags, and WESAD target. Store missing features as missing rather than fabricating values.</w:t>
      </w:r>
    </w:p>
    <w:p>
      <w:pPr>
        <w:pStyle w:val="Heading2"/>
      </w:pPr>
      <w:r>
        <w:t>Phase 10 — Train a WESAD-specific model</w:t>
      </w:r>
    </w:p>
    <w:p>
      <w:r>
        <w:t>Start with a clearly stated task such as stress versus baseline, or a multi-class protocol-state task if class counts permit. Compare Random Forest with a simple baseline. Use subject-wise splits so windows from a person do not leak into both train and test.</w:t>
      </w:r>
    </w:p>
    <w:p>
      <w:pPr>
        <w:pStyle w:val="Heading2"/>
      </w:pPr>
      <w:r>
        <w:t>Phase 11 — Evaluate baseline normalization</w:t>
      </w:r>
    </w:p>
    <w:p>
      <w:r>
        <w:t>Compare raw features with features relative to each subject’s valid baseline. Ensure baseline selection is performed using only permitted data and do not leak test information into training transformations.</w:t>
      </w:r>
    </w:p>
    <w:p>
      <w:pPr>
        <w:pStyle w:val="Heading2"/>
      </w:pPr>
      <w:r>
        <w:t>Phase 12 — Report and reproduce</w:t>
      </w:r>
    </w:p>
    <w:p>
      <w:r>
        <w:t>Record package versions, random seeds, exact filter cutoffs, peak detector parameters, label rules, split definitions, class counts, and metrics. Save plots, feature CSVs, configuration, and a run log.</w:t>
      </w:r>
    </w:p>
    <w:p>
      <w:pPr>
        <w:pStyle w:val="Heading1"/>
      </w:pPr>
      <w:r>
        <w:t>10. Windowing, quality checks, and evaluation</w:t>
      </w:r>
    </w:p>
    <w:p>
      <w:pPr>
        <w:pStyle w:val="Heading2"/>
      </w:pPr>
      <w:r>
        <w:t>10.1 Three-minute windows</w:t>
      </w:r>
    </w:p>
    <w:p>
      <w:r>
        <w:t>A 180-second window contains 180 × sampling_rate samples if the channel is continuous and the sample rate is stable. Examples: wrist BVP at 64 Hz gives 11,520 samples per 180 seconds; wrist EDA at 4 Hz gives 720 samples; RespiBAN at 700 Hz gives 126,000 samples. These are expected counts, not a substitute for checking actual array lengths and synchronization.</w:t>
      </w:r>
    </w:p>
    <w:p>
      <w:pPr>
        <w:pStyle w:val="Heading2"/>
      </w:pPr>
      <w:r>
        <w:t>10.2 Quality checks before feature extraction</w:t>
      </w:r>
    </w:p>
    <w:p>
      <w:pPr>
        <w:pStyle w:val="ListBullet"/>
      </w:pPr>
      <w:r>
        <w:t>Verify the signal has the expected sample rate and the time vector matches its length.</w:t>
      </w:r>
    </w:p>
    <w:p>
      <w:pPr>
        <w:pStyle w:val="ListBullet"/>
      </w:pPr>
      <w:r>
        <w:t>Measure non-finite values and missing data; inspect clipping, abrupt jumps, and flat segments.</w:t>
      </w:r>
    </w:p>
    <w:p>
      <w:pPr>
        <w:pStyle w:val="ListBullet"/>
      </w:pPr>
      <w:r>
        <w:t>Plot raw and filtered waveforms with detected peaks/valleys overlaid.</w:t>
      </w:r>
    </w:p>
    <w:p>
      <w:pPr>
        <w:pStyle w:val="ListBullet"/>
      </w:pPr>
      <w:r>
        <w:t>Record the proportion of the window flagged as suspicious; set a documented rule for excluding windows.</w:t>
      </w:r>
    </w:p>
    <w:p>
      <w:pPr>
        <w:pStyle w:val="ListBullet"/>
      </w:pPr>
      <w:r>
        <w:t>Check feature units and numerical ranges; investigate extreme values rather than automatically clipping them.</w:t>
      </w:r>
    </w:p>
    <w:p>
      <w:pPr>
        <w:pStyle w:val="ListBullet"/>
      </w:pPr>
      <w:r>
        <w:t>Keep the subject ID attached to every window so group-wise validation remains possible.</w:t>
      </w:r>
    </w:p>
    <w:p>
      <w:pPr>
        <w:pStyle w:val="Heading2"/>
      </w:pPr>
      <w:r>
        <w:t>10.3 Model evaluation</w:t>
      </w:r>
    </w:p>
    <w:p>
      <w:r>
        <w:t>Use participant-wise/grouped validation, not a random split of windows. Randomly splitting windows can place the same participant in both training and test data and inflate performance. Report macro-F1, per-class precision/recall, confusion matrix, class counts, and uncertainty where feasible. Accuracy alone can hide poor performance on a minority class.</w:t>
      </w:r>
    </w:p>
    <w:p>
      <w:pPr>
        <w:pStyle w:val="Heading2"/>
      </w:pPr>
      <w:r>
        <w:t>10.4 Suggested first classification task</w:t>
      </w:r>
    </w:p>
    <w:p>
      <w:r>
        <w:t>For an initial WESAD baseline, stress versus baseline is a clear, label-supported task. Amusement and meditation can be added later if class counts, window purity, and protocol timing are adequate. This task tests the pipeline and classifier; it does not test the original paper’s engagement claim.</w:t>
      </w:r>
    </w:p>
    <w:p>
      <w:pPr>
        <w:pStyle w:val="Heading1"/>
      </w:pPr>
      <w:r>
        <w:t>11. Risks and controls</w:t>
      </w:r>
    </w:p>
    <w:tbl>
      <w:tblPr>
        <w:tblStyle w:val="TableGrid"/>
        <w:tblW w:type="auto" w:w="0"/>
        <w:jc w:val="center"/>
        <w:tblLook w:firstColumn="1" w:firstRow="1" w:lastColumn="0" w:lastRow="0" w:noHBand="0" w:noVBand="1" w:val="04A0"/>
      </w:tblPr>
      <w:tblGrid>
        <w:gridCol w:w="3360"/>
        <w:gridCol w:w="3360"/>
        <w:gridCol w:w="3360"/>
      </w:tblGrid>
      <w:tr>
        <w:tc>
          <w:tcPr>
            <w:tcW w:type="dxa" w:w="2088"/>
            <w:vAlign w:val="center"/>
            <w:shd w:fill="D9EAF7"/>
          </w:tcPr>
          <w:p>
            <w:pPr>
              <w:spacing w:after="20"/>
            </w:pPr>
            <w:r/>
            <w:r>
              <w:rPr>
                <w:b/>
                <w:sz w:val="16"/>
              </w:rPr>
              <w:t>Risk</w:t>
            </w:r>
          </w:p>
        </w:tc>
        <w:tc>
          <w:tcPr>
            <w:tcW w:type="dxa" w:w="3528"/>
            <w:vAlign w:val="center"/>
            <w:shd w:fill="D9EAF7"/>
          </w:tcPr>
          <w:p>
            <w:pPr>
              <w:spacing w:after="20"/>
            </w:pPr>
            <w:r/>
            <w:r>
              <w:rPr>
                <w:b/>
                <w:sz w:val="16"/>
              </w:rPr>
              <w:t>Why it matters</w:t>
            </w:r>
          </w:p>
        </w:tc>
        <w:tc>
          <w:tcPr>
            <w:tcW w:type="dxa" w:w="4320"/>
            <w:vAlign w:val="center"/>
            <w:shd w:fill="D9EAF7"/>
          </w:tcPr>
          <w:p>
            <w:pPr>
              <w:spacing w:after="20"/>
            </w:pPr>
            <w:r/>
            <w:r>
              <w:rPr>
                <w:b/>
                <w:sz w:val="16"/>
              </w:rPr>
              <w:t>Control</w:t>
            </w:r>
          </w:p>
        </w:tc>
      </w:tr>
      <w:tr>
        <w:tc>
          <w:tcPr>
            <w:tcW w:type="dxa" w:w="2088"/>
            <w:vAlign w:val="center"/>
          </w:tcPr>
          <w:p>
            <w:pPr>
              <w:spacing w:after="20"/>
            </w:pPr>
            <w:r/>
            <w:r>
              <w:rPr>
                <w:b w:val="0"/>
                <w:sz w:val="16"/>
              </w:rPr>
              <w:t>Copying cutoffs blindly</w:t>
            </w:r>
          </w:p>
        </w:tc>
        <w:tc>
          <w:tcPr>
            <w:tcW w:type="dxa" w:w="3528"/>
            <w:vAlign w:val="center"/>
          </w:tcPr>
          <w:p>
            <w:pPr>
              <w:spacing w:after="20"/>
            </w:pPr>
            <w:r/>
            <w:r>
              <w:rPr>
                <w:b w:val="0"/>
                <w:sz w:val="16"/>
              </w:rPr>
              <w:t>WESAD devices, locations, and rates differ from BIOPAC.</w:t>
            </w:r>
          </w:p>
        </w:tc>
        <w:tc>
          <w:tcPr>
            <w:tcW w:type="dxa" w:w="4320"/>
            <w:vAlign w:val="center"/>
          </w:tcPr>
          <w:p>
            <w:pPr>
              <w:spacing w:after="20"/>
            </w:pPr>
            <w:r/>
            <w:r>
              <w:rPr>
                <w:b w:val="0"/>
                <w:sz w:val="16"/>
              </w:rPr>
              <w:t>Treat paper filters as candidates; compare plots and document final choices.</w:t>
            </w:r>
          </w:p>
        </w:tc>
      </w:tr>
      <w:tr>
        <w:tc>
          <w:tcPr>
            <w:tcW w:type="dxa" w:w="2088"/>
            <w:vAlign w:val="center"/>
          </w:tcPr>
          <w:p>
            <w:pPr>
              <w:spacing w:after="20"/>
            </w:pPr>
            <w:r/>
            <w:r>
              <w:rPr>
                <w:b w:val="0"/>
                <w:sz w:val="16"/>
              </w:rPr>
              <w:t>Confusing filter range with sensor range</w:t>
            </w:r>
          </w:p>
        </w:tc>
        <w:tc>
          <w:tcPr>
            <w:tcW w:type="dxa" w:w="3528"/>
            <w:vAlign w:val="center"/>
          </w:tcPr>
          <w:p>
            <w:pPr>
              <w:spacing w:after="20"/>
            </w:pPr>
            <w:r/>
            <w:r>
              <w:rPr>
                <w:b w:val="0"/>
                <w:sz w:val="16"/>
              </w:rPr>
              <w:t>1.1–3.6 Hz is a digital passband, not the hardware’s physical range.</w:t>
            </w:r>
          </w:p>
        </w:tc>
        <w:tc>
          <w:tcPr>
            <w:tcW w:type="dxa" w:w="4320"/>
            <w:vAlign w:val="center"/>
          </w:tcPr>
          <w:p>
            <w:pPr>
              <w:spacing w:after="20"/>
            </w:pPr>
            <w:r/>
            <w:r>
              <w:rPr>
                <w:b w:val="0"/>
                <w:sz w:val="16"/>
              </w:rPr>
              <w:t>Document sensor, sampling rate, units, and digital filter separately.</w:t>
            </w:r>
          </w:p>
        </w:tc>
      </w:tr>
      <w:tr>
        <w:tc>
          <w:tcPr>
            <w:tcW w:type="dxa" w:w="2088"/>
            <w:vAlign w:val="center"/>
          </w:tcPr>
          <w:p>
            <w:pPr>
              <w:spacing w:after="20"/>
            </w:pPr>
            <w:r/>
            <w:r>
              <w:rPr>
                <w:b w:val="0"/>
                <w:sz w:val="16"/>
              </w:rPr>
              <w:t>60 Hz notch on 64 Hz BVP</w:t>
            </w:r>
          </w:p>
        </w:tc>
        <w:tc>
          <w:tcPr>
            <w:tcW w:type="dxa" w:w="3528"/>
            <w:vAlign w:val="center"/>
          </w:tcPr>
          <w:p>
            <w:pPr>
              <w:spacing w:after="20"/>
            </w:pPr>
            <w:r/>
            <w:r>
              <w:rPr>
                <w:b w:val="0"/>
                <w:sz w:val="16"/>
              </w:rPr>
              <w:t>60 Hz lies above the BVP Nyquist limit of 32 Hz.</w:t>
            </w:r>
          </w:p>
        </w:tc>
        <w:tc>
          <w:tcPr>
            <w:tcW w:type="dxa" w:w="4320"/>
            <w:vAlign w:val="center"/>
          </w:tcPr>
          <w:p>
            <w:pPr>
              <w:spacing w:after="20"/>
            </w:pPr>
            <w:r/>
            <w:r>
              <w:rPr>
                <w:b w:val="0"/>
                <w:sz w:val="16"/>
              </w:rPr>
              <w:t>Do not apply it to wrist BVP.</w:t>
            </w:r>
          </w:p>
        </w:tc>
      </w:tr>
      <w:tr>
        <w:tc>
          <w:tcPr>
            <w:tcW w:type="dxa" w:w="2088"/>
            <w:vAlign w:val="center"/>
          </w:tcPr>
          <w:p>
            <w:pPr>
              <w:spacing w:after="20"/>
            </w:pPr>
            <w:r/>
            <w:r>
              <w:rPr>
                <w:b w:val="0"/>
                <w:sz w:val="16"/>
              </w:rPr>
              <w:t>Misnaming mean IBI as HRV</w:t>
            </w:r>
          </w:p>
        </w:tc>
        <w:tc>
          <w:tcPr>
            <w:tcW w:type="dxa" w:w="3528"/>
            <w:vAlign w:val="center"/>
          </w:tcPr>
          <w:p>
            <w:pPr>
              <w:spacing w:after="20"/>
            </w:pPr>
            <w:r/>
            <w:r>
              <w:rPr>
                <w:b w:val="0"/>
                <w:sz w:val="16"/>
              </w:rPr>
              <w:t>Mean time between beats is not itself a variability statistic.</w:t>
            </w:r>
          </w:p>
        </w:tc>
        <w:tc>
          <w:tcPr>
            <w:tcW w:type="dxa" w:w="4320"/>
            <w:vAlign w:val="center"/>
          </w:tcPr>
          <w:p>
            <w:pPr>
              <w:spacing w:after="20"/>
            </w:pPr>
            <w:r/>
            <w:r>
              <w:rPr>
                <w:b w:val="0"/>
                <w:sz w:val="16"/>
              </w:rPr>
              <w:t>Confirm the paper’s exact definition; keep IBI and HRV metrics distinct.</w:t>
            </w:r>
          </w:p>
        </w:tc>
      </w:tr>
      <w:tr>
        <w:tc>
          <w:tcPr>
            <w:tcW w:type="dxa" w:w="2088"/>
            <w:vAlign w:val="center"/>
          </w:tcPr>
          <w:p>
            <w:pPr>
              <w:spacing w:after="20"/>
            </w:pPr>
            <w:r/>
            <w:r>
              <w:rPr>
                <w:b w:val="0"/>
                <w:sz w:val="16"/>
              </w:rPr>
              <w:t>Calling BVP amplitude µV</w:t>
            </w:r>
          </w:p>
        </w:tc>
        <w:tc>
          <w:tcPr>
            <w:tcW w:type="dxa" w:w="3528"/>
            <w:vAlign w:val="center"/>
          </w:tcPr>
          <w:p>
            <w:pPr>
              <w:spacing w:after="20"/>
            </w:pPr>
            <w:r/>
            <w:r>
              <w:rPr>
                <w:b w:val="0"/>
                <w:sz w:val="16"/>
              </w:rPr>
              <w:t>Wrist BVP may be in device-specific/relative units.</w:t>
            </w:r>
          </w:p>
        </w:tc>
        <w:tc>
          <w:tcPr>
            <w:tcW w:type="dxa" w:w="4320"/>
            <w:vAlign w:val="center"/>
          </w:tcPr>
          <w:p>
            <w:pPr>
              <w:spacing w:after="20"/>
            </w:pPr>
            <w:r/>
            <w:r>
              <w:rPr>
                <w:b w:val="0"/>
                <w:sz w:val="16"/>
              </w:rPr>
              <w:t>Use recorded units unless calibrated conversion is documented.</w:t>
            </w:r>
          </w:p>
        </w:tc>
      </w:tr>
      <w:tr>
        <w:tc>
          <w:tcPr>
            <w:tcW w:type="dxa" w:w="2088"/>
            <w:vAlign w:val="center"/>
          </w:tcPr>
          <w:p>
            <w:pPr>
              <w:spacing w:after="20"/>
            </w:pPr>
            <w:r/>
            <w:r>
              <w:rPr>
                <w:b w:val="0"/>
                <w:sz w:val="16"/>
              </w:rPr>
              <w:t>EDA peak detection at 4 Hz</w:t>
            </w:r>
          </w:p>
        </w:tc>
        <w:tc>
          <w:tcPr>
            <w:tcW w:type="dxa" w:w="3528"/>
            <w:vAlign w:val="center"/>
          </w:tcPr>
          <w:p>
            <w:pPr>
              <w:spacing w:after="20"/>
            </w:pPr>
            <w:r/>
            <w:r>
              <w:rPr>
                <w:b w:val="0"/>
                <w:sz w:val="16"/>
              </w:rPr>
              <w:t>Temporal resolution is limited for short responses.</w:t>
            </w:r>
          </w:p>
        </w:tc>
        <w:tc>
          <w:tcPr>
            <w:tcW w:type="dxa" w:w="4320"/>
            <w:vAlign w:val="center"/>
          </w:tcPr>
          <w:p>
            <w:pPr>
              <w:spacing w:after="20"/>
            </w:pPr>
            <w:r/>
            <w:r>
              <w:rPr>
                <w:b w:val="0"/>
                <w:sz w:val="16"/>
              </w:rPr>
              <w:t>Validate decomposition and peak thresholds; consider RespiBAN EDA only as a separately analysed alternative.</w:t>
            </w:r>
          </w:p>
        </w:tc>
      </w:tr>
      <w:tr>
        <w:tc>
          <w:tcPr>
            <w:tcW w:type="dxa" w:w="2088"/>
            <w:vAlign w:val="center"/>
          </w:tcPr>
          <w:p>
            <w:pPr>
              <w:spacing w:after="20"/>
            </w:pPr>
            <w:r/>
            <w:r>
              <w:rPr>
                <w:b w:val="0"/>
                <w:sz w:val="16"/>
              </w:rPr>
              <w:t>Label leakage</w:t>
            </w:r>
          </w:p>
        </w:tc>
        <w:tc>
          <w:tcPr>
            <w:tcW w:type="dxa" w:w="3528"/>
            <w:vAlign w:val="center"/>
          </w:tcPr>
          <w:p>
            <w:pPr>
              <w:spacing w:after="20"/>
            </w:pPr>
            <w:r/>
            <w:r>
              <w:rPr>
                <w:b w:val="0"/>
                <w:sz w:val="16"/>
              </w:rPr>
              <w:t>Mixed windows or participant overlap can make scores misleading.</w:t>
            </w:r>
          </w:p>
        </w:tc>
        <w:tc>
          <w:tcPr>
            <w:tcW w:type="dxa" w:w="4320"/>
            <w:vAlign w:val="center"/>
          </w:tcPr>
          <w:p>
            <w:pPr>
              <w:spacing w:after="20"/>
            </w:pPr>
            <w:r/>
            <w:r>
              <w:rPr>
                <w:b w:val="0"/>
                <w:sz w:val="16"/>
              </w:rPr>
              <w:t>Predefine label-purity rules and use participant-wise splits.</w:t>
            </w:r>
          </w:p>
        </w:tc>
      </w:tr>
      <w:tr>
        <w:tc>
          <w:tcPr>
            <w:tcW w:type="dxa" w:w="2088"/>
            <w:vAlign w:val="center"/>
          </w:tcPr>
          <w:p>
            <w:pPr>
              <w:spacing w:after="20"/>
            </w:pPr>
            <w:r/>
            <w:r>
              <w:rPr>
                <w:b w:val="0"/>
                <w:sz w:val="16"/>
              </w:rPr>
              <w:t>Claiming engagement from stress labels</w:t>
            </w:r>
          </w:p>
        </w:tc>
        <w:tc>
          <w:tcPr>
            <w:tcW w:type="dxa" w:w="3528"/>
            <w:vAlign w:val="center"/>
          </w:tcPr>
          <w:p>
            <w:pPr>
              <w:spacing w:after="20"/>
            </w:pPr>
            <w:r/>
            <w:r>
              <w:rPr>
                <w:b w:val="0"/>
                <w:sz w:val="16"/>
              </w:rPr>
              <w:t>Stress and engagement are different constructs.</w:t>
            </w:r>
          </w:p>
        </w:tc>
        <w:tc>
          <w:tcPr>
            <w:tcW w:type="dxa" w:w="4320"/>
            <w:vAlign w:val="center"/>
          </w:tcPr>
          <w:p>
            <w:pPr>
              <w:spacing w:after="20"/>
            </w:pPr>
            <w:r/>
            <w:r>
              <w:rPr>
                <w:b w:val="0"/>
                <w:sz w:val="16"/>
              </w:rPr>
              <w:t>Name the WESAD task accurately; obtain engagement labels for an engagement model.</w:t>
            </w:r>
          </w:p>
        </w:tc>
      </w:tr>
    </w:tbl>
    <w:p/>
    <w:p>
      <w:pPr>
        <w:pStyle w:val="Heading1"/>
      </w:pPr>
      <w:r>
        <w:t>12. What we can and cannot claim</w:t>
      </w:r>
    </w:p>
    <w:p>
      <w:pPr>
        <w:pStyle w:val="Heading2"/>
      </w:pPr>
      <w:r>
        <w:t>Claims supported after successful implementation</w:t>
      </w:r>
    </w:p>
    <w:p>
      <w:pPr>
        <w:pStyle w:val="ListBullet"/>
      </w:pPr>
      <w:r>
        <w:t>We implemented a reproducible physiological preprocessing and feature-extraction pipeline inspired by the target paper.</w:t>
      </w:r>
    </w:p>
    <w:p>
      <w:pPr>
        <w:pStyle w:val="ListBullet"/>
      </w:pPr>
      <w:r>
        <w:t>We evaluated a classifier on WESAD’s documented stress/affect protocol labels using participant-wise validation.</w:t>
      </w:r>
    </w:p>
    <w:p>
      <w:pPr>
        <w:pStyle w:val="ListBullet"/>
      </w:pPr>
      <w:r>
        <w:t>We compared filter choices and feature behaviour for the available WESAD sensors.</w:t>
      </w:r>
    </w:p>
    <w:p>
      <w:pPr>
        <w:pStyle w:val="ListBullet"/>
      </w:pPr>
      <w:r>
        <w:t>We assessed whether baseline normalization or individual modalities improve the WESAD task.</w:t>
      </w:r>
    </w:p>
    <w:p>
      <w:pPr>
        <w:pStyle w:val="Heading2"/>
      </w:pPr>
      <w:r>
        <w:t>Claims not supported without additional data</w:t>
      </w:r>
    </w:p>
    <w:p>
      <w:pPr>
        <w:pStyle w:val="ListBullet"/>
      </w:pPr>
      <w:r>
        <w:t>That the WESAD-trained model predicts the target paper’s High/Low engagement labels.</w:t>
      </w:r>
    </w:p>
    <w:p>
      <w:pPr>
        <w:pStyle w:val="ListBullet"/>
      </w:pPr>
      <w:r>
        <w:t>That our model is the original authors’ model or should achieve their reported 84.72% accuracy.</w:t>
      </w:r>
    </w:p>
    <w:p>
      <w:pPr>
        <w:pStyle w:val="ListBullet"/>
      </w:pPr>
      <w:r>
        <w:t>That WESAD wrist BVP amplitude is measured in microvolts without a documented calibration.</w:t>
      </w:r>
    </w:p>
    <w:p>
      <w:pPr>
        <w:pStyle w:val="ListBullet"/>
      </w:pPr>
      <w:r>
        <w:t>That stress classification proves improved driving skill or clinical effectiveness for people with ASD.</w:t>
      </w:r>
    </w:p>
    <w:p>
      <w:pPr>
        <w:pStyle w:val="Heading1"/>
      </w:pPr>
      <w:r>
        <w:t>13. Immediate action checklist</w:t>
      </w:r>
    </w:p>
    <w:p>
      <w:pPr>
        <w:pStyle w:val="ListNumber"/>
      </w:pPr>
      <w:r>
        <w:t>Run ppg_wesad_pipeline.py against the local S2.pkl path.</w:t>
      </w:r>
    </w:p>
    <w:p>
      <w:pPr>
        <w:pStyle w:val="ListNumber"/>
      </w:pPr>
      <w:r>
        <w:t>Inspect the raw, filtered, outlier-flag, and peak-detection plots before accepting the generated features.</w:t>
      </w:r>
    </w:p>
    <w:p>
      <w:pPr>
        <w:pStyle w:val="ListNumber"/>
      </w:pPr>
      <w:r>
        <w:t>Write down the chosen BVP passband and why it was selected.</w:t>
      </w:r>
    </w:p>
    <w:p>
      <w:pPr>
        <w:pStyle w:val="ListNumber"/>
      </w:pPr>
      <w:r>
        <w:t>Confirm the exact HRV feature definition before calling an IBI statistic “HRV.”</w:t>
      </w:r>
    </w:p>
    <w:p>
      <w:pPr>
        <w:pStyle w:val="ListNumber"/>
      </w:pPr>
      <w:r>
        <w:t>Then add RESP, validate its 0.05–0.35 Hz candidate band, and define breath cycles.</w:t>
      </w:r>
    </w:p>
    <w:p>
      <w:pPr>
        <w:pStyle w:val="ListNumber"/>
      </w:pPr>
      <w:r>
        <w:t>Add E4 wrist EDA at 4 Hz; validate tonic/phasic decomposition and response detection.</w:t>
      </w:r>
    </w:p>
    <w:p>
      <w:pPr>
        <w:pStyle w:val="ListNumber"/>
      </w:pPr>
      <w:r>
        <w:t>Build 180-second windows and align them to WESAD labels with a documented purity rule.</w:t>
      </w:r>
    </w:p>
    <w:p>
      <w:pPr>
        <w:pStyle w:val="ListNumber"/>
      </w:pPr>
      <w:r>
        <w:t>Train a WESAD-specific stress/baseline classifier using subject-wise validation.</w:t>
      </w:r>
    </w:p>
    <w:p>
      <w:pPr>
        <w:pStyle w:val="Heading1"/>
      </w:pPr>
      <w:r>
        <w:t>14. References</w:t>
      </w:r>
    </w:p>
    <w:p>
      <w:pPr>
        <w:pStyle w:val="ListBullet"/>
      </w:pPr>
      <w:r>
        <w:t>Bian, D., Wade, J., Swanson, A., Weitlauf, A., Warren, Z., &amp; Sarkar, N. (2019). Design of a Physiology-based Adaptive Virtual Reality Driving Platform for Individuals with ASD. ACM Transactions on Accessible Computing, 12(1), Article 2. https://doi.org/10.1145/3301498</w:t>
      </w:r>
    </w:p>
    <w:p>
      <w:pPr>
        <w:pStyle w:val="ListBullet"/>
      </w:pPr>
      <w:r>
        <w:t>Schmidt, P., Reiss, A., Dürichen, R., Marberger, C., &amp; Van Laerhoven, K. (2018). Introducing WESAD, a multimodal dataset for Wearable Stress and Affect Detection. Proceedings of the 20th ACM International Conference on Multimodal Interaction, 400–408. https://doi.org/10.1145/3242969.3242985</w:t>
      </w:r>
    </w:p>
    <w:p>
      <w:pPr>
        <w:pStyle w:val="ListBullet"/>
      </w:pPr>
      <w:r>
        <w:t>Official WESAD dataset page: https://ubi29.informatik.uni-siegen.de/usi/data_wesad.html</w:t>
      </w:r>
    </w:p>
    <w:p>
      <w:pPr>
        <w:pStyle w:val="ListBullet"/>
      </w:pPr>
      <w:r>
        <w:t>WESAD paper PDF: https://www.eti.uni-siegen.de/ubicomp/papers/ubi_icmi2018.pdf</w:t>
      </w:r>
    </w:p>
    <w:p>
      <w:pPr>
        <w:pStyle w:val="ListBullet"/>
      </w:pPr>
      <w:r>
        <w:t>Target paper PDF: https://cdn.vanderbilt.edu/t2-main/lab-prd/wp-content/uploads/sites/179/2022/09/3301498.pdf</w:t>
      </w:r>
    </w:p>
    <w:p>
      <w:r>
        <w:t>Dataset-use note: follow the WESAD authors’ stated terms for research/non-commercial use and cite the dataset paper in any report, presentation, or publication based on the data.</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Physiology-Based Adaptive Project Plan • Detailed working document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