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2 REPORT</w:t>
      </w:r>
    </w:p>
    <w:p>
      <w:pPr>
        <w:jc w:val="center"/>
      </w:pPr>
      <w:r>
        <w:rPr>
          <w:b/>
          <w:sz w:val="50"/>
        </w:rPr>
        <w:t>Data Collection Strategy and Cleaning</w:t>
      </w:r>
    </w:p>
    <w:p/>
    <w:p>
      <w:pPr>
        <w:jc w:val="center"/>
      </w:pPr>
      <w:r>
        <w:rPr>
          <w:b/>
          <w:sz w:val="28"/>
        </w:rPr>
        <w:t>E-Governance and Digital Public Services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Intern Name</w:t>
            </w:r>
          </w:p>
        </w:tc>
        <w:tc>
          <w:tcPr>
            <w:tcW w:type="dxa" w:w="4968"/>
            <w:vAlign w:val="center"/>
          </w:tcPr>
          <w:p>
            <w:r>
              <w:t>Mayank</w:t>
            </w:r>
          </w:p>
        </w:tc>
      </w:tr>
      <w:tr>
        <w:tc>
          <w:tcPr>
            <w:tcW w:type="dxa" w:w="4968"/>
            <w:vAlign w:val="center"/>
          </w:tcPr>
          <w:p>
            <w:r>
              <w:t>Internship</w:t>
            </w:r>
          </w:p>
        </w:tc>
        <w:tc>
          <w:tcPr>
            <w:tcW w:type="dxa" w:w="4968"/>
            <w:vAlign w:val="center"/>
          </w:tcPr>
          <w:p>
            <w:r>
              <w:t>YUVA Intern</w:t>
            </w:r>
          </w:p>
        </w:tc>
      </w:tr>
      <w:tr>
        <w:tc>
          <w:tcPr>
            <w:tcW w:type="dxa" w:w="4968"/>
            <w:vAlign w:val="center"/>
          </w:tcPr>
          <w:p>
            <w:r>
              <w:t>Week</w:t>
            </w:r>
          </w:p>
        </w:tc>
        <w:tc>
          <w:tcPr>
            <w:tcW w:type="dxa" w:w="4968"/>
            <w:vAlign w:val="center"/>
          </w:tcPr>
          <w:p>
            <w:r>
              <w:t>Week 2</w:t>
            </w:r>
          </w:p>
        </w:tc>
      </w:tr>
      <w:tr>
        <w:tc>
          <w:tcPr>
            <w:tcW w:type="dxa" w:w="4968"/>
            <w:vAlign w:val="center"/>
          </w:tcPr>
          <w:p>
            <w:r>
              <w:t>Task</w:t>
            </w:r>
          </w:p>
        </w:tc>
        <w:tc>
          <w:tcPr>
            <w:tcW w:type="dxa" w:w="4968"/>
            <w:vAlign w:val="center"/>
          </w:tcPr>
          <w:p>
            <w:r>
              <w:t>Data Collection Strategy and Cleaning</w:t>
            </w:r>
          </w:p>
        </w:tc>
      </w:tr>
      <w:tr>
        <w:tc>
          <w:tcPr>
            <w:tcW w:type="dxa" w:w="4968"/>
            <w:vAlign w:val="center"/>
          </w:tcPr>
          <w:p>
            <w:r>
              <w:t>Focus Area</w:t>
            </w:r>
          </w:p>
        </w:tc>
        <w:tc>
          <w:tcPr>
            <w:tcW w:type="dxa" w:w="4968"/>
            <w:vAlign w:val="center"/>
          </w:tcPr>
          <w:p>
            <w:r>
              <w:t>Data-driven improvement of digital public services in rural areas</w:t>
            </w:r>
          </w:p>
        </w:tc>
      </w:tr>
      <w:tr>
        <w:tc>
          <w:tcPr>
            <w:tcW w:type="dxa" w:w="4968"/>
            <w:vAlign w:val="center"/>
          </w:tcPr>
          <w:p>
            <w:r>
              <w:t>Submission Format</w:t>
            </w:r>
          </w:p>
        </w:tc>
        <w:tc>
          <w:tcPr>
            <w:tcW w:type="dxa" w:w="4968"/>
            <w:vAlign w:val="center"/>
          </w:tcPr>
          <w:p>
            <w:r>
              <w:t>Microsoft Word (.docx)</w:t>
            </w:r>
          </w:p>
        </w:tc>
      </w:tr>
    </w:tbl>
    <w:p/>
    <w:p>
      <w:pPr>
        <w:jc w:val="center"/>
      </w:pPr>
      <w:r>
        <w:rPr>
          <w:i/>
        </w:rPr>
        <w:t>Prepared as a structured blueprint for subsequent data analysis</w:t>
      </w:r>
    </w:p>
    <w:p>
      <w:r>
        <w:br w:type="page"/>
      </w:r>
    </w:p>
    <w:p>
      <w:pPr>
        <w:pStyle w:val="Heading1"/>
      </w:pPr>
      <w:r>
        <w:t>1. Executive Summary</w:t>
      </w:r>
    </w:p>
    <w:p>
      <w:pPr>
        <w:spacing w:after="100"/>
      </w:pPr>
      <w:r>
        <w:t>This Week 2 report presents a practical data collection, cleaning, preprocessing, and validation strategy for studying access to and use of digital public services in rural communities. The central problem is that citizens may face barriers such as limited awareness, low digital literacy, connectivity limitations, difficulty navigating online portals, language barriers, and inconsistent service experiences. A reliable dataset is required to understand these barriers and identify measurable opportunities for improving digital public service delivery.</w:t>
      </w:r>
    </w:p>
    <w:p>
      <w:pPr>
        <w:spacing w:after="100"/>
      </w:pPr>
      <w:r>
        <w:t>The proposed approach combines secondary data from reliable public sources with structured primary data where appropriate. Public-domain sources will provide contextual indicators such as population, internet access, digital infrastructure, service availability, and socio-economic characteristics. Primary data can be collected through a short, privacy-conscious survey focused on service awareness, usage, accessibility, satisfaction, and common difficulties. The report also defines data quality rules, missing-value handling, duplicate detection, anomaly treatment, standardization, transformation, and validation procedures. Python libraries such as pandas, NumPy, and Matplotlib will support the later analysis.</w:t>
      </w:r>
    </w:p>
    <w:p>
      <w:pPr>
        <w:spacing w:after="100"/>
      </w:pPr>
      <w:r>
        <w:t>The output of this plan will be a clean, documented, reproducible dataset suitable for descriptive analysis, comparison across locations, visualization, and future predictive or decision-support work. No personally identifiable information is required for the analytical objective; therefore, the collection plan emphasizes data minimization and responsible handling.</w:t>
      </w:r>
    </w:p>
    <w:p>
      <w:pPr>
        <w:pStyle w:val="Heading1"/>
      </w:pPr>
      <w:r>
        <w:t>2. Problem Statement</w:t>
      </w:r>
    </w:p>
    <w:p>
      <w:pPr>
        <w:spacing w:after="100"/>
      </w:pPr>
      <w:r>
        <w:t>Rural citizens increasingly depend on digital channels for public services, but access and usability are not uniform. Differences in awareness, digital literacy, internet connectivity, device availability, language, and the design of online services can affect whether a citizen can successfully discover, access, and complete a digital public-service transaction. The project therefore aims to build an evidence-based view of these barriers and identify data-supported areas where digital public services can be made more accessible, reliable, and citizen-friendly.</w:t>
      </w:r>
    </w:p>
    <w:p>
      <w:pPr>
        <w:pStyle w:val="Heading1"/>
      </w:pPr>
      <w:r>
        <w:t>3. Objectives of Data Collection</w:t>
      </w:r>
    </w:p>
    <w:p>
      <w:pPr>
        <w:pStyle w:val="ListBullet"/>
      </w:pPr>
      <w:r>
        <w:t>Measure awareness and usage of selected digital public services among rural citizens.</w:t>
      </w:r>
    </w:p>
    <w:p>
      <w:pPr>
        <w:pStyle w:val="ListBullet"/>
      </w:pPr>
      <w:r>
        <w:t>Understand the main barriers faced while accessing digital services, including connectivity, device, literacy, language, and usability issues.</w:t>
      </w:r>
    </w:p>
    <w:p>
      <w:pPr>
        <w:pStyle w:val="ListBullet"/>
      </w:pPr>
      <w:r>
        <w:t>Compare service access and satisfaction across demographic and geographic categories without collecting unnecessary personal identifiers.</w:t>
      </w:r>
    </w:p>
    <w:p>
      <w:pPr>
        <w:pStyle w:val="ListBullet"/>
      </w:pPr>
      <w:r>
        <w:t>Combine public contextual datasets with survey-level indicators to support meaningful analysis.</w:t>
      </w:r>
    </w:p>
    <w:p>
      <w:pPr>
        <w:pStyle w:val="ListBullet"/>
      </w:pPr>
      <w:r>
        <w:t>Create a clean, standardized, validated dataset that can be reused for subsequent analysis.</w:t>
      </w:r>
    </w:p>
    <w:p>
      <w:pPr>
        <w:pStyle w:val="ListBullet"/>
      </w:pPr>
      <w:r>
        <w:t>Maintain transparency by documenting data sources, assumptions, cleaning rules, and transformations.</w:t>
      </w:r>
    </w:p>
    <w:p>
      <w:pPr>
        <w:pStyle w:val="Heading1"/>
      </w:pPr>
      <w:r>
        <w:t>4. Scope of Data Collection</w:t>
      </w:r>
    </w:p>
    <w:p>
      <w:pPr>
        <w:spacing w:after="100"/>
      </w:pPr>
      <w:r>
        <w:t>The scope is limited to information relevant to digital public-service access and does not attempt to collect sensitive personal information. The proposed unit of analysis is a citizen response or an aggregated geographic/service observation. The project can cover rural communities and selected digital public services such as certificates, welfare/service applications, utility-related online services, grievance portals, appointments, and other government digital-service channels.</w:t>
      </w:r>
    </w:p>
    <w:p>
      <w:pPr>
        <w:pStyle w:val="Heading2"/>
      </w:pPr>
      <w:r>
        <w:t>4.1 Core Variables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Type</w:t>
            </w:r>
          </w:p>
        </w:tc>
        <w:tc>
          <w:tcPr>
            <w:tcW w:type="dxa" w:w="2484"/>
          </w:tcPr>
          <w:p>
            <w:r>
              <w:t>Purpose</w:t>
            </w:r>
          </w:p>
        </w:tc>
        <w:tc>
          <w:tcPr>
            <w:tcW w:type="dxa" w:w="2484"/>
          </w:tcPr>
          <w:p>
            <w:r>
              <w:t>Quality Rule</w:t>
            </w:r>
          </w:p>
        </w:tc>
      </w:tr>
      <w:tr>
        <w:tc>
          <w:tcPr>
            <w:tcW w:type="dxa" w:w="2484"/>
          </w:tcPr>
          <w:p>
            <w:r>
              <w:t>record_id</w:t>
            </w:r>
          </w:p>
        </w:tc>
        <w:tc>
          <w:tcPr>
            <w:tcW w:type="dxa" w:w="2484"/>
          </w:tcPr>
          <w:p>
            <w:r>
              <w:t>Text</w:t>
            </w:r>
          </w:p>
        </w:tc>
        <w:tc>
          <w:tcPr>
            <w:tcW w:type="dxa" w:w="2484"/>
          </w:tcPr>
          <w:p>
            <w:r>
              <w:t>Anonymous response/observation identifier</w:t>
            </w:r>
          </w:p>
        </w:tc>
        <w:tc>
          <w:tcPr>
            <w:tcW w:type="dxa" w:w="2484"/>
          </w:tcPr>
          <w:p>
            <w:r>
              <w:t>Unique; no duplicate IDs</w:t>
            </w:r>
          </w:p>
        </w:tc>
      </w:tr>
      <w:tr>
        <w:tc>
          <w:tcPr>
            <w:tcW w:type="dxa" w:w="2484"/>
          </w:tcPr>
          <w:p>
            <w:r>
              <w:t>state_or_district</w:t>
            </w:r>
          </w:p>
        </w:tc>
        <w:tc>
          <w:tcPr>
            <w:tcW w:type="dxa" w:w="2484"/>
          </w:tcPr>
          <w:p>
            <w:r>
              <w:t>Categorical</w:t>
            </w:r>
          </w:p>
        </w:tc>
        <w:tc>
          <w:tcPr>
            <w:tcW w:type="dxa" w:w="2484"/>
          </w:tcPr>
          <w:p>
            <w:r>
              <w:t>Geographic comparison</w:t>
            </w:r>
          </w:p>
        </w:tc>
        <w:tc>
          <w:tcPr>
            <w:tcW w:type="dxa" w:w="2484"/>
          </w:tcPr>
          <w:p>
            <w:r>
              <w:t>Standardized spelling</w:t>
            </w:r>
          </w:p>
        </w:tc>
      </w:tr>
      <w:tr>
        <w:tc>
          <w:tcPr>
            <w:tcW w:type="dxa" w:w="2484"/>
          </w:tcPr>
          <w:p>
            <w:r>
              <w:t>rural_area</w:t>
            </w:r>
          </w:p>
        </w:tc>
        <w:tc>
          <w:tcPr>
            <w:tcW w:type="dxa" w:w="2484"/>
          </w:tcPr>
          <w:p>
            <w:r>
              <w:t>Categorical</w:t>
            </w:r>
          </w:p>
        </w:tc>
        <w:tc>
          <w:tcPr>
            <w:tcW w:type="dxa" w:w="2484"/>
          </w:tcPr>
          <w:p>
            <w:r>
              <w:t>Scope verification</w:t>
            </w:r>
          </w:p>
        </w:tc>
        <w:tc>
          <w:tcPr>
            <w:tcW w:type="dxa" w:w="2484"/>
          </w:tcPr>
          <w:p>
            <w:r>
              <w:t>Yes/No only</w:t>
            </w:r>
          </w:p>
        </w:tc>
      </w:tr>
      <w:tr>
        <w:tc>
          <w:tcPr>
            <w:tcW w:type="dxa" w:w="2484"/>
          </w:tcPr>
          <w:p>
            <w:r>
              <w:t>age_group</w:t>
            </w:r>
          </w:p>
        </w:tc>
        <w:tc>
          <w:tcPr>
            <w:tcW w:type="dxa" w:w="2484"/>
          </w:tcPr>
          <w:p>
            <w:r>
              <w:t>Categorical</w:t>
            </w:r>
          </w:p>
        </w:tc>
        <w:tc>
          <w:tcPr>
            <w:tcW w:type="dxa" w:w="2484"/>
          </w:tcPr>
          <w:p>
            <w:r>
              <w:t>Broad demographic comparison</w:t>
            </w:r>
          </w:p>
        </w:tc>
        <w:tc>
          <w:tcPr>
            <w:tcW w:type="dxa" w:w="2484"/>
          </w:tcPr>
          <w:p>
            <w:r>
              <w:t>Predefined groups</w:t>
            </w:r>
          </w:p>
        </w:tc>
      </w:tr>
      <w:tr>
        <w:tc>
          <w:tcPr>
            <w:tcW w:type="dxa" w:w="2484"/>
          </w:tcPr>
          <w:p>
            <w:r>
              <w:t>education_level</w:t>
            </w:r>
          </w:p>
        </w:tc>
        <w:tc>
          <w:tcPr>
            <w:tcW w:type="dxa" w:w="2484"/>
          </w:tcPr>
          <w:p>
            <w:r>
              <w:t>Categorical</w:t>
            </w:r>
          </w:p>
        </w:tc>
        <w:tc>
          <w:tcPr>
            <w:tcW w:type="dxa" w:w="2484"/>
          </w:tcPr>
          <w:p>
            <w:r>
              <w:t>Digital-literacy context</w:t>
            </w:r>
          </w:p>
        </w:tc>
        <w:tc>
          <w:tcPr>
            <w:tcW w:type="dxa" w:w="2484"/>
          </w:tcPr>
          <w:p>
            <w:r>
              <w:t>Predefined categories</w:t>
            </w:r>
          </w:p>
        </w:tc>
      </w:tr>
      <w:tr>
        <w:tc>
          <w:tcPr>
            <w:tcW w:type="dxa" w:w="2484"/>
          </w:tcPr>
          <w:p>
            <w:r>
              <w:t>internet_access</w:t>
            </w:r>
          </w:p>
        </w:tc>
        <w:tc>
          <w:tcPr>
            <w:tcW w:type="dxa" w:w="2484"/>
          </w:tcPr>
          <w:p>
            <w:r>
              <w:t>Categorical</w:t>
            </w:r>
          </w:p>
        </w:tc>
        <w:tc>
          <w:tcPr>
            <w:tcW w:type="dxa" w:w="2484"/>
          </w:tcPr>
          <w:p>
            <w:r>
              <w:t>Connectivity availability</w:t>
            </w:r>
          </w:p>
        </w:tc>
        <w:tc>
          <w:tcPr>
            <w:tcW w:type="dxa" w:w="2484"/>
          </w:tcPr>
          <w:p>
            <w:r>
              <w:t>Yes/No/Occasional</w:t>
            </w:r>
          </w:p>
        </w:tc>
      </w:tr>
      <w:tr>
        <w:tc>
          <w:tcPr>
            <w:tcW w:type="dxa" w:w="2484"/>
          </w:tcPr>
          <w:p>
            <w:r>
              <w:t>smartphone_access</w:t>
            </w:r>
          </w:p>
        </w:tc>
        <w:tc>
          <w:tcPr>
            <w:tcW w:type="dxa" w:w="2484"/>
          </w:tcPr>
          <w:p>
            <w:r>
              <w:t>Categorical</w:t>
            </w:r>
          </w:p>
        </w:tc>
        <w:tc>
          <w:tcPr>
            <w:tcW w:type="dxa" w:w="2484"/>
          </w:tcPr>
          <w:p>
            <w:r>
              <w:t>Device availability</w:t>
            </w:r>
          </w:p>
        </w:tc>
        <w:tc>
          <w:tcPr>
            <w:tcW w:type="dxa" w:w="2484"/>
          </w:tcPr>
          <w:p>
            <w:r>
              <w:t>Yes/No/Shared</w:t>
            </w:r>
          </w:p>
        </w:tc>
      </w:tr>
      <w:tr>
        <w:tc>
          <w:tcPr>
            <w:tcW w:type="dxa" w:w="2484"/>
          </w:tcPr>
          <w:p>
            <w:r>
              <w:t>service_awareness</w:t>
            </w:r>
          </w:p>
        </w:tc>
        <w:tc>
          <w:tcPr>
            <w:tcW w:type="dxa" w:w="2484"/>
          </w:tcPr>
          <w:p>
            <w:r>
              <w:t>Ordinal</w:t>
            </w:r>
          </w:p>
        </w:tc>
        <w:tc>
          <w:tcPr>
            <w:tcW w:type="dxa" w:w="2484"/>
          </w:tcPr>
          <w:p>
            <w:r>
              <w:t>Awareness level</w:t>
            </w:r>
          </w:p>
        </w:tc>
        <w:tc>
          <w:tcPr>
            <w:tcW w:type="dxa" w:w="2484"/>
          </w:tcPr>
          <w:p>
            <w:r>
              <w:t>0–4 scale</w:t>
            </w:r>
          </w:p>
        </w:tc>
      </w:tr>
      <w:tr>
        <w:tc>
          <w:tcPr>
            <w:tcW w:type="dxa" w:w="2484"/>
          </w:tcPr>
          <w:p>
            <w:r>
              <w:t>service_usage</w:t>
            </w:r>
          </w:p>
        </w:tc>
        <w:tc>
          <w:tcPr>
            <w:tcW w:type="dxa" w:w="2484"/>
          </w:tcPr>
          <w:p>
            <w:r>
              <w:t>Ordinal</w:t>
            </w:r>
          </w:p>
        </w:tc>
        <w:tc>
          <w:tcPr>
            <w:tcW w:type="dxa" w:w="2484"/>
          </w:tcPr>
          <w:p>
            <w:r>
              <w:t>Frequency of digital-service use</w:t>
            </w:r>
          </w:p>
        </w:tc>
        <w:tc>
          <w:tcPr>
            <w:tcW w:type="dxa" w:w="2484"/>
          </w:tcPr>
          <w:p>
            <w:r>
              <w:t>0–4 scale</w:t>
            </w:r>
          </w:p>
        </w:tc>
      </w:tr>
      <w:tr>
        <w:tc>
          <w:tcPr>
            <w:tcW w:type="dxa" w:w="2484"/>
          </w:tcPr>
          <w:p>
            <w:r>
              <w:t>primary_barrier</w:t>
            </w:r>
          </w:p>
        </w:tc>
        <w:tc>
          <w:tcPr>
            <w:tcW w:type="dxa" w:w="2484"/>
          </w:tcPr>
          <w:p>
            <w:r>
              <w:t>Categorical</w:t>
            </w:r>
          </w:p>
        </w:tc>
        <w:tc>
          <w:tcPr>
            <w:tcW w:type="dxa" w:w="2484"/>
          </w:tcPr>
          <w:p>
            <w:r>
              <w:t>Main access problem</w:t>
            </w:r>
          </w:p>
        </w:tc>
        <w:tc>
          <w:tcPr>
            <w:tcW w:type="dxa" w:w="2484"/>
          </w:tcPr>
          <w:p>
            <w:r>
              <w:t>Controlled categories</w:t>
            </w:r>
          </w:p>
        </w:tc>
      </w:tr>
      <w:tr>
        <w:tc>
          <w:tcPr>
            <w:tcW w:type="dxa" w:w="2484"/>
          </w:tcPr>
          <w:p>
            <w:r>
              <w:t>satisfaction_score</w:t>
            </w:r>
          </w:p>
        </w:tc>
        <w:tc>
          <w:tcPr>
            <w:tcW w:type="dxa" w:w="2484"/>
          </w:tcPr>
          <w:p>
            <w:r>
              <w:t>Numeric</w:t>
            </w:r>
          </w:p>
        </w:tc>
        <w:tc>
          <w:tcPr>
            <w:tcW w:type="dxa" w:w="2484"/>
          </w:tcPr>
          <w:p>
            <w:r>
              <w:t>Citizen experience</w:t>
            </w:r>
          </w:p>
        </w:tc>
        <w:tc>
          <w:tcPr>
            <w:tcW w:type="dxa" w:w="2484"/>
          </w:tcPr>
          <w:p>
            <w:r>
              <w:t>1–5 only</w:t>
            </w:r>
          </w:p>
        </w:tc>
      </w:tr>
      <w:tr>
        <w:tc>
          <w:tcPr>
            <w:tcW w:type="dxa" w:w="2484"/>
          </w:tcPr>
          <w:p>
            <w:r>
              <w:t>completion_success</w:t>
            </w:r>
          </w:p>
        </w:tc>
        <w:tc>
          <w:tcPr>
            <w:tcW w:type="dxa" w:w="2484"/>
          </w:tcPr>
          <w:p>
            <w:r>
              <w:t>Binary</w:t>
            </w:r>
          </w:p>
        </w:tc>
        <w:tc>
          <w:tcPr>
            <w:tcW w:type="dxa" w:w="2484"/>
          </w:tcPr>
          <w:p>
            <w:r>
              <w:t>Whether service was completed</w:t>
            </w:r>
          </w:p>
        </w:tc>
        <w:tc>
          <w:tcPr>
            <w:tcW w:type="dxa" w:w="2484"/>
          </w:tcPr>
          <w:p>
            <w:r>
              <w:t>0/1</w:t>
            </w:r>
          </w:p>
        </w:tc>
      </w:tr>
      <w:tr>
        <w:tc>
          <w:tcPr>
            <w:tcW w:type="dxa" w:w="2484"/>
          </w:tcPr>
          <w:p>
            <w:r>
              <w:t>collection_date</w:t>
            </w:r>
          </w:p>
        </w:tc>
        <w:tc>
          <w:tcPr>
            <w:tcW w:type="dxa" w:w="2484"/>
          </w:tcPr>
          <w:p>
            <w:r>
              <w:t>Date</w:t>
            </w:r>
          </w:p>
        </w:tc>
        <w:tc>
          <w:tcPr>
            <w:tcW w:type="dxa" w:w="2484"/>
          </w:tcPr>
          <w:p>
            <w:r>
              <w:t>Time reference</w:t>
            </w:r>
          </w:p>
        </w:tc>
        <w:tc>
          <w:tcPr>
            <w:tcW w:type="dxa" w:w="2484"/>
          </w:tcPr>
          <w:p>
            <w:r>
              <w:t>Valid date</w:t>
            </w:r>
          </w:p>
        </w:tc>
      </w:tr>
    </w:tbl>
    <w:p>
      <w:pPr>
        <w:pStyle w:val="Heading1"/>
      </w:pPr>
      <w:r>
        <w:t>5. Public Data Sources and Their Role</w:t>
      </w:r>
    </w:p>
    <w:p>
      <w:pPr>
        <w:spacing w:after="100"/>
      </w:pPr>
      <w:r>
        <w:t>The secondary-data component will prioritize authoritative public-domain sources. The exact variables and availability should be checked at the time of download because portals and dataset structures can change. Each downloaded file will be stored with its source URL, download date, dataset title, and license/usage note in the project documentation.</w:t>
      </w:r>
    </w:p>
    <w:tbl>
      <w:tblPr>
        <w:tblStyle w:val="TableGrid"/>
        <w:tblW w:type="auto" w:w="0"/>
        <w:tblLook w:firstColumn="1" w:firstRow="1" w:lastColumn="0" w:lastRow="0" w:noHBand="0" w:noVBand="1" w:val="04A0"/>
      </w:tblPr>
      <w:tblGrid>
        <w:gridCol w:w="3312"/>
        <w:gridCol w:w="3312"/>
        <w:gridCol w:w="3312"/>
      </w:tblGrid>
      <w:tr>
        <w:tc>
          <w:tcPr>
            <w:tcW w:type="dxa" w:w="3312"/>
          </w:tcPr>
          <w:p>
            <w:r>
              <w:t>Source</w:t>
            </w:r>
          </w:p>
        </w:tc>
        <w:tc>
          <w:tcPr>
            <w:tcW w:type="dxa" w:w="3312"/>
          </w:tcPr>
          <w:p>
            <w:r>
              <w:t>Possible Data</w:t>
            </w:r>
          </w:p>
        </w:tc>
        <w:tc>
          <w:tcPr>
            <w:tcW w:type="dxa" w:w="3312"/>
          </w:tcPr>
          <w:p>
            <w:r>
              <w:t>Role in Analysis</w:t>
            </w:r>
          </w:p>
        </w:tc>
      </w:tr>
      <w:tr>
        <w:tc>
          <w:tcPr>
            <w:tcW w:type="dxa" w:w="3312"/>
          </w:tcPr>
          <w:p>
            <w:r>
              <w:t>data.gov.in (Open Government Data Platform India)</w:t>
            </w:r>
          </w:p>
        </w:tc>
        <w:tc>
          <w:tcPr>
            <w:tcW w:type="dxa" w:w="3312"/>
          </w:tcPr>
          <w:p>
            <w:r>
              <w:t>Government datasets relevant to public services, demographics, infrastructure, and administrative indicators.</w:t>
            </w:r>
          </w:p>
        </w:tc>
        <w:tc>
          <w:tcPr>
            <w:tcW w:type="dxa" w:w="3312"/>
          </w:tcPr>
          <w:p>
            <w:r>
              <w:t>Contextual indicators and geographic comparison.</w:t>
            </w:r>
          </w:p>
        </w:tc>
      </w:tr>
      <w:tr>
        <w:tc>
          <w:tcPr>
            <w:tcW w:type="dxa" w:w="3312"/>
          </w:tcPr>
          <w:p>
            <w:r>
              <w:t>Census of India</w:t>
            </w:r>
          </w:p>
        </w:tc>
        <w:tc>
          <w:tcPr>
            <w:tcW w:type="dxa" w:w="3312"/>
          </w:tcPr>
          <w:p>
            <w:r>
              <w:t>Population and demographic characteristics at appropriate geographic levels.</w:t>
            </w:r>
          </w:p>
        </w:tc>
        <w:tc>
          <w:tcPr>
            <w:tcW w:type="dxa" w:w="3312"/>
          </w:tcPr>
          <w:p>
            <w:r>
              <w:t>Population and rural-demographic context.</w:t>
            </w:r>
          </w:p>
        </w:tc>
      </w:tr>
      <w:tr>
        <w:tc>
          <w:tcPr>
            <w:tcW w:type="dxa" w:w="3312"/>
          </w:tcPr>
          <w:p>
            <w:r>
              <w:t>TRAI public reports/data</w:t>
            </w:r>
          </w:p>
        </w:tc>
        <w:tc>
          <w:tcPr>
            <w:tcW w:type="dxa" w:w="3312"/>
          </w:tcPr>
          <w:p>
            <w:r>
              <w:t>Telecom and connectivity indicators where applicable.</w:t>
            </w:r>
          </w:p>
        </w:tc>
        <w:tc>
          <w:tcPr>
            <w:tcW w:type="dxa" w:w="3312"/>
          </w:tcPr>
          <w:p>
            <w:r>
              <w:t>Internet/telecom context.</w:t>
            </w:r>
          </w:p>
        </w:tc>
      </w:tr>
      <w:tr>
        <w:tc>
          <w:tcPr>
            <w:tcW w:type="dxa" w:w="3312"/>
          </w:tcPr>
          <w:p>
            <w:r>
              <w:t>Ministry/Department open-data portals</w:t>
            </w:r>
          </w:p>
        </w:tc>
        <w:tc>
          <w:tcPr>
            <w:tcW w:type="dxa" w:w="3312"/>
          </w:tcPr>
          <w:p>
            <w:r>
              <w:t>Department-specific indicators and service statistics.</w:t>
            </w:r>
          </w:p>
        </w:tc>
        <w:tc>
          <w:tcPr>
            <w:tcW w:type="dxa" w:w="3312"/>
          </w:tcPr>
          <w:p>
            <w:r>
              <w:t>Service-specific context.</w:t>
            </w:r>
          </w:p>
        </w:tc>
      </w:tr>
      <w:tr>
        <w:tc>
          <w:tcPr>
            <w:tcW w:type="dxa" w:w="3312"/>
          </w:tcPr>
          <w:p>
            <w:r>
              <w:t>State/Local government open-data sources</w:t>
            </w:r>
          </w:p>
        </w:tc>
        <w:tc>
          <w:tcPr>
            <w:tcW w:type="dxa" w:w="3312"/>
          </w:tcPr>
          <w:p>
            <w:r>
              <w:t>Local administrative or service-delivery indicators when openly published.</w:t>
            </w:r>
          </w:p>
        </w:tc>
        <w:tc>
          <w:tcPr>
            <w:tcW w:type="dxa" w:w="3312"/>
          </w:tcPr>
          <w:p>
            <w:r>
              <w:t>Local-level comparison.</w:t>
            </w:r>
          </w:p>
        </w:tc>
      </w:tr>
    </w:tbl>
    <w:p>
      <w:pPr>
        <w:pStyle w:val="Heading1"/>
      </w:pPr>
      <w:r>
        <w:t>6. Primary Data Collection Strategy</w:t>
      </w:r>
    </w:p>
    <w:p>
      <w:pPr>
        <w:spacing w:after="100"/>
      </w:pPr>
      <w:r>
        <w:t>Where secondary data cannot answer citizen-level usability questions, a short structured survey is proposed. The questionnaire should be mobile-friendly and use simple language. Participation should be voluntary. The survey should avoid collecting names, full addresses, Aadhaar numbers, passwords, financial information, or other unnecessary identifiers.</w:t>
      </w:r>
    </w:p>
    <w:p>
      <w:pPr>
        <w:pStyle w:val="ListNumber"/>
      </w:pPr>
      <w:r>
        <w:t>Define the target population: adult rural residents who have used or attempted to use at least one digital public service, while allowing a small comparison group of non-users for awareness analysis.</w:t>
      </w:r>
    </w:p>
    <w:p>
      <w:pPr>
        <w:pStyle w:val="ListNumber"/>
      </w:pPr>
      <w:r>
        <w:t>Pilot the questionnaire with a small number of respondents to identify confusing questions, missing response options, and excessive length.</w:t>
      </w:r>
    </w:p>
    <w:p>
      <w:pPr>
        <w:pStyle w:val="ListNumber"/>
      </w:pPr>
      <w:r>
        <w:t>Collect responses through a consistent form structure. Use predefined choices wherever possible to reduce inconsistent text.</w:t>
      </w:r>
    </w:p>
    <w:p>
      <w:pPr>
        <w:pStyle w:val="ListNumber"/>
      </w:pPr>
      <w:r>
        <w:t>Record only the minimum information needed for the stated objectives.</w:t>
      </w:r>
    </w:p>
    <w:p>
      <w:pPr>
        <w:pStyle w:val="ListNumber"/>
      </w:pPr>
      <w:r>
        <w:t>Monitor response completeness during collection and document the collection period, geography, and sampling limitations.</w:t>
      </w:r>
    </w:p>
    <w:p>
      <w:pPr>
        <w:pStyle w:val="ListNumber"/>
      </w:pPr>
      <w:r>
        <w:t>Export responses to CSV and preserve the original raw file unchanged before cleaning.</w:t>
      </w:r>
    </w:p>
    <w:p>
      <w:pPr>
        <w:pStyle w:val="Heading1"/>
      </w:pPr>
      <w:r>
        <w:t>7. Sampling and Data Collection Considerations</w:t>
      </w:r>
    </w:p>
    <w:p>
      <w:pPr>
        <w:spacing w:after="100"/>
      </w:pPr>
      <w:r>
        <w:t>A practical sampling approach is stratified convenience or quota-based sampling when resources are limited, with representation sought across different villages/areas, age groups, education levels, and levels of internet access. If a formal probability sample is feasible, simple random or stratified random sampling is preferable. The report will explicitly label the sampling method because a non-random sample may not represent the entire rural population.</w:t>
      </w:r>
    </w:p>
    <w:p>
      <w:pPr>
        <w:pStyle w:val="ListBullet"/>
      </w:pPr>
      <w:r>
        <w:t>Avoid collecting multiple responses from the same person.</w:t>
      </w:r>
    </w:p>
    <w:p>
      <w:pPr>
        <w:pStyle w:val="ListBullet"/>
      </w:pPr>
      <w:r>
        <w:t>Track broad geographic coverage rather than exact household addresses.</w:t>
      </w:r>
    </w:p>
    <w:p>
      <w:pPr>
        <w:pStyle w:val="ListBullet"/>
      </w:pPr>
      <w:r>
        <w:t>Use consistent definitions for rural area, service usage, awareness, and satisfaction.</w:t>
      </w:r>
    </w:p>
    <w:p>
      <w:pPr>
        <w:pStyle w:val="ListBullet"/>
      </w:pPr>
      <w:r>
        <w:t>Document non-response and incomplete-response rates.</w:t>
      </w:r>
    </w:p>
    <w:p>
      <w:pPr>
        <w:pStyle w:val="ListBullet"/>
      </w:pPr>
      <w:r>
        <w:t>Do not fabricate responses to increase sample size.</w:t>
      </w:r>
    </w:p>
    <w:p>
      <w:pPr>
        <w:pStyle w:val="Heading1"/>
      </w:pPr>
      <w:r>
        <w:t>8. Data Collection Workflow</w:t>
      </w:r>
    </w:p>
    <w:p>
      <w:pPr>
        <w:pStyle w:val="ListNumber"/>
      </w:pPr>
      <w:r>
        <w:t>Finalize problem statement and analytical questions.</w:t>
      </w:r>
    </w:p>
    <w:p>
      <w:pPr>
        <w:pStyle w:val="ListNumber"/>
      </w:pPr>
      <w:r>
        <w:t>Identify authoritative public datasets and record metadata.</w:t>
      </w:r>
    </w:p>
    <w:p>
      <w:pPr>
        <w:pStyle w:val="ListNumber"/>
      </w:pPr>
      <w:r>
        <w:t>Design and pilot the citizen survey.</w:t>
      </w:r>
    </w:p>
    <w:p>
      <w:pPr>
        <w:pStyle w:val="ListNumber"/>
      </w:pPr>
      <w:r>
        <w:t>Collect/export primary data, if required.</w:t>
      </w:r>
    </w:p>
    <w:p>
      <w:pPr>
        <w:pStyle w:val="ListNumber"/>
      </w:pPr>
      <w:r>
        <w:t>Create a raw-data folder and keep source files unchanged.</w:t>
      </w:r>
    </w:p>
    <w:p>
      <w:pPr>
        <w:pStyle w:val="ListNumber"/>
      </w:pPr>
      <w:r>
        <w:t>Run automated profiling to inspect columns, data types, missingness, duplicates, and value ranges.</w:t>
      </w:r>
    </w:p>
    <w:p>
      <w:pPr>
        <w:pStyle w:val="ListNumber"/>
      </w:pPr>
      <w:r>
        <w:t>Clean and standardize data using documented rules.</w:t>
      </w:r>
    </w:p>
    <w:p>
      <w:pPr>
        <w:pStyle w:val="ListNumber"/>
      </w:pPr>
      <w:r>
        <w:t>Validate the cleaned dataset against predefined quality checks.</w:t>
      </w:r>
    </w:p>
    <w:p>
      <w:pPr>
        <w:pStyle w:val="ListNumber"/>
      </w:pPr>
      <w:r>
        <w:t>Save processed data separately from raw data.</w:t>
      </w:r>
    </w:p>
    <w:p>
      <w:pPr>
        <w:pStyle w:val="ListNumber"/>
      </w:pPr>
      <w:r>
        <w:t>Create a data dictionary and cleaning log for reproducibility.</w:t>
      </w:r>
    </w:p>
    <w:p>
      <w:pPr>
        <w:pStyle w:val="Heading1"/>
      </w:pPr>
      <w:r>
        <w:t>9. Data Cleaning and Preprocessing Plan</w:t>
      </w:r>
    </w:p>
    <w:p>
      <w:pPr>
        <w:pStyle w:val="Heading2"/>
      </w:pPr>
      <w:r>
        <w:t>9.1 Step 1 – File and Schema Inspection</w:t>
      </w:r>
    </w:p>
    <w:p>
      <w:pPr>
        <w:spacing w:after="100"/>
      </w:pPr>
      <w:r>
        <w:t>Use pandas to load CSV/Excel data and inspect shape, column names, data types, unique values, and sample records. Confirm that expected columns exist before any transformation. Preserve the original file.</w:t>
      </w:r>
    </w:p>
    <w:p>
      <w:pPr>
        <w:pStyle w:val="Heading2"/>
      </w:pPr>
      <w:r>
        <w:t>9.2 Step 2 – Standardize Column Names</w:t>
      </w:r>
    </w:p>
    <w:p>
      <w:pPr>
        <w:spacing w:after="100"/>
      </w:pPr>
      <w:r>
        <w:t>Convert column names to a consistent format such as lowercase snake_case. Remove accidental spaces and duplicate column names. This reduces errors during analysis and coding.</w:t>
      </w:r>
    </w:p>
    <w:p>
      <w:pPr>
        <w:pStyle w:val="Heading2"/>
      </w:pPr>
      <w:r>
        <w:t>9.3 Step 3 – Duplicate Detection</w:t>
      </w:r>
    </w:p>
    <w:p>
      <w:pPr>
        <w:spacing w:after="100"/>
      </w:pPr>
      <w:r>
        <w:t>Check for exact duplicate rows and duplicate record_id values. Exact duplicate records can normally be removed after verification. Conflicting records with the same identifier should not be silently deleted; they should be reviewed and resolved according to the source rules.</w:t>
      </w:r>
    </w:p>
    <w:p>
      <w:pPr>
        <w:pStyle w:val="Heading2"/>
      </w:pPr>
      <w:r>
        <w:t>9.4 Step 4 – Missing Values</w:t>
      </w:r>
    </w:p>
    <w:p>
      <w:pPr>
        <w:spacing w:after="100"/>
      </w:pPr>
      <w:r>
        <w:t>First quantify missing values by column. For categorical variables, an explicit 'Unknown/Not reported' category may be appropriate when absence itself is meaningful. For numerical variables, use a justified method such as median imputation only when the missing proportion is acceptable and imputation will not distort the analysis. If a field is essential and cannot be reliably recovered, the record may be excluded from a specific analysis rather than inventing a value.</w:t>
      </w:r>
    </w:p>
    <w:p>
      <w:pPr>
        <w:pStyle w:val="Heading2"/>
      </w:pPr>
      <w:r>
        <w:t>9.5 Step 5 – Inconsistent Categories</w:t>
      </w:r>
    </w:p>
    <w:p>
      <w:pPr>
        <w:spacing w:after="100"/>
      </w:pPr>
      <w:r>
        <w:t>Normalize text case and whitespace, then map equivalent labels to one standard category. For example, 'Yes', 'yes', and 'Y' can be mapped to 'Yes' when the source definition confirms equivalence. Controlled vocabularies will be used for education, barriers, internet access, and service-use categories.</w:t>
      </w:r>
    </w:p>
    <w:p>
      <w:pPr>
        <w:pStyle w:val="Heading2"/>
      </w:pPr>
      <w:r>
        <w:t>9.6 Step 6 – Numeric Validation and Anomalies</w:t>
      </w:r>
    </w:p>
    <w:p>
      <w:pPr>
        <w:spacing w:after="100"/>
      </w:pPr>
      <w:r>
        <w:t>Check that satisfaction scores remain between 1 and 5 and awareness/usage scores remain within their defined scales. Impossible values, such as negative ages or invalid scores, will be flagged. Outliers will not automatically be deleted; first determine whether they are genuine observations, data-entry errors, or unit inconsistencies.</w:t>
      </w:r>
    </w:p>
    <w:p>
      <w:pPr>
        <w:pStyle w:val="Heading2"/>
      </w:pPr>
      <w:r>
        <w:t>9.7 Step 7 – Date Processing</w:t>
      </w:r>
    </w:p>
    <w:p>
      <w:pPr>
        <w:spacing w:after="100"/>
      </w:pPr>
      <w:r>
        <w:t>Convert collection_date to a proper date type and check for impossible or future dates. If multiple formats exist, standardize them to ISO-style YYYY-MM-DD for the processed dataset.</w:t>
      </w:r>
    </w:p>
    <w:p>
      <w:pPr>
        <w:pStyle w:val="Heading2"/>
      </w:pPr>
      <w:r>
        <w:t>9.8 Step 8 – Data Transformation</w:t>
      </w:r>
    </w:p>
    <w:p>
      <w:pPr>
        <w:pStyle w:val="ListBullet"/>
      </w:pPr>
      <w:r>
        <w:t>Convert ordinal survey responses to numeric scores only after documenting the scale.</w:t>
      </w:r>
    </w:p>
    <w:p>
      <w:pPr>
        <w:pStyle w:val="ListBullet"/>
      </w:pPr>
      <w:r>
        <w:t>Create derived indicators such as digital_access_score only when the formula is clearly defined.</w:t>
      </w:r>
    </w:p>
    <w:p>
      <w:pPr>
        <w:pStyle w:val="ListBullet"/>
      </w:pPr>
      <w:r>
        <w:t>Encode binary variables consistently as 0/1 for analysis where useful.</w:t>
      </w:r>
    </w:p>
    <w:p>
      <w:pPr>
        <w:pStyle w:val="ListBullet"/>
      </w:pPr>
      <w:r>
        <w:t>Aggregate individual responses to district/state level only when an analysis requires geographic summaries.</w:t>
      </w:r>
    </w:p>
    <w:p>
      <w:pPr>
        <w:pStyle w:val="ListBullet"/>
      </w:pPr>
      <w:r>
        <w:t>Do not transform data in a way that hides the original meaning.</w:t>
      </w:r>
    </w:p>
    <w:p>
      <w:pPr>
        <w:pStyle w:val="Heading1"/>
      </w:pPr>
      <w:r>
        <w:t>10. Handling Anomalies and Edge Cases</w:t>
      </w:r>
    </w:p>
    <w:tbl>
      <w:tblPr>
        <w:tblStyle w:val="TableGrid"/>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Detection</w:t>
            </w:r>
          </w:p>
        </w:tc>
        <w:tc>
          <w:tcPr>
            <w:tcW w:type="dxa" w:w="3312"/>
          </w:tcPr>
          <w:p>
            <w:r>
              <w:t>Action</w:t>
            </w:r>
          </w:p>
        </w:tc>
      </w:tr>
      <w:tr>
        <w:tc>
          <w:tcPr>
            <w:tcW w:type="dxa" w:w="3312"/>
          </w:tcPr>
          <w:p>
            <w:r>
              <w:t>Duplicate rows</w:t>
            </w:r>
          </w:p>
        </w:tc>
        <w:tc>
          <w:tcPr>
            <w:tcW w:type="dxa" w:w="3312"/>
          </w:tcPr>
          <w:p>
            <w:r>
              <w:t>duplicated() and ID uniqueness check</w:t>
            </w:r>
          </w:p>
        </w:tc>
        <w:tc>
          <w:tcPr>
            <w:tcW w:type="dxa" w:w="3312"/>
          </w:tcPr>
          <w:p>
            <w:r>
              <w:t>Verify source; remove exact duplicates and document count.</w:t>
            </w:r>
          </w:p>
        </w:tc>
      </w:tr>
      <w:tr>
        <w:tc>
          <w:tcPr>
            <w:tcW w:type="dxa" w:w="3312"/>
          </w:tcPr>
          <w:p>
            <w:r>
              <w:t>Missing values</w:t>
            </w:r>
          </w:p>
        </w:tc>
        <w:tc>
          <w:tcPr>
            <w:tcW w:type="dxa" w:w="3312"/>
          </w:tcPr>
          <w:p>
            <w:r>
              <w:t>isna().sum()</w:t>
            </w:r>
          </w:p>
        </w:tc>
        <w:tc>
          <w:tcPr>
            <w:tcW w:type="dxa" w:w="3312"/>
          </w:tcPr>
          <w:p>
            <w:r>
              <w:t>Report; impute only when justified; otherwise retain as missing or exclude from relevant analysis.</w:t>
            </w:r>
          </w:p>
        </w:tc>
      </w:tr>
      <w:tr>
        <w:tc>
          <w:tcPr>
            <w:tcW w:type="dxa" w:w="3312"/>
          </w:tcPr>
          <w:p>
            <w:r>
              <w:t>Invalid category</w:t>
            </w:r>
          </w:p>
        </w:tc>
        <w:tc>
          <w:tcPr>
            <w:tcW w:type="dxa" w:w="3312"/>
          </w:tcPr>
          <w:p>
            <w:r>
              <w:t>value_counts() / allowed-value list</w:t>
            </w:r>
          </w:p>
        </w:tc>
        <w:tc>
          <w:tcPr>
            <w:tcW w:type="dxa" w:w="3312"/>
          </w:tcPr>
          <w:p>
            <w:r>
              <w:t>Map known variants; flag unknown values for review.</w:t>
            </w:r>
          </w:p>
        </w:tc>
      </w:tr>
      <w:tr>
        <w:tc>
          <w:tcPr>
            <w:tcW w:type="dxa" w:w="3312"/>
          </w:tcPr>
          <w:p>
            <w:r>
              <w:t>Impossible numeric value</w:t>
            </w:r>
          </w:p>
        </w:tc>
        <w:tc>
          <w:tcPr>
            <w:tcW w:type="dxa" w:w="3312"/>
          </w:tcPr>
          <w:p>
            <w:r>
              <w:t>range checks</w:t>
            </w:r>
          </w:p>
        </w:tc>
        <w:tc>
          <w:tcPr>
            <w:tcW w:type="dxa" w:w="3312"/>
          </w:tcPr>
          <w:p>
            <w:r>
              <w:t>Correct from source if possible; otherwise set to missing and log.</w:t>
            </w:r>
          </w:p>
        </w:tc>
      </w:tr>
      <w:tr>
        <w:tc>
          <w:tcPr>
            <w:tcW w:type="dxa" w:w="3312"/>
          </w:tcPr>
          <w:p>
            <w:r>
              <w:t>Extreme but plausible value</w:t>
            </w:r>
          </w:p>
        </w:tc>
        <w:tc>
          <w:tcPr>
            <w:tcW w:type="dxa" w:w="3312"/>
          </w:tcPr>
          <w:p>
            <w:r>
              <w:t>IQR/quantile review</w:t>
            </w:r>
          </w:p>
        </w:tc>
        <w:tc>
          <w:tcPr>
            <w:tcW w:type="dxa" w:w="3312"/>
          </w:tcPr>
          <w:p>
            <w:r>
              <w:t>Investigate; retain if genuine.</w:t>
            </w:r>
          </w:p>
        </w:tc>
      </w:tr>
      <w:tr>
        <w:tc>
          <w:tcPr>
            <w:tcW w:type="dxa" w:w="3312"/>
          </w:tcPr>
          <w:p>
            <w:r>
              <w:t>Date anomaly</w:t>
            </w:r>
          </w:p>
        </w:tc>
        <w:tc>
          <w:tcPr>
            <w:tcW w:type="dxa" w:w="3312"/>
          </w:tcPr>
          <w:p>
            <w:r>
              <w:t>date parsing and range check</w:t>
            </w:r>
          </w:p>
        </w:tc>
        <w:tc>
          <w:tcPr>
            <w:tcW w:type="dxa" w:w="3312"/>
          </w:tcPr>
          <w:p>
            <w:r>
              <w:t>Correct formatting or flag invalid dates.</w:t>
            </w:r>
          </w:p>
        </w:tc>
      </w:tr>
      <w:tr>
        <w:tc>
          <w:tcPr>
            <w:tcW w:type="dxa" w:w="3312"/>
          </w:tcPr>
          <w:p>
            <w:r>
              <w:t>Inconsistent spelling</w:t>
            </w:r>
          </w:p>
        </w:tc>
        <w:tc>
          <w:tcPr>
            <w:tcW w:type="dxa" w:w="3312"/>
          </w:tcPr>
          <w:p>
            <w:r>
              <w:t>standardization map</w:t>
            </w:r>
          </w:p>
        </w:tc>
        <w:tc>
          <w:tcPr>
            <w:tcW w:type="dxa" w:w="3312"/>
          </w:tcPr>
          <w:p>
            <w:r>
              <w:t>Map to canonical category.</w:t>
            </w:r>
          </w:p>
        </w:tc>
      </w:tr>
      <w:tr>
        <w:tc>
          <w:tcPr>
            <w:tcW w:type="dxa" w:w="3312"/>
          </w:tcPr>
          <w:p>
            <w:r>
              <w:t>Unit mismatch</w:t>
            </w:r>
          </w:p>
        </w:tc>
        <w:tc>
          <w:tcPr>
            <w:tcW w:type="dxa" w:w="3312"/>
          </w:tcPr>
          <w:p>
            <w:r>
              <w:t>metadata/source comparison</w:t>
            </w:r>
          </w:p>
        </w:tc>
        <w:tc>
          <w:tcPr>
            <w:tcW w:type="dxa" w:w="3312"/>
          </w:tcPr>
          <w:p>
            <w:r>
              <w:t>Convert to common unit and record transformation.</w:t>
            </w:r>
          </w:p>
        </w:tc>
      </w:tr>
    </w:tbl>
    <w:p>
      <w:pPr>
        <w:pStyle w:val="Heading1"/>
      </w:pPr>
      <w:r>
        <w:t>11. Python Libraries and Technical Approach</w:t>
      </w:r>
    </w:p>
    <w:p>
      <w:pPr>
        <w:spacing w:after="100"/>
      </w:pPr>
      <w:r>
        <w:t>The planned implementation uses Python because it supports reproducible data processing and can be run consistently on a standard environment.</w:t>
      </w:r>
    </w:p>
    <w:p>
      <w:pPr>
        <w:pStyle w:val="ListBullet"/>
      </w:pPr>
      <w:r>
        <w:t>pandas – loading, filtering, cleaning, grouping, missing-value analysis, and CSV/Excel processing.</w:t>
      </w:r>
    </w:p>
    <w:p>
      <w:pPr>
        <w:pStyle w:val="ListBullet"/>
      </w:pPr>
      <w:r>
        <w:t>NumPy – numerical operations and missing-value handling.</w:t>
      </w:r>
    </w:p>
    <w:p>
      <w:pPr>
        <w:pStyle w:val="ListBullet"/>
      </w:pPr>
      <w:r>
        <w:t>Matplotlib – basic charts for quality checks and exploratory analysis.</w:t>
      </w:r>
    </w:p>
    <w:p>
      <w:pPr>
        <w:pStyle w:val="ListBullet"/>
      </w:pPr>
      <w:r>
        <w:t>Python standard library (datetime, pathlib, csv) – file and date utilities where required.</w:t>
      </w:r>
    </w:p>
    <w:p>
      <w:pPr>
        <w:pStyle w:val="ListBullet"/>
      </w:pPr>
      <w:r>
        <w:t>Optional later-stage libraries can be added only when the analytical requirement justifies them.</w:t>
      </w:r>
    </w:p>
    <w:p>
      <w:pPr>
        <w:spacing w:after="100"/>
      </w:pPr>
      <w:r>
        <w:t>The GitHub repository supplied with this report includes a simple cleaning script and a clearly labelled synthetic sample CSV. The sample data are for demonstrating the workflow only and are not presented as real survey results.</w:t>
      </w:r>
    </w:p>
    <w:p>
      <w:pPr>
        <w:pStyle w:val="Heading1"/>
      </w:pPr>
      <w:r>
        <w:t>12. Data Validation Framework</w:t>
      </w:r>
    </w:p>
    <w:p>
      <w:pPr>
        <w:pStyle w:val="ListBullet"/>
      </w:pPr>
      <w:r>
        <w:t>Completeness: calculate missing percentage for every field.</w:t>
      </w:r>
    </w:p>
    <w:p>
      <w:pPr>
        <w:pStyle w:val="ListBullet"/>
      </w:pPr>
      <w:r>
        <w:t>Uniqueness: verify record_id uniqueness and inspect duplicate rows.</w:t>
      </w:r>
    </w:p>
    <w:p>
      <w:pPr>
        <w:pStyle w:val="ListBullet"/>
      </w:pPr>
      <w:r>
        <w:t>Validity: confirm categories, numeric ranges, dates, and binary fields follow the data dictionary.</w:t>
      </w:r>
    </w:p>
    <w:p>
      <w:pPr>
        <w:pStyle w:val="ListBullet"/>
      </w:pPr>
      <w:r>
        <w:t>Consistency: check relationships such as rural_area values, scoring scales, and category mappings.</w:t>
      </w:r>
    </w:p>
    <w:p>
      <w:pPr>
        <w:pStyle w:val="ListBullet"/>
      </w:pPr>
      <w:r>
        <w:t>Accuracy: where possible, compare transformed values against the original source and metadata.</w:t>
      </w:r>
    </w:p>
    <w:p>
      <w:pPr>
        <w:pStyle w:val="ListBullet"/>
      </w:pPr>
      <w:r>
        <w:t>Reproducibility: rerun the cleaning script and verify that the same input produces the same processed output.</w:t>
      </w:r>
    </w:p>
    <w:p>
      <w:pPr>
        <w:pStyle w:val="ListBullet"/>
      </w:pPr>
      <w:r>
        <w:t>Auditability: maintain a cleaning log describing every important transformation.</w:t>
      </w:r>
    </w:p>
    <w:p>
      <w:pPr>
        <w:pStyle w:val="Heading1"/>
      </w:pPr>
      <w:r>
        <w:t>13. Data Dictionary and Quality Rules</w:t>
      </w:r>
    </w:p>
    <w:p>
      <w:pPr>
        <w:spacing w:after="100"/>
      </w:pPr>
      <w:r>
        <w:t>A data dictionary will be maintained for every final field, including name, definition, type, allowed values, source, and transformation. Example quality rules are: record_id must be unique; satisfaction_score must be 1–5 or missing; completion_success must be 0/1; rural_area must be Yes/No; dates must parse successfully; and controlled categorical variables must match their approved vocabulary.</w:t>
      </w:r>
    </w:p>
    <w:p>
      <w:pPr>
        <w:pStyle w:val="Heading1"/>
      </w:pPr>
      <w:r>
        <w:t>14. Assumptions</w:t>
      </w:r>
    </w:p>
    <w:p>
      <w:pPr>
        <w:pStyle w:val="ListBullet"/>
      </w:pPr>
      <w:r>
        <w:t>The analysis concerns digital public-service access rather than the performance of any one individual government employee.</w:t>
      </w:r>
    </w:p>
    <w:p>
      <w:pPr>
        <w:pStyle w:val="ListBullet"/>
      </w:pPr>
      <w:r>
        <w:t>Public datasets are assumed to be legally accessible for analysis under their published terms.</w:t>
      </w:r>
    </w:p>
    <w:p>
      <w:pPr>
        <w:pStyle w:val="ListBullet"/>
      </w:pPr>
      <w:r>
        <w:t>Public datasets may use different geographic boundaries, years, definitions, or units; these differences must be documented before merging.</w:t>
      </w:r>
    </w:p>
    <w:p>
      <w:pPr>
        <w:pStyle w:val="ListBullet"/>
      </w:pPr>
      <w:r>
        <w:t>Survey responses are self-reported and may contain recall or response bias.</w:t>
      </w:r>
    </w:p>
    <w:p>
      <w:pPr>
        <w:pStyle w:val="ListBullet"/>
      </w:pPr>
      <w:r>
        <w:t>The sample dataset included in the repository is synthetic and is not evidence about the actual population.</w:t>
      </w:r>
    </w:p>
    <w:p>
      <w:pPr>
        <w:pStyle w:val="ListBullet"/>
      </w:pPr>
      <w:r>
        <w:t>No causal relationship will be claimed solely from descriptive or observational data.</w:t>
      </w:r>
    </w:p>
    <w:p>
      <w:pPr>
        <w:pStyle w:val="Heading1"/>
      </w:pPr>
      <w:r>
        <w:t>15. Privacy, Ethics and Responsible Data Handling</w:t>
      </w:r>
    </w:p>
    <w:p>
      <w:pPr>
        <w:spacing w:after="100"/>
      </w:pPr>
      <w:r>
        <w:t>The project follows a data-minimization principle. Personally identifiable information should not be collected unless there is a clear, documented need. Any necessary contact information for a separate operational process should be stored outside the analytical dataset and should not be included in the GitHub repository. Raw data containing personal information must never be uploaded to a public repository. Access should be restricted, and only anonymized or aggregated outputs should be shared publicly.</w:t>
      </w:r>
    </w:p>
    <w:p>
      <w:pPr>
        <w:pStyle w:val="ListBullet"/>
      </w:pPr>
      <w:r>
        <w:t>Use informed, voluntary participation for primary surveys.</w:t>
      </w:r>
    </w:p>
    <w:p>
      <w:pPr>
        <w:pStyle w:val="ListBullet"/>
      </w:pPr>
      <w:r>
        <w:t>Do not publish names, phone numbers, full addresses, identity numbers, passwords, or other sensitive personal information.</w:t>
      </w:r>
    </w:p>
    <w:p>
      <w:pPr>
        <w:pStyle w:val="ListBullet"/>
      </w:pPr>
      <w:r>
        <w:t>Keep raw and processed data in separate locations.</w:t>
      </w:r>
    </w:p>
    <w:p>
      <w:pPr>
        <w:pStyle w:val="ListBullet"/>
      </w:pPr>
      <w:r>
        <w:t>Document data-source licenses and usage restrictions.</w:t>
      </w:r>
    </w:p>
    <w:p>
      <w:pPr>
        <w:pStyle w:val="ListBullet"/>
      </w:pPr>
      <w:r>
        <w:t>Review GitHub files before publishing to prevent accidental disclosure.</w:t>
      </w:r>
    </w:p>
    <w:p>
      <w:pPr>
        <w:pStyle w:val="Heading1"/>
      </w:pPr>
      <w:r>
        <w:t>16. Expected Challenges and Solutions</w:t>
      </w:r>
    </w:p>
    <w:tbl>
      <w:tblPr>
        <w:tblStyle w:val="TableGrid"/>
        <w:tblW w:type="auto" w:w="0"/>
        <w:tblLook w:firstColumn="1" w:firstRow="1" w:lastColumn="0" w:lastRow="0" w:noHBand="0" w:noVBand="1" w:val="04A0"/>
      </w:tblPr>
      <w:tblGrid>
        <w:gridCol w:w="3312"/>
        <w:gridCol w:w="3312"/>
        <w:gridCol w:w="3312"/>
      </w:tblGrid>
      <w:tr>
        <w:tc>
          <w:tcPr>
            <w:tcW w:type="dxa" w:w="3312"/>
          </w:tcPr>
          <w:p>
            <w:r>
              <w:t>Challenge</w:t>
            </w:r>
          </w:p>
        </w:tc>
        <w:tc>
          <w:tcPr>
            <w:tcW w:type="dxa" w:w="3312"/>
          </w:tcPr>
          <w:p>
            <w:r>
              <w:t>Potential Impact</w:t>
            </w:r>
          </w:p>
        </w:tc>
        <w:tc>
          <w:tcPr>
            <w:tcW w:type="dxa" w:w="3312"/>
          </w:tcPr>
          <w:p>
            <w:r>
              <w:t>Proposed Solution</w:t>
            </w:r>
          </w:p>
        </w:tc>
      </w:tr>
      <w:tr>
        <w:tc>
          <w:tcPr>
            <w:tcW w:type="dxa" w:w="3312"/>
          </w:tcPr>
          <w:p>
            <w:r>
              <w:t>Different formats and definitions</w:t>
            </w:r>
          </w:p>
        </w:tc>
        <w:tc>
          <w:tcPr>
            <w:tcW w:type="dxa" w:w="3312"/>
          </w:tcPr>
          <w:p>
            <w:r>
              <w:t>Difficult merging</w:t>
            </w:r>
          </w:p>
        </w:tc>
        <w:tc>
          <w:tcPr>
            <w:tcW w:type="dxa" w:w="3312"/>
          </w:tcPr>
          <w:p>
            <w:r>
              <w:t>Create metadata sheet; standardize units, dates, and geographic names.</w:t>
            </w:r>
          </w:p>
        </w:tc>
      </w:tr>
      <w:tr>
        <w:tc>
          <w:tcPr>
            <w:tcW w:type="dxa" w:w="3312"/>
          </w:tcPr>
          <w:p>
            <w:r>
              <w:t>Missing responses</w:t>
            </w:r>
          </w:p>
        </w:tc>
        <w:tc>
          <w:tcPr>
            <w:tcW w:type="dxa" w:w="3312"/>
          </w:tcPr>
          <w:p>
            <w:r>
              <w:t>Reduced analytical power</w:t>
            </w:r>
          </w:p>
        </w:tc>
        <w:tc>
          <w:tcPr>
            <w:tcW w:type="dxa" w:w="3312"/>
          </w:tcPr>
          <w:p>
            <w:r>
              <w:t>Monitor completeness; use justified imputation or missing category.</w:t>
            </w:r>
          </w:p>
        </w:tc>
      </w:tr>
      <w:tr>
        <w:tc>
          <w:tcPr>
            <w:tcW w:type="dxa" w:w="3312"/>
          </w:tcPr>
          <w:p>
            <w:r>
              <w:t>Connectivity limitations</w:t>
            </w:r>
          </w:p>
        </w:tc>
        <w:tc>
          <w:tcPr>
            <w:tcW w:type="dxa" w:w="3312"/>
          </w:tcPr>
          <w:p>
            <w:r>
              <w:t>Collection bias</w:t>
            </w:r>
          </w:p>
        </w:tc>
        <w:tc>
          <w:tcPr>
            <w:tcW w:type="dxa" w:w="3312"/>
          </w:tcPr>
          <w:p>
            <w:r>
              <w:t>Use offline-capable/manual collection where appropriate and digitize consistently.</w:t>
            </w:r>
          </w:p>
        </w:tc>
      </w:tr>
      <w:tr>
        <w:tc>
          <w:tcPr>
            <w:tcW w:type="dxa" w:w="3312"/>
          </w:tcPr>
          <w:p>
            <w:r>
              <w:t>Low digital literacy</w:t>
            </w:r>
          </w:p>
        </w:tc>
        <w:tc>
          <w:tcPr>
            <w:tcW w:type="dxa" w:w="3312"/>
          </w:tcPr>
          <w:p>
            <w:r>
              <w:t>Survey misunderstanding</w:t>
            </w:r>
          </w:p>
        </w:tc>
        <w:tc>
          <w:tcPr>
            <w:tcW w:type="dxa" w:w="3312"/>
          </w:tcPr>
          <w:p>
            <w:r>
              <w:t>Use simple wording, examples, and a pilot test.</w:t>
            </w:r>
          </w:p>
        </w:tc>
      </w:tr>
      <w:tr>
        <w:tc>
          <w:tcPr>
            <w:tcW w:type="dxa" w:w="3312"/>
          </w:tcPr>
          <w:p>
            <w:r>
              <w:t>Duplicate or fraudulent responses</w:t>
            </w:r>
          </w:p>
        </w:tc>
        <w:tc>
          <w:tcPr>
            <w:tcW w:type="dxa" w:w="3312"/>
          </w:tcPr>
          <w:p>
            <w:r>
              <w:t>Biased results</w:t>
            </w:r>
          </w:p>
        </w:tc>
        <w:tc>
          <w:tcPr>
            <w:tcW w:type="dxa" w:w="3312"/>
          </w:tcPr>
          <w:p>
            <w:r>
              <w:t>Unique response controls, validation checks, and review.</w:t>
            </w:r>
          </w:p>
        </w:tc>
      </w:tr>
      <w:tr>
        <w:tc>
          <w:tcPr>
            <w:tcW w:type="dxa" w:w="3312"/>
          </w:tcPr>
          <w:p>
            <w:r>
              <w:t>Public dataset changes</w:t>
            </w:r>
          </w:p>
        </w:tc>
        <w:tc>
          <w:tcPr>
            <w:tcW w:type="dxa" w:w="3312"/>
          </w:tcPr>
          <w:p>
            <w:r>
              <w:t>Reproducibility issues</w:t>
            </w:r>
          </w:p>
        </w:tc>
        <w:tc>
          <w:tcPr>
            <w:tcW w:type="dxa" w:w="3312"/>
          </w:tcPr>
          <w:p>
            <w:r>
              <w:t>Record download date, URL, title, version/metadata.</w:t>
            </w:r>
          </w:p>
        </w:tc>
      </w:tr>
      <w:tr>
        <w:tc>
          <w:tcPr>
            <w:tcW w:type="dxa" w:w="3312"/>
          </w:tcPr>
          <w:p>
            <w:r>
              <w:t>Privacy risk</w:t>
            </w:r>
          </w:p>
        </w:tc>
        <w:tc>
          <w:tcPr>
            <w:tcW w:type="dxa" w:w="3312"/>
          </w:tcPr>
          <w:p>
            <w:r>
              <w:t>Potential harm or policy breach</w:t>
            </w:r>
          </w:p>
        </w:tc>
        <w:tc>
          <w:tcPr>
            <w:tcW w:type="dxa" w:w="3312"/>
          </w:tcPr>
          <w:p>
            <w:r>
              <w:t>Data minimization, anonymization, restricted raw-data access.</w:t>
            </w:r>
          </w:p>
        </w:tc>
      </w:tr>
      <w:tr>
        <w:tc>
          <w:tcPr>
            <w:tcW w:type="dxa" w:w="3312"/>
          </w:tcPr>
          <w:p>
            <w:r>
              <w:t>Small/non-random sample</w:t>
            </w:r>
          </w:p>
        </w:tc>
        <w:tc>
          <w:tcPr>
            <w:tcW w:type="dxa" w:w="3312"/>
          </w:tcPr>
          <w:p>
            <w:r>
              <w:t>Limited generalization</w:t>
            </w:r>
          </w:p>
        </w:tc>
        <w:tc>
          <w:tcPr>
            <w:tcW w:type="dxa" w:w="3312"/>
          </w:tcPr>
          <w:p>
            <w:r>
              <w:t>Clearly report sampling limitations; avoid overgeneralizing.</w:t>
            </w:r>
          </w:p>
        </w:tc>
      </w:tr>
    </w:tbl>
    <w:p>
      <w:pPr>
        <w:pStyle w:val="Heading1"/>
      </w:pPr>
      <w:r>
        <w:t>17. Proposed Analysis Readiness</w:t>
      </w:r>
    </w:p>
    <w:p>
      <w:pPr>
        <w:spacing w:after="100"/>
      </w:pPr>
      <w:r>
        <w:t>After cleaning, the dataset should support questions such as: What proportion of respondents are aware of digital public services? Which barriers are most common? Does service usage vary with internet or smartphone access? Which broad groups report lower satisfaction? How does service completion differ across locations or access conditions? These questions will guide the subsequent analysis while avoiding unsupported causal claims.</w:t>
      </w:r>
    </w:p>
    <w:p>
      <w:pPr>
        <w:pStyle w:val="ListBullet"/>
      </w:pPr>
      <w:r>
        <w:t>Descriptive statistics: counts, percentages, averages/medians where appropriate.</w:t>
      </w:r>
    </w:p>
    <w:p>
      <w:pPr>
        <w:pStyle w:val="ListBullet"/>
      </w:pPr>
      <w:r>
        <w:t>Cross-tabulation: barriers by internet access, usage by education level, and satisfaction by service-use frequency.</w:t>
      </w:r>
    </w:p>
    <w:p>
      <w:pPr>
        <w:pStyle w:val="ListBullet"/>
      </w:pPr>
      <w:r>
        <w:t>Visualization: bar charts, distributions, and geographic summaries where valid.</w:t>
      </w:r>
    </w:p>
    <w:p>
      <w:pPr>
        <w:pStyle w:val="ListBullet"/>
      </w:pPr>
      <w:r>
        <w:t>Trend or comparison analysis only when the source years and definitions are comparable.</w:t>
      </w:r>
    </w:p>
    <w:p>
      <w:pPr>
        <w:pStyle w:val="ListBullet"/>
      </w:pPr>
      <w:r>
        <w:t>Document limitations alongside every major finding.</w:t>
      </w:r>
    </w:p>
    <w:p>
      <w:pPr>
        <w:pStyle w:val="Heading1"/>
      </w:pPr>
      <w:r>
        <w:t>18. Reproducibility and GitHub Structure</w:t>
      </w:r>
    </w:p>
    <w:p>
      <w:pPr>
        <w:spacing w:after="100"/>
      </w:pPr>
      <w:r>
        <w:t>The accompanying repository is organized so that another learner or evaluator can understand and reproduce the Week 2 workflow.</w:t>
      </w:r>
    </w:p>
    <w:tbl>
      <w:tblPr>
        <w:tblStyle w:val="TableGrid"/>
        <w:tblW w:type="auto" w:w="0"/>
        <w:tblLook w:firstColumn="1" w:firstRow="1" w:lastColumn="0" w:lastRow="0" w:noHBand="0" w:noVBand="1" w:val="04A0"/>
      </w:tblPr>
      <w:tblGrid>
        <w:gridCol w:w="4968"/>
        <w:gridCol w:w="4968"/>
      </w:tblGrid>
      <w:tr>
        <w:tc>
          <w:tcPr>
            <w:tcW w:type="dxa" w:w="4968"/>
          </w:tcPr>
          <w:p/>
        </w:tc>
        <w:tc>
          <w:tcPr>
            <w:tcW w:type="dxa" w:w="4968"/>
          </w:tcPr>
          <w:p/>
        </w:tc>
      </w:tr>
      <w:tr>
        <w:tc>
          <w:tcPr>
            <w:tcW w:type="dxa" w:w="4968"/>
          </w:tcPr>
          <w:p>
            <w:r>
              <w:t>README.md</w:t>
            </w:r>
          </w:p>
        </w:tc>
        <w:tc>
          <w:tcPr>
            <w:tcW w:type="dxa" w:w="4968"/>
          </w:tcPr>
          <w:p>
            <w:r>
              <w:t>Project overview, scope, workflow, and responsible-use notes.</w:t>
            </w:r>
          </w:p>
        </w:tc>
      </w:tr>
      <w:tr>
        <w:tc>
          <w:tcPr>
            <w:tcW w:type="dxa" w:w="4968"/>
          </w:tcPr>
          <w:p>
            <w:r>
              <w:t>Week_2_Data_Collection_Strategy_and_Cleaning.docx</w:t>
            </w:r>
          </w:p>
        </w:tc>
        <w:tc>
          <w:tcPr>
            <w:tcW w:type="dxa" w:w="4968"/>
          </w:tcPr>
          <w:p>
            <w:r>
              <w:t>Complete internship report submitted as the main deliverable.</w:t>
            </w:r>
          </w:p>
        </w:tc>
      </w:tr>
      <w:tr>
        <w:tc>
          <w:tcPr>
            <w:tcW w:type="dxa" w:w="4968"/>
          </w:tcPr>
          <w:p>
            <w:r>
              <w:t>data/raw/sample_digital_public_services.csv</w:t>
            </w:r>
          </w:p>
        </w:tc>
        <w:tc>
          <w:tcPr>
            <w:tcW w:type="dxa" w:w="4968"/>
          </w:tcPr>
          <w:p>
            <w:r>
              <w:t>Synthetic demonstration dataset; not real citizen data.</w:t>
            </w:r>
          </w:p>
        </w:tc>
      </w:tr>
      <w:tr>
        <w:tc>
          <w:tcPr>
            <w:tcW w:type="dxa" w:w="4968"/>
          </w:tcPr>
          <w:p>
            <w:r>
              <w:t>data/processed/README.md</w:t>
            </w:r>
          </w:p>
        </w:tc>
        <w:tc>
          <w:tcPr>
            <w:tcW w:type="dxa" w:w="4968"/>
          </w:tcPr>
          <w:p>
            <w:r>
              <w:t>Explanation of where validated outputs should be stored.</w:t>
            </w:r>
          </w:p>
        </w:tc>
      </w:tr>
      <w:tr>
        <w:tc>
          <w:tcPr>
            <w:tcW w:type="dxa" w:w="4968"/>
          </w:tcPr>
          <w:p>
            <w:r>
              <w:t>src/clean_data.py</w:t>
            </w:r>
          </w:p>
        </w:tc>
        <w:tc>
          <w:tcPr>
            <w:tcW w:type="dxa" w:w="4968"/>
          </w:tcPr>
          <w:p>
            <w:r>
              <w:t>Python script demonstrating basic loading, cleaning, validation, and export.</w:t>
            </w:r>
          </w:p>
        </w:tc>
      </w:tr>
      <w:tr>
        <w:tc>
          <w:tcPr>
            <w:tcW w:type="dxa" w:w="4968"/>
          </w:tcPr>
          <w:p>
            <w:r>
              <w:t>requirements.txt</w:t>
            </w:r>
          </w:p>
        </w:tc>
        <w:tc>
          <w:tcPr>
            <w:tcW w:type="dxa" w:w="4968"/>
          </w:tcPr>
          <w:p>
            <w:r>
              <w:t>Python package requirements for the example workflow.</w:t>
            </w:r>
          </w:p>
        </w:tc>
      </w:tr>
      <w:tr>
        <w:tc>
          <w:tcPr>
            <w:tcW w:type="dxa" w:w="4968"/>
          </w:tcPr>
          <w:p>
            <w:r>
              <w:t>LICENSE.txt</w:t>
            </w:r>
          </w:p>
        </w:tc>
        <w:tc>
          <w:tcPr>
            <w:tcW w:type="dxa" w:w="4968"/>
          </w:tcPr>
          <w:p>
            <w:r>
              <w:t>Repository-use note for the learner-created materials.</w:t>
            </w:r>
          </w:p>
        </w:tc>
      </w:tr>
    </w:tbl>
    <w:p>
      <w:pPr>
        <w:pStyle w:val="Heading1"/>
      </w:pPr>
      <w:r>
        <w:t>19. Step-by-Step Implementation Checklist</w:t>
      </w:r>
    </w:p>
    <w:p>
      <w:pPr>
        <w:pStyle w:val="ListNumber"/>
      </w:pPr>
      <w:r>
        <w:t>Freeze the Week 1 problem statement and analytical questions.</w:t>
      </w:r>
    </w:p>
    <w:p>
      <w:pPr>
        <w:pStyle w:val="ListNumber"/>
      </w:pPr>
      <w:r>
        <w:t>List each required variable and its definition.</w:t>
      </w:r>
    </w:p>
    <w:p>
      <w:pPr>
        <w:pStyle w:val="ListNumber"/>
      </w:pPr>
      <w:r>
        <w:t>Identify and document authoritative public datasets.</w:t>
      </w:r>
    </w:p>
    <w:p>
      <w:pPr>
        <w:pStyle w:val="ListNumber"/>
      </w:pPr>
      <w:r>
        <w:t>Download source files and preserve them unchanged.</w:t>
      </w:r>
    </w:p>
    <w:p>
      <w:pPr>
        <w:pStyle w:val="ListNumber"/>
      </w:pPr>
      <w:r>
        <w:t>Design, pilot, and deploy the minimal survey if primary data are needed.</w:t>
      </w:r>
    </w:p>
    <w:p>
      <w:pPr>
        <w:pStyle w:val="ListNumber"/>
      </w:pPr>
      <w:r>
        <w:t>Create the raw CSV and inspect its schema.</w:t>
      </w:r>
    </w:p>
    <w:p>
      <w:pPr>
        <w:pStyle w:val="ListNumber"/>
      </w:pPr>
      <w:r>
        <w:t>Run duplicate, missing-value, category, range, and date checks.</w:t>
      </w:r>
    </w:p>
    <w:p>
      <w:pPr>
        <w:pStyle w:val="ListNumber"/>
      </w:pPr>
      <w:r>
        <w:t>Apply documented cleaning and transformation rules.</w:t>
      </w:r>
    </w:p>
    <w:p>
      <w:pPr>
        <w:pStyle w:val="ListNumber"/>
      </w:pPr>
      <w:r>
        <w:t>Run validation checks again after cleaning.</w:t>
      </w:r>
    </w:p>
    <w:p>
      <w:pPr>
        <w:pStyle w:val="ListNumber"/>
      </w:pPr>
      <w:r>
        <w:t>Export the processed dataset and cleaning log.</w:t>
      </w:r>
    </w:p>
    <w:p>
      <w:pPr>
        <w:pStyle w:val="ListNumber"/>
      </w:pPr>
      <w:r>
        <w:t>Review privacy and licensing before GitHub upload.</w:t>
      </w:r>
    </w:p>
    <w:p>
      <w:pPr>
        <w:pStyle w:val="ListNumber"/>
      </w:pPr>
      <w:r>
        <w:t>Use the cleaned dataset for the next stage of analysis.</w:t>
      </w:r>
    </w:p>
    <w:p>
      <w:pPr>
        <w:pStyle w:val="Heading1"/>
      </w:pPr>
      <w:r>
        <w:t>20. Deliverables for Week 2</w:t>
      </w:r>
    </w:p>
    <w:p>
      <w:pPr>
        <w:pStyle w:val="ListBullet"/>
      </w:pPr>
      <w:r>
        <w:t>Comprehensive DOCX report describing the data collection strategy.</w:t>
      </w:r>
    </w:p>
    <w:p>
      <w:pPr>
        <w:pStyle w:val="ListBullet"/>
      </w:pPr>
      <w:r>
        <w:t>Detailed cleaning and preprocessing workflow.</w:t>
      </w:r>
    </w:p>
    <w:p>
      <w:pPr>
        <w:pStyle w:val="ListBullet"/>
      </w:pPr>
      <w:r>
        <w:t>Public data-source plan and data dictionary.</w:t>
      </w:r>
    </w:p>
    <w:p>
      <w:pPr>
        <w:pStyle w:val="ListBullet"/>
      </w:pPr>
      <w:r>
        <w:t>Anomaly, missing-value, and validation strategy.</w:t>
      </w:r>
    </w:p>
    <w:p>
      <w:pPr>
        <w:pStyle w:val="ListBullet"/>
      </w:pPr>
      <w:r>
        <w:t>Challenges and proposed solutions.</w:t>
      </w:r>
    </w:p>
    <w:p>
      <w:pPr>
        <w:pStyle w:val="ListBullet"/>
      </w:pPr>
      <w:r>
        <w:t>GitHub-ready repository structure with reproducible example files.</w:t>
      </w:r>
    </w:p>
    <w:p>
      <w:pPr>
        <w:pStyle w:val="ListBullet"/>
      </w:pPr>
      <w:r>
        <w:t>A minimum 200-word submission description for the YUVA Intern portal.</w:t>
      </w:r>
    </w:p>
    <w:p>
      <w:pPr>
        <w:pStyle w:val="Heading1"/>
      </w:pPr>
      <w:r>
        <w:t>21. Conclusion</w:t>
      </w:r>
    </w:p>
    <w:p>
      <w:pPr>
        <w:spacing w:after="100"/>
      </w:pPr>
      <w:r>
        <w:t>A strong data analysis project begins with a disciplined data collection and quality strategy. For rural digital public services, combining authoritative public-domain information with carefully designed citizen-level observations can provide a more useful picture than relying on a single source. The proposed workflow protects raw data, documents assumptions, standardizes inconsistent values, handles missingness and anomalies transparently, and validates the final dataset before analysis. The resulting dataset and documentation are intended to serve as a reliable blueprint for the subsequent analytical stage of the internship.</w:t>
      </w:r>
    </w:p>
    <w:p>
      <w:pPr>
        <w:spacing w:after="100"/>
      </w:pPr>
      <w:r>
        <w:t>The approach is deliberately reproducible: each major decision is documented, the raw dataset is separated from processed data, and the repository contains a small synthetic example and Python cleaning script. This makes the work easier to review and reduces the risk of unsupported or misleading conclusions. The next stage can therefore focus on analysis and visualization using a clearly defined, quality-checked dataset.</w:t>
      </w:r>
    </w:p>
    <w:p>
      <w:pPr>
        <w:pStyle w:val="Heading1"/>
      </w:pPr>
      <w:r>
        <w:t>Appendix A – Example Cleaning Rules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Rule</w:t>
            </w:r>
          </w:p>
        </w:tc>
      </w:tr>
      <w:tr>
        <w:tc>
          <w:tcPr>
            <w:tcW w:type="dxa" w:w="4968"/>
          </w:tcPr>
          <w:p>
            <w:r>
              <w:t>Whitespace</w:t>
            </w:r>
          </w:p>
        </w:tc>
        <w:tc>
          <w:tcPr>
            <w:tcW w:type="dxa" w:w="4968"/>
          </w:tcPr>
          <w:p>
            <w:r>
              <w:t>Strip leading/trailing spaces from text fields.</w:t>
            </w:r>
          </w:p>
        </w:tc>
      </w:tr>
      <w:tr>
        <w:tc>
          <w:tcPr>
            <w:tcW w:type="dxa" w:w="4968"/>
          </w:tcPr>
          <w:p>
            <w:r>
              <w:t>Case</w:t>
            </w:r>
          </w:p>
        </w:tc>
        <w:tc>
          <w:tcPr>
            <w:tcW w:type="dxa" w:w="4968"/>
          </w:tcPr>
          <w:p>
            <w:r>
              <w:t>Use consistent capitalization for controlled categories.</w:t>
            </w:r>
          </w:p>
        </w:tc>
      </w:tr>
      <w:tr>
        <w:tc>
          <w:tcPr>
            <w:tcW w:type="dxa" w:w="4968"/>
          </w:tcPr>
          <w:p>
            <w:r>
              <w:t>Categories</w:t>
            </w:r>
          </w:p>
        </w:tc>
        <w:tc>
          <w:tcPr>
            <w:tcW w:type="dxa" w:w="4968"/>
          </w:tcPr>
          <w:p>
            <w:r>
              <w:t>Map equivalent labels to a canonical value.</w:t>
            </w:r>
          </w:p>
        </w:tc>
      </w:tr>
      <w:tr>
        <w:tc>
          <w:tcPr>
            <w:tcW w:type="dxa" w:w="4968"/>
          </w:tcPr>
          <w:p>
            <w:r>
              <w:t>Missing</w:t>
            </w:r>
          </w:p>
        </w:tc>
        <w:tc>
          <w:tcPr>
            <w:tcW w:type="dxa" w:w="4968"/>
          </w:tcPr>
          <w:p>
            <w:r>
              <w:t>Quantify first; impute only with documented justification.</w:t>
            </w:r>
          </w:p>
        </w:tc>
      </w:tr>
      <w:tr>
        <w:tc>
          <w:tcPr>
            <w:tcW w:type="dxa" w:w="4968"/>
          </w:tcPr>
          <w:p>
            <w:r>
              <w:t>Duplicates</w:t>
            </w:r>
          </w:p>
        </w:tc>
        <w:tc>
          <w:tcPr>
            <w:tcW w:type="dxa" w:w="4968"/>
          </w:tcPr>
          <w:p>
            <w:r>
              <w:t>Remove verified exact duplicates; investigate ID conflicts.</w:t>
            </w:r>
          </w:p>
        </w:tc>
      </w:tr>
      <w:tr>
        <w:tc>
          <w:tcPr>
            <w:tcW w:type="dxa" w:w="4968"/>
          </w:tcPr>
          <w:p>
            <w:r>
              <w:t>Numeric</w:t>
            </w:r>
          </w:p>
        </w:tc>
        <w:tc>
          <w:tcPr>
            <w:tcW w:type="dxa" w:w="4968"/>
          </w:tcPr>
          <w:p>
            <w:r>
              <w:t>Validate against predefined minimum/maximum or allowed scale.</w:t>
            </w:r>
          </w:p>
        </w:tc>
      </w:tr>
      <w:tr>
        <w:tc>
          <w:tcPr>
            <w:tcW w:type="dxa" w:w="4968"/>
          </w:tcPr>
          <w:p>
            <w:r>
              <w:t>Dates</w:t>
            </w:r>
          </w:p>
        </w:tc>
        <w:tc>
          <w:tcPr>
            <w:tcW w:type="dxa" w:w="4968"/>
          </w:tcPr>
          <w:p>
            <w:r>
              <w:t>Parse consistently and reject impossible dates.</w:t>
            </w:r>
          </w:p>
        </w:tc>
      </w:tr>
      <w:tr>
        <w:tc>
          <w:tcPr>
            <w:tcW w:type="dxa" w:w="4968"/>
          </w:tcPr>
          <w:p>
            <w:r>
              <w:t>Privacy</w:t>
            </w:r>
          </w:p>
        </w:tc>
        <w:tc>
          <w:tcPr>
            <w:tcW w:type="dxa" w:w="4968"/>
          </w:tcPr>
          <w:p>
            <w:r>
              <w:t>Remove identifiers before public sharing.</w:t>
            </w:r>
          </w:p>
        </w:tc>
      </w:tr>
    </w:tbl>
    <w:p>
      <w:pPr>
        <w:pStyle w:val="Heading1"/>
      </w:pPr>
      <w:r>
        <w:t>Appendix B – 200+ Word Portal Description</w:t>
      </w:r>
    </w:p>
    <w:p>
      <w:pPr>
        <w:spacing w:after="100"/>
      </w:pPr>
      <w:r>
        <w:t>This Week 2 internship report focuses on developing a structured data collection strategy and a systematic data cleaning and preprocessing workflow for an e-governance and digital public services problem. The objective is to understand barriers that rural citizens may face while accessing digital public services, including limited awareness, internet connectivity, device availability, digital literacy, language, usability, and service experience. The report defines the scope of data collection and identifies suitable public-domain sources such as the Open Government Data Platform India, Census of India, telecom-related public reports, and relevant government department datasets. It also proposes a privacy-conscious primary survey where secondary data cannot answer citizen-level usability questions.</w:t>
        <w:br/>
        <w:br/>
        <w:t>The report provides a complete step-by-step cleaning plan covering schema inspection, column standardization, duplicate detection, missing-value treatment, inconsistent categories, numeric validation, anomaly handling, date processing, and data transformation. It explains when values should be corrected, retained, flagged, or treated as missing instead of being deleted without justification. Python libraries including pandas, NumPy, and Matplotlib are identified for reproducible processing and quality checks. A data validation framework is included to assess completeness, uniqueness, validity, consistency, accuracy, and reproducibility.</w:t>
        <w:br/>
        <w:br/>
        <w:t>The report also documents assumptions, privacy and ethical considerations, expected data-collection challenges, and practical solutions. To support reproducibility, a GitHub-ready repository is included with a README file, a Python cleaning script, a synthetic sample CSV, requirements, and the complete DOCX report. The sample dataset is clearly labelled as synthetic and is not presented as real citizen data. Overall, this work provides a detailed blueprint for collecting, preparing, validating, and documenting data before the subsequent analysis stage of the internship.</w:t>
      </w:r>
    </w:p>
    <w:p>
      <w:pPr>
        <w:pStyle w:val="Heading1"/>
      </w:pPr>
      <w:r>
        <w:t>Appendix C – Submission Note</w:t>
      </w:r>
    </w:p>
    <w:p>
      <w:pPr>
        <w:spacing w:after="100"/>
      </w:pPr>
      <w:r>
        <w:t>The attached repository contains learner-created documentation and a synthetic demonstration dataset. Public datasets should be downloaded directly from their authoritative sources and documented with source URL, title, access/download date, and applicable usage terms before being used in final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