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libri" w:hAnsi="Calibri"/>
          <w:b/>
          <w:i w:val="0"/>
          <w:color w:val="1F4E79"/>
          <w:sz w:val="32"/>
        </w:rPr>
        <w:t>MAYANK GOYAL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 w:val="0"/>
          <w:i w:val="0"/>
          <w:sz w:val="22"/>
        </w:rPr>
        <w:t>Senior Data &amp; AI Solutions Consultant</w:t>
      </w:r>
    </w:p>
    <w:p>
      <w:pPr>
        <w:spacing w:before="0" w:after="40" w:line="276" w:lineRule="auto"/>
        <w:jc w:val="center"/>
      </w:pPr>
      <w:r>
        <w:rPr>
          <w:rFonts w:ascii="Calibri" w:hAnsi="Calibri"/>
          <w:b w:val="0"/>
          <w:i w:val="0"/>
          <w:sz w:val="20"/>
        </w:rPr>
        <w:t xml:space="preserve">+91 96466-84712  |  </w:t>
      </w:r>
      <w:hyperlink r:id="rId9">
        <w:r>
          <w:rPr>
            <w:rFonts w:ascii="Calibri" w:hAnsi="Calibri"/>
            <w:sz w:val="20"/>
            <w:color w:val="1F4E79"/>
            <w:u w:val="single"/>
          </w:rPr>
          <w:t xml:space="preserve">goyalmayank48@gmail.com</w:t>
        </w:r>
      </w:hyperlink>
      <w:r>
        <w:rPr>
          <w:rFonts w:ascii="Calibri" w:hAnsi="Calibri"/>
          <w:b w:val="0"/>
          <w:i w:val="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F4E79"/>
            <w:u w:val="single"/>
          </w:rPr>
          <w:t xml:space="preserve">linkedin.com/in/digimayank</w:t>
        </w:r>
      </w:hyperlink>
      <w:r>
        <w:rPr>
          <w:rFonts w:ascii="Calibri" w:hAnsi="Calibri"/>
          <w:b w:val="0"/>
          <w:i w:val="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F4E79"/>
            <w:u w:val="single"/>
          </w:rPr>
          <w:t xml:space="preserve">mayankgoyal.ai</w:t>
        </w:r>
      </w:hyperlink>
    </w:p>
    <w:p>
      <w:pPr>
        <w:spacing w:before="0" w:after="80" w:line="276" w:lineRule="auto"/>
        <w:jc w:val="center"/>
      </w:pPr>
      <w:r>
        <w:rPr>
          <w:rFonts w:ascii="Calibri" w:hAnsi="Calibri"/>
          <w:b w:val="0"/>
          <w:i/>
          <w:sz w:val="20"/>
        </w:rPr>
        <w:t>Gurugram, India  |  Open to Remote India &amp; Relocation (Bengaluru / Mumbai / Hyderabad / Pune / Dubai)</w:t>
      </w:r>
    </w:p>
    <w:p>
      <w:pPr>
        <w:spacing w:before="160" w:after="40" w:line="276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2"/>
        </w:rPr>
        <w:t>PROFESSIONAL SUMMARY</w:t>
      </w:r>
    </w:p>
    <w:p>
      <w:pPr>
        <w:spacing w:before="0" w:after="80" w:line="276" w:lineRule="auto"/>
        <w:jc w:val="both"/>
      </w:pPr>
      <w:r>
        <w:rPr>
          <w:rFonts w:ascii="Calibri" w:hAnsi="Calibri"/>
          <w:b w:val="0"/>
          <w:i w:val="0"/>
          <w:sz w:val="20"/>
        </w:rPr>
        <w:t>Senior Consultant with 5+ years architecting enterprise BI for a Fortune 100 FMCG portfolio across 60+ markets on a 300GB+ Azure data lake. Deep on Power BI, DAX, SSAS, and Azure Analysis Services — now shipping production Generative AI on Python, Anthropic Claude, LangChain, and Azure OpenAI for senior client engagements.</w:t>
      </w:r>
    </w:p>
    <w:p>
      <w:pPr>
        <w:spacing w:before="160" w:after="40" w:line="276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2"/>
        </w:rPr>
        <w:t>CORE SKILLS</w:t>
      </w:r>
    </w:p>
    <w:p>
      <w:pPr>
        <w:spacing w:before="0" w:after="60" w:line="276" w:lineRule="auto"/>
        <w:ind w:left="0"/>
      </w:pPr>
      <w:r>
        <w:rPr>
          <w:rFonts w:ascii="Calibri" w:hAnsi="Calibri"/>
          <w:b/>
          <w:i w:val="0"/>
          <w:sz w:val="20"/>
        </w:rPr>
        <w:t xml:space="preserve">Data &amp; Analytics:  </w:t>
      </w:r>
      <w:r>
        <w:rPr>
          <w:rFonts w:ascii="Calibri" w:hAnsi="Calibri"/>
          <w:b w:val="0"/>
          <w:i w:val="0"/>
          <w:sz w:val="20"/>
        </w:rPr>
        <w:t>Power BI · DAX · SQL · Teradata · MS SSAS · Azure Analysis Services · Tabular Editor · SSMS · Tabular Models · Semantic Layer · Data Modeling · Performance Tuning · ETL/ELT · Data Pipelines</w:t>
      </w:r>
    </w:p>
    <w:p>
      <w:pPr>
        <w:spacing w:before="0" w:after="60" w:line="276" w:lineRule="auto"/>
        <w:ind w:left="0"/>
      </w:pPr>
      <w:r>
        <w:rPr>
          <w:rFonts w:ascii="Calibri" w:hAnsi="Calibri"/>
          <w:b/>
          <w:i w:val="0"/>
          <w:sz w:val="20"/>
        </w:rPr>
        <w:t xml:space="preserve">GenAI &amp; ML:  </w:t>
      </w:r>
      <w:r>
        <w:rPr>
          <w:rFonts w:ascii="Calibri" w:hAnsi="Calibri"/>
          <w:b w:val="0"/>
          <w:i w:val="0"/>
          <w:sz w:val="20"/>
        </w:rPr>
        <w:t>Python · Anthropic Claude · OpenAI GPT · Large Language Models (LLMs) · LangChain · Retrieval-Augmented Generation (RAG) · Vector Databases (Pinecone, ChromaDB, FAISS) · Embeddings · Semantic Search · Prompt Engineering · AI Agents · Tool Use · LLM Evaluation · Streamlit · FastAPI · Hugging Face · Responsible AI</w:t>
      </w:r>
    </w:p>
    <w:p>
      <w:pPr>
        <w:spacing w:before="0" w:after="60" w:line="276" w:lineRule="auto"/>
        <w:ind w:left="0"/>
      </w:pPr>
      <w:r>
        <w:rPr>
          <w:rFonts w:ascii="Calibri" w:hAnsi="Calibri"/>
          <w:b/>
          <w:i w:val="0"/>
          <w:sz w:val="20"/>
        </w:rPr>
        <w:t xml:space="preserve">Cloud &amp; DevOps:  </w:t>
      </w:r>
      <w:r>
        <w:rPr>
          <w:rFonts w:ascii="Calibri" w:hAnsi="Calibri"/>
          <w:b w:val="0"/>
          <w:i w:val="0"/>
          <w:sz w:val="20"/>
        </w:rPr>
        <w:t>Microsoft Azure · Azure OpenAI · Azure AI Studio · Azure Data Lake · Azure DevOps · MSAL (Service Principal Auth) · Power BI REST API · Git · GitHub · CI/CD · MLOps · Docker · Microservices · API Development · Microsoft Power Automate</w:t>
      </w:r>
    </w:p>
    <w:p>
      <w:pPr>
        <w:spacing w:before="0" w:after="60" w:line="276" w:lineRule="auto"/>
        <w:ind w:left="0"/>
      </w:pPr>
      <w:r>
        <w:rPr>
          <w:rFonts w:ascii="Calibri" w:hAnsi="Calibri"/>
          <w:b/>
          <w:i w:val="0"/>
          <w:sz w:val="20"/>
        </w:rPr>
        <w:t xml:space="preserve">Consulting &amp; Leadership:  </w:t>
      </w:r>
      <w:r>
        <w:rPr>
          <w:rFonts w:ascii="Calibri" w:hAnsi="Calibri"/>
          <w:b w:val="0"/>
          <w:i w:val="0"/>
          <w:sz w:val="20"/>
        </w:rPr>
        <w:t>Solution Architecture · Stakeholder Management · Client Engagement · Cross-functional Team Leadership · Agile / Scrum Delivery · Technical Mentoring · POC to Production · Business Storytelling · AI Governance</w:t>
      </w:r>
    </w:p>
    <w:p>
      <w:pPr>
        <w:spacing w:before="160" w:after="40" w:line="276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2"/>
        </w:rPr>
        <w:t>FEATURED PROJECT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sz w:val="20"/>
        </w:rPr>
        <w:t>PowerBI Insight Co-pilot</w:t>
      </w:r>
      <w:r>
        <w:rPr>
          <w:rFonts w:ascii="Calibri" w:hAnsi="Calibri"/>
          <w:b w:val="0"/>
          <w:i w:val="0"/>
          <w:sz w:val="20"/>
        </w:rPr>
        <w:t xml:space="preserve">  —  Open-Source GenAI Project  </w:t>
      </w:r>
      <w:r>
        <w:rPr>
          <w:rFonts w:ascii="Calibri" w:hAnsi="Calibri"/>
          <w:b w:val="0"/>
          <w:i/>
          <w:sz w:val="20"/>
        </w:rPr>
        <w:t>(Jun 2026)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sz w:val="20"/>
        </w:rPr>
        <w:t xml:space="preserve">Live: </w:t>
      </w:r>
      <w:hyperlink r:id="rId12">
        <w:r>
          <w:rPr>
            <w:rFonts w:ascii="Calibri" w:hAnsi="Calibri"/>
            <w:sz w:val="20"/>
            <w:color w:val="1F4E79"/>
            <w:u w:val="single"/>
          </w:rPr>
          <w:t xml:space="preserve">mayankgoyal.ai/projects/powerbi-copilot</w:t>
        </w:r>
      </w:hyperlink>
      <w:r>
        <w:rPr>
          <w:rFonts w:ascii="Calibri" w:hAnsi="Calibri"/>
          <w:b/>
          <w:i w:val="0"/>
          <w:sz w:val="20"/>
        </w:rPr>
        <w:t xml:space="preserve">    Code: </w:t>
      </w:r>
      <w:hyperlink r:id="rId13">
        <w:r>
          <w:rPr>
            <w:rFonts w:ascii="Calibri" w:hAnsi="Calibri"/>
            <w:sz w:val="20"/>
            <w:color w:val="1F4E79"/>
            <w:u w:val="single"/>
          </w:rPr>
          <w:t xml:space="preserve">github.com/digimayank/powerbi-insight-copilot</w:t>
        </w:r>
      </w:hyperlink>
    </w:p>
    <w:p>
      <w:pPr>
        <w:spacing w:before="0" w:after="60" w:line="276" w:lineRule="auto"/>
        <w:jc w:val="both"/>
      </w:pPr>
      <w:r>
        <w:rPr>
          <w:rFonts w:ascii="Calibri" w:hAnsi="Calibri"/>
          <w:b w:val="0"/>
          <w:i w:val="0"/>
          <w:sz w:val="20"/>
        </w:rPr>
        <w:t>Production-grade natural language interface for Power BI semantic models. Users query in English; Anthropic Claude generates DAX, executes against the Power BI REST API, and returns narrative insights with source attribution — reducing analyst turnaround time on routine business queries by an estimated 60%.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 xml:space="preserve">Stack: </w:t>
      </w:r>
      <w:r>
        <w:rPr>
          <w:rFonts w:ascii="Calibri" w:hAnsi="Calibri"/>
          <w:b w:val="0"/>
          <w:i w:val="0"/>
          <w:sz w:val="20"/>
        </w:rPr>
        <w:t>Python · Anthropic Claude SDK · LangChain patterns · Power BI REST API · Azure AD (MSAL service principal auth) · Streamlit · Streamlit Cloud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 xml:space="preserve">Architecture: </w:t>
      </w:r>
      <w:r>
        <w:rPr>
          <w:rFonts w:ascii="Calibri" w:hAnsi="Calibri"/>
          <w:b w:val="0"/>
          <w:i w:val="0"/>
          <w:sz w:val="20"/>
        </w:rPr>
        <w:t>3-stage orchestrator (natural language → DAX generation → execution → narration) with LLM-driven DAX self-correction, schema-aware prompting, conversation memory for follow-up queries, and production-ready error handling and retry logic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 xml:space="preserve">Differentiator: </w:t>
      </w:r>
      <w:r>
        <w:rPr>
          <w:rFonts w:ascii="Calibri" w:hAnsi="Calibri"/>
          <w:b w:val="0"/>
          <w:i w:val="0"/>
          <w:sz w:val="20"/>
        </w:rPr>
        <w:t>Engineered for enterprise constraints — single semantic layer, service principal authentication, schema-bounded generation, and end-to-end traceability suitable for governed client environments</w:t>
      </w:r>
    </w:p>
    <w:p>
      <w:pPr>
        <w:spacing w:before="160" w:after="40" w:line="276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2"/>
        </w:rPr>
        <w:t>PROFESSIONAL EXPERIENCE</w:t>
      </w:r>
    </w:p>
    <w:p>
      <w:pPr>
        <w:spacing w:before="0" w:after="0" w:line="276" w:lineRule="auto"/>
      </w:pPr>
      <w:r>
        <w:rPr>
          <w:rFonts w:ascii="Calibri" w:hAnsi="Calibri"/>
          <w:b/>
          <w:i w:val="0"/>
          <w:sz w:val="20"/>
        </w:rPr>
        <w:t>Accenture Solutions Pvt Ltd</w:t>
      </w:r>
      <w:r>
        <w:rPr>
          <w:rFonts w:ascii="Calibri" w:hAnsi="Calibri"/>
          <w:b w:val="0"/>
          <w:i w:val="0"/>
          <w:sz w:val="20"/>
        </w:rPr>
        <w:t xml:space="preserve">  —  Senior Analyst, Data &amp; Analytics</w:t>
      </w:r>
    </w:p>
    <w:p>
      <w:pPr>
        <w:spacing w:before="0" w:after="60" w:line="276" w:lineRule="auto"/>
      </w:pPr>
      <w:r>
        <w:rPr>
          <w:rFonts w:ascii="Calibri" w:hAnsi="Calibri"/>
          <w:b w:val="0"/>
          <w:i/>
          <w:sz w:val="20"/>
        </w:rPr>
        <w:t>Gurugram, India (Hybrid)   |   Jul 2024 – Present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Architect BI infrastructure for a Fortune 100 FMCG client's multi-billion-dollar global product portfolio across 60+ markets — own the semantic layer on a 300GB+ Azure-hosted data lake; partner with senior client stakeholders to convert strategic decisions into measurable topline outcomes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Engineer Azure Analysis Services tabular models on one of the largest production BI data lakes in the FMCG industry; implemented incremental refresh and partition strategies enabling sub-second query response at enterprise scale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Coordinate a 40+ member cross-functional delivery team spanning data engineering, BI development, QA, and client stakeholders across 3 continents; established a daily delivery rhythm that reduced critical bug resolution time by 50%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Lead technical mentorship for new joiners on advanced DAX, performance tuning, and semantic model architecture; built reusable internal frameworks adopted across multiple client engagements</w:t>
      </w:r>
    </w:p>
    <w:p>
      <w:pPr>
        <w:spacing w:before="80" w:after="0" w:line="276" w:lineRule="auto"/>
      </w:pPr>
      <w:r>
        <w:rPr>
          <w:rFonts w:ascii="Calibri" w:hAnsi="Calibri"/>
          <w:b/>
          <w:i w:val="0"/>
          <w:sz w:val="20"/>
        </w:rPr>
        <w:t>PwC India</w:t>
      </w:r>
      <w:r>
        <w:rPr>
          <w:rFonts w:ascii="Calibri" w:hAnsi="Calibri"/>
          <w:b w:val="0"/>
          <w:i w:val="0"/>
          <w:sz w:val="20"/>
        </w:rPr>
        <w:t xml:space="preserve">  —  Associate (Power BI Consultant)</w:t>
      </w:r>
    </w:p>
    <w:p>
      <w:pPr>
        <w:spacing w:before="0" w:after="60" w:line="276" w:lineRule="auto"/>
      </w:pPr>
      <w:r>
        <w:rPr>
          <w:rFonts w:ascii="Calibri" w:hAnsi="Calibri"/>
          <w:b w:val="0"/>
          <w:i/>
          <w:sz w:val="20"/>
        </w:rPr>
        <w:t>Gurugram, India (Remote)   |   Mar 2021 – Jul 2024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Senior analyst on the Global Net Revenue Management (NRM) initiative for a leading Fortune 100 FMCG client — owned BI reporting infrastructure informing pricing, promotional, and product-mix decisions across the global portfolio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Architected migration of 40+ business-critical dashboards from Tableau to Power BI; redesigned the semantic layer and DAX measure architecture, reducing report load latency by 75% on 300GB+ tabular models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Translated complex C-suite business requirements into solution architectures spanning data modeling, integration patterns, and visualization workflows; partnered with clients on roadmaps, prioritization, and delivery sequencing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 w:val="0"/>
          <w:i w:val="0"/>
          <w:sz w:val="20"/>
        </w:rPr>
        <w:t>Conducted 50+ technical interviews evaluating Power BI candidates and led onboarding of new team members through structured technical enablement programs</w:t>
      </w:r>
    </w:p>
    <w:p>
      <w:pPr>
        <w:spacing w:before="160" w:after="40" w:line="276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2"/>
        </w:rPr>
        <w:t>EDUCATION</w:t>
      </w:r>
    </w:p>
    <w:p>
      <w:pPr>
        <w:spacing w:before="0" w:after="0" w:line="276" w:lineRule="auto"/>
      </w:pPr>
      <w:r>
        <w:rPr>
          <w:rFonts w:ascii="Calibri" w:hAnsi="Calibri"/>
          <w:b/>
          <w:i w:val="0"/>
          <w:sz w:val="20"/>
        </w:rPr>
        <w:t>Bachelor of Technology — Computer Science Engineering</w:t>
      </w:r>
    </w:p>
    <w:p>
      <w:pPr>
        <w:spacing w:before="0" w:after="40" w:line="276" w:lineRule="auto"/>
      </w:pPr>
      <w:r>
        <w:rPr>
          <w:rFonts w:ascii="Calibri" w:hAnsi="Calibri"/>
          <w:b w:val="0"/>
          <w:i/>
          <w:sz w:val="20"/>
        </w:rPr>
        <w:t>Giani Zail Singh College of Engineering &amp; Technology, Punjab Technical University, Bathinda   |   2016 – 2020</w:t>
      </w:r>
    </w:p>
    <w:p>
      <w:pPr>
        <w:spacing w:before="160" w:after="40" w:line="276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2"/>
        </w:rPr>
        <w:t>CERTIFICATIONS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>Microsoft Certified: Azure AI Engineer Associate (AI-102)</w:t>
      </w:r>
      <w:r>
        <w:rPr>
          <w:rFonts w:ascii="Calibri" w:hAnsi="Calibri"/>
          <w:b w:val="0"/>
          <w:i w:val="0"/>
          <w:sz w:val="20"/>
        </w:rPr>
        <w:t xml:space="preserve">  —  In Progress, target Jul 2026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>Analyzing and Visualizing Data with Microsoft Power BI</w:t>
      </w:r>
      <w:r>
        <w:rPr>
          <w:rFonts w:ascii="Calibri" w:hAnsi="Calibri"/>
          <w:b w:val="0"/>
          <w:i w:val="0"/>
          <w:sz w:val="20"/>
        </w:rPr>
        <w:t xml:space="preserve">  —  Microsoft (Apr 2021)</w:t>
      </w:r>
    </w:p>
    <w:p>
      <w:pPr>
        <w:spacing w:before="0" w:after="40" w:line="276" w:lineRule="auto"/>
        <w:ind w:left="317" w:hanging="317"/>
      </w:pPr>
      <w:r>
        <w:rPr>
          <w:rFonts w:ascii="Calibri" w:hAnsi="Calibri"/>
          <w:b w:val="0"/>
          <w:i w:val="0"/>
          <w:sz w:val="20"/>
        </w:rPr>
        <w:t xml:space="preserve">•  </w:t>
      </w:r>
      <w:r>
        <w:rPr>
          <w:rFonts w:ascii="Calibri" w:hAnsi="Calibri"/>
          <w:b/>
          <w:i w:val="0"/>
          <w:sz w:val="20"/>
        </w:rPr>
        <w:t>Marketing Analytics</w:t>
      </w:r>
      <w:r>
        <w:rPr>
          <w:rFonts w:ascii="Calibri" w:hAnsi="Calibri"/>
          <w:b w:val="0"/>
          <w:i w:val="0"/>
          <w:sz w:val="20"/>
        </w:rPr>
        <w:t xml:space="preserve">  —  Udacity (May 2020)</w:t>
      </w:r>
    </w:p>
    <w:p>
      <w:pPr>
        <w:spacing w:before="160" w:after="40" w:line="276" w:lineRule="auto"/>
        <w:pBdr>
          <w:bottom w:val="single" w:sz="6" w:space="1" w:color="1F4E79"/>
        </w:pBdr>
      </w:pPr>
      <w:r>
        <w:rPr>
          <w:rFonts w:ascii="Calibri" w:hAnsi="Calibri"/>
          <w:b/>
          <w:i w:val="0"/>
          <w:color w:val="1F4E79"/>
          <w:sz w:val="22"/>
        </w:rPr>
        <w:t>LANGUAGES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English (professional working proficiency)  ·  Hindi (native)  ·  Punjabi (native)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oyalmayank48@gmail.com" TargetMode="External"/><Relationship Id="rId10" Type="http://schemas.openxmlformats.org/officeDocument/2006/relationships/hyperlink" Target="https://linkedin.com/in/digimayank" TargetMode="External"/><Relationship Id="rId11" Type="http://schemas.openxmlformats.org/officeDocument/2006/relationships/hyperlink" Target="https://mayankgoyal.ai" TargetMode="External"/><Relationship Id="rId12" Type="http://schemas.openxmlformats.org/officeDocument/2006/relationships/hyperlink" Target="https://mayankgoyal.ai/projects/powerbi-copilot" TargetMode="External"/><Relationship Id="rId13" Type="http://schemas.openxmlformats.org/officeDocument/2006/relationships/hyperlink" Target="https://github.com/digimayank/powerbi-insight-copil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