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20EC7" w14:textId="77777777" w:rsidR="001E5EB6" w:rsidRDefault="009654C0" w:rsidP="009654C0">
      <w:r>
        <w:rPr>
          <w:noProof/>
        </w:rPr>
        <w:drawing>
          <wp:inline distT="0" distB="0" distL="0" distR="0" wp14:anchorId="35D0D63A" wp14:editId="27B73F05">
            <wp:extent cx="8406553" cy="4648200"/>
            <wp:effectExtent l="0" t="0" r="13970" b="0"/>
            <wp:docPr id="798589997" name="Chart 1">
              <a:extLst xmlns:a="http://schemas.openxmlformats.org/drawingml/2006/main">
                <a:ext uri="{FF2B5EF4-FFF2-40B4-BE49-F238E27FC236}">
                  <a16:creationId xmlns:a16="http://schemas.microsoft.com/office/drawing/2014/main" id="{292DF805-794A-A163-4F1E-FC4E43D0F9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A1D9925" w14:textId="77777777" w:rsidR="009654C0" w:rsidRDefault="009654C0" w:rsidP="009654C0"/>
    <w:p w14:paraId="5C890AC3" w14:textId="77777777" w:rsidR="00857DB8" w:rsidRDefault="00857DB8" w:rsidP="009654C0">
      <w:pPr>
        <w:rPr>
          <w:b/>
          <w:bCs/>
          <w:u w:val="single"/>
        </w:rPr>
      </w:pPr>
    </w:p>
    <w:p w14:paraId="106ED174" w14:textId="77777777" w:rsidR="00857DB8" w:rsidRDefault="00857DB8" w:rsidP="009654C0">
      <w:pPr>
        <w:rPr>
          <w:b/>
          <w:bCs/>
          <w:u w:val="single"/>
        </w:rPr>
      </w:pPr>
    </w:p>
    <w:p w14:paraId="0666173A" w14:textId="77777777" w:rsidR="00857DB8" w:rsidRDefault="00857DB8" w:rsidP="009654C0">
      <w:pPr>
        <w:rPr>
          <w:b/>
          <w:bCs/>
          <w:u w:val="single"/>
        </w:rPr>
      </w:pPr>
    </w:p>
    <w:p w14:paraId="1595B582" w14:textId="77777777" w:rsidR="009654C0" w:rsidRDefault="003E3AEE" w:rsidP="009654C0">
      <w:pPr>
        <w:rPr>
          <w:b/>
          <w:bCs/>
          <w:u w:val="single"/>
        </w:rPr>
      </w:pPr>
      <w:r>
        <w:rPr>
          <w:b/>
          <w:bCs/>
          <w:u w:val="single"/>
        </w:rPr>
        <w:lastRenderedPageBreak/>
        <w:t xml:space="preserve">Graph </w:t>
      </w:r>
      <w:r w:rsidR="009654C0" w:rsidRPr="009654C0">
        <w:rPr>
          <w:b/>
          <w:bCs/>
          <w:u w:val="single"/>
        </w:rPr>
        <w:t xml:space="preserve">Description </w:t>
      </w:r>
    </w:p>
    <w:p w14:paraId="2B6100DD" w14:textId="12E6D6ED" w:rsidR="00E4254B" w:rsidRDefault="00E4254B" w:rsidP="00E4254B">
      <w:pPr>
        <w:pStyle w:val="ListParagraph"/>
      </w:pPr>
      <w:r>
        <w:t xml:space="preserve">From Internal Bank Customer Churn dataset, a combo graph illustrates two main metrics in every bank --- </w:t>
      </w:r>
      <w:r w:rsidR="008A23C5">
        <w:t xml:space="preserve">Customer </w:t>
      </w:r>
      <w:r>
        <w:t>Average Balance (</w:t>
      </w:r>
      <w:r w:rsidR="008A23C5">
        <w:t xml:space="preserve">primary axis, </w:t>
      </w:r>
      <w:r>
        <w:t>in hundreds) and Customer Credit Score (</w:t>
      </w:r>
      <w:r w:rsidR="008A23C5">
        <w:t xml:space="preserve">secondary axis, </w:t>
      </w:r>
      <w:r>
        <w:t>in percentage) --- across customer tenure (in years) segmented by churn status.</w:t>
      </w:r>
      <w:r w:rsidR="00857DB8">
        <w:t xml:space="preserve"> On the </w:t>
      </w:r>
      <w:r w:rsidR="00B14270">
        <w:t>right</w:t>
      </w:r>
      <w:r w:rsidR="00857DB8">
        <w:t xml:space="preserve"> side, the legend declares our variables using color-coding system to distinguish average balance bars where blue color for exited customers and gray color represents retained customers. In the same manner, credit score metric represented by orange line for exited customers and yellow line for retained customer. </w:t>
      </w:r>
    </w:p>
    <w:p w14:paraId="436AE072" w14:textId="77777777" w:rsidR="00857DB8" w:rsidRDefault="00857DB8" w:rsidP="00E4254B">
      <w:pPr>
        <w:pStyle w:val="ListParagraph"/>
      </w:pPr>
    </w:p>
    <w:p w14:paraId="76315E29" w14:textId="77777777" w:rsidR="00857DB8" w:rsidRDefault="008A23C5" w:rsidP="00E4254B">
      <w:pPr>
        <w:pStyle w:val="ListParagraph"/>
      </w:pPr>
      <w:r>
        <w:t xml:space="preserve">An analysis of the graph illustrate that exited customers have </w:t>
      </w:r>
      <w:r w:rsidR="00857DB8">
        <w:t xml:space="preserve">a higher average balance accounts across all tenure levels compared to retained customers. </w:t>
      </w:r>
      <w:r w:rsidR="00EC562C">
        <w:t xml:space="preserve">An important point, at both the entry level (0 years) and long-term (8-9 years) </w:t>
      </w:r>
      <w:r w:rsidR="00F454D6">
        <w:t>there is a</w:t>
      </w:r>
      <w:r w:rsidR="00EC562C">
        <w:t xml:space="preserve"> </w:t>
      </w:r>
      <w:r w:rsidR="00F454D6">
        <w:t>dramatical</w:t>
      </w:r>
      <w:r w:rsidR="00EC562C">
        <w:t xml:space="preserve"> gap between churners balance accounts and retained customers.</w:t>
      </w:r>
    </w:p>
    <w:p w14:paraId="5EF6488C" w14:textId="77777777" w:rsidR="00857DB8" w:rsidRDefault="00857DB8" w:rsidP="00E4254B">
      <w:pPr>
        <w:pStyle w:val="ListParagraph"/>
      </w:pPr>
    </w:p>
    <w:p w14:paraId="294A143A" w14:textId="77777777" w:rsidR="00EC562C" w:rsidRDefault="003E3AEE" w:rsidP="00E4254B">
      <w:pPr>
        <w:pStyle w:val="ListParagraph"/>
      </w:pPr>
      <w:r>
        <w:t xml:space="preserve">Looking at Credit score </w:t>
      </w:r>
      <w:r w:rsidR="00E07E1C">
        <w:t>e</w:t>
      </w:r>
      <w:r>
        <w:t xml:space="preserve">ffect. What is interesting here </w:t>
      </w:r>
      <w:r w:rsidR="003D13EA">
        <w:t xml:space="preserve">is </w:t>
      </w:r>
      <w:r>
        <w:t xml:space="preserve">that although retained customers </w:t>
      </w:r>
      <w:r w:rsidR="003D13EA">
        <w:t xml:space="preserve">maintain a highly </w:t>
      </w:r>
      <w:r>
        <w:t xml:space="preserve">steady credit score trend regardless </w:t>
      </w:r>
      <w:r w:rsidR="003D13EA">
        <w:t>of</w:t>
      </w:r>
      <w:r>
        <w:t xml:space="preserve"> tenure levels, exited </w:t>
      </w:r>
      <w:r w:rsidR="003D13EA">
        <w:t>segment</w:t>
      </w:r>
      <w:r>
        <w:t xml:space="preserve"> experienced high fluctuation </w:t>
      </w:r>
      <w:r w:rsidR="003D13EA">
        <w:t xml:space="preserve">--- </w:t>
      </w:r>
      <w:r>
        <w:t>with a clear</w:t>
      </w:r>
      <w:r w:rsidR="003D13EA">
        <w:t xml:space="preserve"> </w:t>
      </w:r>
      <w:r>
        <w:t>peak credit score</w:t>
      </w:r>
      <w:r w:rsidR="003D13EA">
        <w:t>s</w:t>
      </w:r>
      <w:r>
        <w:t xml:space="preserve"> for customers with 5 to 6 years of tenure.</w:t>
      </w:r>
    </w:p>
    <w:p w14:paraId="7E468283" w14:textId="77777777" w:rsidR="00E90363" w:rsidRDefault="00E90363" w:rsidP="00E4254B">
      <w:pPr>
        <w:pStyle w:val="ListParagraph"/>
      </w:pPr>
    </w:p>
    <w:p w14:paraId="7C846C0C" w14:textId="1AFDBE43" w:rsidR="00E90363" w:rsidRDefault="00E90363" w:rsidP="00E4254B">
      <w:pPr>
        <w:pStyle w:val="ListParagraph"/>
      </w:pPr>
      <w:r>
        <w:t xml:space="preserve">The graph shows at the entry-level tenure window [0-1], high-value exited customers don’t have the highest credit scores. They have a lot of cash, but their financial behavior (Credit Score) less stable than retained customers. </w:t>
      </w:r>
    </w:p>
    <w:p w14:paraId="19F6C818" w14:textId="77777777" w:rsidR="00F454D6" w:rsidRDefault="00F454D6" w:rsidP="00E4254B">
      <w:pPr>
        <w:pStyle w:val="ListParagraph"/>
      </w:pPr>
    </w:p>
    <w:p w14:paraId="2B66FE16" w14:textId="77777777" w:rsidR="00F454D6" w:rsidRPr="00F454D6" w:rsidRDefault="00F454D6" w:rsidP="00F454D6">
      <w:pPr>
        <w:pStyle w:val="ListParagraph"/>
        <w:ind w:left="0"/>
        <w:rPr>
          <w:b/>
          <w:bCs/>
        </w:rPr>
      </w:pPr>
      <w:r w:rsidRPr="00F454D6">
        <w:rPr>
          <w:b/>
          <w:bCs/>
        </w:rPr>
        <w:t>Insights</w:t>
      </w:r>
    </w:p>
    <w:p w14:paraId="292E62C4" w14:textId="77777777" w:rsidR="008A23C5" w:rsidRDefault="00F454D6" w:rsidP="00F454D6">
      <w:pPr>
        <w:pStyle w:val="ListParagraph"/>
      </w:pPr>
      <w:r>
        <w:t>Average balance metric</w:t>
      </w:r>
      <w:r w:rsidR="00EC562C">
        <w:t xml:space="preserve"> </w:t>
      </w:r>
      <w:r>
        <w:t xml:space="preserve">indicates </w:t>
      </w:r>
      <w:r w:rsidR="00EC562C">
        <w:t>a significant loss in actual liquidity</w:t>
      </w:r>
      <w:r>
        <w:t xml:space="preserve"> as the bank fails to retain its high-value accounts. </w:t>
      </w:r>
      <w:r w:rsidR="003E3AEE">
        <w:t>This is</w:t>
      </w:r>
      <w:r>
        <w:t xml:space="preserve"> not just a financial </w:t>
      </w:r>
      <w:r w:rsidR="003E3AEE">
        <w:t>loss;</w:t>
      </w:r>
      <w:r>
        <w:t xml:space="preserve"> it also </w:t>
      </w:r>
      <w:r w:rsidR="003E3AEE">
        <w:t>risks</w:t>
      </w:r>
      <w:r>
        <w:t xml:space="preserve"> bank core stability.</w:t>
      </w:r>
      <w:r w:rsidR="00EC562C">
        <w:t xml:space="preserve"> </w:t>
      </w:r>
    </w:p>
    <w:p w14:paraId="738FCBB2" w14:textId="77777777" w:rsidR="008A23C5" w:rsidRDefault="008A23C5" w:rsidP="008A23C5">
      <w:pPr>
        <w:pStyle w:val="ListParagraph"/>
      </w:pPr>
    </w:p>
    <w:p w14:paraId="6E866B57" w14:textId="77777777" w:rsidR="00E4254B" w:rsidRDefault="00E4254B" w:rsidP="003E3AEE">
      <w:pPr>
        <w:pStyle w:val="ListParagraph"/>
      </w:pPr>
      <w:r>
        <w:t xml:space="preserve"> </w:t>
      </w:r>
      <w:r w:rsidR="00E07E1C">
        <w:t>Credit score metric shows a specific risk com</w:t>
      </w:r>
      <w:r w:rsidR="003D13EA">
        <w:t>ing</w:t>
      </w:r>
      <w:r w:rsidR="00E07E1C">
        <w:t xml:space="preserve"> from exited customers in the “Mid-lifecycle” window</w:t>
      </w:r>
      <w:r w:rsidR="003D13EA">
        <w:t>; these are customers</w:t>
      </w:r>
      <w:r w:rsidR="00E07E1C">
        <w:t xml:space="preserve"> who </w:t>
      </w:r>
      <w:r w:rsidR="003D13EA">
        <w:t>have</w:t>
      </w:r>
      <w:r w:rsidR="00E07E1C">
        <w:t xml:space="preserve"> the highest credit score</w:t>
      </w:r>
      <w:r w:rsidR="003D13EA">
        <w:t>s</w:t>
      </w:r>
      <w:r w:rsidR="00E07E1C">
        <w:t xml:space="preserve"> </w:t>
      </w:r>
      <w:r w:rsidR="003D13EA">
        <w:t>yet still choose to</w:t>
      </w:r>
      <w:r w:rsidR="00E07E1C">
        <w:t xml:space="preserve"> leave the bank.</w:t>
      </w:r>
    </w:p>
    <w:p w14:paraId="1AF45AFD" w14:textId="77777777" w:rsidR="00E90363" w:rsidRDefault="00E90363" w:rsidP="003E3AEE">
      <w:pPr>
        <w:pStyle w:val="ListParagraph"/>
      </w:pPr>
    </w:p>
    <w:p w14:paraId="37E26613" w14:textId="6FCA19B5" w:rsidR="00E90363" w:rsidRDefault="00E90363" w:rsidP="003E3AEE">
      <w:pPr>
        <w:pStyle w:val="ListParagraph"/>
      </w:pPr>
      <w:r>
        <w:t>The relationship between two critical health metrics --- Average Balance and Credit Score --- recommend the bank that should not only look at the money in accounts to measure their liquidity. It needs to monitor the credit score as a health signal</w:t>
      </w:r>
      <w:r w:rsidR="006C186F">
        <w:t xml:space="preserve"> to catch high-value churned customers before they exit.</w:t>
      </w:r>
    </w:p>
    <w:p w14:paraId="62113717" w14:textId="77777777" w:rsidR="00F5217C" w:rsidRDefault="00F5217C" w:rsidP="00F5217C">
      <w:pPr>
        <w:pStyle w:val="ListParagraph"/>
        <w:ind w:left="0"/>
      </w:pPr>
    </w:p>
    <w:p w14:paraId="1DB6E92D" w14:textId="77777777" w:rsidR="00F5217C" w:rsidRDefault="00F5217C" w:rsidP="00F5217C">
      <w:pPr>
        <w:pStyle w:val="ListParagraph"/>
        <w:ind w:left="0"/>
      </w:pPr>
    </w:p>
    <w:p w14:paraId="1C25F25F" w14:textId="1793D38D" w:rsidR="00F5217C" w:rsidRPr="009654C0" w:rsidRDefault="00F5217C" w:rsidP="00F5217C">
      <w:pPr>
        <w:pStyle w:val="ListParagraph"/>
        <w:ind w:left="0"/>
      </w:pPr>
      <w:r>
        <w:t>Mayar Hassan Turkey [S2638197]</w:t>
      </w:r>
    </w:p>
    <w:sectPr w:rsidR="00F5217C" w:rsidRPr="009654C0" w:rsidSect="009654C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597451"/>
    <w:multiLevelType w:val="hybridMultilevel"/>
    <w:tmpl w:val="1736F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20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4C0"/>
    <w:rsid w:val="001E5EB6"/>
    <w:rsid w:val="002627EA"/>
    <w:rsid w:val="003D13EA"/>
    <w:rsid w:val="003E3AEE"/>
    <w:rsid w:val="006C186F"/>
    <w:rsid w:val="008375D0"/>
    <w:rsid w:val="00857DB8"/>
    <w:rsid w:val="008A23C5"/>
    <w:rsid w:val="008A511F"/>
    <w:rsid w:val="009654C0"/>
    <w:rsid w:val="00B14270"/>
    <w:rsid w:val="00E07E1C"/>
    <w:rsid w:val="00E4254B"/>
    <w:rsid w:val="00E90363"/>
    <w:rsid w:val="00EC562C"/>
    <w:rsid w:val="00F454D6"/>
    <w:rsid w:val="00F521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2A27"/>
  <w15:chartTrackingRefBased/>
  <w15:docId w15:val="{CC978512-7195-44A5-98CE-0866E1BD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E:\Portfolio\data-analytics-portfolio\data-analytics-portfolio\Bank+Customer+Churn%20Project%20-Online(Excel)\Bank_Churn%20202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[Bank_Churn 2026.xlsx]Sheet1!PivotTable2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i="0">
                <a:effectLst/>
              </a:rPr>
              <a:t>Bank Churn Analysis</a:t>
            </a:r>
          </a:p>
          <a:p>
            <a:pPr>
              <a:defRPr/>
            </a:pPr>
            <a:r>
              <a:rPr lang="en-US" sz="1600" b="1" i="0">
                <a:effectLst/>
              </a:rPr>
              <a:t>"Average Balance" &amp; "Credit Score" Metrics By Tenure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Sheet1!$T$2:$T$4</c:f>
              <c:strCache>
                <c:ptCount val="1"/>
                <c:pt idx="0">
                  <c:v>Churned - AVG. Balance</c:v>
                </c:pt>
              </c:strCache>
            </c:strRef>
          </c:tx>
          <c:spPr>
            <a:solidFill>
              <a:schemeClr val="accent1"/>
            </a:solidFill>
            <a:ln>
              <a:noFill/>
            </a:ln>
            <a:effectLst/>
          </c:spPr>
          <c:invertIfNegative val="0"/>
          <c:cat>
            <c:strRef>
              <c:f>Sheet1!$S$5:$S$15</c:f>
              <c:strCache>
                <c:ptCount val="11"/>
                <c:pt idx="0">
                  <c:v>0</c:v>
                </c:pt>
                <c:pt idx="1">
                  <c:v>1</c:v>
                </c:pt>
                <c:pt idx="2">
                  <c:v>2</c:v>
                </c:pt>
                <c:pt idx="3">
                  <c:v>3</c:v>
                </c:pt>
                <c:pt idx="4">
                  <c:v>4</c:v>
                </c:pt>
                <c:pt idx="5">
                  <c:v>5</c:v>
                </c:pt>
                <c:pt idx="6">
                  <c:v>6</c:v>
                </c:pt>
                <c:pt idx="7">
                  <c:v>7</c:v>
                </c:pt>
                <c:pt idx="8">
                  <c:v>8</c:v>
                </c:pt>
                <c:pt idx="9">
                  <c:v>9</c:v>
                </c:pt>
                <c:pt idx="10">
                  <c:v>10</c:v>
                </c:pt>
              </c:strCache>
            </c:strRef>
          </c:cat>
          <c:val>
            <c:numRef>
              <c:f>Sheet1!$T$5:$T$15</c:f>
              <c:numCache>
                <c:formatCode>#,##0.00</c:formatCode>
                <c:ptCount val="11"/>
                <c:pt idx="0">
                  <c:v>96054.892315789475</c:v>
                </c:pt>
                <c:pt idx="1">
                  <c:v>89843.924051724127</c:v>
                </c:pt>
                <c:pt idx="2">
                  <c:v>84357.165522388052</c:v>
                </c:pt>
                <c:pt idx="3">
                  <c:v>90152.435586854466</c:v>
                </c:pt>
                <c:pt idx="4">
                  <c:v>87977.83334975371</c:v>
                </c:pt>
                <c:pt idx="5">
                  <c:v>92446.422200956935</c:v>
                </c:pt>
                <c:pt idx="6">
                  <c:v>88239.348673469387</c:v>
                </c:pt>
                <c:pt idx="7">
                  <c:v>92309.932542372888</c:v>
                </c:pt>
                <c:pt idx="8">
                  <c:v>98057.316294416232</c:v>
                </c:pt>
                <c:pt idx="9">
                  <c:v>97156.674084507031</c:v>
                </c:pt>
                <c:pt idx="10">
                  <c:v>85491.036930693081</c:v>
                </c:pt>
              </c:numCache>
            </c:numRef>
          </c:val>
          <c:extLst>
            <c:ext xmlns:c16="http://schemas.microsoft.com/office/drawing/2014/chart" uri="{C3380CC4-5D6E-409C-BE32-E72D297353CC}">
              <c16:uniqueId val="{00000000-532C-45DD-8B8E-D84BA6CB139A}"/>
            </c:ext>
          </c:extLst>
        </c:ser>
        <c:ser>
          <c:idx val="2"/>
          <c:order val="2"/>
          <c:tx>
            <c:strRef>
              <c:f>Sheet1!$V$2:$V$4</c:f>
              <c:strCache>
                <c:ptCount val="1"/>
                <c:pt idx="0">
                  <c:v>Existed - AVG. Balance</c:v>
                </c:pt>
              </c:strCache>
            </c:strRef>
          </c:tx>
          <c:spPr>
            <a:solidFill>
              <a:schemeClr val="accent3"/>
            </a:solidFill>
            <a:ln>
              <a:noFill/>
            </a:ln>
            <a:effectLst/>
          </c:spPr>
          <c:invertIfNegative val="0"/>
          <c:cat>
            <c:strRef>
              <c:f>Sheet1!$S$5:$S$15</c:f>
              <c:strCache>
                <c:ptCount val="11"/>
                <c:pt idx="0">
                  <c:v>0</c:v>
                </c:pt>
                <c:pt idx="1">
                  <c:v>1</c:v>
                </c:pt>
                <c:pt idx="2">
                  <c:v>2</c:v>
                </c:pt>
                <c:pt idx="3">
                  <c:v>3</c:v>
                </c:pt>
                <c:pt idx="4">
                  <c:v>4</c:v>
                </c:pt>
                <c:pt idx="5">
                  <c:v>5</c:v>
                </c:pt>
                <c:pt idx="6">
                  <c:v>6</c:v>
                </c:pt>
                <c:pt idx="7">
                  <c:v>7</c:v>
                </c:pt>
                <c:pt idx="8">
                  <c:v>8</c:v>
                </c:pt>
                <c:pt idx="9">
                  <c:v>9</c:v>
                </c:pt>
                <c:pt idx="10">
                  <c:v>10</c:v>
                </c:pt>
              </c:strCache>
            </c:strRef>
          </c:cat>
          <c:val>
            <c:numRef>
              <c:f>Sheet1!$V$5:$V$15</c:f>
              <c:numCache>
                <c:formatCode>#,##0.00</c:formatCode>
                <c:ptCount val="11"/>
                <c:pt idx="0">
                  <c:v>75046.463270440247</c:v>
                </c:pt>
                <c:pt idx="1">
                  <c:v>75293.938094645084</c:v>
                </c:pt>
                <c:pt idx="2">
                  <c:v>75055.653211334124</c:v>
                </c:pt>
                <c:pt idx="3">
                  <c:v>74327.391507537686</c:v>
                </c:pt>
                <c:pt idx="4">
                  <c:v>70464.682646310437</c:v>
                </c:pt>
                <c:pt idx="5">
                  <c:v>72279.339962640108</c:v>
                </c:pt>
                <c:pt idx="6">
                  <c:v>70886.770674448766</c:v>
                </c:pt>
                <c:pt idx="7">
                  <c:v>72066.065957696832</c:v>
                </c:pt>
                <c:pt idx="8">
                  <c:v>73149.422584541055</c:v>
                </c:pt>
                <c:pt idx="9">
                  <c:v>70873.11508430609</c:v>
                </c:pt>
                <c:pt idx="10">
                  <c:v>70925.147120822628</c:v>
                </c:pt>
              </c:numCache>
            </c:numRef>
          </c:val>
          <c:extLst>
            <c:ext xmlns:c16="http://schemas.microsoft.com/office/drawing/2014/chart" uri="{C3380CC4-5D6E-409C-BE32-E72D297353CC}">
              <c16:uniqueId val="{00000001-532C-45DD-8B8E-D84BA6CB139A}"/>
            </c:ext>
          </c:extLst>
        </c:ser>
        <c:dLbls>
          <c:showLegendKey val="0"/>
          <c:showVal val="0"/>
          <c:showCatName val="0"/>
          <c:showSerName val="0"/>
          <c:showPercent val="0"/>
          <c:showBubbleSize val="0"/>
        </c:dLbls>
        <c:gapWidth val="219"/>
        <c:axId val="19751360"/>
        <c:axId val="19751840"/>
      </c:barChart>
      <c:lineChart>
        <c:grouping val="standard"/>
        <c:varyColors val="0"/>
        <c:ser>
          <c:idx val="1"/>
          <c:order val="1"/>
          <c:tx>
            <c:strRef>
              <c:f>Sheet1!$U$2:$U$4</c:f>
              <c:strCache>
                <c:ptCount val="1"/>
                <c:pt idx="0">
                  <c:v>Churned - CreditScore%</c:v>
                </c:pt>
              </c:strCache>
            </c:strRef>
          </c:tx>
          <c:spPr>
            <a:ln w="28575" cap="rnd">
              <a:solidFill>
                <a:schemeClr val="accent2"/>
              </a:solidFill>
              <a:round/>
            </a:ln>
            <a:effectLst/>
          </c:spPr>
          <c:marker>
            <c:symbol val="none"/>
          </c:marker>
          <c:cat>
            <c:strRef>
              <c:f>Sheet1!$S$5:$S$15</c:f>
              <c:strCache>
                <c:ptCount val="11"/>
                <c:pt idx="0">
                  <c:v>0</c:v>
                </c:pt>
                <c:pt idx="1">
                  <c:v>1</c:v>
                </c:pt>
                <c:pt idx="2">
                  <c:v>2</c:v>
                </c:pt>
                <c:pt idx="3">
                  <c:v>3</c:v>
                </c:pt>
                <c:pt idx="4">
                  <c:v>4</c:v>
                </c:pt>
                <c:pt idx="5">
                  <c:v>5</c:v>
                </c:pt>
                <c:pt idx="6">
                  <c:v>6</c:v>
                </c:pt>
                <c:pt idx="7">
                  <c:v>7</c:v>
                </c:pt>
                <c:pt idx="8">
                  <c:v>8</c:v>
                </c:pt>
                <c:pt idx="9">
                  <c:v>9</c:v>
                </c:pt>
                <c:pt idx="10">
                  <c:v>10</c:v>
                </c:pt>
              </c:strCache>
            </c:strRef>
          </c:cat>
          <c:val>
            <c:numRef>
              <c:f>Sheet1!$U$5:$U$15</c:f>
              <c:numCache>
                <c:formatCode>0%;\-0%;0%</c:formatCode>
                <c:ptCount val="11"/>
                <c:pt idx="0">
                  <c:v>0.75663157894736843</c:v>
                </c:pt>
                <c:pt idx="1">
                  <c:v>0.75151115618661257</c:v>
                </c:pt>
                <c:pt idx="2">
                  <c:v>0.75894644424934155</c:v>
                </c:pt>
                <c:pt idx="3">
                  <c:v>0.75623308478320905</c:v>
                </c:pt>
                <c:pt idx="4">
                  <c:v>0.74888438133874236</c:v>
                </c:pt>
                <c:pt idx="5">
                  <c:v>0.77434843793976915</c:v>
                </c:pt>
                <c:pt idx="6">
                  <c:v>0.76181272509003606</c:v>
                </c:pt>
                <c:pt idx="7">
                  <c:v>0.76275174476570284</c:v>
                </c:pt>
                <c:pt idx="8">
                  <c:v>0.74627650044789495</c:v>
                </c:pt>
                <c:pt idx="9">
                  <c:v>0.76876553438276718</c:v>
                </c:pt>
                <c:pt idx="10">
                  <c:v>0.76991263832265588</c:v>
                </c:pt>
              </c:numCache>
            </c:numRef>
          </c:val>
          <c:smooth val="0"/>
          <c:extLst>
            <c:ext xmlns:c16="http://schemas.microsoft.com/office/drawing/2014/chart" uri="{C3380CC4-5D6E-409C-BE32-E72D297353CC}">
              <c16:uniqueId val="{00000002-532C-45DD-8B8E-D84BA6CB139A}"/>
            </c:ext>
          </c:extLst>
        </c:ser>
        <c:ser>
          <c:idx val="3"/>
          <c:order val="3"/>
          <c:tx>
            <c:strRef>
              <c:f>Sheet1!$W$2:$W$4</c:f>
              <c:strCache>
                <c:ptCount val="1"/>
                <c:pt idx="0">
                  <c:v>Existed - CreditScore%</c:v>
                </c:pt>
              </c:strCache>
            </c:strRef>
          </c:tx>
          <c:spPr>
            <a:ln w="28575" cap="rnd">
              <a:solidFill>
                <a:schemeClr val="accent4"/>
              </a:solidFill>
              <a:round/>
            </a:ln>
            <a:effectLst/>
          </c:spPr>
          <c:marker>
            <c:symbol val="none"/>
          </c:marker>
          <c:cat>
            <c:strRef>
              <c:f>Sheet1!$S$5:$S$15</c:f>
              <c:strCache>
                <c:ptCount val="11"/>
                <c:pt idx="0">
                  <c:v>0</c:v>
                </c:pt>
                <c:pt idx="1">
                  <c:v>1</c:v>
                </c:pt>
                <c:pt idx="2">
                  <c:v>2</c:v>
                </c:pt>
                <c:pt idx="3">
                  <c:v>3</c:v>
                </c:pt>
                <c:pt idx="4">
                  <c:v>4</c:v>
                </c:pt>
                <c:pt idx="5">
                  <c:v>5</c:v>
                </c:pt>
                <c:pt idx="6">
                  <c:v>6</c:v>
                </c:pt>
                <c:pt idx="7">
                  <c:v>7</c:v>
                </c:pt>
                <c:pt idx="8">
                  <c:v>8</c:v>
                </c:pt>
                <c:pt idx="9">
                  <c:v>9</c:v>
                </c:pt>
                <c:pt idx="10">
                  <c:v>10</c:v>
                </c:pt>
              </c:strCache>
            </c:strRef>
          </c:cat>
          <c:val>
            <c:numRef>
              <c:f>Sheet1!$W$5:$W$15</c:f>
              <c:numCache>
                <c:formatCode>0%;\-0%;0%</c:formatCode>
                <c:ptCount val="11"/>
                <c:pt idx="0">
                  <c:v>0.7702404735479097</c:v>
                </c:pt>
                <c:pt idx="1">
                  <c:v>0.76670866603179255</c:v>
                </c:pt>
                <c:pt idx="2">
                  <c:v>0.77019515244114178</c:v>
                </c:pt>
                <c:pt idx="3">
                  <c:v>0.76776381909547742</c:v>
                </c:pt>
                <c:pt idx="4">
                  <c:v>0.77101631492291567</c:v>
                </c:pt>
                <c:pt idx="5">
                  <c:v>0.76297853637096191</c:v>
                </c:pt>
                <c:pt idx="6">
                  <c:v>0.76157625696192877</c:v>
                </c:pt>
                <c:pt idx="7">
                  <c:v>0.76455242966751913</c:v>
                </c:pt>
                <c:pt idx="8">
                  <c:v>0.76581273088945734</c:v>
                </c:pt>
                <c:pt idx="9">
                  <c:v>0.76904707408255124</c:v>
                </c:pt>
                <c:pt idx="10">
                  <c:v>0.7688613337365795</c:v>
                </c:pt>
              </c:numCache>
            </c:numRef>
          </c:val>
          <c:smooth val="0"/>
          <c:extLst>
            <c:ext xmlns:c16="http://schemas.microsoft.com/office/drawing/2014/chart" uri="{C3380CC4-5D6E-409C-BE32-E72D297353CC}">
              <c16:uniqueId val="{00000003-532C-45DD-8B8E-D84BA6CB139A}"/>
            </c:ext>
          </c:extLst>
        </c:ser>
        <c:dLbls>
          <c:showLegendKey val="0"/>
          <c:showVal val="0"/>
          <c:showCatName val="0"/>
          <c:showSerName val="0"/>
          <c:showPercent val="0"/>
          <c:showBubbleSize val="0"/>
        </c:dLbls>
        <c:marker val="1"/>
        <c:smooth val="0"/>
        <c:axId val="19748480"/>
        <c:axId val="19747040"/>
      </c:lineChart>
      <c:catAx>
        <c:axId val="19751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Tenure (in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1840"/>
        <c:crosses val="autoZero"/>
        <c:auto val="1"/>
        <c:lblAlgn val="ctr"/>
        <c:lblOffset val="100"/>
        <c:noMultiLvlLbl val="0"/>
      </c:catAx>
      <c:valAx>
        <c:axId val="197518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AVG.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1360"/>
        <c:crosses val="autoZero"/>
        <c:crossBetween val="between"/>
        <c:dispUnits>
          <c:builtInUnit val="hundreds"/>
          <c:dispUnitsLbl>
            <c:layout>
              <c:manualLayout>
                <c:xMode val="edge"/>
                <c:yMode val="edge"/>
                <c:x val="4.2351355498903773E-2"/>
                <c:y val="0.45812422012822168"/>
              </c:manualLayout>
            </c:layout>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74704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CreditScore%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48480"/>
        <c:crosses val="max"/>
        <c:crossBetween val="between"/>
      </c:valAx>
      <c:catAx>
        <c:axId val="19748480"/>
        <c:scaling>
          <c:orientation val="minMax"/>
        </c:scaling>
        <c:delete val="1"/>
        <c:axPos val="b"/>
        <c:numFmt formatCode="General" sourceLinked="1"/>
        <c:majorTickMark val="out"/>
        <c:minorTickMark val="none"/>
        <c:tickLblPos val="nextTo"/>
        <c:crossAx val="1974704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Hassan</dc:creator>
  <cp:keywords/>
  <dc:description/>
  <cp:lastModifiedBy>Mayar Hassan</cp:lastModifiedBy>
  <cp:revision>4</cp:revision>
  <dcterms:created xsi:type="dcterms:W3CDTF">2026-04-03T21:00:00Z</dcterms:created>
  <dcterms:modified xsi:type="dcterms:W3CDTF">2026-04-07T18:02:00Z</dcterms:modified>
</cp:coreProperties>
</file>