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E387C4">
      <w:pPr>
        <w:spacing w:before="0" w:after="160"/>
        <w:jc w:val="center"/>
      </w:pPr>
      <w:r>
        <w:drawing>
          <wp:inline distT="0" distB="0" distL="0" distR="0">
            <wp:extent cx="5869305" cy="1774825"/>
            <wp:effectExtent l="0" t="0" r="0" b="0"/>
            <wp:docPr id="1" name="Picture 1"/>
            <wp:cNvGraphicFramePr/>
            <a:graphic xmlns:a="http://schemas.openxmlformats.org/drawingml/2006/main">
              <a:graphicData uri="http://schemas.openxmlformats.org/drawingml/2006/picture">
                <pic:pic xmlns:pic="http://schemas.openxmlformats.org/drawingml/2006/picture">
                  <pic:nvPicPr>
                    <pic:cNvPr id="1" name="Picture 1"/>
                    <pic:cNvPicPr preferRelativeResize="0"/>
                  </pic:nvPicPr>
                  <pic:blipFill>
                    <a:blip r:embed="rId8">
                      <a:extLst>
                        <a:ext uri="{28A0092B-C50C-407E-A947-70E740481C1C}">
                          <a14:useLocalDpi xmlns:a14="http://schemas.microsoft.com/office/drawing/2010/main" val="0"/>
                        </a:ext>
                      </a:extLst>
                    </a:blip>
                    <a:srcRect b="23114"/>
                    <a:stretch>
                      <a:fillRect/>
                    </a:stretch>
                  </pic:blipFill>
                  <pic:spPr>
                    <a:xfrm>
                      <a:off x="0" y="0"/>
                      <a:ext cx="5869305" cy="1774825"/>
                    </a:xfrm>
                    <a:prstGeom prst="rect">
                      <a:avLst/>
                    </a:prstGeom>
                    <a:ln>
                      <a:noFill/>
                    </a:ln>
                  </pic:spPr>
                </pic:pic>
              </a:graphicData>
            </a:graphic>
          </wp:inline>
        </w:drawing>
      </w:r>
    </w:p>
    <w:p w14:paraId="6DDC16C8">
      <w:pPr>
        <w:spacing w:before="0" w:after="160" w:line="276" w:lineRule="auto"/>
        <w:jc w:val="center"/>
        <w:rPr>
          <w:rFonts w:cstheme="majorBidi"/>
          <w:b/>
          <w:bCs/>
          <w:sz w:val="32"/>
          <w:szCs w:val="32"/>
        </w:rPr>
      </w:pPr>
      <w:r>
        <w:rPr>
          <w:rFonts w:cstheme="majorBidi"/>
          <w:b/>
          <w:bCs/>
          <w:sz w:val="32"/>
          <w:szCs w:val="32"/>
        </w:rPr>
        <w:t>BERZEIT UNIVERSITY</w:t>
      </w:r>
    </w:p>
    <w:p w14:paraId="2F62F9C9">
      <w:pPr>
        <w:spacing w:before="0" w:after="160" w:line="276" w:lineRule="auto"/>
        <w:ind w:left="-720" w:right="-694"/>
        <w:jc w:val="center"/>
        <w:rPr>
          <w:rFonts w:cstheme="majorBidi"/>
          <w:sz w:val="32"/>
          <w:szCs w:val="32"/>
        </w:rPr>
      </w:pPr>
      <w:r>
        <w:rPr>
          <w:rFonts w:cstheme="majorBidi"/>
          <w:sz w:val="32"/>
          <w:szCs w:val="32"/>
        </w:rPr>
        <w:t xml:space="preserve">FACULTY OF ENGINEERING AND TECHNOLOGY </w:t>
      </w:r>
    </w:p>
    <w:p w14:paraId="031559A2">
      <w:pPr>
        <w:spacing w:before="0" w:after="160" w:line="276" w:lineRule="auto"/>
        <w:ind w:left="-720" w:right="-694"/>
        <w:jc w:val="center"/>
        <w:rPr>
          <w:rFonts w:cstheme="majorBidi"/>
          <w:sz w:val="32"/>
          <w:szCs w:val="32"/>
        </w:rPr>
      </w:pPr>
      <w:r>
        <w:rPr>
          <w:rFonts w:cstheme="majorBidi"/>
          <w:sz w:val="32"/>
          <w:szCs w:val="32"/>
        </w:rPr>
        <w:t>DEPARTMENT OF ELECTRICAL AND COMPUTER ENGINEERING</w:t>
      </w:r>
    </w:p>
    <w:p w14:paraId="651C4582">
      <w:pPr>
        <w:spacing w:before="0" w:after="160" w:line="276" w:lineRule="auto"/>
        <w:jc w:val="center"/>
        <w:rPr>
          <w:rFonts w:cstheme="majorBidi"/>
          <w:b/>
          <w:bCs/>
          <w:sz w:val="32"/>
          <w:szCs w:val="32"/>
        </w:rPr>
      </w:pPr>
      <w:r>
        <w:rPr>
          <w:rFonts w:cstheme="majorBidi"/>
          <w:b/>
          <w:bCs/>
          <w:sz w:val="32"/>
          <w:szCs w:val="32"/>
        </w:rPr>
        <w:t>ENCS4320-Applied Cryptography</w:t>
      </w:r>
    </w:p>
    <w:p w14:paraId="08A38C23">
      <w:pPr>
        <w:spacing w:before="0" w:after="160" w:line="276" w:lineRule="auto"/>
        <w:jc w:val="center"/>
        <w:rPr>
          <w:rFonts w:cstheme="majorBidi"/>
          <w:b/>
          <w:bCs/>
          <w:sz w:val="32"/>
          <w:szCs w:val="32"/>
        </w:rPr>
      </w:pPr>
      <w:r>
        <w:rPr>
          <w:rFonts w:cstheme="majorBidi"/>
          <w:b/>
          <w:bCs/>
          <w:sz w:val="32"/>
          <w:szCs w:val="32"/>
        </w:rPr>
        <w:t xml:space="preserve">Project </w:t>
      </w:r>
    </w:p>
    <w:p w14:paraId="0543C128">
      <w:pPr>
        <w:pBdr>
          <w:bottom w:val="single" w:color="auto" w:sz="4" w:space="1"/>
        </w:pBdr>
        <w:spacing w:before="0" w:after="160" w:line="276" w:lineRule="auto"/>
        <w:jc w:val="center"/>
        <w:rPr>
          <w:rFonts w:cstheme="majorBidi"/>
          <w:b/>
          <w:bCs/>
          <w:sz w:val="32"/>
          <w:szCs w:val="32"/>
        </w:rPr>
      </w:pPr>
      <w:r>
        <w:rPr>
          <w:rFonts w:cstheme="majorBidi"/>
          <w:b/>
          <w:bCs/>
          <w:sz w:val="32"/>
          <w:szCs w:val="32"/>
        </w:rPr>
        <w:t>SecureVault: A Multi-User Encrypted Document Exchange System</w:t>
      </w:r>
    </w:p>
    <w:p w14:paraId="1355D5FA">
      <w:pPr>
        <w:spacing w:before="0" w:after="160" w:line="276" w:lineRule="auto"/>
        <w:jc w:val="center"/>
        <w:rPr>
          <w:rFonts w:cstheme="majorBidi"/>
          <w:b/>
          <w:bCs/>
          <w:sz w:val="32"/>
          <w:szCs w:val="32"/>
        </w:rPr>
      </w:pPr>
    </w:p>
    <w:p w14:paraId="5EFEA55F">
      <w:pPr>
        <w:spacing w:before="0" w:after="160"/>
        <w:jc w:val="center"/>
        <w:rPr>
          <w:rFonts w:cstheme="majorBidi"/>
          <w:b/>
          <w:bCs/>
          <w:sz w:val="32"/>
          <w:szCs w:val="32"/>
        </w:rPr>
      </w:pPr>
      <w:r>
        <w:rPr>
          <w:rFonts w:cstheme="majorBidi"/>
          <w:b/>
          <w:bCs/>
          <w:sz w:val="32"/>
          <w:szCs w:val="32"/>
        </w:rPr>
        <w:t>Prepared by:</w:t>
      </w:r>
    </w:p>
    <w:p w14:paraId="6A1B0746">
      <w:pPr>
        <w:spacing w:before="0" w:after="160"/>
        <w:jc w:val="center"/>
        <w:rPr>
          <w:rFonts w:cstheme="majorBidi"/>
          <w:sz w:val="32"/>
          <w:szCs w:val="32"/>
        </w:rPr>
      </w:pPr>
      <w:r>
        <w:rPr>
          <w:rFonts w:cstheme="majorBidi"/>
          <w:sz w:val="32"/>
          <w:szCs w:val="32"/>
        </w:rPr>
        <w:t>Aya Jararaa</w:t>
      </w:r>
      <w:r>
        <w:rPr>
          <w:rFonts w:cstheme="majorBidi"/>
          <w:sz w:val="32"/>
          <w:szCs w:val="32"/>
        </w:rPr>
        <w:tab/>
      </w:r>
      <w:r>
        <w:rPr>
          <w:rFonts w:cstheme="majorBidi"/>
          <w:sz w:val="32"/>
          <w:szCs w:val="32"/>
        </w:rPr>
        <w:tab/>
      </w:r>
      <w:r>
        <w:rPr>
          <w:rFonts w:cstheme="majorBidi"/>
          <w:sz w:val="32"/>
          <w:szCs w:val="32"/>
        </w:rPr>
        <w:tab/>
      </w:r>
      <w:r>
        <w:rPr>
          <w:rFonts w:cstheme="majorBidi"/>
          <w:sz w:val="32"/>
          <w:szCs w:val="32"/>
        </w:rPr>
        <w:t>#1230069</w:t>
      </w:r>
    </w:p>
    <w:p w14:paraId="695A5AA5">
      <w:pPr>
        <w:spacing w:before="0" w:after="160"/>
        <w:jc w:val="center"/>
        <w:rPr>
          <w:rFonts w:cstheme="majorBidi"/>
          <w:sz w:val="32"/>
          <w:szCs w:val="32"/>
        </w:rPr>
      </w:pPr>
      <w:r>
        <w:rPr>
          <w:rFonts w:cstheme="majorBidi"/>
          <w:sz w:val="32"/>
          <w:szCs w:val="32"/>
        </w:rPr>
        <w:t>Dalya Ghazal</w:t>
      </w:r>
      <w:r>
        <w:rPr>
          <w:rFonts w:cstheme="majorBidi"/>
          <w:sz w:val="32"/>
          <w:szCs w:val="32"/>
        </w:rPr>
        <w:tab/>
      </w:r>
      <w:r>
        <w:rPr>
          <w:rFonts w:cstheme="majorBidi"/>
          <w:sz w:val="32"/>
          <w:szCs w:val="32"/>
        </w:rPr>
        <w:t xml:space="preserve">              </w:t>
      </w:r>
      <w:r>
        <w:rPr>
          <w:rFonts w:cstheme="majorBidi"/>
          <w:sz w:val="32"/>
          <w:szCs w:val="32"/>
        </w:rPr>
        <w:tab/>
      </w:r>
      <w:r>
        <w:rPr>
          <w:rFonts w:cstheme="majorBidi"/>
          <w:sz w:val="32"/>
          <w:szCs w:val="32"/>
        </w:rPr>
        <w:t xml:space="preserve"> #1232090</w:t>
      </w:r>
    </w:p>
    <w:p w14:paraId="44D8483E">
      <w:pPr>
        <w:spacing w:before="0" w:after="160"/>
        <w:jc w:val="center"/>
        <w:rPr>
          <w:rFonts w:cstheme="majorBidi"/>
          <w:sz w:val="32"/>
          <w:szCs w:val="32"/>
        </w:rPr>
      </w:pPr>
      <w:r>
        <w:rPr>
          <w:rFonts w:cstheme="majorBidi"/>
          <w:sz w:val="32"/>
          <w:szCs w:val="32"/>
        </w:rPr>
        <w:t>Mayar Etawi                        #1230501</w:t>
      </w:r>
    </w:p>
    <w:p w14:paraId="4A546028">
      <w:pPr>
        <w:spacing w:before="0" w:after="160"/>
        <w:jc w:val="center"/>
        <w:rPr>
          <w:rFonts w:cstheme="majorBidi"/>
          <w:sz w:val="32"/>
          <w:szCs w:val="32"/>
        </w:rPr>
      </w:pPr>
      <w:r>
        <w:rPr>
          <w:rFonts w:cstheme="majorBidi"/>
          <w:b/>
          <w:bCs/>
          <w:sz w:val="32"/>
          <w:szCs w:val="32"/>
        </w:rPr>
        <w:t>Instructor:</w:t>
      </w:r>
      <w:r>
        <w:rPr>
          <w:rFonts w:cstheme="majorBidi"/>
          <w:sz w:val="32"/>
          <w:szCs w:val="32"/>
        </w:rPr>
        <w:t xml:space="preserve"> Dr. Ahmad Shawahna</w:t>
      </w:r>
    </w:p>
    <w:p w14:paraId="21F9ADCF">
      <w:pPr>
        <w:spacing w:before="0" w:after="160"/>
        <w:jc w:val="center"/>
        <w:rPr>
          <w:rFonts w:cstheme="majorBidi"/>
          <w:sz w:val="32"/>
          <w:szCs w:val="32"/>
        </w:rPr>
      </w:pPr>
      <w:r>
        <w:rPr>
          <w:rFonts w:cstheme="majorBidi"/>
          <w:b/>
          <w:bCs/>
          <w:sz w:val="32"/>
          <w:szCs w:val="32"/>
        </w:rPr>
        <w:t>Section:</w:t>
      </w:r>
      <w:r>
        <w:rPr>
          <w:rFonts w:cstheme="majorBidi"/>
          <w:sz w:val="32"/>
          <w:szCs w:val="32"/>
        </w:rPr>
        <w:t xml:space="preserve"> 1</w:t>
      </w:r>
    </w:p>
    <w:p w14:paraId="028D986C">
      <w:pPr>
        <w:spacing w:before="0" w:after="160"/>
        <w:jc w:val="center"/>
        <w:rPr>
          <w:rFonts w:cstheme="majorBidi"/>
          <w:sz w:val="32"/>
          <w:szCs w:val="32"/>
        </w:rPr>
        <w:sectPr>
          <w:footerReference r:id="rId5" w:type="default"/>
          <w:pgSz w:w="11906" w:h="16838"/>
          <w:pgMar w:top="1440" w:right="1800" w:bottom="1440" w:left="1800" w:header="708" w:footer="708" w:gutter="0"/>
          <w:pgBorders w:offsetFrom="page">
            <w:top w:val="single" w:color="auto" w:sz="4" w:space="24"/>
            <w:left w:val="single" w:color="auto" w:sz="4" w:space="24"/>
            <w:bottom w:val="single" w:color="auto" w:sz="4" w:space="24"/>
            <w:right w:val="single" w:color="auto" w:sz="4" w:space="24"/>
          </w:pgBorders>
          <w:cols w:space="708" w:num="1"/>
          <w:titlePg/>
          <w:bidi/>
          <w:rtlGutter w:val="1"/>
          <w:docGrid w:linePitch="360" w:charSpace="0"/>
        </w:sectPr>
      </w:pPr>
      <w:r>
        <w:rPr>
          <w:rFonts w:cstheme="majorBidi"/>
          <w:b/>
          <w:bCs/>
          <w:sz w:val="32"/>
          <w:szCs w:val="32"/>
        </w:rPr>
        <w:t>Date:</w:t>
      </w:r>
      <w:r>
        <w:rPr>
          <w:rFonts w:cstheme="majorBidi"/>
          <w:sz w:val="32"/>
          <w:szCs w:val="32"/>
        </w:rPr>
        <w:t xml:space="preserve"> 22, Sep 202</w:t>
      </w:r>
    </w:p>
    <w:p w14:paraId="259ECA23">
      <w:pPr>
        <w:pStyle w:val="2"/>
        <w:rPr>
          <w:rFonts w:eastAsia="MS Gothic"/>
        </w:rPr>
      </w:pPr>
      <w:r>
        <w:rPr>
          <w:rFonts w:eastAsia="MS Gothic"/>
        </w:rPr>
        <w:t xml:space="preserve"> </w:t>
      </w:r>
      <w:bookmarkStart w:id="0" w:name="_Toc241401758"/>
      <w:bookmarkStart w:id="1" w:name="_Toc241402095"/>
      <w:r>
        <w:rPr>
          <w:rFonts w:eastAsia="MS Gothic"/>
        </w:rPr>
        <w:t>Introduction</w:t>
      </w:r>
      <w:bookmarkEnd w:id="0"/>
      <w:bookmarkEnd w:id="1"/>
    </w:p>
    <w:p w14:paraId="57BD5636">
      <w:pPr>
        <w:spacing w:before="0" w:after="140"/>
        <w:jc w:val="both"/>
        <w:rPr>
          <w:rFonts w:ascii="Times New Roman" w:hAnsi="Times New Roman" w:eastAsia="MS Mincho" w:cs="Times New Roman"/>
          <w:color w:val="191919"/>
          <w:szCs w:val="24"/>
        </w:rPr>
      </w:pPr>
      <w:r>
        <w:rPr>
          <w:rFonts w:ascii="Times New Roman" w:hAnsi="Times New Roman" w:eastAsia="MS Mincho" w:cs="Times New Roman"/>
          <w:color w:val="191919"/>
          <w:szCs w:val="24"/>
        </w:rPr>
        <w:t>SecureVault lets registered users store and share private documents through a server that is not trusted with document contents or private keys. The client performs password-based key protection, document encryption, certificate validation, signing, and key unwrapping. The server receives protected objects and routes requests and shares.</w:t>
      </w:r>
    </w:p>
    <w:p w14:paraId="15A149FC">
      <w:pPr>
        <w:spacing w:before="0" w:after="140"/>
        <w:jc w:val="both"/>
        <w:rPr>
          <w:rFonts w:ascii="Times New Roman" w:hAnsi="Times New Roman" w:eastAsia="MS Mincho" w:cs="Times New Roman"/>
          <w:color w:val="191919"/>
          <w:szCs w:val="24"/>
        </w:rPr>
      </w:pPr>
      <w:r>
        <w:rPr>
          <w:rFonts w:ascii="Times New Roman" w:hAnsi="Times New Roman" w:eastAsia="MS Mincho" w:cs="Times New Roman"/>
          <w:color w:val="191919"/>
          <w:szCs w:val="24"/>
        </w:rPr>
        <w:t>The design uses Argon2id to slow offline password guessing; AES-128-GCM to encrypt and authenticate document bytes, private keys, and wrapped document keys; P-256 ECDH to establish wrapping secrets; P-256 ECDSA to sign share records; and a private Certificate Authority (CA) to bind usernames to public keys. These mechanisms have distinct jobs, so successful verification of a share signature does not replace verification of the encrypted document.</w:t>
      </w:r>
    </w:p>
    <w:p w14:paraId="679FFF64">
      <w:pPr>
        <w:pStyle w:val="2"/>
        <w:rPr>
          <w:rFonts w:eastAsia="MS Gothic"/>
        </w:rPr>
      </w:pPr>
      <w:bookmarkStart w:id="2" w:name="_Toc241401759"/>
      <w:bookmarkStart w:id="3" w:name="_Toc241402096"/>
      <w:r>
        <w:rPr>
          <w:rFonts w:eastAsia="MS Gothic"/>
        </w:rPr>
        <w:t>Threat Model</w:t>
      </w:r>
      <w:bookmarkEnd w:id="2"/>
      <w:bookmarkEnd w:id="3"/>
    </w:p>
    <w:p w14:paraId="00159E09">
      <w:pPr>
        <w:spacing w:before="0" w:after="140"/>
        <w:jc w:val="both"/>
        <w:rPr>
          <w:rFonts w:ascii="Times New Roman" w:hAnsi="Times New Roman" w:eastAsia="MS Mincho" w:cs="Times New Roman"/>
          <w:color w:val="191919"/>
          <w:szCs w:val="24"/>
        </w:rPr>
      </w:pPr>
      <w:r>
        <w:rPr>
          <w:rFonts w:ascii="Times New Roman" w:hAnsi="Times New Roman" w:eastAsia="MS Mincho" w:cs="Times New Roman"/>
          <w:color w:val="191919"/>
          <w:szCs w:val="24"/>
        </w:rPr>
        <w:t>The attacker may inspect, modify, replace, delete, or replay material held by the document server or carried over its network connection, including encrypted files, credential records, certificates, and share records. The server sees routing and storage data, including user identities, document IDs, sizes, timestamps, and versions. In the integrated application it also stores a clear filename for document lists. The confidentiality goal therefore applies to document contents and private keys, not to every piece of metadata.</w:t>
      </w:r>
    </w:p>
    <w:p w14:paraId="585C78AA">
      <w:pPr>
        <w:spacing w:before="0" w:after="140"/>
        <w:jc w:val="both"/>
        <w:rPr>
          <w:rFonts w:ascii="Times New Roman" w:hAnsi="Times New Roman" w:eastAsia="MS Mincho" w:cs="Times New Roman"/>
          <w:color w:val="191919"/>
          <w:szCs w:val="24"/>
        </w:rPr>
      </w:pPr>
      <w:r>
        <w:rPr>
          <w:rFonts w:ascii="Times New Roman" w:hAnsi="Times New Roman" w:eastAsia="MS Mincho" w:cs="Times New Roman"/>
          <w:color w:val="191919"/>
          <w:szCs w:val="24"/>
        </w:rPr>
        <w:t>Clients trust their own execution environment and an authentic, provisioned CA public key. The CA administrator and CA signing key are separately trusted for enrollment. Cryptography cannot force a server to remain available, reconstruct deleted objects, recover forgotten passwords, or protect a client whose device or active memory has been compromised. Network deserialization and freshness-state persistence are implementation boundaries discussed in Section 9.</w:t>
      </w:r>
    </w:p>
    <w:p w14:paraId="6E8DF0D7">
      <w:pPr>
        <w:pStyle w:val="2"/>
        <w:rPr>
          <w:rFonts w:eastAsia="MS Gothic"/>
        </w:rPr>
      </w:pPr>
      <w:r>
        <w:rPr>
          <w:rFonts w:eastAsia="MS Gothic"/>
        </w:rPr>
        <w:t xml:space="preserve"> </w:t>
      </w:r>
      <w:bookmarkStart w:id="4" w:name="_Toc241402097"/>
      <w:bookmarkStart w:id="5" w:name="_Toc241401760"/>
      <w:r>
        <w:rPr>
          <w:rFonts w:eastAsia="MS Gothic"/>
        </w:rPr>
        <w:t>System Design</w:t>
      </w:r>
      <w:bookmarkEnd w:id="4"/>
      <w:bookmarkEnd w:id="5"/>
    </w:p>
    <w:p w14:paraId="565D62D6">
      <w:pPr>
        <w:pStyle w:val="3"/>
        <w:rPr>
          <w:rFonts w:eastAsia="MS Gothic"/>
        </w:rPr>
      </w:pPr>
      <w:bookmarkStart w:id="6" w:name="_Toc241402098"/>
      <w:bookmarkStart w:id="7" w:name="_Toc241401761"/>
      <w:r>
        <w:rPr>
          <w:rFonts w:eastAsia="MS Gothic"/>
        </w:rPr>
        <w:t>Components and Key Hierarchy</w:t>
      </w:r>
      <w:bookmarkEnd w:id="6"/>
      <w:bookmarkEnd w:id="7"/>
    </w:p>
    <w:p w14:paraId="57A599F6">
      <w:pPr>
        <w:spacing w:before="0" w:after="140"/>
        <w:jc w:val="both"/>
        <w:rPr>
          <w:rFonts w:ascii="Times New Roman" w:hAnsi="Times New Roman" w:eastAsia="MS Mincho" w:cs="Times New Roman"/>
          <w:color w:val="191919"/>
          <w:szCs w:val="24"/>
        </w:rPr>
      </w:pPr>
      <w:r>
        <w:rPr>
          <w:rFonts w:ascii="Times New Roman" w:hAnsi="Times New Roman" w:eastAsia="MS Mincho" w:cs="Times New Roman"/>
          <w:color w:val="191919"/>
          <w:szCs w:val="24"/>
        </w:rPr>
        <w:t>The client generates separate long-term P-256 ECDH and ECDSA key pairs. The ECDH key is used only for agreement; the ECDSA key signs enrollment and sharing data. Password-derived AES-128 keys protect the long-term private keys at rest. Each document encryption has its own randomly generated 16-byte document key, K_doc. During a share, an ephemeral ECDH secret and the recipient’s certified public ECDH key produce an HKDF-SHA-256 wrapping key, which encrypts K_doc for that recipient.</w:t>
      </w:r>
    </w:p>
    <w:p w14:paraId="071053A1">
      <w:pPr>
        <w:spacing w:before="0" w:after="140"/>
        <w:jc w:val="both"/>
        <w:rPr>
          <w:rFonts w:ascii="Times New Roman" w:hAnsi="Times New Roman" w:eastAsia="MS Mincho" w:cs="Times New Roman"/>
          <w:color w:val="191919"/>
          <w:szCs w:val="24"/>
        </w:rPr>
      </w:pPr>
      <w:r>
        <w:rPr>
          <w:rFonts w:ascii="Times New Roman" w:hAnsi="Times New Roman" w:eastAsia="MS Mincho" w:cs="Times New Roman"/>
          <w:color w:val="191919"/>
          <w:szCs w:val="24"/>
        </w:rPr>
        <w:t>The CA signs a certificate that binds a username to both public keys. A sender checks the recipient’s certificate under the trusted CA public key before encrypting a document key for that recipient. A recipient validates the sender’s certificate and signed share record before accepting the wrapped key and fetching the document.</w:t>
      </w:r>
    </w:p>
    <w:p w14:paraId="1864F220">
      <w:pPr>
        <w:pStyle w:val="3"/>
        <w:rPr>
          <w:rFonts w:eastAsia="MS Gothic"/>
        </w:rPr>
      </w:pPr>
      <w:r>
        <w:rPr>
          <w:rFonts w:eastAsia="MS Gothic"/>
        </w:rPr>
        <w:t xml:space="preserve"> </w:t>
      </w:r>
      <w:bookmarkStart w:id="8" w:name="_Toc241401762"/>
      <w:bookmarkStart w:id="9" w:name="_Toc241402099"/>
      <w:r>
        <w:rPr>
          <w:rFonts w:eastAsia="MS Gothic"/>
        </w:rPr>
        <w:t>Lifecycle of a Document</w:t>
      </w:r>
      <w:bookmarkEnd w:id="8"/>
      <w:bookmarkEnd w:id="9"/>
    </w:p>
    <w:p w14:paraId="73A976A9">
      <w:pPr>
        <w:spacing w:before="0" w:after="140"/>
        <w:jc w:val="both"/>
        <w:rPr>
          <w:rFonts w:ascii="Times New Roman" w:hAnsi="Times New Roman" w:eastAsia="MS Mincho" w:cs="Times New Roman"/>
          <w:color w:val="191919"/>
          <w:szCs w:val="24"/>
        </w:rPr>
      </w:pPr>
      <w:r>
        <w:rPr>
          <w:rFonts w:ascii="Times New Roman" w:hAnsi="Times New Roman" w:eastAsia="MS Mincho" w:cs="Times New Roman"/>
          <w:color w:val="191919"/>
          <w:szCs w:val="24"/>
        </w:rPr>
        <w:t>On upload, the client prepares a new document ID, owner, version, size, and timestamp; updates retain their ID and increase the version. It encrypts the filename, file type, and bytes locally, authenticates the clear metadata as GCM additional authenticated data (AAD), and sends the resulting protected package to the server. The intended policy is a fresh K_doc for every encryption, including each replacement.</w:t>
      </w:r>
    </w:p>
    <w:p w14:paraId="473A24B6">
      <w:pPr>
        <w:spacing w:before="0" w:after="140"/>
        <w:jc w:val="both"/>
        <w:rPr>
          <w:rFonts w:ascii="Times New Roman" w:hAnsi="Times New Roman" w:eastAsia="MS Mincho" w:cs="Times New Roman"/>
          <w:color w:val="191919"/>
          <w:szCs w:val="24"/>
        </w:rPr>
      </w:pPr>
      <w:r>
        <w:rPr>
          <w:rFonts w:ascii="Times New Roman" w:hAnsi="Times New Roman" w:eastAsia="MS Mincho" w:cs="Times New Roman"/>
          <w:color w:val="191919"/>
          <w:szCs w:val="24"/>
        </w:rPr>
        <w:t>On download, the client parses the bounded format, verifies the GCM tag, and then checks the authenticated ID, expected owner, minimum accepted version, and displayed filename. It writes only validated plaintext to a temporary file and then moves that file to the chosen destination. To share a document, the sender wraps K_doc for a certified recipient, signs the share record, and uploads that record. The recipient verifies the record, unwraps K_doc, and follows the same verified download path.</w:t>
      </w:r>
    </w:p>
    <w:p w14:paraId="1C9F2293">
      <w:pPr>
        <w:pStyle w:val="2"/>
        <w:rPr>
          <w:rFonts w:eastAsia="MS Gothic"/>
        </w:rPr>
      </w:pPr>
      <w:r>
        <w:rPr>
          <w:rFonts w:eastAsia="MS Gothic"/>
        </w:rPr>
        <w:t xml:space="preserve"> </w:t>
      </w:r>
      <w:bookmarkStart w:id="10" w:name="_Toc241401763"/>
      <w:bookmarkStart w:id="11" w:name="_Toc241402100"/>
      <w:r>
        <w:rPr>
          <w:rFonts w:eastAsia="MS Gothic"/>
        </w:rPr>
        <w:t>Password Protection and Certificate Enrollment</w:t>
      </w:r>
      <w:bookmarkEnd w:id="10"/>
      <w:bookmarkEnd w:id="11"/>
    </w:p>
    <w:p w14:paraId="1FFE2DAE">
      <w:pPr>
        <w:pStyle w:val="3"/>
        <w:rPr>
          <w:rFonts w:eastAsia="MS Gothic"/>
        </w:rPr>
      </w:pPr>
      <w:bookmarkStart w:id="12" w:name="_Toc241401764"/>
      <w:bookmarkStart w:id="13" w:name="_Toc241402101"/>
      <w:r>
        <w:rPr>
          <w:rFonts w:eastAsia="MS Gothic"/>
        </w:rPr>
        <w:t>Password Derivation and Private Key Storage</w:t>
      </w:r>
      <w:bookmarkEnd w:id="12"/>
      <w:bookmarkEnd w:id="13"/>
    </w:p>
    <w:p w14:paraId="752B429A">
      <w:pPr>
        <w:spacing w:before="0" w:after="140"/>
        <w:jc w:val="both"/>
        <w:rPr>
          <w:rFonts w:ascii="Times New Roman" w:hAnsi="Times New Roman" w:eastAsia="MS Mincho" w:cs="Times New Roman"/>
          <w:color w:val="191919"/>
          <w:szCs w:val="24"/>
        </w:rPr>
      </w:pPr>
      <w:r>
        <w:rPr>
          <w:rFonts w:ascii="Times New Roman" w:hAnsi="Times New Roman" w:eastAsia="MS Mincho" w:cs="Times New Roman"/>
          <w:color w:val="191919"/>
          <w:szCs w:val="24"/>
        </w:rPr>
        <w:t>At registration, the client encodes the password as UTF-8, selects a fresh 16-byte salt, and uses Argon2id with 128 MiB of memory, three iterations, and one processing lane to create a 32-byte verifier. Password-derived key material for encrypting the ECDH and ECDSA private keys uses separate fresh salts and AES-128-GCM. The server stores credential material and encrypted private-key objects, not a plaintext password or an unwrapped private key.</w:t>
      </w:r>
    </w:p>
    <w:p w14:paraId="17A6F859">
      <w:pPr>
        <w:spacing w:before="0" w:after="140"/>
        <w:jc w:val="both"/>
        <w:rPr>
          <w:rFonts w:ascii="Times New Roman" w:hAnsi="Times New Roman" w:eastAsia="MS Mincho" w:cs="Times New Roman"/>
          <w:color w:val="191919"/>
          <w:szCs w:val="24"/>
        </w:rPr>
      </w:pPr>
      <w:r>
        <w:rPr>
          <w:rFonts w:ascii="Times New Roman" w:hAnsi="Times New Roman" w:eastAsia="MS Mincho" w:cs="Times New Roman"/>
          <w:color w:val="191919"/>
          <w:szCs w:val="24"/>
        </w:rPr>
        <w:t>A reported benchmark was about 255 ms for one Argon2id evaluation on the team’s machine. This is a local measurement, not an estimate of an attacker’s hardware speed. Argon2id increases the cost of each offline guess, but a weak password remains guessable; users still need strong passwords.</w:t>
      </w:r>
    </w:p>
    <w:p w14:paraId="7B921F1B">
      <w:pPr>
        <w:pStyle w:val="3"/>
        <w:rPr>
          <w:rFonts w:eastAsia="MS Gothic"/>
        </w:rPr>
      </w:pPr>
      <w:bookmarkStart w:id="14" w:name="_Toc241401765"/>
      <w:bookmarkStart w:id="15" w:name="_Toc241402102"/>
      <w:r>
        <w:rPr>
          <w:rFonts w:eastAsia="MS Gothic"/>
        </w:rPr>
        <w:t>Registration and Public Key Trust</w:t>
      </w:r>
      <w:bookmarkEnd w:id="14"/>
      <w:bookmarkEnd w:id="15"/>
    </w:p>
    <w:p w14:paraId="2FC05887">
      <w:pPr>
        <w:spacing w:before="0" w:after="140"/>
        <w:jc w:val="both"/>
        <w:rPr>
          <w:rFonts w:ascii="Times New Roman" w:hAnsi="Times New Roman" w:eastAsia="MS Mincho" w:cs="Times New Roman"/>
          <w:color w:val="191919"/>
          <w:szCs w:val="24"/>
        </w:rPr>
      </w:pPr>
      <w:r>
        <w:rPr>
          <w:rFonts w:ascii="Times New Roman" w:hAnsi="Times New Roman" w:eastAsia="MS Mincho" w:cs="Times New Roman"/>
          <w:color w:val="191919"/>
          <w:szCs w:val="24"/>
        </w:rPr>
        <w:t>Registration creates two P-256 key pairs and a signed enrollment request demonstrating possession of the new ECDSA private key. The separate CA administrator must independently verify the applicant’s right to the claimed username and check the public-key fingerprints through a trusted channel before approving issuance. Typing APPROVE alone is not proof of identity. Before storing a returned certificate, the client checks the CA signature, username, validity, and that both certified public keys match its own generated keys.</w:t>
      </w:r>
    </w:p>
    <w:p w14:paraId="0111077E">
      <w:pPr>
        <w:spacing w:before="0" w:after="140"/>
        <w:jc w:val="both"/>
        <w:rPr>
          <w:rFonts w:ascii="Times New Roman" w:hAnsi="Times New Roman" w:eastAsia="MS Mincho" w:cs="Times New Roman"/>
          <w:color w:val="191919"/>
          <w:szCs w:val="24"/>
        </w:rPr>
      </w:pPr>
      <w:r>
        <w:rPr>
          <w:rFonts w:ascii="Times New Roman" w:hAnsi="Times New Roman" w:eastAsia="MS Mincho" w:cs="Times New Roman"/>
          <w:color w:val="191919"/>
          <w:szCs w:val="24"/>
        </w:rPr>
        <w:t>We considered three approaches to establishing initial trust in a peer's public keys. Trust-on-first-use (TOFU), as used by SSH, accepts whichever key is first presented and only detects a change on a later, different key; we rejected it because an attacker positioned during that first contact — squarely inside our threat model, which allows message replacement on the wire — can substitute a key with nothing to compare it against. Pairwise fingerprint verification, where every two users independently compare key fingerprints over an out-of-band channel, avoids relying on any third party, but its coordination cost grows with every new pair of users who want to communicate, which does not scale for a system meant to support many registered users. A full external PKI would solve the scaling problem but assumes revocation tooling and operational infrastructure well beyond the scope of this project, and would move the enrollment-time identity check outside the boundary we wanted to reason about. We settled on a small, self-issued CA: the CA administrator performs the identity check once, at enrollment, and every subsequent verification reduces to checking one signature under a single, pinned CA public key. This choice does concentrate trust: it depends on secure custody of the CA's signing key, on clients receiving an authentic copy of the CA's public key before their first use, and on the administrator's enrollment checks actually catching impersonation rather than being a rubber stamp.</w:t>
      </w:r>
    </w:p>
    <w:p w14:paraId="05591517">
      <w:pPr>
        <w:pStyle w:val="2"/>
        <w:rPr>
          <w:rFonts w:eastAsia="MS Gothic"/>
        </w:rPr>
      </w:pPr>
      <w:r>
        <w:rPr>
          <w:rFonts w:eastAsia="MS Gothic"/>
        </w:rPr>
        <w:t xml:space="preserve"> </w:t>
      </w:r>
      <w:bookmarkStart w:id="16" w:name="_Toc241401766"/>
      <w:bookmarkStart w:id="17" w:name="_Toc241402103"/>
      <w:r>
        <w:rPr>
          <w:rFonts w:eastAsia="MS Gothic"/>
        </w:rPr>
        <w:t>Document Protection and Verified Download</w:t>
      </w:r>
      <w:bookmarkEnd w:id="16"/>
      <w:bookmarkEnd w:id="17"/>
    </w:p>
    <w:p w14:paraId="458ABC31">
      <w:pPr>
        <w:pStyle w:val="3"/>
        <w:rPr>
          <w:rFonts w:eastAsia="MS Gothic"/>
        </w:rPr>
      </w:pPr>
      <w:r>
        <w:rPr>
          <w:rFonts w:eastAsia="MS Gothic"/>
        </w:rPr>
        <w:t xml:space="preserve"> </w:t>
      </w:r>
      <w:bookmarkStart w:id="18" w:name="_Toc241401767"/>
      <w:bookmarkStart w:id="19" w:name="_Toc241402104"/>
      <w:r>
        <w:rPr>
          <w:rFonts w:eastAsia="MS Gothic"/>
        </w:rPr>
        <w:t>Authenticated Encryption and Metadata</w:t>
      </w:r>
      <w:bookmarkEnd w:id="18"/>
      <w:bookmarkEnd w:id="19"/>
    </w:p>
    <w:p w14:paraId="766288E9">
      <w:pPr>
        <w:spacing w:before="0" w:after="140"/>
        <w:jc w:val="both"/>
        <w:rPr>
          <w:rFonts w:ascii="Times New Roman" w:hAnsi="Times New Roman" w:eastAsia="MS Mincho" w:cs="Times New Roman"/>
          <w:color w:val="191919"/>
          <w:szCs w:val="24"/>
        </w:rPr>
      </w:pPr>
      <w:r>
        <w:rPr>
          <w:rFonts w:ascii="Times New Roman" w:hAnsi="Times New Roman" w:eastAsia="MS Mincho" w:cs="Times New Roman"/>
          <w:color w:val="191919"/>
          <w:szCs w:val="24"/>
        </w:rPr>
        <w:t>The running document path uses PyCryptodome AES-128-GCM with a fresh random 16-byte key and 12-byte nonce for each encryption. A 16-byte tag covers the ciphertext and public metadata supplied as AAD. The public fields include the document ID, owner, version, size, and timestamp. The encrypted payload contains the filename, file type, and document bytes. The clear filename stored separately for lists means the integrated server does learn that name; the client compares it with the authenticated name before writing a download.</w:t>
      </w:r>
    </w:p>
    <w:p w14:paraId="3D2B3CD2">
      <w:pPr>
        <w:spacing w:before="0" w:after="140"/>
        <w:jc w:val="both"/>
        <w:rPr>
          <w:rFonts w:ascii="Times New Roman" w:hAnsi="Times New Roman" w:eastAsia="MS Mincho" w:cs="Times New Roman"/>
          <w:color w:val="191919"/>
          <w:szCs w:val="24"/>
        </w:rPr>
      </w:pPr>
      <w:r>
        <w:rPr>
          <w:rFonts w:ascii="Times New Roman" w:hAnsi="Times New Roman" w:eastAsia="MS Mincho" w:cs="Times New Roman"/>
          <w:color w:val="191919"/>
          <w:szCs w:val="24"/>
        </w:rPr>
        <w:t>We considered three ways to get authenticated encryption for document bytes. Encrypt-then-MAC with AES-CTR and HMAC-SHA-256 is well understood and avoids GCM's strict nonce-uniqueness requirement, but it needs two independent keys, a fixed verify-then-decrypt ordering enforced correctly at every call site, and two passes over the data; getting that ordering wrong is a well-known way to reintroduce a padding-oracle-style vulnerability, so we treated the extra discipline it demands as a real cost. CCM offers the same one-key, one-pass authenticated-encryption property as GCM, but its two-pass, offline-MAC construction and length-encoding rules are more fiddly to implement correctly by hand and add no benefit over GCM for our fixed 12-byte-nonce, single-key-per-document usage. We chose GCM because a single call under one 16-byte key both encrypts the payload and authenticates the ciphertext together with cleartext metadata (document ID, owner, version, size, timestamp) supplied as additional authenticated data, so the two goals cannot silently drift out of sync the way a separately keyed HMAC pass could if the ordering were implemented incorrectly. This project also contains a standalone AES implementation written to satisfy an earlier primitive-implementation requirement; it is not wired into the document encryption call path and should not be read as the cipher actually protecting documents unless that call path is shown to execute it.</w:t>
      </w:r>
    </w:p>
    <w:p w14:paraId="3EC9069A">
      <w:pPr>
        <w:pStyle w:val="3"/>
        <w:rPr>
          <w:rFonts w:eastAsia="MS Gothic"/>
        </w:rPr>
      </w:pPr>
      <w:bookmarkStart w:id="20" w:name="_Toc241401768"/>
      <w:bookmarkStart w:id="21" w:name="_Toc241402105"/>
      <w:r>
        <w:rPr>
          <w:rFonts w:eastAsia="MS Gothic"/>
        </w:rPr>
        <w:t>Stored Byte Format</w:t>
      </w:r>
      <w:bookmarkEnd w:id="20"/>
      <w:bookmarkEnd w:id="21"/>
    </w:p>
    <w:p w14:paraId="410F1245">
      <w:pPr>
        <w:spacing w:before="0" w:after="140" w:line="240" w:lineRule="auto"/>
        <w:jc w:val="center"/>
        <w:rPr>
          <w:rFonts w:eastAsia="MS Mincho" w:cstheme="majorBidi"/>
          <w:b/>
          <w:bCs/>
          <w:i/>
          <w:iCs/>
          <w:sz w:val="20"/>
          <w:szCs w:val="20"/>
        </w:rPr>
      </w:pPr>
      <w:r>
        <w:rPr>
          <w:rFonts w:eastAsia="MS Mincho" w:cstheme="majorBidi"/>
          <w:b/>
          <w:bCs/>
          <w:i/>
          <w:iCs/>
          <w:sz w:val="20"/>
          <w:szCs w:val="20"/>
        </w:rPr>
        <w:t xml:space="preserve">Table </w:t>
      </w:r>
      <w:r>
        <w:rPr>
          <w:rFonts w:eastAsia="MS Mincho" w:cstheme="majorBidi"/>
          <w:b/>
          <w:bCs/>
          <w:i/>
          <w:iCs/>
          <w:sz w:val="20"/>
          <w:szCs w:val="20"/>
        </w:rPr>
        <w:fldChar w:fldCharType="begin"/>
      </w:r>
      <w:r>
        <w:rPr>
          <w:rFonts w:eastAsia="MS Mincho" w:cstheme="majorBidi"/>
          <w:b/>
          <w:bCs/>
          <w:i/>
          <w:iCs/>
          <w:sz w:val="20"/>
          <w:szCs w:val="20"/>
        </w:rPr>
        <w:instrText xml:space="preserve"> SEQ Table \* ARABIC </w:instrText>
      </w:r>
      <w:r>
        <w:rPr>
          <w:rFonts w:eastAsia="MS Mincho" w:cstheme="majorBidi"/>
          <w:b/>
          <w:bCs/>
          <w:i/>
          <w:iCs/>
          <w:sz w:val="20"/>
          <w:szCs w:val="20"/>
        </w:rPr>
        <w:fldChar w:fldCharType="separate"/>
      </w:r>
      <w:r>
        <w:rPr>
          <w:rFonts w:eastAsia="MS Mincho" w:cstheme="majorBidi"/>
          <w:b/>
          <w:bCs/>
          <w:i/>
          <w:iCs/>
          <w:sz w:val="20"/>
          <w:szCs w:val="20"/>
        </w:rPr>
        <w:t>1</w:t>
      </w:r>
      <w:r>
        <w:rPr>
          <w:rFonts w:eastAsia="MS Mincho" w:cstheme="majorBidi"/>
          <w:b/>
          <w:bCs/>
          <w:i/>
          <w:iCs/>
          <w:sz w:val="20"/>
          <w:szCs w:val="20"/>
        </w:rPr>
        <w:fldChar w:fldCharType="end"/>
      </w:r>
      <w:r>
        <w:rPr>
          <w:rFonts w:eastAsia="MS Mincho" w:cstheme="majorBidi"/>
          <w:b/>
          <w:bCs/>
          <w:i/>
          <w:iCs/>
          <w:sz w:val="20"/>
          <w:szCs w:val="20"/>
        </w:rPr>
        <w:t>: records the length-prefixed SGCM container.</w:t>
      </w:r>
    </w:p>
    <w:p w14:paraId="7A3CB01D">
      <w:pPr>
        <w:spacing w:before="0" w:after="140" w:line="268" w:lineRule="auto"/>
        <w:rPr>
          <w:rFonts w:ascii="Aptos" w:hAnsi="Aptos" w:eastAsia="MS Mincho" w:cs="Arial"/>
          <w:color w:val="191919"/>
          <w:sz w:val="20"/>
        </w:rPr>
      </w:pPr>
    </w:p>
    <w:tbl>
      <w:tblPr>
        <w:tblStyle w:val="32"/>
        <w:tblW w:w="0" w:type="auto"/>
        <w:tblInd w:w="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fixed"/>
        <w:tblCellMar>
          <w:top w:w="0" w:type="dxa"/>
          <w:left w:w="108" w:type="dxa"/>
          <w:bottom w:w="0" w:type="dxa"/>
          <w:right w:w="108" w:type="dxa"/>
        </w:tblCellMar>
      </w:tblPr>
      <w:tblGrid>
        <w:gridCol w:w="2069"/>
        <w:gridCol w:w="1729"/>
        <w:gridCol w:w="5046"/>
      </w:tblGrid>
      <w:tr w14:paraId="0E2FECC1">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2069" w:type="dxa"/>
            <w:tcBorders>
              <w:top w:val="single" w:color="FFFFFF" w:sz="4" w:space="0"/>
              <w:left w:val="single" w:color="FFFFFF" w:sz="4" w:space="0"/>
              <w:right w:val="nil"/>
              <w:insideV w:val="nil"/>
            </w:tcBorders>
            <w:shd w:val="clear" w:color="auto" w:fill="9BBB59"/>
          </w:tcPr>
          <w:p w14:paraId="053D3A94">
            <w:pPr>
              <w:spacing w:before="0" w:after="0"/>
              <w:jc w:val="center"/>
              <w:rPr>
                <w:rFonts w:ascii="Times New Roman" w:hAnsi="Times New Roman" w:eastAsia="MS Mincho" w:cs="Times New Roman"/>
                <w:b/>
                <w:bCs/>
                <w:color w:val="191919"/>
                <w:sz w:val="20"/>
                <w:szCs w:val="20"/>
                <w:rtl/>
              </w:rPr>
            </w:pPr>
            <w:r>
              <w:rPr>
                <w:rFonts w:ascii="Times New Roman" w:hAnsi="Times New Roman" w:eastAsia="MS Mincho" w:cs="Times New Roman"/>
                <w:b/>
                <w:bCs/>
                <w:color w:val="FFFFFF"/>
                <w:sz w:val="20"/>
                <w:szCs w:val="20"/>
              </w:rPr>
              <w:t>Field</w:t>
            </w:r>
          </w:p>
        </w:tc>
        <w:tc>
          <w:tcPr>
            <w:tcW w:w="1729" w:type="dxa"/>
            <w:tcBorders>
              <w:top w:val="single" w:color="FFFFFF" w:sz="4" w:space="0"/>
              <w:right w:val="nil"/>
              <w:insideV w:val="nil"/>
            </w:tcBorders>
            <w:shd w:val="clear" w:color="auto" w:fill="9BBB59"/>
          </w:tcPr>
          <w:p w14:paraId="18FD04ED">
            <w:pPr>
              <w:spacing w:before="0" w:after="0"/>
              <w:jc w:val="center"/>
              <w:rPr>
                <w:rFonts w:ascii="Times New Roman" w:hAnsi="Times New Roman" w:eastAsia="MS Mincho" w:cs="Times New Roman"/>
                <w:b/>
                <w:bCs/>
                <w:color w:val="191919"/>
                <w:sz w:val="20"/>
                <w:szCs w:val="20"/>
              </w:rPr>
            </w:pPr>
            <w:r>
              <w:rPr>
                <w:rFonts w:ascii="Times New Roman" w:hAnsi="Times New Roman" w:eastAsia="MS Mincho" w:cs="Times New Roman"/>
                <w:b/>
                <w:bCs/>
                <w:color w:val="FFFFFF"/>
                <w:sz w:val="20"/>
                <w:szCs w:val="20"/>
              </w:rPr>
              <w:t>Length</w:t>
            </w:r>
          </w:p>
        </w:tc>
        <w:tc>
          <w:tcPr>
            <w:tcW w:w="5046" w:type="dxa"/>
            <w:tcBorders>
              <w:top w:val="single" w:color="FFFFFF" w:sz="4" w:space="0"/>
              <w:right w:val="single" w:color="FFFFFF" w:sz="4" w:space="0"/>
              <w:insideV w:val="nil"/>
            </w:tcBorders>
            <w:shd w:val="clear" w:color="auto" w:fill="9BBB59"/>
          </w:tcPr>
          <w:p w14:paraId="3DB2C4AD">
            <w:pPr>
              <w:spacing w:before="0" w:after="0"/>
              <w:jc w:val="center"/>
              <w:rPr>
                <w:rFonts w:ascii="Times New Roman" w:hAnsi="Times New Roman" w:eastAsia="MS Mincho" w:cs="Times New Roman"/>
                <w:b/>
                <w:bCs/>
                <w:color w:val="191919"/>
                <w:sz w:val="20"/>
                <w:szCs w:val="20"/>
              </w:rPr>
            </w:pPr>
            <w:r>
              <w:rPr>
                <w:rFonts w:ascii="Times New Roman" w:hAnsi="Times New Roman" w:eastAsia="MS Mincho" w:cs="Times New Roman"/>
                <w:b/>
                <w:bCs/>
                <w:color w:val="FFFFFF"/>
                <w:sz w:val="20"/>
                <w:szCs w:val="20"/>
              </w:rPr>
              <w:t>Purpose</w:t>
            </w:r>
          </w:p>
        </w:tc>
      </w:tr>
      <w:tr w14:paraId="60804DC0">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2069" w:type="dxa"/>
            <w:tcBorders>
              <w:left w:val="single" w:color="FFFFFF" w:sz="4" w:space="0"/>
            </w:tcBorders>
            <w:shd w:val="clear" w:color="auto" w:fill="9BBB59"/>
          </w:tcPr>
          <w:p w14:paraId="5F9A5BAA">
            <w:pPr>
              <w:spacing w:before="0" w:after="0"/>
              <w:jc w:val="center"/>
              <w:rPr>
                <w:rFonts w:ascii="Times New Roman" w:hAnsi="Times New Roman" w:eastAsia="MS Mincho" w:cs="Times New Roman"/>
                <w:b/>
                <w:bCs/>
                <w:color w:val="191919"/>
                <w:sz w:val="20"/>
                <w:szCs w:val="20"/>
              </w:rPr>
            </w:pPr>
            <w:r>
              <w:rPr>
                <w:rFonts w:ascii="Times New Roman" w:hAnsi="Times New Roman" w:eastAsia="MS Mincho" w:cs="Times New Roman"/>
                <w:b/>
                <w:bCs/>
                <w:color w:val="191919"/>
                <w:sz w:val="20"/>
                <w:szCs w:val="20"/>
              </w:rPr>
              <w:t>Magic SGCM</w:t>
            </w:r>
          </w:p>
        </w:tc>
        <w:tc>
          <w:tcPr>
            <w:tcW w:w="1729" w:type="dxa"/>
            <w:shd w:val="clear" w:color="auto" w:fill="D6E3BC"/>
          </w:tcPr>
          <w:p w14:paraId="3FBB6166">
            <w:pPr>
              <w:spacing w:before="0" w:after="0"/>
              <w:jc w:val="center"/>
              <w:rPr>
                <w:rFonts w:ascii="Times New Roman" w:hAnsi="Times New Roman" w:eastAsia="MS Mincho" w:cs="Times New Roman"/>
                <w:color w:val="191919"/>
                <w:sz w:val="20"/>
                <w:szCs w:val="20"/>
              </w:rPr>
            </w:pPr>
            <w:r>
              <w:rPr>
                <w:rFonts w:ascii="Times New Roman" w:hAnsi="Times New Roman" w:eastAsia="MS Mincho" w:cs="Times New Roman"/>
                <w:color w:val="191919"/>
                <w:sz w:val="20"/>
                <w:szCs w:val="20"/>
              </w:rPr>
              <w:t>4 bytes</w:t>
            </w:r>
          </w:p>
        </w:tc>
        <w:tc>
          <w:tcPr>
            <w:tcW w:w="5046" w:type="dxa"/>
            <w:shd w:val="clear" w:color="auto" w:fill="D6E3BC"/>
          </w:tcPr>
          <w:p w14:paraId="12945B54">
            <w:pPr>
              <w:spacing w:before="0" w:after="0"/>
              <w:jc w:val="center"/>
              <w:rPr>
                <w:rFonts w:ascii="Times New Roman" w:hAnsi="Times New Roman" w:eastAsia="MS Mincho" w:cs="Times New Roman"/>
                <w:color w:val="191919"/>
                <w:sz w:val="20"/>
                <w:szCs w:val="20"/>
              </w:rPr>
            </w:pPr>
            <w:r>
              <w:rPr>
                <w:rFonts w:ascii="Times New Roman" w:hAnsi="Times New Roman" w:eastAsia="MS Mincho" w:cs="Times New Roman"/>
                <w:color w:val="191919"/>
                <w:sz w:val="20"/>
                <w:szCs w:val="20"/>
              </w:rPr>
              <w:t>Identifies the protected format</w:t>
            </w:r>
          </w:p>
        </w:tc>
      </w:tr>
      <w:tr w14:paraId="196CF6B8">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2069" w:type="dxa"/>
            <w:tcBorders>
              <w:left w:val="single" w:color="FFFFFF" w:sz="4" w:space="0"/>
            </w:tcBorders>
            <w:shd w:val="clear" w:color="auto" w:fill="9BBB59"/>
          </w:tcPr>
          <w:p w14:paraId="3533AD58">
            <w:pPr>
              <w:spacing w:before="0" w:after="0"/>
              <w:jc w:val="center"/>
              <w:rPr>
                <w:rFonts w:ascii="Times New Roman" w:hAnsi="Times New Roman" w:eastAsia="MS Mincho" w:cs="Times New Roman"/>
                <w:b/>
                <w:bCs/>
                <w:color w:val="191919"/>
                <w:sz w:val="20"/>
                <w:szCs w:val="20"/>
              </w:rPr>
            </w:pPr>
            <w:r>
              <w:rPr>
                <w:rFonts w:ascii="Times New Roman" w:hAnsi="Times New Roman" w:eastAsia="MS Mincho" w:cs="Times New Roman"/>
                <w:b/>
                <w:bCs/>
                <w:color w:val="191919"/>
                <w:sz w:val="20"/>
                <w:szCs w:val="20"/>
              </w:rPr>
              <w:t>Metadata length</w:t>
            </w:r>
          </w:p>
        </w:tc>
        <w:tc>
          <w:tcPr>
            <w:tcW w:w="1729" w:type="dxa"/>
            <w:shd w:val="clear" w:color="auto" w:fill="EAF1DD"/>
          </w:tcPr>
          <w:p w14:paraId="1A8DE6B5">
            <w:pPr>
              <w:spacing w:before="0" w:after="0"/>
              <w:jc w:val="center"/>
              <w:rPr>
                <w:rFonts w:ascii="Times New Roman" w:hAnsi="Times New Roman" w:eastAsia="MS Mincho" w:cs="Times New Roman"/>
                <w:color w:val="191919"/>
                <w:sz w:val="20"/>
                <w:szCs w:val="20"/>
              </w:rPr>
            </w:pPr>
            <w:r>
              <w:rPr>
                <w:rFonts w:ascii="Times New Roman" w:hAnsi="Times New Roman" w:eastAsia="MS Mincho" w:cs="Times New Roman"/>
                <w:color w:val="191919"/>
                <w:sz w:val="20"/>
                <w:szCs w:val="20"/>
              </w:rPr>
              <w:t>4 bytes</w:t>
            </w:r>
          </w:p>
        </w:tc>
        <w:tc>
          <w:tcPr>
            <w:tcW w:w="5046" w:type="dxa"/>
            <w:shd w:val="clear" w:color="auto" w:fill="EAF1DD"/>
          </w:tcPr>
          <w:p w14:paraId="50D86A25">
            <w:pPr>
              <w:spacing w:before="0" w:after="0"/>
              <w:jc w:val="center"/>
              <w:rPr>
                <w:rFonts w:ascii="Times New Roman" w:hAnsi="Times New Roman" w:eastAsia="MS Mincho" w:cs="Times New Roman"/>
                <w:color w:val="191919"/>
                <w:sz w:val="20"/>
                <w:szCs w:val="20"/>
              </w:rPr>
            </w:pPr>
            <w:r>
              <w:rPr>
                <w:rFonts w:ascii="Times New Roman" w:hAnsi="Times New Roman" w:eastAsia="MS Mincho" w:cs="Times New Roman"/>
                <w:color w:val="191919"/>
                <w:sz w:val="20"/>
                <w:szCs w:val="20"/>
              </w:rPr>
              <w:t>Length of public metadata</w:t>
            </w:r>
          </w:p>
        </w:tc>
      </w:tr>
      <w:tr w14:paraId="55B8667E">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2069" w:type="dxa"/>
            <w:tcBorders>
              <w:left w:val="single" w:color="FFFFFF" w:sz="4" w:space="0"/>
            </w:tcBorders>
            <w:shd w:val="clear" w:color="auto" w:fill="9BBB59"/>
          </w:tcPr>
          <w:p w14:paraId="0441AC31">
            <w:pPr>
              <w:spacing w:before="0" w:after="0"/>
              <w:jc w:val="center"/>
              <w:rPr>
                <w:rFonts w:ascii="Times New Roman" w:hAnsi="Times New Roman" w:eastAsia="MS Mincho" w:cs="Times New Roman"/>
                <w:b/>
                <w:bCs/>
                <w:color w:val="191919"/>
                <w:sz w:val="20"/>
                <w:szCs w:val="20"/>
              </w:rPr>
            </w:pPr>
            <w:r>
              <w:rPr>
                <w:rFonts w:ascii="Times New Roman" w:hAnsi="Times New Roman" w:eastAsia="MS Mincho" w:cs="Times New Roman"/>
                <w:b/>
                <w:bCs/>
                <w:color w:val="191919"/>
                <w:sz w:val="20"/>
                <w:szCs w:val="20"/>
              </w:rPr>
              <w:t>Public metadata</w:t>
            </w:r>
          </w:p>
        </w:tc>
        <w:tc>
          <w:tcPr>
            <w:tcW w:w="1729" w:type="dxa"/>
            <w:shd w:val="clear" w:color="auto" w:fill="D6E3BC"/>
          </w:tcPr>
          <w:p w14:paraId="667781E1">
            <w:pPr>
              <w:spacing w:before="0" w:after="0"/>
              <w:jc w:val="center"/>
              <w:rPr>
                <w:rFonts w:ascii="Times New Roman" w:hAnsi="Times New Roman" w:eastAsia="MS Mincho" w:cs="Times New Roman"/>
                <w:color w:val="191919"/>
                <w:sz w:val="20"/>
                <w:szCs w:val="20"/>
              </w:rPr>
            </w:pPr>
            <w:r>
              <w:rPr>
                <w:rFonts w:ascii="Times New Roman" w:hAnsi="Times New Roman" w:eastAsia="MS Mincho" w:cs="Times New Roman"/>
                <w:color w:val="191919"/>
                <w:sz w:val="20"/>
                <w:szCs w:val="20"/>
              </w:rPr>
              <w:t>Variable</w:t>
            </w:r>
          </w:p>
        </w:tc>
        <w:tc>
          <w:tcPr>
            <w:tcW w:w="5046" w:type="dxa"/>
            <w:shd w:val="clear" w:color="auto" w:fill="D6E3BC"/>
          </w:tcPr>
          <w:p w14:paraId="11BE89C8">
            <w:pPr>
              <w:spacing w:before="0" w:after="0"/>
              <w:jc w:val="center"/>
              <w:rPr>
                <w:rFonts w:ascii="Times New Roman" w:hAnsi="Times New Roman" w:eastAsia="MS Mincho" w:cs="Times New Roman"/>
                <w:color w:val="191919"/>
                <w:sz w:val="20"/>
                <w:szCs w:val="20"/>
              </w:rPr>
            </w:pPr>
            <w:r>
              <w:rPr>
                <w:rFonts w:ascii="Times New Roman" w:hAnsi="Times New Roman" w:eastAsia="MS Mincho" w:cs="Times New Roman"/>
                <w:color w:val="191919"/>
                <w:sz w:val="20"/>
                <w:szCs w:val="20"/>
              </w:rPr>
              <w:t>Clear header authenticated as GCM AAD</w:t>
            </w:r>
          </w:p>
        </w:tc>
      </w:tr>
      <w:tr w14:paraId="0975E310">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2069" w:type="dxa"/>
            <w:tcBorders>
              <w:left w:val="single" w:color="FFFFFF" w:sz="4" w:space="0"/>
            </w:tcBorders>
            <w:shd w:val="clear" w:color="auto" w:fill="9BBB59"/>
          </w:tcPr>
          <w:p w14:paraId="1E40C964">
            <w:pPr>
              <w:spacing w:before="0" w:after="0"/>
              <w:jc w:val="center"/>
              <w:rPr>
                <w:rFonts w:ascii="Times New Roman" w:hAnsi="Times New Roman" w:eastAsia="MS Mincho" w:cs="Times New Roman"/>
                <w:b/>
                <w:bCs/>
                <w:color w:val="191919"/>
                <w:sz w:val="20"/>
                <w:szCs w:val="20"/>
              </w:rPr>
            </w:pPr>
            <w:r>
              <w:rPr>
                <w:rFonts w:ascii="Times New Roman" w:hAnsi="Times New Roman" w:eastAsia="MS Mincho" w:cs="Times New Roman"/>
                <w:b/>
                <w:bCs/>
                <w:color w:val="191919"/>
                <w:sz w:val="20"/>
                <w:szCs w:val="20"/>
              </w:rPr>
              <w:t>Ciphertext length</w:t>
            </w:r>
          </w:p>
        </w:tc>
        <w:tc>
          <w:tcPr>
            <w:tcW w:w="1729" w:type="dxa"/>
            <w:shd w:val="clear" w:color="auto" w:fill="EAF1DD"/>
          </w:tcPr>
          <w:p w14:paraId="367ABE19">
            <w:pPr>
              <w:spacing w:before="0" w:after="0"/>
              <w:jc w:val="center"/>
              <w:rPr>
                <w:rFonts w:ascii="Times New Roman" w:hAnsi="Times New Roman" w:eastAsia="MS Mincho" w:cs="Times New Roman"/>
                <w:color w:val="191919"/>
                <w:sz w:val="20"/>
                <w:szCs w:val="20"/>
              </w:rPr>
            </w:pPr>
            <w:r>
              <w:rPr>
                <w:rFonts w:ascii="Times New Roman" w:hAnsi="Times New Roman" w:eastAsia="MS Mincho" w:cs="Times New Roman"/>
                <w:color w:val="191919"/>
                <w:sz w:val="20"/>
                <w:szCs w:val="20"/>
              </w:rPr>
              <w:t>8 bytes</w:t>
            </w:r>
          </w:p>
        </w:tc>
        <w:tc>
          <w:tcPr>
            <w:tcW w:w="5046" w:type="dxa"/>
            <w:shd w:val="clear" w:color="auto" w:fill="EAF1DD"/>
          </w:tcPr>
          <w:p w14:paraId="1DDB8479">
            <w:pPr>
              <w:spacing w:before="0" w:after="0"/>
              <w:jc w:val="center"/>
              <w:rPr>
                <w:rFonts w:ascii="Times New Roman" w:hAnsi="Times New Roman" w:eastAsia="MS Mincho" w:cs="Times New Roman"/>
                <w:color w:val="191919"/>
                <w:sz w:val="20"/>
                <w:szCs w:val="20"/>
              </w:rPr>
            </w:pPr>
            <w:r>
              <w:rPr>
                <w:rFonts w:ascii="Times New Roman" w:hAnsi="Times New Roman" w:eastAsia="MS Mincho" w:cs="Times New Roman"/>
                <w:color w:val="191919"/>
                <w:sz w:val="20"/>
                <w:szCs w:val="20"/>
              </w:rPr>
              <w:t>Length of encrypted payload</w:t>
            </w:r>
          </w:p>
        </w:tc>
      </w:tr>
      <w:tr w14:paraId="65C923AA">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2069" w:type="dxa"/>
            <w:tcBorders>
              <w:left w:val="single" w:color="FFFFFF" w:sz="4" w:space="0"/>
            </w:tcBorders>
            <w:shd w:val="clear" w:color="auto" w:fill="9BBB59"/>
          </w:tcPr>
          <w:p w14:paraId="0A948CC5">
            <w:pPr>
              <w:spacing w:before="0" w:after="0"/>
              <w:jc w:val="center"/>
              <w:rPr>
                <w:rFonts w:ascii="Times New Roman" w:hAnsi="Times New Roman" w:eastAsia="MS Mincho" w:cs="Times New Roman"/>
                <w:b/>
                <w:bCs/>
                <w:color w:val="191919"/>
                <w:sz w:val="20"/>
                <w:szCs w:val="20"/>
              </w:rPr>
            </w:pPr>
            <w:r>
              <w:rPr>
                <w:rFonts w:ascii="Times New Roman" w:hAnsi="Times New Roman" w:eastAsia="MS Mincho" w:cs="Times New Roman"/>
                <w:b/>
                <w:bCs/>
                <w:color w:val="191919"/>
                <w:sz w:val="20"/>
                <w:szCs w:val="20"/>
              </w:rPr>
              <w:t>GCM nonce</w:t>
            </w:r>
          </w:p>
        </w:tc>
        <w:tc>
          <w:tcPr>
            <w:tcW w:w="1729" w:type="dxa"/>
            <w:shd w:val="clear" w:color="auto" w:fill="D6E3BC"/>
          </w:tcPr>
          <w:p w14:paraId="7FE91EA1">
            <w:pPr>
              <w:spacing w:before="0" w:after="0"/>
              <w:jc w:val="center"/>
              <w:rPr>
                <w:rFonts w:ascii="Times New Roman" w:hAnsi="Times New Roman" w:eastAsia="MS Mincho" w:cs="Times New Roman"/>
                <w:color w:val="191919"/>
                <w:sz w:val="20"/>
                <w:szCs w:val="20"/>
              </w:rPr>
            </w:pPr>
            <w:r>
              <w:rPr>
                <w:rFonts w:ascii="Times New Roman" w:hAnsi="Times New Roman" w:eastAsia="MS Mincho" w:cs="Times New Roman"/>
                <w:color w:val="191919"/>
                <w:sz w:val="20"/>
                <w:szCs w:val="20"/>
              </w:rPr>
              <w:t>12 bytes</w:t>
            </w:r>
          </w:p>
        </w:tc>
        <w:tc>
          <w:tcPr>
            <w:tcW w:w="5046" w:type="dxa"/>
            <w:shd w:val="clear" w:color="auto" w:fill="D6E3BC"/>
          </w:tcPr>
          <w:p w14:paraId="2D49081E">
            <w:pPr>
              <w:spacing w:before="0" w:after="0"/>
              <w:jc w:val="center"/>
              <w:rPr>
                <w:rFonts w:ascii="Times New Roman" w:hAnsi="Times New Roman" w:eastAsia="MS Mincho" w:cs="Times New Roman"/>
                <w:color w:val="191919"/>
                <w:sz w:val="20"/>
                <w:szCs w:val="20"/>
              </w:rPr>
            </w:pPr>
            <w:r>
              <w:rPr>
                <w:rFonts w:ascii="Times New Roman" w:hAnsi="Times New Roman" w:eastAsia="MS Mincho" w:cs="Times New Roman"/>
                <w:color w:val="191919"/>
                <w:sz w:val="20"/>
                <w:szCs w:val="20"/>
              </w:rPr>
              <w:t>Fresh nonsecret nonce</w:t>
            </w:r>
          </w:p>
        </w:tc>
      </w:tr>
      <w:tr w14:paraId="550AA8B3">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2069" w:type="dxa"/>
            <w:tcBorders>
              <w:left w:val="single" w:color="FFFFFF" w:sz="4" w:space="0"/>
            </w:tcBorders>
            <w:shd w:val="clear" w:color="auto" w:fill="9BBB59"/>
          </w:tcPr>
          <w:p w14:paraId="706A1682">
            <w:pPr>
              <w:spacing w:before="0" w:after="0"/>
              <w:jc w:val="center"/>
              <w:rPr>
                <w:rFonts w:ascii="Times New Roman" w:hAnsi="Times New Roman" w:eastAsia="MS Mincho" w:cs="Times New Roman"/>
                <w:b/>
                <w:bCs/>
                <w:color w:val="191919"/>
                <w:sz w:val="20"/>
                <w:szCs w:val="20"/>
              </w:rPr>
            </w:pPr>
            <w:r>
              <w:rPr>
                <w:rFonts w:ascii="Times New Roman" w:hAnsi="Times New Roman" w:eastAsia="MS Mincho" w:cs="Times New Roman"/>
                <w:b/>
                <w:bCs/>
                <w:color w:val="191919"/>
                <w:sz w:val="20"/>
                <w:szCs w:val="20"/>
              </w:rPr>
              <w:t>Ciphertext</w:t>
            </w:r>
          </w:p>
        </w:tc>
        <w:tc>
          <w:tcPr>
            <w:tcW w:w="1729" w:type="dxa"/>
            <w:shd w:val="clear" w:color="auto" w:fill="EAF1DD"/>
          </w:tcPr>
          <w:p w14:paraId="30EE6CB1">
            <w:pPr>
              <w:spacing w:before="0" w:after="0"/>
              <w:jc w:val="center"/>
              <w:rPr>
                <w:rFonts w:ascii="Times New Roman" w:hAnsi="Times New Roman" w:eastAsia="MS Mincho" w:cs="Times New Roman"/>
                <w:color w:val="191919"/>
                <w:sz w:val="20"/>
                <w:szCs w:val="20"/>
              </w:rPr>
            </w:pPr>
            <w:r>
              <w:rPr>
                <w:rFonts w:ascii="Times New Roman" w:hAnsi="Times New Roman" w:eastAsia="MS Mincho" w:cs="Times New Roman"/>
                <w:color w:val="191919"/>
                <w:sz w:val="20"/>
                <w:szCs w:val="20"/>
              </w:rPr>
              <w:t>Specified length</w:t>
            </w:r>
          </w:p>
        </w:tc>
        <w:tc>
          <w:tcPr>
            <w:tcW w:w="5046" w:type="dxa"/>
            <w:shd w:val="clear" w:color="auto" w:fill="EAF1DD"/>
          </w:tcPr>
          <w:p w14:paraId="45CC98B1">
            <w:pPr>
              <w:spacing w:before="0" w:after="0"/>
              <w:jc w:val="center"/>
              <w:rPr>
                <w:rFonts w:ascii="Times New Roman" w:hAnsi="Times New Roman" w:eastAsia="MS Mincho" w:cs="Times New Roman"/>
                <w:color w:val="191919"/>
                <w:sz w:val="20"/>
                <w:szCs w:val="20"/>
              </w:rPr>
            </w:pPr>
            <w:r>
              <w:rPr>
                <w:rFonts w:ascii="Times New Roman" w:hAnsi="Times New Roman" w:eastAsia="MS Mincho" w:cs="Times New Roman"/>
                <w:color w:val="191919"/>
                <w:sz w:val="20"/>
                <w:szCs w:val="20"/>
              </w:rPr>
              <w:t>Encrypted private metadata and document</w:t>
            </w:r>
          </w:p>
        </w:tc>
      </w:tr>
      <w:tr w14:paraId="008AECA4">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2069" w:type="dxa"/>
            <w:tcBorders>
              <w:left w:val="single" w:color="FFFFFF" w:sz="4" w:space="0"/>
              <w:bottom w:val="single" w:color="FFFFFF" w:sz="4" w:space="0"/>
            </w:tcBorders>
            <w:shd w:val="clear" w:color="auto" w:fill="9BBB59"/>
          </w:tcPr>
          <w:p w14:paraId="14F6B22C">
            <w:pPr>
              <w:spacing w:before="0" w:after="0"/>
              <w:jc w:val="center"/>
              <w:rPr>
                <w:rFonts w:ascii="Times New Roman" w:hAnsi="Times New Roman" w:eastAsia="MS Mincho" w:cs="Times New Roman"/>
                <w:b/>
                <w:bCs/>
                <w:color w:val="191919"/>
                <w:sz w:val="20"/>
                <w:szCs w:val="20"/>
              </w:rPr>
            </w:pPr>
            <w:r>
              <w:rPr>
                <w:rFonts w:ascii="Times New Roman" w:hAnsi="Times New Roman" w:eastAsia="MS Mincho" w:cs="Times New Roman"/>
                <w:b/>
                <w:bCs/>
                <w:color w:val="191919"/>
                <w:sz w:val="20"/>
                <w:szCs w:val="20"/>
              </w:rPr>
              <w:t>GCM tag</w:t>
            </w:r>
          </w:p>
        </w:tc>
        <w:tc>
          <w:tcPr>
            <w:tcW w:w="1729" w:type="dxa"/>
            <w:shd w:val="clear" w:color="auto" w:fill="D6E3BC"/>
          </w:tcPr>
          <w:p w14:paraId="571DFEFA">
            <w:pPr>
              <w:spacing w:before="0" w:after="0"/>
              <w:jc w:val="center"/>
              <w:rPr>
                <w:rFonts w:ascii="Times New Roman" w:hAnsi="Times New Roman" w:eastAsia="MS Mincho" w:cs="Times New Roman"/>
                <w:color w:val="191919"/>
                <w:sz w:val="20"/>
                <w:szCs w:val="20"/>
              </w:rPr>
            </w:pPr>
            <w:r>
              <w:rPr>
                <w:rFonts w:ascii="Times New Roman" w:hAnsi="Times New Roman" w:eastAsia="MS Mincho" w:cs="Times New Roman"/>
                <w:color w:val="191919"/>
                <w:sz w:val="20"/>
                <w:szCs w:val="20"/>
              </w:rPr>
              <w:t>16 bytes</w:t>
            </w:r>
          </w:p>
        </w:tc>
        <w:tc>
          <w:tcPr>
            <w:tcW w:w="5046" w:type="dxa"/>
            <w:shd w:val="clear" w:color="auto" w:fill="D6E3BC"/>
          </w:tcPr>
          <w:p w14:paraId="34CB911E">
            <w:pPr>
              <w:spacing w:before="0" w:after="0"/>
              <w:jc w:val="center"/>
              <w:rPr>
                <w:rFonts w:ascii="Times New Roman" w:hAnsi="Times New Roman" w:eastAsia="MS Mincho" w:cs="Times New Roman"/>
                <w:color w:val="191919"/>
                <w:sz w:val="20"/>
                <w:szCs w:val="20"/>
              </w:rPr>
            </w:pPr>
            <w:r>
              <w:rPr>
                <w:rFonts w:ascii="Times New Roman" w:hAnsi="Times New Roman" w:eastAsia="MS Mincho" w:cs="Times New Roman"/>
                <w:color w:val="191919"/>
                <w:sz w:val="20"/>
                <w:szCs w:val="20"/>
              </w:rPr>
              <w:t>Detects unauthorized changes</w:t>
            </w:r>
          </w:p>
        </w:tc>
      </w:tr>
    </w:tbl>
    <w:p w14:paraId="6CA500A7">
      <w:pPr>
        <w:spacing w:before="0" w:after="0"/>
        <w:jc w:val="both"/>
        <w:rPr>
          <w:rFonts w:ascii="Aptos" w:hAnsi="Aptos" w:eastAsia="MS Mincho" w:cs="Arial"/>
          <w:color w:val="191919"/>
          <w:sz w:val="20"/>
        </w:rPr>
      </w:pPr>
    </w:p>
    <w:p w14:paraId="111705E7">
      <w:pPr>
        <w:pStyle w:val="3"/>
        <w:rPr>
          <w:rFonts w:eastAsia="MS Gothic"/>
        </w:rPr>
      </w:pPr>
      <w:bookmarkStart w:id="22" w:name="_Toc241401769"/>
      <w:bookmarkStart w:id="23" w:name="_Toc241402106"/>
      <w:r>
        <w:rPr>
          <w:rFonts w:eastAsia="MS Gothic"/>
        </w:rPr>
        <w:t>Verification and Nonce Policy</w:t>
      </w:r>
      <w:bookmarkEnd w:id="22"/>
      <w:bookmarkEnd w:id="23"/>
    </w:p>
    <w:p w14:paraId="3B4A17E8">
      <w:pPr>
        <w:spacing w:before="0" w:after="140"/>
        <w:jc w:val="both"/>
        <w:rPr>
          <w:rFonts w:ascii="Times New Roman" w:hAnsi="Times New Roman" w:eastAsia="MS Mincho" w:cs="Times New Roman"/>
          <w:color w:val="191919"/>
          <w:szCs w:val="24"/>
        </w:rPr>
      </w:pPr>
      <w:r>
        <w:rPr>
          <w:rFonts w:ascii="Times New Roman" w:hAnsi="Times New Roman" w:eastAsia="MS Mincho" w:cs="Times New Roman"/>
          <w:color w:val="191919"/>
          <w:szCs w:val="24"/>
        </w:rPr>
        <w:t>The parser rejects invalid lengths and structures. The client verifies the GCM tag before using decrypted data, then checks the requested document ID, owner when known, minimum version, and filename against authenticated metadata. Failure stops the download before the destination file is created or replaced.</w:t>
      </w:r>
    </w:p>
    <w:p w14:paraId="2483E079">
      <w:pPr>
        <w:spacing w:before="0" w:after="140"/>
        <w:jc w:val="both"/>
        <w:rPr>
          <w:rFonts w:ascii="Times New Roman" w:hAnsi="Times New Roman" w:eastAsia="MS Mincho" w:cs="Times New Roman"/>
          <w:color w:val="191919"/>
          <w:szCs w:val="24"/>
        </w:rPr>
      </w:pPr>
      <w:r>
        <w:rPr>
          <w:rFonts w:ascii="Times New Roman" w:hAnsi="Times New Roman" w:eastAsia="MS Mincho" w:cs="Times New Roman"/>
          <w:color w:val="191919"/>
          <w:szCs w:val="24"/>
        </w:rPr>
        <w:t>The nonce comes from os.urandom(12). The intended fresh-key-per-encryption policy prevents reuse of an old document key across updates and restarts, avoiding dependence on a persistent nonce counter for that key. Random sampling is not an absolute guarantee of uniqueness. If an update path ever encrypts with an old K_doc, that path must instead enforce nonce uniqueness across restarts. The final integrated update path should be checked against this policy.</w:t>
      </w:r>
    </w:p>
    <w:p w14:paraId="7247367B">
      <w:pPr>
        <w:pStyle w:val="2"/>
        <w:rPr>
          <w:rFonts w:eastAsia="MS Gothic"/>
        </w:rPr>
      </w:pPr>
      <w:bookmarkStart w:id="24" w:name="_Toc241401770"/>
      <w:bookmarkStart w:id="25" w:name="_Toc241402107"/>
      <w:r>
        <w:rPr>
          <w:rFonts w:eastAsia="MS Gothic"/>
        </w:rPr>
        <w:t>Public Key Cryptography and Sharing</w:t>
      </w:r>
      <w:bookmarkEnd w:id="24"/>
      <w:bookmarkEnd w:id="25"/>
    </w:p>
    <w:p w14:paraId="3101F330">
      <w:pPr>
        <w:pStyle w:val="3"/>
        <w:rPr>
          <w:rFonts w:eastAsia="MS Gothic"/>
        </w:rPr>
      </w:pPr>
      <w:bookmarkStart w:id="26" w:name="_Toc241401771"/>
      <w:bookmarkStart w:id="27" w:name="_Toc241402108"/>
      <w:r>
        <w:rPr>
          <w:rFonts w:eastAsia="MS Gothic"/>
        </w:rPr>
        <w:t>P-256 ECDH and ECDSA</w:t>
      </w:r>
      <w:bookmarkEnd w:id="26"/>
      <w:bookmarkEnd w:id="27"/>
    </w:p>
    <w:p w14:paraId="32DB3E7F">
      <w:pPr>
        <w:spacing w:before="0" w:after="140"/>
        <w:jc w:val="both"/>
        <w:rPr>
          <w:rFonts w:ascii="Times New Roman" w:hAnsi="Times New Roman" w:eastAsia="MS Mincho" w:cs="Times New Roman"/>
          <w:color w:val="191919"/>
          <w:szCs w:val="24"/>
        </w:rPr>
      </w:pPr>
      <w:r>
        <w:rPr>
          <w:rFonts w:ascii="Times New Roman" w:hAnsi="Times New Roman" w:eastAsia="MS Mincho" w:cs="Times New Roman"/>
          <w:color w:val="191919"/>
          <w:szCs w:val="24"/>
        </w:rPr>
        <w:t>The implementation describes P-256 point addition, doubling, and scalar multiplication in crypto/ecc.py; ECDH agreement in crypto/ecdh.py; and SHA-256-based ECDSA signing and verification in crypto/ecdsa.py. P-256 provides approximately 128-bit classical security, comparable to the intended level of AES-128. Its public keys are compact; this report makes no unmeasured performance comparison with finite-field alternatives.</w:t>
      </w:r>
    </w:p>
    <w:p w14:paraId="1FF9619C">
      <w:pPr>
        <w:spacing w:before="0" w:after="140"/>
        <w:jc w:val="both"/>
        <w:rPr>
          <w:rFonts w:ascii="Times New Roman" w:hAnsi="Times New Roman" w:eastAsia="MS Mincho" w:cs="Times New Roman"/>
          <w:color w:val="191919"/>
          <w:szCs w:val="24"/>
        </w:rPr>
      </w:pPr>
      <w:r>
        <w:rPr>
          <w:rFonts w:ascii="Times New Roman" w:hAnsi="Times New Roman" w:eastAsia="MS Mincho" w:cs="Times New Roman"/>
          <w:color w:val="191919"/>
          <w:szCs w:val="24"/>
        </w:rPr>
        <w:t>A long-term ECDH key and a long-term ECDSA key have separate purposes. For each share, the sender generates an ephemeral P-256 ECDH pair and combines its private key with the recipient’s certified static ECDH public key. HKDF-SHA-256, a new 16-byte salt, and protocol-specific context derive a 16-byte AES wrapping key. AES-128-GCM then protects the 16-byte K_doc. The wrapped-key context and authenticated data bind identities, document ID, version, and ephemeral public key.</w:t>
      </w:r>
    </w:p>
    <w:p w14:paraId="3D225E7C">
      <w:pPr>
        <w:pStyle w:val="3"/>
        <w:rPr>
          <w:rFonts w:eastAsia="MS Gothic"/>
        </w:rPr>
      </w:pPr>
      <w:bookmarkStart w:id="28" w:name="_Toc241402109"/>
      <w:bookmarkStart w:id="29" w:name="_Toc241401772"/>
      <w:r>
        <w:rPr>
          <w:rFonts w:eastAsia="MS Gothic"/>
        </w:rPr>
        <w:t>Certificate and Signed Share Record</w:t>
      </w:r>
      <w:bookmarkEnd w:id="28"/>
      <w:bookmarkEnd w:id="29"/>
    </w:p>
    <w:p w14:paraId="6A8F9974">
      <w:pPr>
        <w:spacing w:before="0" w:after="140"/>
        <w:jc w:val="both"/>
        <w:rPr>
          <w:rFonts w:ascii="Times New Roman" w:hAnsi="Times New Roman" w:eastAsia="MS Mincho" w:cs="Times New Roman"/>
          <w:color w:val="191919"/>
          <w:szCs w:val="24"/>
        </w:rPr>
      </w:pPr>
      <w:r>
        <w:rPr>
          <w:rFonts w:ascii="Times New Roman" w:hAnsi="Times New Roman" w:eastAsia="MS Mincho" w:cs="Times New Roman"/>
          <w:color w:val="191919"/>
          <w:szCs w:val="24"/>
        </w:rPr>
        <w:t>The UserCertificate binds username, issuer, serial number, validity, and distinct ECDH and ECDSA public keys; its canonical signed body uses CERTIFICATE_PREFIX = b"SecureVault-User-Certificate-v1". Verification under the authentic CA public key is necessary before using a stored public key. The CA service is separate from the untrusted document server.</w:t>
      </w:r>
    </w:p>
    <w:p w14:paraId="21FEF240">
      <w:pPr>
        <w:spacing w:before="0" w:after="140"/>
        <w:jc w:val="both"/>
        <w:rPr>
          <w:rFonts w:ascii="Times New Roman" w:hAnsi="Times New Roman" w:eastAsia="MS Mincho" w:cs="Times New Roman"/>
          <w:color w:val="191919"/>
          <w:szCs w:val="24"/>
        </w:rPr>
      </w:pPr>
      <w:r>
        <w:rPr>
          <w:rFonts w:ascii="Times New Roman" w:hAnsi="Times New Roman" w:eastAsia="MS Mincho" w:cs="Times New Roman"/>
          <w:color w:val="191919"/>
          <w:szCs w:val="24"/>
        </w:rPr>
        <w:t>The sender signs a canonical ShareRecord that includes document ID, sender, recipient, version, timestamp, ephemeral public key, and wrapping details. The recipient validates the sender’s CA certificate and ECDSA signature, unwraps the key, and verifies the protected document with GCM. The signature authenticates the record and its named sender. It does not, by itself, prove the exact bytes of the separate protected document to a third party because the record does not include a digest of those bytes.</w:t>
      </w:r>
    </w:p>
    <w:p w14:paraId="4CA0456F">
      <w:pPr>
        <w:pStyle w:val="3"/>
        <w:rPr>
          <w:rFonts w:eastAsia="MS Gothic"/>
        </w:rPr>
      </w:pPr>
      <w:bookmarkStart w:id="30" w:name="_Toc241401773"/>
      <w:bookmarkStart w:id="31" w:name="_Toc241402110"/>
      <w:r>
        <w:rPr>
          <w:rFonts w:eastAsia="MS Gothic"/>
        </w:rPr>
        <w:t>Freshness</w:t>
      </w:r>
      <w:bookmarkEnd w:id="30"/>
      <w:bookmarkEnd w:id="31"/>
    </w:p>
    <w:p w14:paraId="059737A7">
      <w:pPr>
        <w:pStyle w:val="2"/>
        <w:jc w:val="both"/>
        <w:rPr>
          <w:rFonts w:eastAsia="MS Gothic"/>
          <w:b w:val="0"/>
          <w:bCs/>
          <w:sz w:val="24"/>
          <w:szCs w:val="24"/>
          <w:rtl/>
        </w:rPr>
      </w:pPr>
      <w:bookmarkStart w:id="32" w:name="_Toc241402111"/>
      <w:bookmarkStart w:id="33" w:name="_Toc241401774"/>
      <w:r>
        <w:rPr>
          <w:b w:val="0"/>
          <w:bCs/>
          <w:sz w:val="24"/>
          <w:szCs w:val="24"/>
        </w:rPr>
        <w:t xml:space="preserve">The integrated client stores the last accepted version for each user and document in </w:t>
      </w:r>
      <w:r>
        <w:rPr>
          <w:rStyle w:val="10"/>
          <w:rFonts w:asciiTheme="majorBidi" w:hAnsiTheme="majorBidi" w:eastAsiaTheme="majorEastAsia" w:cstheme="majorBidi"/>
          <w:b w:val="0"/>
          <w:bCs/>
          <w:sz w:val="24"/>
          <w:szCs w:val="24"/>
        </w:rPr>
        <w:t>client/trusted_versions.json</w:t>
      </w:r>
      <w:r>
        <w:rPr>
          <w:b w:val="0"/>
          <w:bCs/>
          <w:sz w:val="24"/>
          <w:szCs w:val="24"/>
        </w:rPr>
        <w:t xml:space="preserve">. It rejects shares with an older or equal version and updates this file only after the share and downloaded document have been verified. This history survives a normal client restart on the same machine, but deleting or rolling back the local file can weaken replay protection. The separate </w:t>
      </w:r>
      <w:r>
        <w:rPr>
          <w:rStyle w:val="10"/>
          <w:rFonts w:asciiTheme="majorBidi" w:hAnsiTheme="majorBidi" w:eastAsiaTheme="majorEastAsia" w:cstheme="majorBidi"/>
          <w:b w:val="0"/>
          <w:bCs/>
          <w:sz w:val="24"/>
          <w:szCs w:val="24"/>
        </w:rPr>
        <w:t>VersionTracker</w:t>
      </w:r>
      <w:r>
        <w:rPr>
          <w:b w:val="0"/>
          <w:bCs/>
          <w:sz w:val="24"/>
          <w:szCs w:val="24"/>
        </w:rPr>
        <w:t xml:space="preserve"> class is in memory.</w:t>
      </w:r>
    </w:p>
    <w:p w14:paraId="4EA78288">
      <w:pPr>
        <w:pStyle w:val="2"/>
        <w:rPr>
          <w:rFonts w:eastAsia="MS Gothic"/>
        </w:rPr>
      </w:pPr>
      <w:r>
        <w:rPr>
          <w:rFonts w:eastAsia="MS Gothic"/>
        </w:rPr>
        <w:t>Security Argument</w:t>
      </w:r>
      <w:bookmarkEnd w:id="32"/>
      <w:bookmarkEnd w:id="33"/>
    </w:p>
    <w:p w14:paraId="0B477074">
      <w:pPr>
        <w:spacing w:before="0" w:after="140" w:line="240" w:lineRule="auto"/>
        <w:jc w:val="center"/>
        <w:rPr>
          <w:rFonts w:eastAsia="MS Mincho" w:cstheme="majorBidi"/>
          <w:b/>
          <w:bCs/>
          <w:i/>
          <w:iCs/>
          <w:sz w:val="20"/>
          <w:szCs w:val="20"/>
        </w:rPr>
      </w:pPr>
      <w:r>
        <w:rPr>
          <w:rFonts w:eastAsia="MS Mincho" w:cstheme="majorBidi"/>
          <w:b/>
          <w:bCs/>
          <w:i/>
          <w:iCs/>
          <w:sz w:val="20"/>
          <w:szCs w:val="20"/>
        </w:rPr>
        <w:t xml:space="preserve">Table </w:t>
      </w:r>
      <w:r>
        <w:rPr>
          <w:rFonts w:eastAsia="MS Mincho" w:cstheme="majorBidi"/>
          <w:b/>
          <w:bCs/>
          <w:i/>
          <w:iCs/>
          <w:sz w:val="20"/>
          <w:szCs w:val="20"/>
        </w:rPr>
        <w:fldChar w:fldCharType="begin"/>
      </w:r>
      <w:r>
        <w:rPr>
          <w:rFonts w:eastAsia="MS Mincho" w:cstheme="majorBidi"/>
          <w:b/>
          <w:bCs/>
          <w:i/>
          <w:iCs/>
          <w:sz w:val="20"/>
          <w:szCs w:val="20"/>
        </w:rPr>
        <w:instrText xml:space="preserve"> SEQ Table \* ARABIC </w:instrText>
      </w:r>
      <w:r>
        <w:rPr>
          <w:rFonts w:eastAsia="MS Mincho" w:cstheme="majorBidi"/>
          <w:b/>
          <w:bCs/>
          <w:i/>
          <w:iCs/>
          <w:sz w:val="20"/>
          <w:szCs w:val="20"/>
        </w:rPr>
        <w:fldChar w:fldCharType="separate"/>
      </w:r>
      <w:r>
        <w:rPr>
          <w:rFonts w:eastAsia="MS Mincho" w:cstheme="majorBidi"/>
          <w:b/>
          <w:bCs/>
          <w:i/>
          <w:iCs/>
          <w:sz w:val="20"/>
          <w:szCs w:val="20"/>
        </w:rPr>
        <w:t>2</w:t>
      </w:r>
      <w:r>
        <w:rPr>
          <w:rFonts w:eastAsia="MS Mincho" w:cstheme="majorBidi"/>
          <w:b/>
          <w:bCs/>
          <w:i/>
          <w:iCs/>
          <w:sz w:val="20"/>
          <w:szCs w:val="20"/>
        </w:rPr>
        <w:fldChar w:fldCharType="end"/>
      </w:r>
      <w:r>
        <w:rPr>
          <w:rFonts w:eastAsia="MS Mincho" w:cstheme="majorBidi"/>
          <w:b/>
          <w:bCs/>
          <w:i/>
          <w:iCs/>
          <w:sz w:val="20"/>
          <w:szCs w:val="20"/>
        </w:rPr>
        <w:t>:maps the claimed property to its mechanism and an important boundary.</w:t>
      </w:r>
    </w:p>
    <w:tbl>
      <w:tblPr>
        <w:tblStyle w:val="32"/>
        <w:tblW w:w="0" w:type="auto"/>
        <w:tblInd w:w="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fixed"/>
        <w:tblCellMar>
          <w:top w:w="0" w:type="dxa"/>
          <w:left w:w="108" w:type="dxa"/>
          <w:bottom w:w="0" w:type="dxa"/>
          <w:right w:w="108" w:type="dxa"/>
        </w:tblCellMar>
      </w:tblPr>
      <w:tblGrid>
        <w:gridCol w:w="1984"/>
        <w:gridCol w:w="3572"/>
        <w:gridCol w:w="3288"/>
      </w:tblGrid>
      <w:tr w14:paraId="1D018885">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1984" w:type="dxa"/>
            <w:tcBorders>
              <w:top w:val="single" w:color="FFFFFF" w:sz="4" w:space="0"/>
              <w:left w:val="single" w:color="FFFFFF" w:sz="4" w:space="0"/>
              <w:right w:val="nil"/>
              <w:insideV w:val="nil"/>
            </w:tcBorders>
            <w:shd w:val="clear" w:color="auto" w:fill="9BBB59"/>
          </w:tcPr>
          <w:p w14:paraId="4EB1CBD6">
            <w:pPr>
              <w:spacing w:before="0" w:after="0"/>
              <w:jc w:val="center"/>
              <w:rPr>
                <w:rFonts w:ascii="Times New Roman" w:hAnsi="Times New Roman" w:eastAsia="MS Mincho" w:cs="Times New Roman"/>
                <w:b/>
                <w:bCs/>
                <w:color w:val="191919"/>
                <w:sz w:val="20"/>
                <w:szCs w:val="20"/>
              </w:rPr>
            </w:pPr>
            <w:r>
              <w:rPr>
                <w:rFonts w:ascii="Times New Roman" w:hAnsi="Times New Roman" w:eastAsia="MS Mincho" w:cs="Times New Roman"/>
                <w:b/>
                <w:bCs/>
                <w:color w:val="FFFFFF"/>
                <w:sz w:val="20"/>
                <w:szCs w:val="20"/>
              </w:rPr>
              <w:t>Property</w:t>
            </w:r>
          </w:p>
        </w:tc>
        <w:tc>
          <w:tcPr>
            <w:tcW w:w="3572" w:type="dxa"/>
            <w:tcBorders>
              <w:top w:val="single" w:color="FFFFFF" w:sz="4" w:space="0"/>
              <w:right w:val="nil"/>
              <w:insideV w:val="nil"/>
            </w:tcBorders>
            <w:shd w:val="clear" w:color="auto" w:fill="9BBB59"/>
          </w:tcPr>
          <w:p w14:paraId="15E5A557">
            <w:pPr>
              <w:spacing w:before="0" w:after="0"/>
              <w:jc w:val="center"/>
              <w:rPr>
                <w:rFonts w:ascii="Times New Roman" w:hAnsi="Times New Roman" w:eastAsia="MS Mincho" w:cs="Times New Roman"/>
                <w:b/>
                <w:bCs/>
                <w:color w:val="191919"/>
                <w:sz w:val="20"/>
                <w:szCs w:val="20"/>
              </w:rPr>
            </w:pPr>
            <w:r>
              <w:rPr>
                <w:rFonts w:ascii="Times New Roman" w:hAnsi="Times New Roman" w:eastAsia="MS Mincho" w:cs="Times New Roman"/>
                <w:b/>
                <w:bCs/>
                <w:color w:val="FFFFFF"/>
                <w:sz w:val="20"/>
                <w:szCs w:val="20"/>
              </w:rPr>
              <w:t>Mechanism</w:t>
            </w:r>
          </w:p>
        </w:tc>
        <w:tc>
          <w:tcPr>
            <w:tcW w:w="3288" w:type="dxa"/>
            <w:tcBorders>
              <w:top w:val="single" w:color="FFFFFF" w:sz="4" w:space="0"/>
              <w:right w:val="single" w:color="FFFFFF" w:sz="4" w:space="0"/>
              <w:insideV w:val="nil"/>
            </w:tcBorders>
            <w:shd w:val="clear" w:color="auto" w:fill="9BBB59"/>
          </w:tcPr>
          <w:p w14:paraId="2604B0DB">
            <w:pPr>
              <w:spacing w:before="0" w:after="0"/>
              <w:jc w:val="center"/>
              <w:rPr>
                <w:rFonts w:ascii="Times New Roman" w:hAnsi="Times New Roman" w:eastAsia="MS Mincho" w:cs="Times New Roman"/>
                <w:b/>
                <w:bCs/>
                <w:color w:val="191919"/>
                <w:sz w:val="20"/>
                <w:szCs w:val="20"/>
              </w:rPr>
            </w:pPr>
            <w:r>
              <w:rPr>
                <w:rFonts w:ascii="Times New Roman" w:hAnsi="Times New Roman" w:eastAsia="MS Mincho" w:cs="Times New Roman"/>
                <w:b/>
                <w:bCs/>
                <w:color w:val="FFFFFF"/>
                <w:sz w:val="20"/>
                <w:szCs w:val="20"/>
              </w:rPr>
              <w:t>Boundary</w:t>
            </w:r>
          </w:p>
        </w:tc>
      </w:tr>
      <w:tr w14:paraId="1D9635FD">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1984" w:type="dxa"/>
            <w:tcBorders>
              <w:left w:val="single" w:color="FFFFFF" w:sz="4" w:space="0"/>
            </w:tcBorders>
            <w:shd w:val="clear" w:color="auto" w:fill="9BBB59"/>
          </w:tcPr>
          <w:p w14:paraId="5EDF0A51">
            <w:pPr>
              <w:spacing w:before="0" w:after="0"/>
              <w:jc w:val="center"/>
              <w:rPr>
                <w:rFonts w:ascii="Times New Roman" w:hAnsi="Times New Roman" w:eastAsia="MS Mincho" w:cs="Times New Roman"/>
                <w:b/>
                <w:bCs/>
                <w:color w:val="191919"/>
                <w:sz w:val="20"/>
                <w:szCs w:val="20"/>
              </w:rPr>
            </w:pPr>
            <w:r>
              <w:rPr>
                <w:rFonts w:ascii="Times New Roman" w:hAnsi="Times New Roman" w:eastAsia="MS Mincho" w:cs="Times New Roman"/>
                <w:b/>
                <w:bCs/>
                <w:color w:val="191919"/>
                <w:sz w:val="20"/>
                <w:szCs w:val="20"/>
              </w:rPr>
              <w:t>Password resistance</w:t>
            </w:r>
          </w:p>
        </w:tc>
        <w:tc>
          <w:tcPr>
            <w:tcW w:w="3572" w:type="dxa"/>
            <w:shd w:val="clear" w:color="auto" w:fill="D6E3BC"/>
          </w:tcPr>
          <w:p w14:paraId="2D9BA184">
            <w:pPr>
              <w:spacing w:before="0" w:after="0"/>
              <w:jc w:val="center"/>
              <w:rPr>
                <w:rFonts w:ascii="Times New Roman" w:hAnsi="Times New Roman" w:eastAsia="MS Mincho" w:cs="Times New Roman"/>
                <w:color w:val="191919"/>
                <w:sz w:val="20"/>
                <w:szCs w:val="20"/>
              </w:rPr>
            </w:pPr>
            <w:r>
              <w:rPr>
                <w:rFonts w:ascii="Times New Roman" w:hAnsi="Times New Roman" w:eastAsia="MS Mincho" w:cs="Times New Roman"/>
                <w:color w:val="191919"/>
                <w:sz w:val="20"/>
                <w:szCs w:val="20"/>
              </w:rPr>
              <w:t>Salted Argon2id verifier; 128 MiB, 3 passes</w:t>
            </w:r>
          </w:p>
        </w:tc>
        <w:tc>
          <w:tcPr>
            <w:tcW w:w="3288" w:type="dxa"/>
            <w:shd w:val="clear" w:color="auto" w:fill="D6E3BC"/>
          </w:tcPr>
          <w:p w14:paraId="4690017F">
            <w:pPr>
              <w:spacing w:before="0" w:after="0"/>
              <w:jc w:val="center"/>
              <w:rPr>
                <w:rFonts w:ascii="Times New Roman" w:hAnsi="Times New Roman" w:eastAsia="MS Mincho" w:cs="Times New Roman"/>
                <w:color w:val="191919"/>
                <w:sz w:val="20"/>
                <w:szCs w:val="20"/>
              </w:rPr>
            </w:pPr>
            <w:r>
              <w:rPr>
                <w:rFonts w:ascii="Times New Roman" w:hAnsi="Times New Roman" w:eastAsia="MS Mincho" w:cs="Times New Roman"/>
                <w:color w:val="191919"/>
                <w:sz w:val="20"/>
                <w:szCs w:val="20"/>
              </w:rPr>
              <w:t>A weak or reused password can still be found by an attacker who obtains the salt and verifier, since Argon2id raises the cost per guess but does not make guessing impossible.</w:t>
            </w:r>
          </w:p>
        </w:tc>
      </w:tr>
      <w:tr w14:paraId="6C2F5A84">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1984" w:type="dxa"/>
            <w:tcBorders>
              <w:left w:val="single" w:color="FFFFFF" w:sz="4" w:space="0"/>
            </w:tcBorders>
            <w:shd w:val="clear" w:color="auto" w:fill="9BBB59"/>
          </w:tcPr>
          <w:p w14:paraId="26A1DE03">
            <w:pPr>
              <w:spacing w:before="0" w:after="0"/>
              <w:jc w:val="center"/>
              <w:rPr>
                <w:rFonts w:ascii="Times New Roman" w:hAnsi="Times New Roman" w:eastAsia="MS Mincho" w:cs="Times New Roman"/>
                <w:b/>
                <w:bCs/>
                <w:color w:val="191919"/>
                <w:sz w:val="20"/>
                <w:szCs w:val="20"/>
              </w:rPr>
            </w:pPr>
            <w:r>
              <w:rPr>
                <w:rFonts w:ascii="Times New Roman" w:hAnsi="Times New Roman" w:eastAsia="MS Mincho" w:cs="Times New Roman"/>
                <w:b/>
                <w:bCs/>
                <w:color w:val="191919"/>
                <w:sz w:val="20"/>
                <w:szCs w:val="20"/>
              </w:rPr>
              <w:t>Document confidentiality</w:t>
            </w:r>
          </w:p>
        </w:tc>
        <w:tc>
          <w:tcPr>
            <w:tcW w:w="3572" w:type="dxa"/>
            <w:shd w:val="clear" w:color="auto" w:fill="EAF1DD"/>
          </w:tcPr>
          <w:p w14:paraId="2ACEEE49">
            <w:pPr>
              <w:spacing w:before="0" w:after="0"/>
              <w:jc w:val="center"/>
              <w:rPr>
                <w:rFonts w:ascii="Times New Roman" w:hAnsi="Times New Roman" w:eastAsia="MS Mincho" w:cs="Times New Roman"/>
                <w:color w:val="191919"/>
                <w:sz w:val="20"/>
                <w:szCs w:val="20"/>
              </w:rPr>
            </w:pPr>
            <w:r>
              <w:rPr>
                <w:rFonts w:ascii="Times New Roman" w:hAnsi="Times New Roman" w:eastAsia="MS Mincho" w:cs="Times New Roman"/>
                <w:color w:val="191919"/>
                <w:sz w:val="20"/>
                <w:szCs w:val="20"/>
              </w:rPr>
              <w:t>Client-side AES-128-GCM under fresh K_doc</w:t>
            </w:r>
          </w:p>
        </w:tc>
        <w:tc>
          <w:tcPr>
            <w:tcW w:w="3288" w:type="dxa"/>
            <w:shd w:val="clear" w:color="auto" w:fill="EAF1DD"/>
          </w:tcPr>
          <w:p w14:paraId="5F982E26">
            <w:pPr>
              <w:spacing w:before="0" w:after="0"/>
              <w:jc w:val="center"/>
              <w:rPr>
                <w:rFonts w:ascii="Times New Roman" w:hAnsi="Times New Roman" w:eastAsia="MS Mincho" w:cs="Times New Roman"/>
                <w:color w:val="191919"/>
                <w:sz w:val="20"/>
                <w:szCs w:val="20"/>
              </w:rPr>
            </w:pPr>
            <w:r>
              <w:rPr>
                <w:rFonts w:ascii="Times New Roman" w:hAnsi="Times New Roman" w:eastAsia="MS Mincho" w:cs="Times New Roman"/>
                <w:color w:val="191919"/>
                <w:sz w:val="20"/>
                <w:szCs w:val="20"/>
              </w:rPr>
              <w:t>Document IDs, owner identities, upload and download timestamps, byte sizes, and (in the integrated app) the plaintext filename are visible to the server and to network observers even though the confidentiality guarantee holds for content.</w:t>
            </w:r>
          </w:p>
        </w:tc>
      </w:tr>
      <w:tr w14:paraId="6A994B90">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1984" w:type="dxa"/>
            <w:tcBorders>
              <w:left w:val="single" w:color="FFFFFF" w:sz="4" w:space="0"/>
            </w:tcBorders>
            <w:shd w:val="clear" w:color="auto" w:fill="9BBB59"/>
          </w:tcPr>
          <w:p w14:paraId="6FB07DAD">
            <w:pPr>
              <w:spacing w:before="0" w:after="0"/>
              <w:jc w:val="center"/>
              <w:rPr>
                <w:rFonts w:ascii="Times New Roman" w:hAnsi="Times New Roman" w:eastAsia="MS Mincho" w:cs="Times New Roman"/>
                <w:b/>
                <w:bCs/>
                <w:color w:val="191919"/>
                <w:sz w:val="20"/>
                <w:szCs w:val="20"/>
              </w:rPr>
            </w:pPr>
            <w:r>
              <w:rPr>
                <w:rFonts w:ascii="Times New Roman" w:hAnsi="Times New Roman" w:eastAsia="MS Mincho" w:cs="Times New Roman"/>
                <w:b/>
                <w:bCs/>
                <w:color w:val="191919"/>
                <w:sz w:val="20"/>
                <w:szCs w:val="20"/>
              </w:rPr>
              <w:t>Document integrity</w:t>
            </w:r>
          </w:p>
        </w:tc>
        <w:tc>
          <w:tcPr>
            <w:tcW w:w="3572" w:type="dxa"/>
            <w:shd w:val="clear" w:color="auto" w:fill="D6E3BC"/>
          </w:tcPr>
          <w:p w14:paraId="60D23C46">
            <w:pPr>
              <w:spacing w:before="0" w:after="0"/>
              <w:jc w:val="center"/>
              <w:rPr>
                <w:rFonts w:ascii="Times New Roman" w:hAnsi="Times New Roman" w:eastAsia="MS Mincho" w:cs="Times New Roman"/>
                <w:color w:val="191919"/>
                <w:sz w:val="20"/>
                <w:szCs w:val="20"/>
              </w:rPr>
            </w:pPr>
            <w:r>
              <w:rPr>
                <w:rFonts w:ascii="Times New Roman" w:hAnsi="Times New Roman" w:eastAsia="MS Mincho" w:cs="Times New Roman"/>
                <w:color w:val="191919"/>
                <w:sz w:val="20"/>
                <w:szCs w:val="20"/>
              </w:rPr>
              <w:t>GCM tag covers ciphertext and public AAD</w:t>
            </w:r>
          </w:p>
        </w:tc>
        <w:tc>
          <w:tcPr>
            <w:tcW w:w="3288" w:type="dxa"/>
            <w:shd w:val="clear" w:color="auto" w:fill="D6E3BC"/>
          </w:tcPr>
          <w:p w14:paraId="7C5F2EF4">
            <w:pPr>
              <w:spacing w:before="0" w:after="0"/>
              <w:jc w:val="center"/>
              <w:rPr>
                <w:rFonts w:ascii="Times New Roman" w:hAnsi="Times New Roman" w:eastAsia="MS Mincho" w:cs="Times New Roman"/>
                <w:color w:val="191919"/>
                <w:sz w:val="20"/>
                <w:szCs w:val="20"/>
              </w:rPr>
            </w:pPr>
            <w:r>
              <w:rPr>
                <w:rFonts w:ascii="Times New Roman" w:hAnsi="Times New Roman" w:eastAsia="MS Mincho" w:cs="Times New Roman"/>
                <w:color w:val="191919"/>
                <w:sz w:val="20"/>
                <w:szCs w:val="20"/>
              </w:rPr>
              <w:t>The guarantee only holds if the recipient actually checks the GCM tag before trusting decrypted bytes; skipping or mis-ordering that check anywhere in the call path defeats the property even though the underlying cryptography is sound.</w:t>
            </w:r>
          </w:p>
        </w:tc>
      </w:tr>
      <w:tr w14:paraId="0225ADB3">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1984" w:type="dxa"/>
            <w:tcBorders>
              <w:left w:val="single" w:color="FFFFFF" w:sz="4" w:space="0"/>
            </w:tcBorders>
            <w:shd w:val="clear" w:color="auto" w:fill="9BBB59"/>
          </w:tcPr>
          <w:p w14:paraId="15F4B625">
            <w:pPr>
              <w:spacing w:before="0" w:after="0"/>
              <w:jc w:val="center"/>
              <w:rPr>
                <w:rFonts w:ascii="Times New Roman" w:hAnsi="Times New Roman" w:eastAsia="MS Mincho" w:cs="Times New Roman"/>
                <w:b/>
                <w:bCs/>
                <w:color w:val="191919"/>
                <w:sz w:val="20"/>
                <w:szCs w:val="20"/>
              </w:rPr>
            </w:pPr>
            <w:r>
              <w:rPr>
                <w:rFonts w:ascii="Times New Roman" w:hAnsi="Times New Roman" w:eastAsia="MS Mincho" w:cs="Times New Roman"/>
                <w:b/>
                <w:bCs/>
                <w:color w:val="191919"/>
                <w:sz w:val="20"/>
                <w:szCs w:val="20"/>
              </w:rPr>
              <w:t>Share-key secrecy</w:t>
            </w:r>
          </w:p>
        </w:tc>
        <w:tc>
          <w:tcPr>
            <w:tcW w:w="3572" w:type="dxa"/>
            <w:shd w:val="clear" w:color="auto" w:fill="EAF1DD"/>
          </w:tcPr>
          <w:p w14:paraId="67FC7352">
            <w:pPr>
              <w:spacing w:before="0" w:after="0"/>
              <w:jc w:val="center"/>
              <w:rPr>
                <w:rFonts w:ascii="Times New Roman" w:hAnsi="Times New Roman" w:eastAsia="MS Mincho" w:cs="Times New Roman"/>
                <w:color w:val="191919"/>
                <w:sz w:val="20"/>
                <w:szCs w:val="20"/>
              </w:rPr>
            </w:pPr>
            <w:r>
              <w:rPr>
                <w:rFonts w:ascii="Times New Roman" w:hAnsi="Times New Roman" w:eastAsia="MS Mincho" w:cs="Times New Roman"/>
                <w:color w:val="191919"/>
                <w:sz w:val="20"/>
                <w:szCs w:val="20"/>
              </w:rPr>
              <w:t>Ephemeral-static ECDH, HKDF, AES-GCM wrap</w:t>
            </w:r>
          </w:p>
        </w:tc>
        <w:tc>
          <w:tcPr>
            <w:tcW w:w="3288" w:type="dxa"/>
            <w:shd w:val="clear" w:color="auto" w:fill="EAF1DD"/>
          </w:tcPr>
          <w:p w14:paraId="5AE0EE60">
            <w:pPr>
              <w:spacing w:before="0" w:after="0"/>
              <w:jc w:val="center"/>
              <w:rPr>
                <w:rFonts w:ascii="Times New Roman" w:hAnsi="Times New Roman" w:eastAsia="MS Mincho" w:cs="Times New Roman"/>
                <w:color w:val="191919"/>
                <w:sz w:val="20"/>
                <w:szCs w:val="20"/>
              </w:rPr>
            </w:pPr>
            <w:r>
              <w:rPr>
                <w:rFonts w:ascii="Times New Roman" w:hAnsi="Times New Roman" w:eastAsia="MS Mincho" w:cs="Times New Roman"/>
                <w:color w:val="191919"/>
                <w:sz w:val="20"/>
                <w:szCs w:val="20"/>
              </w:rPr>
              <w:t>Because the recipient's ECDH key is long-term and static, compromising it later lets an attacker who recorded old wrapped-key traffic recover every K_doc ever wrapped for that recipient, not just future ones.</w:t>
            </w:r>
          </w:p>
        </w:tc>
      </w:tr>
      <w:tr w14:paraId="2DBFD18C">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1984" w:type="dxa"/>
            <w:tcBorders>
              <w:left w:val="single" w:color="FFFFFF" w:sz="4" w:space="0"/>
            </w:tcBorders>
            <w:shd w:val="clear" w:color="auto" w:fill="9BBB59"/>
          </w:tcPr>
          <w:p w14:paraId="7A8550D0">
            <w:pPr>
              <w:spacing w:before="0" w:after="0"/>
              <w:jc w:val="center"/>
              <w:rPr>
                <w:rFonts w:ascii="Times New Roman" w:hAnsi="Times New Roman" w:eastAsia="MS Mincho" w:cs="Times New Roman"/>
                <w:b/>
                <w:bCs/>
                <w:color w:val="191919"/>
                <w:sz w:val="20"/>
                <w:szCs w:val="20"/>
              </w:rPr>
            </w:pPr>
            <w:r>
              <w:rPr>
                <w:rFonts w:ascii="Times New Roman" w:hAnsi="Times New Roman" w:eastAsia="MS Mincho" w:cs="Times New Roman"/>
                <w:b/>
                <w:bCs/>
                <w:color w:val="191919"/>
                <w:sz w:val="20"/>
                <w:szCs w:val="20"/>
              </w:rPr>
              <w:t>Sender identity</w:t>
            </w:r>
          </w:p>
        </w:tc>
        <w:tc>
          <w:tcPr>
            <w:tcW w:w="3572" w:type="dxa"/>
            <w:shd w:val="clear" w:color="auto" w:fill="D6E3BC"/>
          </w:tcPr>
          <w:p w14:paraId="677A42E2">
            <w:pPr>
              <w:spacing w:before="0" w:after="0"/>
              <w:jc w:val="center"/>
              <w:rPr>
                <w:rFonts w:ascii="Times New Roman" w:hAnsi="Times New Roman" w:eastAsia="MS Mincho" w:cs="Times New Roman"/>
                <w:color w:val="191919"/>
                <w:sz w:val="20"/>
                <w:szCs w:val="20"/>
              </w:rPr>
            </w:pPr>
            <w:r>
              <w:rPr>
                <w:rFonts w:ascii="Times New Roman" w:hAnsi="Times New Roman" w:eastAsia="MS Mincho" w:cs="Times New Roman"/>
                <w:color w:val="191919"/>
                <w:sz w:val="20"/>
                <w:szCs w:val="20"/>
              </w:rPr>
              <w:t>CA certificate and ECDSA over ShareRecord</w:t>
            </w:r>
          </w:p>
        </w:tc>
        <w:tc>
          <w:tcPr>
            <w:tcW w:w="3288" w:type="dxa"/>
            <w:shd w:val="clear" w:color="auto" w:fill="D6E3BC"/>
          </w:tcPr>
          <w:p w14:paraId="5864CAAA">
            <w:pPr>
              <w:spacing w:before="0" w:after="0"/>
              <w:jc w:val="center"/>
              <w:rPr>
                <w:rFonts w:ascii="Times New Roman" w:hAnsi="Times New Roman" w:eastAsia="MS Mincho" w:cs="Times New Roman"/>
                <w:color w:val="191919"/>
                <w:sz w:val="20"/>
                <w:szCs w:val="20"/>
              </w:rPr>
            </w:pPr>
            <w:r>
              <w:rPr>
                <w:rFonts w:ascii="Times New Roman" w:hAnsi="Times New Roman" w:eastAsia="MS Mincho" w:cs="Times New Roman"/>
                <w:color w:val="191919"/>
                <w:sz w:val="20"/>
                <w:szCs w:val="20"/>
              </w:rPr>
              <w:t>The ECDSA signature authenticates the ShareRecord's fields (sender, recipient, document ID, version, ephemeral key) but, absent a digest of the encrypted document in that record, does not by itself let a third party prove which exact ciphertext bytes the sender intended.</w:t>
            </w:r>
          </w:p>
        </w:tc>
      </w:tr>
      <w:tr w14:paraId="1BE1EC52">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1984" w:type="dxa"/>
            <w:tcBorders>
              <w:left w:val="single" w:color="FFFFFF" w:sz="4" w:space="0"/>
            </w:tcBorders>
            <w:shd w:val="clear" w:color="auto" w:fill="9BBB59"/>
          </w:tcPr>
          <w:p w14:paraId="32D6B004">
            <w:pPr>
              <w:spacing w:before="0" w:after="0"/>
              <w:jc w:val="center"/>
              <w:rPr>
                <w:rFonts w:ascii="Times New Roman" w:hAnsi="Times New Roman" w:eastAsia="MS Mincho" w:cs="Times New Roman"/>
                <w:b/>
                <w:bCs/>
                <w:color w:val="191919"/>
                <w:sz w:val="20"/>
                <w:szCs w:val="20"/>
              </w:rPr>
            </w:pPr>
            <w:r>
              <w:rPr>
                <w:rFonts w:ascii="Times New Roman" w:hAnsi="Times New Roman" w:eastAsia="MS Mincho" w:cs="Times New Roman"/>
                <w:b/>
                <w:bCs/>
                <w:color w:val="191919"/>
                <w:sz w:val="20"/>
                <w:szCs w:val="20"/>
              </w:rPr>
              <w:t>First-contact trust</w:t>
            </w:r>
          </w:p>
        </w:tc>
        <w:tc>
          <w:tcPr>
            <w:tcW w:w="3572" w:type="dxa"/>
            <w:shd w:val="clear" w:color="auto" w:fill="EAF1DD"/>
          </w:tcPr>
          <w:p w14:paraId="712B6038">
            <w:pPr>
              <w:spacing w:before="0" w:after="0"/>
              <w:jc w:val="center"/>
              <w:rPr>
                <w:rFonts w:ascii="Times New Roman" w:hAnsi="Times New Roman" w:eastAsia="MS Mincho" w:cs="Times New Roman"/>
                <w:color w:val="191919"/>
                <w:sz w:val="20"/>
                <w:szCs w:val="20"/>
              </w:rPr>
            </w:pPr>
            <w:r>
              <w:rPr>
                <w:rFonts w:ascii="Times New Roman" w:hAnsi="Times New Roman" w:eastAsia="MS Mincho" w:cs="Times New Roman"/>
                <w:color w:val="191919"/>
                <w:sz w:val="20"/>
                <w:szCs w:val="20"/>
              </w:rPr>
              <w:t>Pinned CA key and username/key checks</w:t>
            </w:r>
          </w:p>
        </w:tc>
        <w:tc>
          <w:tcPr>
            <w:tcW w:w="3288" w:type="dxa"/>
            <w:shd w:val="clear" w:color="auto" w:fill="EAF1DD"/>
          </w:tcPr>
          <w:p w14:paraId="28172B39">
            <w:pPr>
              <w:spacing w:before="0" w:after="0"/>
              <w:jc w:val="center"/>
              <w:rPr>
                <w:rFonts w:ascii="Times New Roman" w:hAnsi="Times New Roman" w:eastAsia="MS Mincho" w:cs="Times New Roman"/>
                <w:color w:val="191919"/>
                <w:sz w:val="20"/>
                <w:szCs w:val="20"/>
              </w:rPr>
            </w:pPr>
            <w:r>
              <w:rPr>
                <w:rFonts w:ascii="Times New Roman" w:hAnsi="Times New Roman" w:eastAsia="MS Mincho" w:cs="Times New Roman"/>
                <w:color w:val="191919"/>
                <w:sz w:val="20"/>
                <w:szCs w:val="20"/>
              </w:rPr>
              <w:t>The property collapses to trust in two things outside the cryptography itself: that the CA's signing key was never exposed, and that every client received an authentic, unmodified copy of the CA's public key before its first use.</w:t>
            </w:r>
          </w:p>
        </w:tc>
      </w:tr>
      <w:tr w14:paraId="2401BBC2">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1984" w:type="dxa"/>
            <w:tcBorders>
              <w:left w:val="single" w:color="FFFFFF" w:sz="4" w:space="0"/>
              <w:bottom w:val="single" w:color="FFFFFF" w:sz="4" w:space="0"/>
            </w:tcBorders>
            <w:shd w:val="clear" w:color="auto" w:fill="9BBB59"/>
          </w:tcPr>
          <w:p w14:paraId="4533CB9F">
            <w:pPr>
              <w:spacing w:before="0" w:after="0"/>
              <w:jc w:val="center"/>
              <w:rPr>
                <w:rFonts w:ascii="Times New Roman" w:hAnsi="Times New Roman" w:eastAsia="MS Mincho" w:cs="Times New Roman"/>
                <w:b/>
                <w:bCs/>
                <w:color w:val="191919"/>
                <w:sz w:val="20"/>
                <w:szCs w:val="20"/>
              </w:rPr>
            </w:pPr>
            <w:r>
              <w:rPr>
                <w:rFonts w:ascii="Times New Roman" w:hAnsi="Times New Roman" w:eastAsia="MS Mincho" w:cs="Times New Roman"/>
                <w:b/>
                <w:bCs/>
                <w:color w:val="191919"/>
                <w:sz w:val="20"/>
                <w:szCs w:val="20"/>
              </w:rPr>
              <w:t>Replay in a session</w:t>
            </w:r>
          </w:p>
        </w:tc>
        <w:tc>
          <w:tcPr>
            <w:tcW w:w="3572" w:type="dxa"/>
            <w:shd w:val="clear" w:color="auto" w:fill="D6E3BC"/>
          </w:tcPr>
          <w:p w14:paraId="6F1777B0">
            <w:pPr>
              <w:spacing w:before="0" w:after="0"/>
              <w:jc w:val="center"/>
              <w:rPr>
                <w:rFonts w:ascii="Times New Roman" w:hAnsi="Times New Roman" w:eastAsia="MS Mincho" w:cs="Times New Roman"/>
                <w:color w:val="191919"/>
                <w:sz w:val="20"/>
                <w:szCs w:val="20"/>
              </w:rPr>
            </w:pPr>
            <w:r>
              <w:rPr>
                <w:rFonts w:ascii="Times New Roman" w:hAnsi="Times New Roman" w:eastAsia="MS Mincho" w:cs="Times New Roman"/>
                <w:color w:val="191919"/>
                <w:sz w:val="20"/>
                <w:szCs w:val="20"/>
              </w:rPr>
              <w:t>Authenticated version and local trusted_versions.json history</w:t>
            </w:r>
          </w:p>
        </w:tc>
        <w:tc>
          <w:tcPr>
            <w:tcW w:w="3288" w:type="dxa"/>
            <w:shd w:val="clear" w:color="auto" w:fill="D6E3BC"/>
          </w:tcPr>
          <w:p w14:paraId="72578E79">
            <w:pPr>
              <w:spacing w:before="0" w:after="0"/>
              <w:jc w:val="center"/>
              <w:rPr>
                <w:rFonts w:ascii="Times New Roman" w:hAnsi="Times New Roman" w:eastAsia="MS Mincho" w:cs="Times New Roman"/>
                <w:color w:val="191919"/>
                <w:sz w:val="20"/>
                <w:szCs w:val="20"/>
              </w:rPr>
            </w:pPr>
            <w:r>
              <w:rPr>
                <w:rFonts w:ascii="Times New Roman" w:hAnsi="Times New Roman" w:eastAsia="MS Mincho" w:cs="Times New Roman"/>
                <w:color w:val="191919"/>
                <w:sz w:val="20"/>
                <w:szCs w:val="20"/>
              </w:rPr>
              <w:t>trusted_versions.json is an ordinary file on the client's disk with no separate integrity protection, so a user or malware with local file access can delete or roll it back and reopen the window for replaying an older, previously rejected share.</w:t>
            </w:r>
          </w:p>
        </w:tc>
      </w:tr>
    </w:tbl>
    <w:p w14:paraId="718CC86E">
      <w:pPr>
        <w:spacing w:before="0" w:after="0"/>
        <w:jc w:val="both"/>
        <w:rPr>
          <w:rFonts w:ascii="Aptos" w:hAnsi="Aptos" w:eastAsia="MS Mincho" w:cs="Arial"/>
          <w:color w:val="191919"/>
          <w:sz w:val="20"/>
        </w:rPr>
      </w:pPr>
    </w:p>
    <w:p w14:paraId="40F224B0">
      <w:pPr>
        <w:spacing w:before="0" w:after="140"/>
        <w:jc w:val="both"/>
        <w:rPr>
          <w:rFonts w:ascii="Times New Roman" w:hAnsi="Times New Roman" w:eastAsia="MS Mincho" w:cs="Times New Roman"/>
          <w:color w:val="191919"/>
          <w:szCs w:val="24"/>
        </w:rPr>
      </w:pPr>
      <w:r>
        <w:rPr>
          <w:rFonts w:ascii="Times New Roman" w:hAnsi="Times New Roman" w:eastAsia="MS Mincho" w:cs="Times New Roman"/>
          <w:color w:val="191919"/>
          <w:szCs w:val="24"/>
        </w:rPr>
        <w:t>ECDSA verification permits a third party to validate the sender’s signature on the share record, subject to the CA trust assumptions. GCM allows someone holding K_doc to validate the encrypted document. To claim a third-party signature on the exact contents, a digest of the protected object would need to be included in the signed record and checked through an explicit third-party verification procedure.</w:t>
      </w:r>
    </w:p>
    <w:p w14:paraId="7E206A4E">
      <w:pPr>
        <w:spacing w:before="0" w:after="140"/>
        <w:jc w:val="both"/>
        <w:rPr>
          <w:rFonts w:ascii="Times New Roman" w:hAnsi="Times New Roman" w:eastAsia="MS Mincho" w:cs="Times New Roman"/>
          <w:color w:val="191919"/>
          <w:szCs w:val="24"/>
        </w:rPr>
      </w:pPr>
      <w:r>
        <w:rPr>
          <w:rFonts w:ascii="Times New Roman" w:hAnsi="Times New Roman" w:eastAsia="MS Mincho" w:cs="Times New Roman"/>
          <w:color w:val="191919"/>
          <w:szCs w:val="24"/>
        </w:rPr>
        <w:t>This ECDSA-over-ShareRecord mechanism is also SecureVault's non-repudiation property: because only the sender holds the private ECDSA key certified for their username, a valid signature on a ShareRecord lets the recipient, or any third party who trusts the CA, prove that the named sender and no one else produced that record, and the sender cannot later credibly deny having signed it. What it does not prove is that the record corresponds to any specific set of encrypted document bytes: since the ShareRecord carries no digest of the protected document, a sender could in principle disown the contents of whatever ciphertext is later presented alongside a valid signature, even though the record itself is unforgeable. A symmetric MAC or the GCM tag protecting the document could not give this property in place of a signature, because both rely on a key shared between sender and recipient: anyone able to verify a MAC or GCM tag already holds the same key needed to produce one, so a third party has no way to distinguish the sender having produced it from the recipient, or anyone else holding the shared key, having produced it. Non-repudiation specifically requires an asymmetric primitive, where verification uses a public key but only one party holds the matching private key, so signing capability cannot be attributed to more than one identity.</w:t>
      </w:r>
    </w:p>
    <w:p w14:paraId="2476502D">
      <w:pPr>
        <w:pStyle w:val="2"/>
        <w:rPr>
          <w:rFonts w:eastAsia="MS Gothic"/>
        </w:rPr>
      </w:pPr>
      <w:r>
        <w:rPr>
          <w:rFonts w:eastAsia="MS Gothic"/>
        </w:rPr>
        <w:t xml:space="preserve"> </w:t>
      </w:r>
      <w:bookmarkStart w:id="34" w:name="_Toc241401775"/>
      <w:bookmarkStart w:id="35" w:name="_Toc241402112"/>
      <w:r>
        <w:rPr>
          <w:rFonts w:eastAsia="MS Gothic"/>
        </w:rPr>
        <w:t>Testing and Evidence</w:t>
      </w:r>
      <w:bookmarkEnd w:id="34"/>
      <w:bookmarkEnd w:id="35"/>
    </w:p>
    <w:p w14:paraId="69EE98D3">
      <w:pPr>
        <w:spacing w:before="0" w:after="140"/>
        <w:jc w:val="both"/>
        <w:rPr>
          <w:rFonts w:ascii="Times New Roman" w:hAnsi="Times New Roman" w:eastAsia="MS Mincho" w:cs="Times New Roman"/>
          <w:color w:val="191919"/>
          <w:szCs w:val="24"/>
        </w:rPr>
      </w:pPr>
      <w:r>
        <w:rPr>
          <w:rFonts w:ascii="Times New Roman" w:hAnsi="Times New Roman" w:eastAsia="MS Mincho" w:cs="Times New Roman"/>
          <w:color w:val="191919"/>
          <w:szCs w:val="24"/>
        </w:rPr>
        <w:t>Running python -m pytest -v on the current integrated codebase gives 225 passed, 1 skipped. This single run covers the document-protection tests (including ciphertext and public-metadata tampering checks), the CA, issuance, and signed-request suites, and the CA integration suite together, rather than as separately reported subsets, using Python 3.13 and pytest.</w:t>
      </w:r>
    </w:p>
    <w:p w14:paraId="0169C5A0">
      <w:pPr>
        <w:spacing w:before="0" w:after="140"/>
        <w:jc w:val="both"/>
        <w:rPr>
          <w:rFonts w:ascii="Times New Roman" w:hAnsi="Times New Roman" w:eastAsia="MS Mincho" w:cs="Times New Roman"/>
          <w:color w:val="191919"/>
          <w:szCs w:val="24"/>
        </w:rPr>
      </w:pPr>
      <w:r>
        <w:rPr>
          <w:rFonts w:ascii="Times New Roman" w:hAnsi="Times New Roman" w:eastAsia="MS Mincho" w:cs="Times New Roman"/>
          <w:color w:val="191919"/>
          <w:szCs w:val="24"/>
        </w:rPr>
        <w:t>Reported integration behavior includes storage and validation of certificates for their intended usernames, a successful sender-to-recipient share and key recovery, and rejection of a replayed share in the same live session. Tests for invalid CA signatures, altered certificates or records, wrong recipients, changed GCM ciphertexts, and changed ECDSA signatures exercise rejection paths. Passing unit tests for cryptographic primitives do not automatically establish that every integrated network path invokes the same checks.</w:t>
      </w:r>
    </w:p>
    <w:p w14:paraId="51CF3EFA">
      <w:pPr>
        <w:spacing w:before="0" w:after="140"/>
        <w:jc w:val="both"/>
        <w:rPr>
          <w:rFonts w:ascii="Times New Roman" w:hAnsi="Times New Roman" w:eastAsia="MS Mincho" w:cs="Times New Roman"/>
          <w:color w:val="191919"/>
          <w:szCs w:val="24"/>
        </w:rPr>
      </w:pPr>
      <w:r>
        <w:rPr>
          <w:rFonts w:ascii="Times New Roman" w:hAnsi="Times New Roman" w:eastAsia="MS Mincho" w:cs="Times New Roman"/>
          <w:color w:val="191919"/>
          <w:szCs w:val="24"/>
        </w:rPr>
        <w:t>Before submission, the merged code should be checked for fresh K_doc generation on updates, a modified network response leaving no output file, and persistence of accepted versions across restarts. The migration away from unsafe network deserialization described in the Limitations section has already been completed. The figures above come from a fresh run of python -m pytest -v performed shortly before this submission; the team re-ran the same command immediately before finalizing the report, since test counts can drift as code changes.</w:t>
      </w:r>
    </w:p>
    <w:p w14:paraId="16AFCAF9">
      <w:pPr>
        <w:pStyle w:val="2"/>
        <w:rPr>
          <w:rFonts w:eastAsia="MS Gothic"/>
        </w:rPr>
      </w:pPr>
      <w:bookmarkStart w:id="36" w:name="_Toc241401776"/>
      <w:bookmarkStart w:id="37" w:name="_Toc241402113"/>
      <w:r>
        <w:rPr>
          <w:rFonts w:eastAsia="MS Gothic"/>
        </w:rPr>
        <w:t>Limitations</w:t>
      </w:r>
      <w:bookmarkEnd w:id="36"/>
      <w:bookmarkEnd w:id="37"/>
    </w:p>
    <w:p w14:paraId="710A82B4">
      <w:pPr>
        <w:spacing w:before="0" w:after="140"/>
        <w:jc w:val="both"/>
        <w:rPr>
          <w:rFonts w:ascii="Times New Roman" w:hAnsi="Times New Roman" w:eastAsia="MS Mincho" w:cs="Times New Roman"/>
          <w:color w:val="191919"/>
          <w:szCs w:val="24"/>
        </w:rPr>
      </w:pPr>
      <w:r>
        <w:rPr>
          <w:rFonts w:ascii="Times New Roman" w:hAnsi="Times New Roman" w:eastAsia="MS Mincho" w:cs="Times New Roman"/>
          <w:color w:val="191919"/>
          <w:szCs w:val="24"/>
        </w:rPr>
        <w:t>The socket client and server no longer deserialize network messages with pickle.loads. network/codec.py now encodes messages as JSON, with binary fields base64-encoded, and only an explicit whitelist of the project's own dataclasses (such as ShareRecord and UserCertificate) can be reconstructed from a received message, so a peer cannot get arbitrary Python objects instantiated from data it sent. Two other implementation limits remain: the system has no certificate revocation mechanism, so a certificate that should no longer be trusted (a compromised key, a mistaken issuance) stays valid until its stated expiry with no way to invalidate it sooner; and main.py keeps the active session as a single global variable, so a running client process supports only one logged-in user at a time rather than concurrent sessions.</w:t>
      </w:r>
    </w:p>
    <w:p w14:paraId="3B4521D6">
      <w:pPr>
        <w:spacing w:before="0" w:after="140"/>
        <w:jc w:val="both"/>
        <w:rPr>
          <w:rFonts w:ascii="Times New Roman" w:hAnsi="Times New Roman" w:eastAsia="MS Mincho" w:cs="Times New Roman"/>
          <w:color w:val="191919"/>
          <w:szCs w:val="24"/>
        </w:rPr>
      </w:pPr>
      <w:r>
        <w:rPr>
          <w:rFonts w:ascii="Times New Roman" w:hAnsi="Times New Roman" w:eastAsia="MS Mincho" w:cs="Times New Roman"/>
          <w:color w:val="191919"/>
          <w:szCs w:val="24"/>
        </w:rPr>
        <w:t>The integrated server stores users, documents, and shares in memory, so a server restart loses those records. The integrated client saves accepted versions in a local JSON file, which survives normal restarts but is not protected against deletion or rollback. Keys for documents uploaded by the current user are kept in active memory, so the menu cannot download or share those documents after a restart unless the keys are recovered separately. The server can delete or refuse to deliver records regardless of encryption. Clear filenames, identities, sizes, IDs, and timing remain visible. Active client memory contains document keys, and compromise of the client device or CA signing key lies outside the guarantees of the storage encryption.</w:t>
      </w:r>
    </w:p>
    <w:p w14:paraId="662FDEB0">
      <w:pPr>
        <w:spacing w:before="0" w:after="140"/>
        <w:jc w:val="both"/>
        <w:rPr>
          <w:rFonts w:ascii="Times New Roman" w:hAnsi="Times New Roman" w:eastAsia="MS Mincho" w:cs="Times New Roman"/>
          <w:color w:val="191919"/>
          <w:szCs w:val="24"/>
        </w:rPr>
      </w:pPr>
      <w:r>
        <w:rPr>
          <w:rFonts w:ascii="Times New Roman" w:hAnsi="Times New Roman" w:eastAsia="MS Mincho" w:cs="Times New Roman"/>
          <w:color w:val="191919"/>
          <w:szCs w:val="24"/>
        </w:rPr>
        <w:t>Ephemeral-static ECDH does not give full forward secrecy for a stored share: compromise of a recipient’s long-term ECDH private key can enable decryption of previously recorded wrapped keys. The certificate format version identifies a format and is not a per-user anti-rollback counter. The signed ShareRecord does not contain a cryptographic digest of the exact encrypted document, so its signature alone cannot establish third-party proof of that document’s exact content.</w:t>
      </w:r>
    </w:p>
    <w:p w14:paraId="557EFEDF">
      <w:pPr>
        <w:pStyle w:val="2"/>
        <w:rPr>
          <w:rFonts w:eastAsia="MS Gothic"/>
        </w:rPr>
      </w:pPr>
      <w:bookmarkStart w:id="38" w:name="_Toc241402114"/>
      <w:bookmarkStart w:id="39" w:name="_Toc241401777"/>
      <w:r>
        <w:rPr>
          <w:rFonts w:eastAsia="MS Gothic"/>
        </w:rPr>
        <w:t>AI Usage and Team Contributions</w:t>
      </w:r>
      <w:bookmarkEnd w:id="38"/>
      <w:bookmarkEnd w:id="39"/>
    </w:p>
    <w:p w14:paraId="0404914C">
      <w:pPr>
        <w:spacing w:before="0" w:after="140"/>
        <w:jc w:val="both"/>
        <w:rPr>
          <w:rFonts w:eastAsia="MS Mincho" w:cstheme="majorBidi"/>
          <w:color w:val="191919"/>
          <w:szCs w:val="24"/>
        </w:rPr>
      </w:pPr>
      <w:r>
        <w:rPr>
          <w:rFonts w:eastAsia="MS Mincho" w:cstheme="majorBidi"/>
          <w:color w:val="191919"/>
          <w:szCs w:val="24"/>
        </w:rPr>
        <w:t xml:space="preserve">AI assistance was </w:t>
      </w:r>
      <w:bookmarkStart w:id="40" w:name="_GoBack"/>
      <w:bookmarkEnd w:id="40"/>
      <w:r>
        <w:rPr>
          <w:rFonts w:eastAsia="MS Mincho" w:cstheme="majorBidi"/>
          <w:color w:val="191919"/>
          <w:szCs w:val="24"/>
        </w:rPr>
        <w:t>used for three specific purposes: debugging import and integration errors between the client, server, and network codec modules; explaining underlying cryptographic concepts the team needed to reason about correctly, such as AEAD nonce-reuse risks and certificate-chain trust; and giving grammar and clarity feedback on the wording of this report. The design decisions in Section 7, the implementations of the cryptographic primitives (P-256 point arithmetic, ECDH, ECDSA, and the AES-GCM wire format), and the analysis in the Security Argument and Limitations sections were done by the team without AI assistance. No AI tool was used to generate test cases.</w:t>
      </w:r>
    </w:p>
    <w:p w14:paraId="3E46D3BF">
      <w:pPr>
        <w:spacing w:before="0" w:after="140"/>
        <w:jc w:val="both"/>
        <w:rPr>
          <w:rFonts w:ascii="Aptos" w:hAnsi="Aptos" w:eastAsia="MS Mincho" w:cs="Arial"/>
          <w:color w:val="191919"/>
          <w:sz w:val="20"/>
        </w:rPr>
      </w:pPr>
    </w:p>
    <w:p w14:paraId="5C15F3EF">
      <w:pPr>
        <w:pStyle w:val="2"/>
      </w:pPr>
    </w:p>
    <w:sectPr>
      <w:footerReference r:id="rId6" w:type="default"/>
      <w:pgSz w:w="11906" w:h="16838"/>
      <w:pgMar w:top="1440" w:right="1800" w:bottom="1440" w:left="1800" w:header="708" w:footer="708" w:gutter="0"/>
      <w:pgBorders w:offsetFrom="page">
        <w:top w:val="single" w:color="auto" w:sz="4" w:space="24"/>
        <w:left w:val="single" w:color="auto" w:sz="4" w:space="24"/>
        <w:bottom w:val="single" w:color="auto" w:sz="4" w:space="24"/>
        <w:right w:val="single" w:color="auto" w:sz="4" w:space="24"/>
      </w:pgBorders>
      <w:pgNumType w:start="1"/>
      <w:cols w:space="708" w:num="1"/>
      <w:bidi/>
      <w:rtlGutter w:val="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等线 Light">
    <w:altName w:val="AMGDT"/>
    <w:panose1 w:val="00000000000000000000"/>
    <w:charset w:val="00"/>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modern"/>
    <w:pitch w:val="default"/>
    <w:sig w:usb0="00000000" w:usb1="00000000" w:usb2="08000012" w:usb3="00000000" w:csb0="0002009F" w:csb1="00000000"/>
  </w:font>
  <w:font w:name="ＭＳ 明朝">
    <w:altName w:val="AMGDT"/>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Aptos">
    <w:altName w:val="Segoe UI"/>
    <w:panose1 w:val="00000000000000000000"/>
    <w:charset w:val="00"/>
    <w:family w:val="swiss"/>
    <w:pitch w:val="default"/>
    <w:sig w:usb0="00000000" w:usb1="00000000" w:usb2="00000000" w:usb3="00000000" w:csb0="0000019F" w:csb1="00000000"/>
  </w:font>
  <w:font w:name="Segoe UI">
    <w:panose1 w:val="020B0502040204020203"/>
    <w:charset w:val="00"/>
    <w:family w:val="auto"/>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AMGDT">
    <w:panose1 w:val="02000400000000000000"/>
    <w:charset w:val="00"/>
    <w:family w:val="auto"/>
    <w:pitch w:val="default"/>
    <w:sig w:usb0="80000003" w:usb1="10000000" w:usb2="00000000" w:usb3="00000000" w:csb0="00000001" w:csb1="00000000"/>
  </w:font>
  <w:font w:name="Yu Gothic UI">
    <w:panose1 w:val="020B05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806154951"/>
      <w:docPartObj>
        <w:docPartGallery w:val="AutoText"/>
      </w:docPartObj>
    </w:sdtPr>
    <w:sdtContent>
      <w:p w14:paraId="2950D196">
        <w:pPr>
          <w:pStyle w:val="8"/>
          <w:jc w:val="center"/>
        </w:pPr>
        <w:r>
          <w:fldChar w:fldCharType="begin"/>
        </w:r>
        <w:r>
          <w:instrText xml:space="preserve">PAGE   \* MERGEFORMAT</w:instrText>
        </w:r>
        <w:r>
          <w:fldChar w:fldCharType="separate"/>
        </w:r>
        <w:r>
          <w:rPr>
            <w:lang w:val="ar-SA"/>
          </w:rPr>
          <w:t>1</w:t>
        </w:r>
        <w:r>
          <w:fldChar w:fldCharType="end"/>
        </w:r>
      </w:p>
    </w:sdtContent>
  </w:sdt>
  <w:p w14:paraId="1C85314D">
    <w:pPr>
      <w:pStyle w:val="8"/>
      <w:tabs>
        <w:tab w:val="left" w:pos="4704"/>
        <w:tab w:val="clear" w:pos="4320"/>
        <w:tab w:val="clear" w:pos="8640"/>
      </w:tabs>
    </w:pPr>
    <w: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575078553"/>
      <w:docPartObj>
        <w:docPartGallery w:val="AutoText"/>
      </w:docPartObj>
    </w:sdtPr>
    <w:sdtContent>
      <w:p w14:paraId="543F1502">
        <w:pPr>
          <w:pStyle w:val="8"/>
          <w:jc w:val="center"/>
        </w:pPr>
        <w:r>
          <w:fldChar w:fldCharType="begin"/>
        </w:r>
        <w:r>
          <w:instrText xml:space="preserve">PAGE   \* MERGEFORMAT</w:instrText>
        </w:r>
        <w:r>
          <w:fldChar w:fldCharType="separate"/>
        </w:r>
        <w:r>
          <w:rPr>
            <w:lang w:val="ar-SA"/>
          </w:rPr>
          <w:t>5</w:t>
        </w:r>
        <w:r>
          <w:fldChar w:fldCharType="end"/>
        </w:r>
      </w:p>
    </w:sdtContent>
  </w:sdt>
  <w:p w14:paraId="1315DEDF">
    <w:pPr>
      <w:pStyle w:val="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3C9E"/>
    <w:rsid w:val="00007B11"/>
    <w:rsid w:val="00021F64"/>
    <w:rsid w:val="00030202"/>
    <w:rsid w:val="00041A4F"/>
    <w:rsid w:val="00044535"/>
    <w:rsid w:val="0004540F"/>
    <w:rsid w:val="000479F9"/>
    <w:rsid w:val="00092C9B"/>
    <w:rsid w:val="000F7238"/>
    <w:rsid w:val="001178D0"/>
    <w:rsid w:val="00281CAE"/>
    <w:rsid w:val="00291C22"/>
    <w:rsid w:val="002975F6"/>
    <w:rsid w:val="002F6902"/>
    <w:rsid w:val="00301A7D"/>
    <w:rsid w:val="00337373"/>
    <w:rsid w:val="003457A2"/>
    <w:rsid w:val="00370240"/>
    <w:rsid w:val="003725BF"/>
    <w:rsid w:val="003A1DFC"/>
    <w:rsid w:val="003D107B"/>
    <w:rsid w:val="003D68A0"/>
    <w:rsid w:val="00443D34"/>
    <w:rsid w:val="00450533"/>
    <w:rsid w:val="004714BE"/>
    <w:rsid w:val="004A58B3"/>
    <w:rsid w:val="004B3FDA"/>
    <w:rsid w:val="004B5EDF"/>
    <w:rsid w:val="0052629E"/>
    <w:rsid w:val="0053263F"/>
    <w:rsid w:val="00541C4E"/>
    <w:rsid w:val="00557BE1"/>
    <w:rsid w:val="005719B5"/>
    <w:rsid w:val="005A20DF"/>
    <w:rsid w:val="00626778"/>
    <w:rsid w:val="00645CFF"/>
    <w:rsid w:val="00653D87"/>
    <w:rsid w:val="006568D2"/>
    <w:rsid w:val="006660B8"/>
    <w:rsid w:val="006B79E8"/>
    <w:rsid w:val="006D6051"/>
    <w:rsid w:val="006E7E1A"/>
    <w:rsid w:val="00700755"/>
    <w:rsid w:val="00714B3B"/>
    <w:rsid w:val="00720285"/>
    <w:rsid w:val="007654F6"/>
    <w:rsid w:val="0079197B"/>
    <w:rsid w:val="00792109"/>
    <w:rsid w:val="007C21CF"/>
    <w:rsid w:val="007D326C"/>
    <w:rsid w:val="007E1217"/>
    <w:rsid w:val="007E6651"/>
    <w:rsid w:val="007F2DE6"/>
    <w:rsid w:val="00837238"/>
    <w:rsid w:val="00885694"/>
    <w:rsid w:val="008A02E5"/>
    <w:rsid w:val="008B61C2"/>
    <w:rsid w:val="008E711D"/>
    <w:rsid w:val="009032C1"/>
    <w:rsid w:val="00925B17"/>
    <w:rsid w:val="009501C3"/>
    <w:rsid w:val="00951742"/>
    <w:rsid w:val="009663ED"/>
    <w:rsid w:val="009A6A73"/>
    <w:rsid w:val="009C3B62"/>
    <w:rsid w:val="009D1753"/>
    <w:rsid w:val="00A3440A"/>
    <w:rsid w:val="00AE1693"/>
    <w:rsid w:val="00B5419A"/>
    <w:rsid w:val="00B94494"/>
    <w:rsid w:val="00BC0624"/>
    <w:rsid w:val="00BD67B8"/>
    <w:rsid w:val="00C51D09"/>
    <w:rsid w:val="00C5563E"/>
    <w:rsid w:val="00C5622C"/>
    <w:rsid w:val="00C7651C"/>
    <w:rsid w:val="00C803CF"/>
    <w:rsid w:val="00CB23A4"/>
    <w:rsid w:val="00CB2F5F"/>
    <w:rsid w:val="00D23930"/>
    <w:rsid w:val="00D90C78"/>
    <w:rsid w:val="00DC4746"/>
    <w:rsid w:val="00DE43DE"/>
    <w:rsid w:val="00DF1785"/>
    <w:rsid w:val="00E10919"/>
    <w:rsid w:val="00E10AAF"/>
    <w:rsid w:val="00E2404C"/>
    <w:rsid w:val="00E4397C"/>
    <w:rsid w:val="00ED0E60"/>
    <w:rsid w:val="00EE30DE"/>
    <w:rsid w:val="00EE37B0"/>
    <w:rsid w:val="00EE3C9E"/>
    <w:rsid w:val="00F01A92"/>
    <w:rsid w:val="00F44CE0"/>
    <w:rsid w:val="00F50D62"/>
    <w:rsid w:val="00F53A8B"/>
    <w:rsid w:val="00F653D4"/>
    <w:rsid w:val="00F91CFC"/>
    <w:rsid w:val="00FB7EB6"/>
    <w:rsid w:val="00FD1A51"/>
    <w:rsid w:val="35B81B64"/>
    <w:rsid w:val="374765BD"/>
    <w:rsid w:val="465F5501"/>
    <w:rsid w:val="67980D82"/>
    <w:rsid w:val="68DD141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qFormat="1"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480" w:after="520" w:line="360" w:lineRule="auto"/>
    </w:pPr>
    <w:rPr>
      <w:rFonts w:asciiTheme="majorBidi" w:hAnsiTheme="majorBidi" w:eastAsiaTheme="minorHAnsi" w:cstheme="minorBidi"/>
      <w:sz w:val="24"/>
      <w:szCs w:val="22"/>
      <w:lang w:val="en-US" w:eastAsia="en-US" w:bidi="ar-SA"/>
    </w:rPr>
  </w:style>
  <w:style w:type="paragraph" w:styleId="2">
    <w:name w:val="heading 1"/>
    <w:basedOn w:val="1"/>
    <w:next w:val="1"/>
    <w:link w:val="18"/>
    <w:qFormat/>
    <w:uiPriority w:val="9"/>
    <w:pPr>
      <w:keepNext/>
      <w:keepLines/>
      <w:spacing w:before="240" w:after="0"/>
      <w:outlineLvl w:val="0"/>
    </w:pPr>
    <w:rPr>
      <w:rFonts w:eastAsiaTheme="majorEastAsia" w:cstheme="majorBidi"/>
      <w:b/>
      <w:color w:val="000000" w:themeColor="text1"/>
      <w:sz w:val="32"/>
      <w:szCs w:val="32"/>
      <w14:textFill>
        <w14:solidFill>
          <w14:schemeClr w14:val="tx1"/>
        </w14:solidFill>
      </w14:textFill>
    </w:rPr>
  </w:style>
  <w:style w:type="paragraph" w:styleId="3">
    <w:name w:val="heading 2"/>
    <w:basedOn w:val="1"/>
    <w:next w:val="1"/>
    <w:link w:val="17"/>
    <w:unhideWhenUsed/>
    <w:qFormat/>
    <w:uiPriority w:val="9"/>
    <w:pPr>
      <w:keepNext/>
      <w:keepLines/>
      <w:spacing w:before="40" w:after="0"/>
      <w:outlineLvl w:val="1"/>
    </w:pPr>
    <w:rPr>
      <w:rFonts w:eastAsiaTheme="majorEastAsia" w:cstheme="majorBidi"/>
      <w:b/>
      <w:sz w:val="28"/>
      <w:szCs w:val="26"/>
    </w:rPr>
  </w:style>
  <w:style w:type="paragraph" w:styleId="4">
    <w:name w:val="heading 3"/>
    <w:basedOn w:val="1"/>
    <w:next w:val="1"/>
    <w:link w:val="19"/>
    <w:unhideWhenUsed/>
    <w:qFormat/>
    <w:uiPriority w:val="9"/>
    <w:pPr>
      <w:keepNext/>
      <w:keepLines/>
      <w:spacing w:before="40" w:after="0"/>
      <w:outlineLvl w:val="2"/>
    </w:pPr>
    <w:rPr>
      <w:rFonts w:eastAsiaTheme="majorEastAsia" w:cstheme="majorBidi"/>
      <w:b/>
      <w:szCs w:val="24"/>
    </w:rPr>
  </w:style>
  <w:style w:type="character" w:default="1" w:styleId="5">
    <w:name w:val="Default Paragraph Font"/>
    <w:unhideWhenUsed/>
    <w:qFormat/>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7">
    <w:name w:val="caption"/>
    <w:basedOn w:val="1"/>
    <w:next w:val="1"/>
    <w:unhideWhenUsed/>
    <w:qFormat/>
    <w:uiPriority w:val="35"/>
    <w:pPr>
      <w:spacing w:before="0" w:after="200" w:line="240" w:lineRule="auto"/>
      <w:jc w:val="center"/>
    </w:pPr>
    <w:rPr>
      <w:i/>
      <w:iCs/>
      <w:sz w:val="18"/>
      <w:szCs w:val="18"/>
    </w:rPr>
  </w:style>
  <w:style w:type="paragraph" w:styleId="8">
    <w:name w:val="footer"/>
    <w:basedOn w:val="1"/>
    <w:link w:val="20"/>
    <w:unhideWhenUsed/>
    <w:uiPriority w:val="99"/>
    <w:pPr>
      <w:tabs>
        <w:tab w:val="center" w:pos="4320"/>
        <w:tab w:val="right" w:pos="8640"/>
      </w:tabs>
      <w:spacing w:before="0" w:after="0" w:line="240" w:lineRule="auto"/>
    </w:pPr>
  </w:style>
  <w:style w:type="paragraph" w:styleId="9">
    <w:name w:val="header"/>
    <w:basedOn w:val="1"/>
    <w:link w:val="21"/>
    <w:unhideWhenUsed/>
    <w:uiPriority w:val="99"/>
    <w:pPr>
      <w:tabs>
        <w:tab w:val="center" w:pos="4320"/>
        <w:tab w:val="right" w:pos="8640"/>
      </w:tabs>
      <w:spacing w:before="0" w:after="0" w:line="240" w:lineRule="auto"/>
    </w:pPr>
  </w:style>
  <w:style w:type="character" w:styleId="10">
    <w:name w:val="HTML Code"/>
    <w:basedOn w:val="5"/>
    <w:semiHidden/>
    <w:unhideWhenUsed/>
    <w:qFormat/>
    <w:uiPriority w:val="99"/>
    <w:rPr>
      <w:rFonts w:ascii="Courier New" w:hAnsi="Courier New" w:eastAsia="Times New Roman" w:cs="Courier New"/>
      <w:sz w:val="20"/>
      <w:szCs w:val="20"/>
    </w:rPr>
  </w:style>
  <w:style w:type="character" w:styleId="11">
    <w:name w:val="Hyperlink"/>
    <w:basedOn w:val="5"/>
    <w:unhideWhenUsed/>
    <w:qFormat/>
    <w:uiPriority w:val="99"/>
    <w:rPr>
      <w:color w:val="0563C1" w:themeColor="hyperlink"/>
      <w:u w:val="single"/>
      <w14:textFill>
        <w14:solidFill>
          <w14:schemeClr w14:val="hlink"/>
        </w14:solidFill>
      </w14:textFill>
    </w:rPr>
  </w:style>
  <w:style w:type="paragraph" w:styleId="12">
    <w:name w:val="index 1"/>
    <w:basedOn w:val="1"/>
    <w:next w:val="1"/>
    <w:autoRedefine/>
    <w:semiHidden/>
    <w:unhideWhenUsed/>
    <w:qFormat/>
    <w:uiPriority w:val="99"/>
    <w:pPr>
      <w:spacing w:after="0" w:line="240" w:lineRule="auto"/>
      <w:ind w:left="220" w:hanging="220"/>
      <w:jc w:val="right"/>
    </w:pPr>
  </w:style>
  <w:style w:type="paragraph" w:styleId="13">
    <w:name w:val="Normal (Web)"/>
    <w:basedOn w:val="1"/>
    <w:semiHidden/>
    <w:unhideWhenUsed/>
    <w:qFormat/>
    <w:uiPriority w:val="99"/>
    <w:rPr>
      <w:rFonts w:ascii="Times New Roman" w:hAnsi="Times New Roman" w:cs="Times New Roman"/>
      <w:szCs w:val="24"/>
    </w:rPr>
  </w:style>
  <w:style w:type="table" w:styleId="14">
    <w:name w:val="Table Grid"/>
    <w:basedOn w:val="6"/>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5">
    <w:name w:val="toc 1"/>
    <w:basedOn w:val="1"/>
    <w:next w:val="1"/>
    <w:autoRedefine/>
    <w:unhideWhenUsed/>
    <w:qFormat/>
    <w:uiPriority w:val="39"/>
    <w:pPr>
      <w:tabs>
        <w:tab w:val="right" w:leader="dot" w:pos="8296"/>
      </w:tabs>
      <w:bidi/>
      <w:spacing w:after="100"/>
    </w:pPr>
  </w:style>
  <w:style w:type="paragraph" w:styleId="16">
    <w:name w:val="toc 2"/>
    <w:basedOn w:val="1"/>
    <w:next w:val="1"/>
    <w:autoRedefine/>
    <w:unhideWhenUsed/>
    <w:qFormat/>
    <w:uiPriority w:val="39"/>
    <w:pPr>
      <w:spacing w:after="100"/>
      <w:ind w:left="240"/>
    </w:pPr>
  </w:style>
  <w:style w:type="character" w:customStyle="1" w:styleId="17">
    <w:name w:val="Heading 2 Char"/>
    <w:basedOn w:val="5"/>
    <w:link w:val="3"/>
    <w:uiPriority w:val="9"/>
    <w:rPr>
      <w:rFonts w:asciiTheme="majorBidi" w:hAnsiTheme="majorBidi" w:eastAsiaTheme="majorEastAsia" w:cstheme="majorBidi"/>
      <w:b/>
      <w:sz w:val="28"/>
      <w:szCs w:val="26"/>
    </w:rPr>
  </w:style>
  <w:style w:type="character" w:customStyle="1" w:styleId="18">
    <w:name w:val="Heading 1 Char"/>
    <w:basedOn w:val="5"/>
    <w:link w:val="2"/>
    <w:uiPriority w:val="9"/>
    <w:rPr>
      <w:rFonts w:asciiTheme="majorBidi" w:hAnsiTheme="majorBidi" w:eastAsiaTheme="majorEastAsia" w:cstheme="majorBidi"/>
      <w:b/>
      <w:color w:val="000000" w:themeColor="text1"/>
      <w:sz w:val="32"/>
      <w:szCs w:val="32"/>
      <w14:textFill>
        <w14:solidFill>
          <w14:schemeClr w14:val="tx1"/>
        </w14:solidFill>
      </w14:textFill>
    </w:rPr>
  </w:style>
  <w:style w:type="character" w:customStyle="1" w:styleId="19">
    <w:name w:val="Heading 3 Char"/>
    <w:basedOn w:val="5"/>
    <w:link w:val="4"/>
    <w:uiPriority w:val="9"/>
    <w:rPr>
      <w:rFonts w:asciiTheme="majorBidi" w:hAnsiTheme="majorBidi" w:eastAsiaTheme="majorEastAsia" w:cstheme="majorBidi"/>
      <w:b/>
      <w:sz w:val="24"/>
      <w:szCs w:val="24"/>
    </w:rPr>
  </w:style>
  <w:style w:type="character" w:customStyle="1" w:styleId="20">
    <w:name w:val="Footer Char"/>
    <w:basedOn w:val="5"/>
    <w:link w:val="8"/>
    <w:qFormat/>
    <w:uiPriority w:val="99"/>
    <w:rPr>
      <w:rFonts w:asciiTheme="majorBidi" w:hAnsiTheme="majorBidi"/>
      <w:sz w:val="24"/>
    </w:rPr>
  </w:style>
  <w:style w:type="character" w:customStyle="1" w:styleId="21">
    <w:name w:val="Header Char"/>
    <w:basedOn w:val="5"/>
    <w:link w:val="9"/>
    <w:qFormat/>
    <w:uiPriority w:val="99"/>
    <w:rPr>
      <w:rFonts w:asciiTheme="majorBidi" w:hAnsiTheme="majorBidi"/>
      <w:sz w:val="24"/>
    </w:rPr>
  </w:style>
  <w:style w:type="character" w:styleId="22">
    <w:name w:val="Placeholder Text"/>
    <w:basedOn w:val="5"/>
    <w:semiHidden/>
    <w:qFormat/>
    <w:uiPriority w:val="99"/>
    <w:rPr>
      <w:color w:val="666666"/>
    </w:rPr>
  </w:style>
  <w:style w:type="paragraph" w:styleId="23">
    <w:name w:val="List Paragraph"/>
    <w:basedOn w:val="1"/>
    <w:qFormat/>
    <w:uiPriority w:val="34"/>
    <w:pPr>
      <w:ind w:left="720"/>
      <w:contextualSpacing/>
    </w:pPr>
  </w:style>
  <w:style w:type="table" w:customStyle="1" w:styleId="24">
    <w:name w:val="Grid Table Light"/>
    <w:basedOn w:val="6"/>
    <w:qFormat/>
    <w:uiPriority w:val="40"/>
    <w:pPr>
      <w:spacing w:after="0" w:line="240" w:lineRule="auto"/>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table" w:customStyle="1" w:styleId="25">
    <w:name w:val="Plain Table 1"/>
    <w:basedOn w:val="6"/>
    <w:qFormat/>
    <w:uiPriority w:val="41"/>
    <w:pPr>
      <w:spacing w:after="0" w:line="240" w:lineRule="auto"/>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table" w:customStyle="1" w:styleId="26">
    <w:name w:val="Plain Table 2"/>
    <w:basedOn w:val="6"/>
    <w:qFormat/>
    <w:uiPriority w:val="42"/>
    <w:pPr>
      <w:spacing w:after="0" w:line="240" w:lineRule="auto"/>
    </w:pPr>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table" w:customStyle="1" w:styleId="27">
    <w:name w:val="Plain Table 3"/>
    <w:basedOn w:val="6"/>
    <w:qFormat/>
    <w:uiPriority w:val="43"/>
    <w:pPr>
      <w:spacing w:after="0" w:line="240" w:lineRule="auto"/>
    </w:pPr>
    <w:tblStylePr w:type="firstRow">
      <w:rPr>
        <w:b/>
        <w:bCs/>
        <w:caps/>
      </w:rPr>
      <w:tcPr>
        <w:tcBorders>
          <w:bottom w:val="single" w:color="7E7E7E" w:themeColor="text1" w:themeTint="80" w:sz="4" w:space="0"/>
        </w:tcBorders>
      </w:tcPr>
    </w:tblStylePr>
    <w:tblStylePr w:type="lastRow">
      <w:rPr>
        <w:b/>
        <w:bCs/>
        <w:caps/>
      </w:rPr>
      <w:tcPr>
        <w:tcBorders>
          <w:top w:val="nil"/>
        </w:tcBorders>
      </w:tcPr>
    </w:tblStylePr>
    <w:tblStylePr w:type="firstCol">
      <w:rPr>
        <w:b/>
        <w:bCs/>
        <w:caps/>
      </w:rPr>
      <w:tcPr>
        <w:tcBorders>
          <w:right w:val="single" w:color="7E7E7E" w:themeColor="text1" w:themeTint="80" w:sz="4" w:space="0"/>
        </w:tcBorders>
      </w:tcPr>
    </w:tblStylePr>
    <w:tblStylePr w:type="lastCol">
      <w:rPr>
        <w:b/>
        <w:bCs/>
        <w:caps/>
      </w:rPr>
      <w:tcPr>
        <w:tcBorders>
          <w:left w:val="nil"/>
        </w:tcBorders>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style>
  <w:style w:type="table" w:customStyle="1" w:styleId="28">
    <w:name w:val="Plain Table 4"/>
    <w:basedOn w:val="6"/>
    <w:qFormat/>
    <w:uiPriority w:val="44"/>
    <w:pPr>
      <w:spacing w:after="0" w:line="240" w:lineRule="auto"/>
    </w:p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table" w:customStyle="1" w:styleId="29">
    <w:name w:val="Plain Table 5"/>
    <w:basedOn w:val="6"/>
    <w:qFormat/>
    <w:uiPriority w:val="45"/>
    <w:pPr>
      <w:spacing w:after="0" w:line="240" w:lineRule="auto"/>
    </w:pPr>
    <w:tblStylePr w:type="firstRow">
      <w:rPr>
        <w:rFonts w:asciiTheme="majorHAnsi" w:hAnsiTheme="majorHAnsi" w:eastAsiaTheme="majorEastAsia" w:cstheme="majorBidi"/>
        <w:i/>
        <w:iCs/>
        <w:sz w:val="26"/>
      </w:rPr>
      <w:tcPr>
        <w:tcBorders>
          <w:bottom w:val="single" w:color="7E7E7E"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7E7E7E"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7E7E7E"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7E7E7E" w:themeColor="text1" w:themeTint="80" w:sz="4" w:space="0"/>
        </w:tcBorders>
        <w:shd w:val="clear" w:color="auto" w:fill="FFFFFF" w:themeFill="background1"/>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30">
    <w:name w:val="Grid Table 4 Accent 6"/>
    <w:basedOn w:val="6"/>
    <w:qFormat/>
    <w:uiPriority w:val="49"/>
    <w:pPr>
      <w:spacing w:after="0" w:line="240" w:lineRule="auto"/>
    </w:pPr>
    <w:tblPr>
      <w:tblBorders>
        <w:top w:val="single" w:color="A8D08D" w:themeColor="accent6" w:themeTint="99" w:sz="4" w:space="0"/>
        <w:left w:val="single" w:color="A8D08D" w:themeColor="accent6" w:themeTint="99" w:sz="4" w:space="0"/>
        <w:bottom w:val="single" w:color="A8D08D" w:themeColor="accent6" w:themeTint="99" w:sz="4" w:space="0"/>
        <w:right w:val="single" w:color="A8D08D" w:themeColor="accent6" w:themeTint="99" w:sz="4" w:space="0"/>
        <w:insideH w:val="single" w:color="A8D08D" w:themeColor="accent6" w:themeTint="99" w:sz="4" w:space="0"/>
        <w:insideV w:val="single" w:color="A8D08D" w:themeColor="accent6" w:themeTint="99" w:sz="4" w:space="0"/>
      </w:tblBorders>
    </w:tblPr>
    <w:tblStylePr w:type="firstRow">
      <w:rPr>
        <w:b/>
        <w:bCs/>
        <w:color w:val="FFFFFF" w:themeColor="background1"/>
        <w14:textFill>
          <w14:solidFill>
            <w14:schemeClr w14:val="bg1"/>
          </w14:solidFill>
        </w14:textFill>
      </w:rPr>
      <w:tcPr>
        <w:tcBorders>
          <w:top w:val="single" w:color="70AD47" w:themeColor="accent6" w:sz="4" w:space="0"/>
          <w:left w:val="single" w:color="70AD47" w:themeColor="accent6" w:sz="4" w:space="0"/>
          <w:bottom w:val="single" w:color="70AD47" w:themeColor="accent6" w:sz="4" w:space="0"/>
          <w:right w:val="single" w:color="70AD47" w:themeColor="accent6" w:sz="4" w:space="0"/>
          <w:insideH w:val="nil"/>
          <w:insideV w:val="nil"/>
        </w:tcBorders>
        <w:shd w:val="clear" w:color="auto" w:fill="70AD47" w:themeFill="accent6"/>
      </w:tcPr>
    </w:tblStylePr>
    <w:tblStylePr w:type="lastRow">
      <w:rPr>
        <w:b/>
        <w:bCs/>
      </w:rPr>
      <w:tcPr>
        <w:tcBorders>
          <w:top w:val="double" w:color="70AD47" w:themeColor="accent6" w:sz="4" w:space="0"/>
        </w:tcBorders>
      </w:tcPr>
    </w:tblStylePr>
    <w:tblStylePr w:type="firstCol">
      <w:rPr>
        <w:b/>
        <w:bCs/>
      </w:rPr>
    </w:tblStylePr>
    <w:tblStylePr w:type="lastCol">
      <w:rPr>
        <w:b/>
        <w:bCs/>
      </w:rPr>
    </w:tblStylePr>
    <w:tblStylePr w:type="band1Vert">
      <w:tcPr>
        <w:shd w:val="clear" w:color="auto" w:fill="E2EFD9" w:themeFill="accent6" w:themeFillTint="33"/>
      </w:tcPr>
    </w:tblStylePr>
    <w:tblStylePr w:type="band1Horz">
      <w:tcPr>
        <w:shd w:val="clear" w:color="auto" w:fill="E2EFD9" w:themeFill="accent6" w:themeFillTint="33"/>
      </w:tcPr>
    </w:tblStylePr>
  </w:style>
  <w:style w:type="character" w:customStyle="1" w:styleId="31">
    <w:name w:val="katex"/>
    <w:basedOn w:val="5"/>
    <w:qFormat/>
    <w:uiPriority w:val="0"/>
  </w:style>
  <w:style w:type="table" w:customStyle="1" w:styleId="32">
    <w:name w:val="Grid Table 5 Dark - Accent 31"/>
    <w:basedOn w:val="6"/>
    <w:qFormat/>
    <w:uiPriority w:val="50"/>
    <w:pPr>
      <w:spacing w:after="0" w:line="240" w:lineRule="auto"/>
    </w:pPr>
    <w:rPr>
      <w:rFonts w:ascii="Cambria" w:hAnsi="Cambria" w:eastAsia="MS Mincho" w:cs="Arial"/>
    </w:rPr>
    <w:tblPr>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Pr>
    <w:tcPr>
      <w:shd w:val="clear" w:color="auto" w:fill="EAF1DD"/>
    </w:tcPr>
    <w:tblStylePr w:type="firstRow">
      <w:rPr>
        <w:b/>
        <w:bCs/>
        <w:color w:val="FFFFFF"/>
      </w:rPr>
      <w:tcPr>
        <w:tcBorders>
          <w:top w:val="single" w:color="FFFFFF" w:sz="4" w:space="0"/>
          <w:left w:val="single" w:color="FFFFFF" w:sz="4" w:space="0"/>
          <w:right w:val="single" w:color="FFFFFF" w:sz="4" w:space="0"/>
          <w:insideH w:val="nil"/>
          <w:insideV w:val="nil"/>
        </w:tcBorders>
        <w:shd w:val="clear" w:color="auto" w:fill="9BBB59"/>
      </w:tcPr>
    </w:tblStylePr>
    <w:tblStylePr w:type="lastRow">
      <w:rPr>
        <w:b/>
        <w:bCs/>
        <w:color w:val="FFFFFF"/>
      </w:rPr>
      <w:tcPr>
        <w:tcBorders>
          <w:left w:val="single" w:color="FFFFFF" w:sz="4" w:space="0"/>
          <w:bottom w:val="single" w:color="FFFFFF" w:sz="4" w:space="0"/>
          <w:right w:val="single" w:color="FFFFFF" w:sz="4" w:space="0"/>
          <w:insideH w:val="nil"/>
          <w:insideV w:val="nil"/>
        </w:tcBorders>
        <w:shd w:val="clear" w:color="auto" w:fill="9BBB59"/>
      </w:tcPr>
    </w:tblStylePr>
    <w:tblStylePr w:type="firstCol">
      <w:rPr>
        <w:b/>
        <w:bCs/>
        <w:color w:val="FFFFFF"/>
      </w:rPr>
      <w:tcPr>
        <w:tcBorders>
          <w:top w:val="single" w:color="FFFFFF" w:sz="4" w:space="0"/>
          <w:left w:val="single" w:color="FFFFFF" w:sz="4" w:space="0"/>
          <w:bottom w:val="single" w:color="FFFFFF" w:sz="4" w:space="0"/>
          <w:insideV w:val="nil"/>
        </w:tcBorders>
        <w:shd w:val="clear" w:color="auto" w:fill="9BBB59"/>
      </w:tcPr>
    </w:tblStylePr>
    <w:tblStylePr w:type="lastCol">
      <w:rPr>
        <w:b/>
        <w:bCs/>
        <w:color w:val="FFFFFF"/>
      </w:rPr>
      <w:tcPr>
        <w:tcBorders>
          <w:top w:val="single" w:color="FFFFFF" w:sz="4" w:space="0"/>
          <w:bottom w:val="single" w:color="FFFFFF" w:sz="4" w:space="0"/>
          <w:right w:val="single" w:color="FFFFFF" w:sz="4" w:space="0"/>
          <w:insideV w:val="nil"/>
        </w:tcBorders>
        <w:shd w:val="clear" w:color="auto" w:fill="9BBB59"/>
      </w:tcPr>
    </w:tblStylePr>
    <w:tblStylePr w:type="band1Vert">
      <w:tcPr>
        <w:shd w:val="clear" w:color="auto" w:fill="D6E3BC"/>
      </w:tcPr>
    </w:tblStylePr>
    <w:tblStylePr w:type="band1Horz">
      <w:tcPr>
        <w:shd w:val="clear" w:color="auto" w:fill="D6E3BC"/>
      </w:tcPr>
    </w:tblStylePr>
  </w:style>
  <w:style w:type="table" w:customStyle="1" w:styleId="33">
    <w:name w:val="Grid Table 5 Dark Accent 3"/>
    <w:basedOn w:val="6"/>
    <w:qFormat/>
    <w:uiPriority w:val="50"/>
    <w:pPr>
      <w:spacing w:after="0" w:line="240" w:lineRule="auto"/>
    </w:p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CECEC" w:themeFill="accent3"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A5A5A5" w:themeFill="accent3"/>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A5A5A5" w:themeFill="accent3"/>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A5A5A5" w:themeFill="accent3"/>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A5A5A5" w:themeFill="accent3"/>
      </w:tcPr>
    </w:tblStylePr>
    <w:tblStylePr w:type="band1Vert">
      <w:tcPr>
        <w:shd w:val="clear" w:color="auto" w:fill="DADADA" w:themeFill="accent3" w:themeFillTint="66"/>
      </w:tcPr>
    </w:tblStylePr>
    <w:tblStylePr w:type="band1Horz">
      <w:tcPr>
        <w:shd w:val="clear" w:color="auto" w:fill="DADADA" w:themeFill="accent3" w:themeFillTint="66"/>
      </w:tcPr>
    </w:tblStylePr>
  </w:style>
  <w:style w:type="paragraph" w:customStyle="1" w:styleId="34">
    <w:name w:val="TOC Heading"/>
    <w:basedOn w:val="2"/>
    <w:next w:val="1"/>
    <w:unhideWhenUsed/>
    <w:qFormat/>
    <w:uiPriority w:val="39"/>
    <w:pPr>
      <w:spacing w:line="259" w:lineRule="auto"/>
      <w:outlineLvl w:val="9"/>
    </w:pPr>
    <w:rPr>
      <w:rFonts w:asciiTheme="majorHAnsi" w:hAnsiTheme="majorHAnsi"/>
      <w:b w:val="0"/>
      <w:color w:val="2F5597" w:themeColor="accent1" w:themeShade="BF"/>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B05B3B-FA6D-4EA8-8AD2-928408908A3B}">
  <ds:schemaRefs/>
</ds:datastoreItem>
</file>

<file path=docProps/app.xml><?xml version="1.0" encoding="utf-8"?>
<Properties xmlns="http://schemas.openxmlformats.org/officeDocument/2006/extended-properties" xmlns:vt="http://schemas.openxmlformats.org/officeDocument/2006/docPropsVTypes">
  <Template>Normal</Template>
  <Pages>11</Pages>
  <Words>3080</Words>
  <Characters>17619</Characters>
  <Lines>107</Lines>
  <Paragraphs>30</Paragraphs>
  <TotalTime>288</TotalTime>
  <ScaleCrop>false</ScaleCrop>
  <LinksUpToDate>false</LinksUpToDate>
  <CharactersWithSpaces>20636</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2026-09-12T16:23:00Z</dcterms:created>
  <dc:creator>cts</dc:creator>
  <cp:lastModifiedBy>Aya Abood</cp:lastModifiedBy>
  <cp:lastPrinted>2026-05-09T16:51:00Z</cp:lastPrinted>
  <dcterms:modified xsi:type="dcterms:W3CDTF">2026-09-27T18:23:07Z</dcterms:modified>
  <cp:revision>28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c1a1970c-b8ac-488a-8161-77ea86663b45</vt:lpwstr>
  </property>
  <property fmtid="{D5CDD505-2E9C-101B-9397-08002B2CF9AE}" pid="3" name="KSOTemplateDocerSaveRecord">
    <vt:lpwstr>eyJoZGlkIjoiMjdjZDU1MDAxNTc1ZjZhOGI1ODJlMzUyODY3NTk5NTMiLCJ1c2VySWQiOiI5NTAxMDE0MDAzNTUwIn0=</vt:lpwstr>
  </property>
  <property fmtid="{D5CDD505-2E9C-101B-9397-08002B2CF9AE}" pid="4" name="KSOProductBuildVer">
    <vt:lpwstr>1033-12.1.0.28485</vt:lpwstr>
  </property>
  <property fmtid="{D5CDD505-2E9C-101B-9397-08002B2CF9AE}" pid="5" name="ICV">
    <vt:lpwstr>45D8242FA1834145B4E093CCA36D6B5C_13</vt:lpwstr>
  </property>
</Properties>
</file>