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100"/>
        <w:jc w:val="center"/>
      </w:pPr>
      <w:r>
        <w:rPr>
          <w:rFonts w:ascii="Arial" w:cs="Arial" w:eastAsia="Arial" w:hAnsi="Arial"/>
          <w:b/>
          <w:bCs/>
          <w:color w:val="1A3C5E"/>
          <w:sz w:val="52"/>
          <w:szCs w:val="52"/>
        </w:rPr>
        <w:t xml:space="preserve">BUSINESS REVENUE MODEL</w:t>
      </w:r>
    </w:p>
    <w:p>
      <w:pPr>
        <w:spacing w:after="100"/>
        <w:jc w:val="center"/>
      </w:pPr>
      <w:r>
        <w:rPr>
          <w:rFonts w:ascii="Arial" w:cs="Arial" w:eastAsia="Arial" w:hAnsi="Arial"/>
          <w:b/>
          <w:bCs/>
          <w:color w:val="2E6DA4"/>
          <w:sz w:val="32"/>
          <w:szCs w:val="32"/>
        </w:rPr>
        <w:t xml:space="preserve">B2B SaaS &amp; Data Insights Strategy</w:t>
      </w:r>
    </w:p>
    <w:p>
      <w:pPr>
        <w:spacing w:after="100"/>
        <w:jc w:val="center"/>
      </w:pPr>
      <w:r>
        <w:rPr>
          <w:rFonts w:ascii="Arial" w:cs="Arial" w:eastAsia="Arial" w:hAnsi="Arial"/>
          <w:b/>
          <w:bCs/>
          <w:color w:val="0F6E56"/>
          <w:sz w:val="24"/>
          <w:szCs w:val="24"/>
        </w:rPr>
        <w:t xml:space="preserve">Trip Planner — Bangladesh</w:t>
      </w:r>
    </w:p>
    <w:p>
      <w:pPr>
        <w:pBdr>
          <w:bottom w:val="single" w:color="BA7517" w:sz="6" w:space="8"/>
        </w:pBdr>
        <w:spacing w:after="300"/>
        <w:jc w:val="center"/>
      </w:pPr>
      <w:r>
        <w:t xml:space="preserve"/>
      </w:r>
    </w:p>
    <w:p>
      <w:pPr>
        <w:spacing w:after="200"/>
      </w:pPr>
      <w:r>
        <w:t xml:space="preserve"/>
      </w:r>
    </w:p>
    <w:p>
      <w:pPr>
        <w:spacing w:after="80"/>
        <w:jc w:val="center"/>
      </w:pPr>
      <w:r>
        <w:rPr>
          <w:rFonts w:ascii="Arial" w:cs="Arial" w:eastAsia="Arial" w:hAnsi="Arial"/>
          <w:color w:val="666666"/>
          <w:sz w:val="22"/>
          <w:szCs w:val="22"/>
        </w:rPr>
        <w:t xml:space="preserve">Version 1.0  |  April 2026  |  Internal — Confidential</w:t>
      </w:r>
    </w:p>
    <w:p>
      <w:pPr>
        <w:spacing w:after="80"/>
        <w:jc w:val="center"/>
      </w:pPr>
      <w:r>
        <w:rPr>
          <w:rFonts w:ascii="Arial" w:cs="Arial" w:eastAsia="Arial" w:hAnsi="Arial"/>
          <w:i/>
          <w:iCs/>
          <w:color w:val="666666"/>
          <w:sz w:val="22"/>
          <w:szCs w:val="22"/>
        </w:rPr>
        <w:t xml:space="preserve">Prepared by: Product &amp; Strategy Team</w:t>
      </w:r>
    </w:p>
    <w:p>
      <w:pPr>
        <w:spacing w:after="1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8F7" w:val="clear"/>
            <w:tcMar>
              <w:top w:type="dxa" w:w="160"/>
              <w:left w:type="dxa" w:w="120"/>
              <w:bottom w:type="dxa" w:w="160"/>
              <w:right w:type="dxa" w:w="120"/>
            </w:tcMar>
          </w:tcPr>
          <w:p>
            <w:pPr>
              <w:spacing w:after="40"/>
              <w:jc w:val="center"/>
            </w:pPr>
            <w:r>
              <w:rPr>
                <w:rFonts w:ascii="Arial" w:cs="Arial" w:eastAsia="Arial" w:hAnsi="Arial"/>
                <w:b/>
                <w:bCs/>
                <w:color w:val="1A3C5E"/>
                <w:sz w:val="36"/>
                <w:szCs w:val="36"/>
              </w:rPr>
              <w:t xml:space="preserve">৳2.4 Cr</w:t>
            </w:r>
          </w:p>
          <w:p>
            <w:pPr>
              <w:spacing w:after="0"/>
              <w:jc w:val="center"/>
            </w:pPr>
            <w:r>
              <w:rPr>
                <w:rFonts w:ascii="Arial" w:cs="Arial" w:eastAsia="Arial" w:hAnsi="Arial"/>
                <w:color w:val="1A3C5E"/>
                <w:sz w:val="18"/>
                <w:szCs w:val="18"/>
              </w:rPr>
              <w:t xml:space="preserve">Year 3 ARR Target</w:t>
            </w:r>
          </w:p>
        </w:tc>
        <w:tc>
          <w:tcPr>
            <w:tcW w:type="dxa" w:w="2340"/>
            <w:tcBorders>
              <w:top w:val="none" w:color="FFFFFF" w:sz="0"/>
              <w:left w:val="none" w:color="FFFFFF" w:sz="0"/>
              <w:bottom w:val="none" w:color="FFFFFF" w:sz="0"/>
              <w:right w:val="none" w:color="FFFFFF" w:sz="0"/>
            </w:tcBorders>
            <w:shd w:fill="E1F5EE" w:val="clear"/>
            <w:tcMar>
              <w:top w:type="dxa" w:w="160"/>
              <w:left w:type="dxa" w:w="120"/>
              <w:bottom w:type="dxa" w:w="160"/>
              <w:right w:type="dxa" w:w="120"/>
            </w:tcMar>
          </w:tcPr>
          <w:p>
            <w:pPr>
              <w:spacing w:after="40"/>
              <w:jc w:val="center"/>
            </w:pPr>
            <w:r>
              <w:rPr>
                <w:rFonts w:ascii="Arial" w:cs="Arial" w:eastAsia="Arial" w:hAnsi="Arial"/>
                <w:b/>
                <w:bCs/>
                <w:color w:val="0F6E56"/>
                <w:sz w:val="36"/>
                <w:szCs w:val="36"/>
              </w:rPr>
              <w:t xml:space="preserve">50+</w:t>
            </w:r>
          </w:p>
          <w:p>
            <w:pPr>
              <w:spacing w:after="0"/>
              <w:jc w:val="center"/>
            </w:pPr>
            <w:r>
              <w:rPr>
                <w:rFonts w:ascii="Arial" w:cs="Arial" w:eastAsia="Arial" w:hAnsi="Arial"/>
                <w:color w:val="0F6E56"/>
                <w:sz w:val="18"/>
                <w:szCs w:val="18"/>
              </w:rPr>
              <w:t xml:space="preserve">Target B2B Clients (Yr 3)</w:t>
            </w:r>
          </w:p>
        </w:tc>
        <w:tc>
          <w:tcPr>
            <w:tcW w:type="dxa" w:w="2340"/>
            <w:tcBorders>
              <w:top w:val="none" w:color="FFFFFF" w:sz="0"/>
              <w:left w:val="none" w:color="FFFFFF" w:sz="0"/>
              <w:bottom w:val="none" w:color="FFFFFF" w:sz="0"/>
              <w:right w:val="none" w:color="FFFFFF" w:sz="0"/>
            </w:tcBorders>
            <w:shd w:fill="FAEEDA" w:val="clear"/>
            <w:tcMar>
              <w:top w:type="dxa" w:w="160"/>
              <w:left w:type="dxa" w:w="120"/>
              <w:bottom w:type="dxa" w:w="160"/>
              <w:right w:type="dxa" w:w="120"/>
            </w:tcMar>
          </w:tcPr>
          <w:p>
            <w:pPr>
              <w:spacing w:after="40"/>
              <w:jc w:val="center"/>
            </w:pPr>
            <w:r>
              <w:rPr>
                <w:rFonts w:ascii="Arial" w:cs="Arial" w:eastAsia="Arial" w:hAnsi="Arial"/>
                <w:b/>
                <w:bCs/>
                <w:color w:val="BA7517"/>
                <w:sz w:val="36"/>
                <w:szCs w:val="36"/>
              </w:rPr>
              <w:t xml:space="preserve">৳18 Lakh</w:t>
            </w:r>
          </w:p>
          <w:p>
            <w:pPr>
              <w:spacing w:after="0"/>
              <w:jc w:val="center"/>
            </w:pPr>
            <w:r>
              <w:rPr>
                <w:rFonts w:ascii="Arial" w:cs="Arial" w:eastAsia="Arial" w:hAnsi="Arial"/>
                <w:color w:val="BA7517"/>
                <w:sz w:val="18"/>
                <w:szCs w:val="18"/>
              </w:rPr>
              <w:t xml:space="preserve">Avg. Annual Contract Value</w:t>
            </w:r>
          </w:p>
        </w:tc>
        <w:tc>
          <w:tcPr>
            <w:tcW w:type="dxa" w:w="2340"/>
            <w:tcBorders>
              <w:top w:val="none" w:color="FFFFFF" w:sz="0"/>
              <w:left w:val="none" w:color="FFFFFF" w:sz="0"/>
              <w:bottom w:val="none" w:color="FFFFFF" w:sz="0"/>
              <w:right w:val="none" w:color="FFFFFF" w:sz="0"/>
            </w:tcBorders>
            <w:shd w:fill="EAF3DE" w:val="clear"/>
            <w:tcMar>
              <w:top w:type="dxa" w:w="160"/>
              <w:left w:type="dxa" w:w="120"/>
              <w:bottom w:type="dxa" w:w="160"/>
              <w:right w:type="dxa" w:w="120"/>
            </w:tcMar>
          </w:tcPr>
          <w:p>
            <w:pPr>
              <w:spacing w:after="40"/>
              <w:jc w:val="center"/>
            </w:pPr>
            <w:r>
              <w:rPr>
                <w:rFonts w:ascii="Arial" w:cs="Arial" w:eastAsia="Arial" w:hAnsi="Arial"/>
                <w:b/>
                <w:bCs/>
                <w:color w:val="3B6D11"/>
                <w:sz w:val="36"/>
                <w:szCs w:val="36"/>
              </w:rPr>
              <w:t xml:space="preserve">82%</w:t>
            </w:r>
          </w:p>
          <w:p>
            <w:pPr>
              <w:spacing w:after="0"/>
              <w:jc w:val="center"/>
            </w:pPr>
            <w:r>
              <w:rPr>
                <w:rFonts w:ascii="Arial" w:cs="Arial" w:eastAsia="Arial" w:hAnsi="Arial"/>
                <w:color w:val="3B6D11"/>
                <w:sz w:val="18"/>
                <w:szCs w:val="18"/>
              </w:rPr>
              <w:t xml:space="preserve">Projected Gross Margin</w:t>
            </w:r>
          </w:p>
        </w:tc>
      </w:tr>
    </w:tbl>
    <w:p>
      <w:pPr>
        <w:pageBreakBefore/>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1. Executive Summary</w:t>
      </w:r>
    </w:p>
    <w:p>
      <w:pPr>
        <w:spacing w:after="80"/>
      </w:pPr>
      <w:r>
        <w:rPr>
          <w:rFonts w:ascii="Arial" w:cs="Arial" w:eastAsia="Arial" w:hAnsi="Arial"/>
          <w:color w:val="1A1A1A"/>
          <w:sz w:val="22"/>
          <w:szCs w:val="22"/>
        </w:rPr>
        <w:t xml:space="preserve">This document defines the commercial revenue model for Trip Planner's B2B SaaS and Data Insights business lines. These two streams are designed to work together: the B2B SaaS product licenses the trip planning platform to travel industry operators, while the Data Insights business monetises the aggregated, anonymised travel intelligence that accumulates as the platform scales.</w:t>
      </w:r>
    </w:p>
    <w:p>
      <w:pPr>
        <w:spacing w:after="80"/>
      </w:pPr>
      <w:r>
        <w:t xml:space="preserve"/>
      </w:r>
    </w:p>
    <w:p>
      <w:pPr>
        <w:spacing w:after="80"/>
      </w:pPr>
      <w:r>
        <w:rPr>
          <w:rFonts w:ascii="Arial" w:cs="Arial" w:eastAsia="Arial" w:hAnsi="Arial"/>
          <w:color w:val="1A1A1A"/>
          <w:sz w:val="22"/>
          <w:szCs w:val="22"/>
        </w:rPr>
        <w:t xml:space="preserve">Together, these streams target a sustainable, high-margin recurring revenue base that is independent of end-consumer transaction volume — making the business more resilient and defensible than a pure commission model.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20"/>
              <w:bottom w:type="dxa" w:w="160"/>
              <w:right w:type="dxa" w:w="220"/>
            </w:tcMar>
          </w:tcPr>
          <w:p>
            <w:pPr>
              <w:spacing w:after="40"/>
            </w:pPr>
            <w:r>
              <w:rPr>
                <w:rFonts w:ascii="Arial" w:cs="Arial" w:eastAsia="Arial" w:hAnsi="Arial"/>
                <w:b/>
                <w:bCs/>
                <w:color w:val="1A3C5E"/>
                <w:sz w:val="22"/>
                <w:szCs w:val="22"/>
              </w:rPr>
              <w:t xml:space="preserve">Strategic Rationale</w:t>
            </w:r>
          </w:p>
          <w:p>
            <w:pPr>
              <w:spacing w:after="0"/>
            </w:pPr>
            <w:r>
              <w:rPr>
                <w:rFonts w:ascii="Arial" w:cs="Arial" w:eastAsia="Arial" w:hAnsi="Arial"/>
                <w:color w:val="444444"/>
                <w:sz w:val="21"/>
                <w:szCs w:val="21"/>
              </w:rPr>
              <w:t xml:space="preserve">Bangladesh's domestic tourism sector is growing at approximately 12–15% annually (BTRC estimates), yet most travel agencies and tour operators use manual spreadsheets or WhatsApp to manage group trip logistics. No platform currently sells aggregated domestic travel intelligence commercially. Trip Planner is positioned to own both gaps simultaneously.</w:t>
            </w:r>
          </w:p>
        </w:tc>
      </w:tr>
    </w:tbl>
    <w:p>
      <w:pPr>
        <w:spacing w:after="120"/>
      </w:pPr>
      <w:r>
        <w:t xml:space="preserve"/>
      </w:r>
    </w:p>
    <w:p>
      <w:pPr>
        <w:pStyle w:val="Heading2"/>
        <w:spacing w:after="80" w:before="240"/>
      </w:pPr>
      <w:r>
        <w:rPr>
          <w:rFonts w:ascii="Arial" w:cs="Arial" w:eastAsia="Arial" w:hAnsi="Arial"/>
          <w:b/>
          <w:bCs/>
          <w:color w:val="2E6DA4"/>
          <w:sz w:val="27"/>
          <w:szCs w:val="27"/>
        </w:rPr>
        <w:t xml:space="preserve">1.1  Revenue Stream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600"/>
        <w:gridCol w:w="1360"/>
      </w:tblGrid>
      <w:tr>
        <w:tc>
          <w:tcPr>
            <w:tcW w:type="dxa" w:w="20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Stream</w:t>
            </w:r>
          </w:p>
        </w:tc>
        <w:tc>
          <w:tcPr>
            <w:tcW w:type="dxa" w:w="22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Primary Customer</w:t>
            </w:r>
          </w:p>
        </w:tc>
        <w:tc>
          <w:tcPr>
            <w:tcW w:type="dxa" w:w="22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Revenue Type</w:t>
            </w:r>
          </w:p>
        </w:tc>
        <w:tc>
          <w:tcPr>
            <w:tcW w:type="dxa" w:w="16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Yr 1 Target</w:t>
            </w:r>
          </w:p>
        </w:tc>
        <w:tc>
          <w:tcPr>
            <w:tcW w:type="dxa" w:w="136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Margin</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2E6DA4"/>
                <w:sz w:val="20"/>
                <w:szCs w:val="20"/>
              </w:rPr>
              <w:t xml:space="preserve">B2B SaaS — Agency Licence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Travel agencies, tour operators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Annual recurring (ARR)</w:t>
            </w:r>
          </w:p>
        </w:tc>
        <w:tc>
          <w:tcPr>
            <w:tcW w:type="dxa" w:w="1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৳48 Lakh</w:t>
            </w:r>
          </w:p>
        </w:tc>
        <w:tc>
          <w:tcPr>
            <w:tcW w:type="dxa" w:w="13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78%</w:t>
            </w:r>
          </w:p>
        </w:tc>
      </w:tr>
      <w:tr>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2E6DA4"/>
                <w:sz w:val="20"/>
                <w:szCs w:val="20"/>
              </w:rPr>
              <w:t xml:space="preserve">B2B SaaS — Corporate Travel</w:t>
            </w:r>
          </w:p>
        </w:tc>
        <w:tc>
          <w:tcPr>
            <w:tcW w:type="dxa" w:w="2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Corporate HR / admin teams</w:t>
            </w:r>
          </w:p>
        </w:tc>
        <w:tc>
          <w:tcPr>
            <w:tcW w:type="dxa" w:w="2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Annual recurring (ARR)</w:t>
            </w:r>
          </w:p>
        </w:tc>
        <w:tc>
          <w:tcPr>
            <w:tcW w:type="dxa" w:w="1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৳24 Lakh</w:t>
            </w:r>
          </w:p>
        </w:tc>
        <w:tc>
          <w:tcPr>
            <w:tcW w:type="dxa" w:w="13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80%</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Data Insights — Reports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Tourism boards, govt, investors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Per-report / subscription</w:t>
            </w:r>
          </w:p>
        </w:tc>
        <w:tc>
          <w:tcPr>
            <w:tcW w:type="dxa" w:w="1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৳20 Lakh</w:t>
            </w:r>
          </w:p>
        </w:tc>
        <w:tc>
          <w:tcPr>
            <w:tcW w:type="dxa" w:w="13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88%</w:t>
            </w:r>
          </w:p>
        </w:tc>
      </w:tr>
      <w:tr>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534AB7"/>
                <w:sz w:val="20"/>
                <w:szCs w:val="20"/>
              </w:rPr>
              <w:t xml:space="preserve">Data Insights — API Feed</w:t>
            </w:r>
          </w:p>
        </w:tc>
        <w:tc>
          <w:tcPr>
            <w:tcW w:type="dxa" w:w="2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Fintech, hospitality chains</w:t>
            </w:r>
          </w:p>
        </w:tc>
        <w:tc>
          <w:tcPr>
            <w:tcW w:type="dxa" w:w="2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Annual API subscription</w:t>
            </w:r>
          </w:p>
        </w:tc>
        <w:tc>
          <w:tcPr>
            <w:tcW w:type="dxa" w:w="1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৳12 Lakh</w:t>
            </w:r>
          </w:p>
        </w:tc>
        <w:tc>
          <w:tcPr>
            <w:tcW w:type="dxa" w:w="13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90%</w:t>
            </w:r>
          </w:p>
        </w:tc>
      </w:tr>
      <w:tr>
        <w:tc>
          <w:tcPr>
            <w:tcW w:type="dxa" w:w="2000"/>
            <w:tcBorders>
              <w:top w:val="single" w:color="1A3C5E" w:sz="1"/>
              <w:left w:val="single" w:color="1A3C5E" w:sz="1"/>
              <w:bottom w:val="single" w:color="1A3C5E" w:sz="1"/>
              <w:right w:val="single" w:color="1A3C5E" w:sz="1"/>
            </w:tcBorders>
            <w:shd w:fill="1A3C5E" w:val="clear"/>
            <w:tcMar>
              <w:top w:type="dxa" w:w="80"/>
              <w:left w:type="dxa" w:w="130"/>
              <w:bottom w:type="dxa" w:w="80"/>
              <w:right w:type="dxa" w:w="130"/>
            </w:tcMar>
          </w:tcPr>
          <w:p>
            <w:r>
              <w:rPr>
                <w:rFonts w:ascii="Arial" w:cs="Arial" w:eastAsia="Arial" w:hAnsi="Arial"/>
                <w:b/>
                <w:bCs/>
                <w:color w:val="FFFFFF"/>
                <w:sz w:val="20"/>
                <w:szCs w:val="20"/>
              </w:rPr>
              <w:t xml:space="preserve">TOTAL — Year 1</w:t>
            </w:r>
          </w:p>
        </w:tc>
        <w:tc>
          <w:tcPr>
            <w:tcW w:type="dxa" w:w="2200"/>
            <w:tcBorders>
              <w:top w:val="single" w:color="1A3C5E" w:sz="1"/>
              <w:left w:val="single" w:color="1A3C5E" w:sz="1"/>
              <w:bottom w:val="single" w:color="1A3C5E" w:sz="1"/>
              <w:right w:val="single" w:color="1A3C5E" w:sz="1"/>
            </w:tcBorders>
            <w:shd w:fill="1A3C5E" w:val="clear"/>
            <w:tcMar>
              <w:top w:type="dxa" w:w="80"/>
              <w:left w:type="dxa" w:w="130"/>
              <w:bottom w:type="dxa" w:w="80"/>
              <w:right w:type="dxa" w:w="130"/>
            </w:tcMar>
          </w:tcPr>
          <w:p>
            <w:r>
              <w:rPr>
                <w:rFonts w:ascii="Arial" w:cs="Arial" w:eastAsia="Arial" w:hAnsi="Arial"/>
                <w:b/>
                <w:bCs/>
                <w:color w:val="FFFFFF"/>
                <w:sz w:val="20"/>
                <w:szCs w:val="20"/>
              </w:rPr>
              <w:t xml:space="preserve"/>
            </w:r>
          </w:p>
        </w:tc>
        <w:tc>
          <w:tcPr>
            <w:tcW w:type="dxa" w:w="2200"/>
            <w:tcBorders>
              <w:top w:val="single" w:color="1A3C5E" w:sz="1"/>
              <w:left w:val="single" w:color="1A3C5E" w:sz="1"/>
              <w:bottom w:val="single" w:color="1A3C5E" w:sz="1"/>
              <w:right w:val="single" w:color="1A3C5E" w:sz="1"/>
            </w:tcBorders>
            <w:shd w:fill="1A3C5E" w:val="clear"/>
            <w:tcMar>
              <w:top w:type="dxa" w:w="80"/>
              <w:left w:type="dxa" w:w="130"/>
              <w:bottom w:type="dxa" w:w="80"/>
              <w:right w:type="dxa" w:w="130"/>
            </w:tcMar>
          </w:tcPr>
          <w:p>
            <w:r>
              <w:rPr>
                <w:rFonts w:ascii="Arial" w:cs="Arial" w:eastAsia="Arial" w:hAnsi="Arial"/>
                <w:b/>
                <w:bCs/>
                <w:color w:val="FFFFFF"/>
                <w:sz w:val="20"/>
                <w:szCs w:val="20"/>
              </w:rPr>
              <w:t xml:space="preserve"/>
            </w:r>
          </w:p>
        </w:tc>
        <w:tc>
          <w:tcPr>
            <w:tcW w:type="dxa" w:w="160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৳1.04 Cr</w:t>
            </w:r>
          </w:p>
        </w:tc>
        <w:tc>
          <w:tcPr>
            <w:tcW w:type="dxa" w:w="136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82% avg</w:t>
            </w:r>
          </w:p>
        </w:tc>
      </w:tr>
    </w:tbl>
    <w:p>
      <w:pPr>
        <w:pageBreakBefore/>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2. B2B SaaS — Platform Licensing</w:t>
      </w:r>
    </w:p>
    <w:p>
      <w:pPr>
        <w:spacing w:after="80"/>
      </w:pPr>
      <w:r>
        <w:rPr>
          <w:rFonts w:ascii="Arial" w:cs="Arial" w:eastAsia="Arial" w:hAnsi="Arial"/>
          <w:color w:val="1A1A1A"/>
          <w:sz w:val="22"/>
          <w:szCs w:val="22"/>
        </w:rPr>
        <w:t xml:space="preserve">The B2B SaaS model licenses access to the Trip Planner platform to organisations that need trip planning and budget management capabilities for their clients or employees. Two distinct sub-segments are targeted with tailored packaging.</w:t>
      </w:r>
    </w:p>
    <w:p>
      <w:pPr>
        <w:spacing w:after="100"/>
      </w:pPr>
      <w:r>
        <w:t xml:space="preserve"/>
      </w:r>
    </w:p>
    <w:p>
      <w:pPr>
        <w:pStyle w:val="Heading2"/>
        <w:spacing w:after="80" w:before="240"/>
      </w:pPr>
      <w:r>
        <w:rPr>
          <w:rFonts w:ascii="Arial" w:cs="Arial" w:eastAsia="Arial" w:hAnsi="Arial"/>
          <w:b/>
          <w:bCs/>
          <w:color w:val="2E6DA4"/>
          <w:sz w:val="27"/>
          <w:szCs w:val="27"/>
        </w:rPr>
        <w:t xml:space="preserve">2.1  Sub-segment A: Travel Agencies &amp; Tour Operators</w:t>
      </w:r>
    </w:p>
    <w:p>
      <w:pPr>
        <w:spacing w:after="80"/>
      </w:pPr>
      <w:r>
        <w:rPr>
          <w:rFonts w:ascii="Arial" w:cs="Arial" w:eastAsia="Arial" w:hAnsi="Arial"/>
          <w:color w:val="1A1A1A"/>
          <w:sz w:val="22"/>
          <w:szCs w:val="22"/>
        </w:rPr>
        <w:t xml:space="preserve">Travel agencies in Bangladesh currently rely on WhatsApp groups, phone calls, and manual spreadsheets to coordinate group trips. Trip Planner provides a white-label platform they can offer under their own brand — dramatically improving their service quality and client retention.</w:t>
      </w:r>
    </w:p>
    <w:p>
      <w:pPr>
        <w:spacing w:after="80"/>
      </w:pPr>
      <w:r>
        <w:t xml:space="preserve"/>
      </w:r>
    </w:p>
    <w:p>
      <w:pPr>
        <w:pStyle w:val="Heading3"/>
        <w:spacing w:after="60" w:before="180"/>
      </w:pPr>
      <w:r>
        <w:rPr>
          <w:rFonts w:ascii="Arial" w:cs="Arial" w:eastAsia="Arial" w:hAnsi="Arial"/>
          <w:b/>
          <w:bCs/>
          <w:color w:val="1A3C5E"/>
          <w:sz w:val="23"/>
          <w:szCs w:val="23"/>
        </w:rPr>
        <w:t xml:space="preserve">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Company type</w:t>
            </w:r>
          </w:p>
        </w:tc>
        <w:tc>
          <w:tcPr>
            <w:tcW w:type="dxa" w:w="67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Registered travel agencies, licensed tour operators, pilgrimage organisers (Hajj/Umrah)</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Size</w:t>
            </w:r>
          </w:p>
        </w:tc>
        <w:tc>
          <w:tcPr>
            <w:tcW w:type="dxa" w:w="67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5–200 employees; managing 50–2,000 trip packages per year</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Pain points</w:t>
            </w:r>
          </w:p>
        </w:tc>
        <w:tc>
          <w:tcPr>
            <w:tcW w:type="dxa" w:w="67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No centralised trip management; clients demand real-time budget transparency; manual error-prone logistics</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Decision maker</w:t>
            </w:r>
          </w:p>
        </w:tc>
        <w:tc>
          <w:tcPr>
            <w:tcW w:type="dxa" w:w="67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Managing Director, Operations Head, or IT Manager</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Sales channel</w:t>
            </w:r>
          </w:p>
        </w:tc>
        <w:tc>
          <w:tcPr>
            <w:tcW w:type="dxa" w:w="67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Direct outbound sales, TOAB (Tour Operators Association of Bangladesh) partnerships, referrals</w:t>
            </w:r>
          </w:p>
        </w:tc>
      </w:tr>
    </w:tbl>
    <w:p>
      <w:pPr>
        <w:spacing w:after="120"/>
      </w:pPr>
      <w:r>
        <w:t xml:space="preserve"/>
      </w:r>
    </w:p>
    <w:p>
      <w:pPr>
        <w:pStyle w:val="Heading3"/>
        <w:spacing w:after="60" w:before="180"/>
      </w:pPr>
      <w:r>
        <w:rPr>
          <w:rFonts w:ascii="Arial" w:cs="Arial" w:eastAsia="Arial" w:hAnsi="Arial"/>
          <w:b/>
          <w:bCs/>
          <w:color w:val="1A3C5E"/>
          <w:sz w:val="23"/>
          <w:szCs w:val="23"/>
        </w:rPr>
        <w:t xml:space="preserve">Pricing tiers — Travel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60"/>
        <w:gridCol w:w="2000"/>
      </w:tblGrid>
      <w:tr>
        <w:tc>
          <w:tcPr>
            <w:tcW w:type="dxa" w:w="1800"/>
            <w:tcBorders>
              <w:top w:val="single" w:color="B0C4D8" w:sz="1"/>
              <w:left w:val="single" w:color="B0C4D8" w:sz="1"/>
              <w:bottom w:val="single" w:color="B0C4D8" w:sz="1"/>
              <w:right w:val="single" w:color="B0C4D8" w:sz="1"/>
            </w:tcBorders>
            <w:shd w:fill="888888" w:val="clear"/>
            <w:tcMar>
              <w:top w:type="dxa" w:w="100"/>
              <w:left w:type="dxa" w:w="130"/>
              <w:bottom w:type="dxa" w:w="100"/>
              <w:right w:type="dxa" w:w="130"/>
            </w:tcMar>
          </w:tcPr>
          <w:p>
            <w:r>
              <w:rPr>
                <w:rFonts w:ascii="Arial" w:cs="Arial" w:eastAsia="Arial" w:hAnsi="Arial"/>
                <w:b/>
                <w:bCs/>
                <w:color w:val="FFFFFF"/>
                <w:sz w:val="20"/>
                <w:szCs w:val="20"/>
              </w:rPr>
              <w:t xml:space="preserve"/>
            </w:r>
          </w:p>
        </w:tc>
        <w:tc>
          <w:tcPr>
            <w:tcW w:type="dxa" w:w="18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Starter</w:t>
            </w:r>
          </w:p>
        </w:tc>
        <w:tc>
          <w:tcPr>
            <w:tcW w:type="dxa" w:w="18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Professional</w:t>
            </w:r>
          </w:p>
        </w:tc>
        <w:tc>
          <w:tcPr>
            <w:tcW w:type="dxa" w:w="196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Business</w:t>
            </w:r>
          </w:p>
        </w:tc>
        <w:tc>
          <w:tcPr>
            <w:tcW w:type="dxa" w:w="20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Enterprise</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Monthly price</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৳3,000/mo</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৳7,500/mo</w:t>
            </w:r>
          </w:p>
        </w:tc>
        <w:tc>
          <w:tcPr>
            <w:tcW w:type="dxa" w:w="19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৳15,000/mo</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Custom</w:t>
            </w:r>
          </w:p>
        </w:tc>
      </w:tr>
      <w:tr>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Annual price</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৳30,000/yr</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৳75,000/yr</w:t>
            </w:r>
          </w:p>
        </w:tc>
        <w:tc>
          <w:tcPr>
            <w:tcW w:type="dxa" w:w="19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৳1,50,000/yr</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Negotiated</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Staff seats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Up to 3</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Up to 10</w:t>
            </w:r>
          </w:p>
        </w:tc>
        <w:tc>
          <w:tcPr>
            <w:tcW w:type="dxa" w:w="19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Up to 30</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Unlimited</w:t>
            </w:r>
          </w:p>
        </w:tc>
      </w:tr>
      <w:tr>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Active trips</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20/month</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100/month</w:t>
            </w:r>
          </w:p>
        </w:tc>
        <w:tc>
          <w:tcPr>
            <w:tcW w:type="dxa" w:w="19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Unlimited</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Unlimited</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White-label branding</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A32D2D"/>
                <w:sz w:val="20"/>
                <w:szCs w:val="20"/>
              </w:rPr>
              <w:t xml:space="preserve">No</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Logo only</w:t>
            </w:r>
          </w:p>
        </w:tc>
        <w:tc>
          <w:tcPr>
            <w:tcW w:type="dxa" w:w="19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Full white-label</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Full white-label</w:t>
            </w:r>
          </w:p>
        </w:tc>
      </w:tr>
      <w:tr>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Budget PDF export</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Yes</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Yes</w:t>
            </w:r>
          </w:p>
        </w:tc>
        <w:tc>
          <w:tcPr>
            <w:tcW w:type="dxa" w:w="19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Yes</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Yes</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API access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A32D2D"/>
                <w:sz w:val="20"/>
                <w:szCs w:val="20"/>
              </w:rPr>
              <w:t xml:space="preserve">No</w:t>
            </w:r>
          </w:p>
        </w:tc>
        <w:tc>
          <w:tcPr>
            <w:tcW w:type="dxa" w:w="1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A32D2D"/>
                <w:sz w:val="20"/>
                <w:szCs w:val="20"/>
              </w:rPr>
              <w:t xml:space="preserve">No</w:t>
            </w:r>
          </w:p>
        </w:tc>
        <w:tc>
          <w:tcPr>
            <w:tcW w:type="dxa" w:w="19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Read-only</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Full access</w:t>
            </w:r>
          </w:p>
        </w:tc>
      </w:tr>
      <w:tr>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Dedicated support</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Email only</w:t>
            </w:r>
          </w:p>
        </w:tc>
        <w:tc>
          <w:tcPr>
            <w:tcW w:type="dxa" w:w="1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Email + chat</w:t>
            </w:r>
          </w:p>
        </w:tc>
        <w:tc>
          <w:tcPr>
            <w:tcW w:type="dxa" w:w="19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Phone + SLA</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Named CSM</w:t>
            </w:r>
          </w:p>
        </w:tc>
      </w:tr>
    </w:tbl>
    <w:p>
      <w:pPr>
        <w:spacing w:after="80"/>
      </w:pPr>
      <w:r>
        <w:t xml:space="preserve"/>
      </w:r>
    </w:p>
    <w:p>
      <w:pPr>
        <w:spacing w:after="80"/>
      </w:pPr>
      <w:r>
        <w:rPr>
          <w:rFonts w:ascii="Arial" w:cs="Arial" w:eastAsia="Arial" w:hAnsi="Arial"/>
          <w:i/>
          <w:iCs/>
          <w:color w:val="666666"/>
          <w:sz w:val="21"/>
          <w:szCs w:val="21"/>
        </w:rPr>
        <w:t xml:space="preserve">Recommended anchor: Professional plan at ৳75,000/yr — hits the sweet spot between value and affordability for mid-size agencies. Target 40+ agencies on this tier by Year 2.</w:t>
      </w:r>
    </w:p>
    <w:p>
      <w:pPr>
        <w:spacing w:after="120"/>
      </w:pPr>
      <w:r>
        <w:t xml:space="preserve"/>
      </w:r>
    </w:p>
    <w:p>
      <w:pPr>
        <w:pStyle w:val="Heading2"/>
        <w:spacing w:after="80" w:before="240"/>
      </w:pPr>
      <w:r>
        <w:rPr>
          <w:rFonts w:ascii="Arial" w:cs="Arial" w:eastAsia="Arial" w:hAnsi="Arial"/>
          <w:b/>
          <w:bCs/>
          <w:color w:val="2E6DA4"/>
          <w:sz w:val="27"/>
          <w:szCs w:val="27"/>
        </w:rPr>
        <w:t xml:space="preserve">2.2  Sub-segment B: Corporate Travel Management</w:t>
      </w:r>
    </w:p>
    <w:p>
      <w:pPr>
        <w:spacing w:after="80"/>
      </w:pPr>
      <w:r>
        <w:rPr>
          <w:rFonts w:ascii="Arial" w:cs="Arial" w:eastAsia="Arial" w:hAnsi="Arial"/>
          <w:color w:val="1A1A1A"/>
          <w:sz w:val="22"/>
          <w:szCs w:val="22"/>
        </w:rPr>
        <w:t xml:space="preserve">Medium and large Bangladeshi companies (garments, NGOs, banks, telecoms) regularly send employees on domestic business trips. HR and admin teams have no tooling to set trip budgets, track employee expenses, or report on travel spend. Trip Planner's corporate edition solves this directly.</w:t>
      </w:r>
    </w:p>
    <w:p>
      <w:pPr>
        <w:spacing w:after="80"/>
      </w:pPr>
      <w:r>
        <w:t xml:space="preserve"/>
      </w:r>
    </w:p>
    <w:p>
      <w:pPr>
        <w:pStyle w:val="Heading3"/>
        <w:spacing w:after="60" w:before="180"/>
      </w:pPr>
      <w:r>
        <w:rPr>
          <w:rFonts w:ascii="Arial" w:cs="Arial" w:eastAsia="Arial" w:hAnsi="Arial"/>
          <w:b/>
          <w:bCs/>
          <w:color w:val="1A3C5E"/>
          <w:sz w:val="23"/>
          <w:szCs w:val="23"/>
        </w:rPr>
        <w:t xml:space="preserve">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Company type</w:t>
            </w:r>
          </w:p>
        </w:tc>
        <w:tc>
          <w:tcPr>
            <w:tcW w:type="dxa" w:w="67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Garments manufacturers, NGOs, banks, telecom companies, development organisations</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Size</w:t>
            </w:r>
          </w:p>
        </w:tc>
        <w:tc>
          <w:tcPr>
            <w:tcW w:type="dxa" w:w="67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100–5,000 employees; 20–500 domestic trips per month</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Pain points</w:t>
            </w:r>
          </w:p>
        </w:tc>
        <w:tc>
          <w:tcPr>
            <w:tcW w:type="dxa" w:w="67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No travel budget visibility; reimbursement is manual and slow; no aggregate spend reporting</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Decision maker</w:t>
            </w:r>
          </w:p>
        </w:tc>
        <w:tc>
          <w:tcPr>
            <w:tcW w:type="dxa" w:w="67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Head of HR, Finance Director, or Chief Administrative Officer</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Sales channel</w:t>
            </w:r>
          </w:p>
        </w:tc>
        <w:tc>
          <w:tcPr>
            <w:tcW w:type="dxa" w:w="67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LinkedIn outbound, partnership with HR software vendors, BGMEA / FBCCI network</w:t>
            </w:r>
          </w:p>
        </w:tc>
      </w:tr>
    </w:tbl>
    <w:p>
      <w:pPr>
        <w:spacing w:after="120"/>
      </w:pPr>
      <w:r>
        <w:t xml:space="preserve"/>
      </w:r>
    </w:p>
    <w:p>
      <w:pPr>
        <w:pStyle w:val="Heading3"/>
        <w:spacing w:after="60" w:before="180"/>
      </w:pPr>
      <w:r>
        <w:rPr>
          <w:rFonts w:ascii="Arial" w:cs="Arial" w:eastAsia="Arial" w:hAnsi="Arial"/>
          <w:b/>
          <w:bCs/>
          <w:color w:val="1A3C5E"/>
          <w:sz w:val="23"/>
          <w:szCs w:val="23"/>
        </w:rPr>
        <w:t xml:space="preserve">Pricing tiers — Corporate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B0C4D8" w:sz="1"/>
              <w:left w:val="single" w:color="B0C4D8" w:sz="1"/>
              <w:bottom w:val="single" w:color="B0C4D8" w:sz="1"/>
              <w:right w:val="single" w:color="B0C4D8" w:sz="1"/>
            </w:tcBorders>
            <w:shd w:fill="888888" w:val="clear"/>
            <w:tcMar>
              <w:top w:type="dxa" w:w="100"/>
              <w:left w:type="dxa" w:w="130"/>
              <w:bottom w:type="dxa" w:w="100"/>
              <w:right w:type="dxa" w:w="130"/>
            </w:tcMar>
          </w:tcPr>
          <w:p>
            <w:r>
              <w:rPr>
                <w:rFonts w:ascii="Arial" w:cs="Arial" w:eastAsia="Arial" w:hAnsi="Arial"/>
                <w:b/>
                <w:bCs/>
                <w:color w:val="FFFFFF"/>
                <w:sz w:val="20"/>
                <w:szCs w:val="20"/>
              </w:rPr>
              <w:t xml:space="preserve"/>
            </w:r>
          </w:p>
        </w:tc>
        <w:tc>
          <w:tcPr>
            <w:tcW w:type="dxa" w:w="2400"/>
            <w:tcBorders>
              <w:top w:val="single" w:color="B0C4D8" w:sz="1"/>
              <w:left w:val="single" w:color="B0C4D8" w:sz="1"/>
              <w:bottom w:val="single" w:color="B0C4D8" w:sz="1"/>
              <w:right w:val="single" w:color="B0C4D8" w:sz="1"/>
            </w:tcBorders>
            <w:shd w:fill="0F6E56" w:val="clear"/>
            <w:tcMar>
              <w:top w:type="dxa" w:w="100"/>
              <w:left w:type="dxa" w:w="130"/>
              <w:bottom w:type="dxa" w:w="100"/>
              <w:right w:type="dxa" w:w="130"/>
            </w:tcMar>
          </w:tcPr>
          <w:p>
            <w:r>
              <w:rPr>
                <w:rFonts w:ascii="Arial" w:cs="Arial" w:eastAsia="Arial" w:hAnsi="Arial"/>
                <w:b/>
                <w:bCs/>
                <w:color w:val="FFFFFF"/>
                <w:sz w:val="20"/>
                <w:szCs w:val="20"/>
              </w:rPr>
              <w:t xml:space="preserve">Team</w:t>
            </w:r>
          </w:p>
        </w:tc>
        <w:tc>
          <w:tcPr>
            <w:tcW w:type="dxa" w:w="2400"/>
            <w:tcBorders>
              <w:top w:val="single" w:color="B0C4D8" w:sz="1"/>
              <w:left w:val="single" w:color="B0C4D8" w:sz="1"/>
              <w:bottom w:val="single" w:color="B0C4D8" w:sz="1"/>
              <w:right w:val="single" w:color="B0C4D8" w:sz="1"/>
            </w:tcBorders>
            <w:shd w:fill="0F6E56" w:val="clear"/>
            <w:tcMar>
              <w:top w:type="dxa" w:w="100"/>
              <w:left w:type="dxa" w:w="130"/>
              <w:bottom w:type="dxa" w:w="100"/>
              <w:right w:type="dxa" w:w="130"/>
            </w:tcMar>
          </w:tcPr>
          <w:p>
            <w:r>
              <w:rPr>
                <w:rFonts w:ascii="Arial" w:cs="Arial" w:eastAsia="Arial" w:hAnsi="Arial"/>
                <w:b/>
                <w:bCs/>
                <w:color w:val="FFFFFF"/>
                <w:sz w:val="20"/>
                <w:szCs w:val="20"/>
              </w:rPr>
              <w:t xml:space="preserve">Company</w:t>
            </w:r>
          </w:p>
        </w:tc>
        <w:tc>
          <w:tcPr>
            <w:tcW w:type="dxa" w:w="2560"/>
            <w:tcBorders>
              <w:top w:val="single" w:color="B0C4D8" w:sz="1"/>
              <w:left w:val="single" w:color="B0C4D8" w:sz="1"/>
              <w:bottom w:val="single" w:color="B0C4D8" w:sz="1"/>
              <w:right w:val="single" w:color="B0C4D8" w:sz="1"/>
            </w:tcBorders>
            <w:shd w:fill="0F6E56" w:val="clear"/>
            <w:tcMar>
              <w:top w:type="dxa" w:w="100"/>
              <w:left w:type="dxa" w:w="130"/>
              <w:bottom w:type="dxa" w:w="100"/>
              <w:right w:type="dxa" w:w="130"/>
            </w:tcMar>
          </w:tcPr>
          <w:p>
            <w:r>
              <w:rPr>
                <w:rFonts w:ascii="Arial" w:cs="Arial" w:eastAsia="Arial" w:hAnsi="Arial"/>
                <w:b/>
                <w:bCs/>
                <w:color w:val="FFFFFF"/>
                <w:sz w:val="20"/>
                <w:szCs w:val="20"/>
              </w:rPr>
              <w:t xml:space="preserve">Enterprise</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Annual price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৳60,000/yr</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৳1,80,000/yr</w:t>
            </w:r>
          </w:p>
        </w:tc>
        <w:tc>
          <w:tcPr>
            <w:tcW w:type="dxa" w:w="2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Custom (৳3 Lakh+)</w:t>
            </w:r>
          </w:p>
        </w:tc>
      </w:tr>
      <w:tr>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Employees covered</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Up to 25</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Up to 200</w:t>
            </w:r>
          </w:p>
        </w:tc>
        <w:tc>
          <w:tcPr>
            <w:tcW w:type="dxa" w:w="2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Unlimited</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Monthly trips</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50</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500</w:t>
            </w:r>
          </w:p>
        </w:tc>
        <w:tc>
          <w:tcPr>
            <w:tcW w:type="dxa" w:w="2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Unlimited</w:t>
            </w:r>
          </w:p>
        </w:tc>
      </w:tr>
      <w:tr>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Travel policy engine</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Basic</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Advanced</w:t>
            </w:r>
          </w:p>
        </w:tc>
        <w:tc>
          <w:tcPr>
            <w:tcW w:type="dxa" w:w="2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Custom rules</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Expense reporting</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CSV export</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Dashboard + CSV</w:t>
            </w:r>
          </w:p>
        </w:tc>
        <w:tc>
          <w:tcPr>
            <w:tcW w:type="dxa" w:w="2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ERP integration</w:t>
            </w:r>
          </w:p>
        </w:tc>
      </w:tr>
      <w:tr>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SSO / AD integration</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A32D2D"/>
                <w:sz w:val="20"/>
                <w:szCs w:val="20"/>
              </w:rPr>
              <w:t xml:space="preserve">No</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Optional</w:t>
            </w:r>
          </w:p>
        </w:tc>
        <w:tc>
          <w:tcPr>
            <w:tcW w:type="dxa" w:w="2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Yes</w:t>
            </w:r>
          </w:p>
        </w:tc>
      </w:tr>
    </w:tbl>
    <w:p>
      <w:pPr>
        <w:spacing w:after="120"/>
      </w:pPr>
      <w:r>
        <w:t xml:space="preserve"/>
      </w:r>
    </w:p>
    <w:p>
      <w:pPr>
        <w:pStyle w:val="Heading2"/>
        <w:spacing w:after="80" w:before="240"/>
      </w:pPr>
      <w:r>
        <w:rPr>
          <w:rFonts w:ascii="Arial" w:cs="Arial" w:eastAsia="Arial" w:hAnsi="Arial"/>
          <w:b/>
          <w:bCs/>
          <w:color w:val="2E6DA4"/>
          <w:sz w:val="27"/>
          <w:szCs w:val="27"/>
        </w:rPr>
        <w:t xml:space="preserve">2.3  B2B SaaS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680"/>
        <w:gridCol w:w="1680"/>
      </w:tblGrid>
      <w:tr>
        <w:tc>
          <w:tcPr>
            <w:tcW w:type="dxa" w:w="26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Metric</w:t>
            </w:r>
          </w:p>
        </w:tc>
        <w:tc>
          <w:tcPr>
            <w:tcW w:type="dxa" w:w="17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1</w:t>
            </w:r>
          </w:p>
        </w:tc>
        <w:tc>
          <w:tcPr>
            <w:tcW w:type="dxa" w:w="17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2</w:t>
            </w:r>
          </w:p>
        </w:tc>
        <w:tc>
          <w:tcPr>
            <w:tcW w:type="dxa" w:w="16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3</w:t>
            </w:r>
          </w:p>
        </w:tc>
        <w:tc>
          <w:tcPr>
            <w:tcW w:type="dxa" w:w="16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4</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Travel agency clients</w:t>
            </w:r>
          </w:p>
        </w:tc>
        <w:tc>
          <w:tcPr>
            <w:tcW w:type="dxa" w:w="17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8</w:t>
            </w:r>
          </w:p>
        </w:tc>
        <w:tc>
          <w:tcPr>
            <w:tcW w:type="dxa" w:w="17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25</w:t>
            </w:r>
          </w:p>
        </w:tc>
        <w:tc>
          <w:tcPr>
            <w:tcW w:type="dxa" w:w="16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50</w:t>
            </w:r>
          </w:p>
        </w:tc>
        <w:tc>
          <w:tcPr>
            <w:tcW w:type="dxa" w:w="16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80</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Avg. agency ACV</w:t>
            </w:r>
          </w:p>
        </w:tc>
        <w:tc>
          <w:tcPr>
            <w:tcW w:type="dxa" w:w="17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৳75,000</w:t>
            </w:r>
          </w:p>
        </w:tc>
        <w:tc>
          <w:tcPr>
            <w:tcW w:type="dxa" w:w="17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৳85,000</w:t>
            </w:r>
          </w:p>
        </w:tc>
        <w:tc>
          <w:tcPr>
            <w:tcW w:type="dxa" w:w="16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৳95,000</w:t>
            </w:r>
          </w:p>
        </w:tc>
        <w:tc>
          <w:tcPr>
            <w:tcW w:type="dxa" w:w="16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৳1,05,000</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Agency ARR</w:t>
            </w:r>
          </w:p>
        </w:tc>
        <w:tc>
          <w:tcPr>
            <w:tcW w:type="dxa" w:w="17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৳6 Lakh</w:t>
            </w:r>
          </w:p>
        </w:tc>
        <w:tc>
          <w:tcPr>
            <w:tcW w:type="dxa" w:w="17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৳21.25 Lakh</w:t>
            </w:r>
          </w:p>
        </w:tc>
        <w:tc>
          <w:tcPr>
            <w:tcW w:type="dxa" w:w="16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৳47.5 Lakh</w:t>
            </w:r>
          </w:p>
        </w:tc>
        <w:tc>
          <w:tcPr>
            <w:tcW w:type="dxa" w:w="16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৳84 Lakh</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Corporate clients</w:t>
            </w:r>
          </w:p>
        </w:tc>
        <w:tc>
          <w:tcPr>
            <w:tcW w:type="dxa" w:w="17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5</w:t>
            </w:r>
          </w:p>
        </w:tc>
        <w:tc>
          <w:tcPr>
            <w:tcW w:type="dxa" w:w="17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15</w:t>
            </w:r>
          </w:p>
        </w:tc>
        <w:tc>
          <w:tcPr>
            <w:tcW w:type="dxa" w:w="16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35</w:t>
            </w:r>
          </w:p>
        </w:tc>
        <w:tc>
          <w:tcPr>
            <w:tcW w:type="dxa" w:w="16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60</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Avg. corporate ACV</w:t>
            </w:r>
          </w:p>
        </w:tc>
        <w:tc>
          <w:tcPr>
            <w:tcW w:type="dxa" w:w="17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৳1,20,000</w:t>
            </w:r>
          </w:p>
        </w:tc>
        <w:tc>
          <w:tcPr>
            <w:tcW w:type="dxa" w:w="17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৳1,50,000</w:t>
            </w:r>
          </w:p>
        </w:tc>
        <w:tc>
          <w:tcPr>
            <w:tcW w:type="dxa" w:w="16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৳1,80,000</w:t>
            </w:r>
          </w:p>
        </w:tc>
        <w:tc>
          <w:tcPr>
            <w:tcW w:type="dxa" w:w="16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৳2,10,000</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Corporate ARR</w:t>
            </w:r>
          </w:p>
        </w:tc>
        <w:tc>
          <w:tcPr>
            <w:tcW w:type="dxa" w:w="17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৳6 Lakh</w:t>
            </w:r>
          </w:p>
        </w:tc>
        <w:tc>
          <w:tcPr>
            <w:tcW w:type="dxa" w:w="17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৳22.5 Lakh</w:t>
            </w:r>
          </w:p>
        </w:tc>
        <w:tc>
          <w:tcPr>
            <w:tcW w:type="dxa" w:w="16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৳63 Lakh</w:t>
            </w:r>
          </w:p>
        </w:tc>
        <w:tc>
          <w:tcPr>
            <w:tcW w:type="dxa" w:w="16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3B6D11"/>
                <w:sz w:val="20"/>
                <w:szCs w:val="20"/>
              </w:rPr>
              <w:t xml:space="preserve">৳1.26 Cr</w:t>
            </w:r>
          </w:p>
        </w:tc>
      </w:tr>
      <w:tr>
        <w:tc>
          <w:tcPr>
            <w:tcW w:type="dxa" w:w="2600"/>
            <w:tcBorders>
              <w:top w:val="single" w:color="1A3C5E" w:sz="1"/>
              <w:left w:val="single" w:color="1A3C5E" w:sz="1"/>
              <w:bottom w:val="single" w:color="1A3C5E" w:sz="1"/>
              <w:right w:val="single" w:color="1A3C5E" w:sz="1"/>
            </w:tcBorders>
            <w:shd w:fill="1A3C5E" w:val="clear"/>
            <w:tcMar>
              <w:top w:type="dxa" w:w="80"/>
              <w:left w:type="dxa" w:w="130"/>
              <w:bottom w:type="dxa" w:w="80"/>
              <w:right w:type="dxa" w:w="130"/>
            </w:tcMar>
          </w:tcPr>
          <w:p>
            <w:r>
              <w:rPr>
                <w:rFonts w:ascii="Arial" w:cs="Arial" w:eastAsia="Arial" w:hAnsi="Arial"/>
                <w:b/>
                <w:bCs/>
                <w:color w:val="FFFFFF"/>
                <w:sz w:val="20"/>
                <w:szCs w:val="20"/>
              </w:rPr>
              <w:t xml:space="preserve">Total B2B SaaS ARR</w:t>
            </w:r>
          </w:p>
        </w:tc>
        <w:tc>
          <w:tcPr>
            <w:tcW w:type="dxa" w:w="170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৳12 Lakh</w:t>
            </w:r>
          </w:p>
        </w:tc>
        <w:tc>
          <w:tcPr>
            <w:tcW w:type="dxa" w:w="170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৳43.75 Lakh</w:t>
            </w:r>
          </w:p>
        </w:tc>
        <w:tc>
          <w:tcPr>
            <w:tcW w:type="dxa" w:w="168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৳1.1 Cr</w:t>
            </w:r>
          </w:p>
        </w:tc>
        <w:tc>
          <w:tcPr>
            <w:tcW w:type="dxa" w:w="168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৳2.1 Cr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20"/>
              <w:bottom w:type="dxa" w:w="160"/>
              <w:right w:type="dxa" w:w="220"/>
            </w:tcMar>
          </w:tcPr>
          <w:p>
            <w:pPr>
              <w:spacing w:after="40"/>
            </w:pPr>
            <w:r>
              <w:rPr>
                <w:rFonts w:ascii="Arial" w:cs="Arial" w:eastAsia="Arial" w:hAnsi="Arial"/>
                <w:b/>
                <w:bCs/>
                <w:color w:val="BA7517"/>
                <w:sz w:val="22"/>
                <w:szCs w:val="22"/>
              </w:rPr>
              <w:t xml:space="preserve">Key assumption</w:t>
            </w:r>
          </w:p>
          <w:p>
            <w:pPr>
              <w:spacing w:after="0"/>
            </w:pPr>
            <w:r>
              <w:rPr>
                <w:rFonts w:ascii="Arial" w:cs="Arial" w:eastAsia="Arial" w:hAnsi="Arial"/>
                <w:color w:val="444444"/>
                <w:sz w:val="21"/>
                <w:szCs w:val="21"/>
              </w:rPr>
              <w:t xml:space="preserve">Average Contract Value (ACV) grows year-on-year as the product matures, upsell of higher tiers occurs, and brand reputation reduces sales friction. A 10% annual churn rate is assumed; net revenue retention is modelled at 115% due to upsells.</w:t>
            </w:r>
          </w:p>
        </w:tc>
      </w:tr>
    </w:tbl>
    <w:p>
      <w:pPr>
        <w:pageBreakBefore/>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3. Data Insights Business</w:t>
      </w:r>
    </w:p>
    <w:p>
      <w:pPr>
        <w:spacing w:after="80"/>
      </w:pPr>
      <w:r>
        <w:rPr>
          <w:rFonts w:ascii="Arial" w:cs="Arial" w:eastAsia="Arial" w:hAnsi="Arial"/>
          <w:color w:val="1A1A1A"/>
          <w:sz w:val="22"/>
          <w:szCs w:val="22"/>
        </w:rPr>
        <w:t xml:space="preserve">As Trip Planner accumulates anonymised trip planning data at scale, a secondary — and highly profitable — business emerges: selling aggregated travel intelligence to organisations that need to understand domestic tourism trends, forecast demand, or make location and investment decisions.</w:t>
      </w:r>
    </w:p>
    <w:p>
      <w:pPr>
        <w:spacing w:after="80"/>
      </w:pPr>
      <w:r>
        <w:t xml:space="preserve"/>
      </w:r>
    </w:p>
    <w:p>
      <w:pPr>
        <w:spacing w:after="80"/>
      </w:pPr>
      <w:r>
        <w:rPr>
          <w:rFonts w:ascii="Arial" w:cs="Arial" w:eastAsia="Arial" w:hAnsi="Arial"/>
          <w:color w:val="1A1A1A"/>
          <w:sz w:val="22"/>
          <w:szCs w:val="22"/>
        </w:rPr>
        <w:t xml:space="preserve">This stream requires no additional product engineering beyond what the core platform already captures. The marginal cost of producing each insight product is near zero, making it the highest-margin revenue line in the business.</w:t>
      </w:r>
    </w:p>
    <w:p>
      <w:pPr>
        <w:spacing w:after="100"/>
      </w:pPr>
      <w:r>
        <w:t xml:space="preserve"/>
      </w:r>
    </w:p>
    <w:p>
      <w:pPr>
        <w:pStyle w:val="Heading2"/>
        <w:spacing w:after="80" w:before="240"/>
      </w:pPr>
      <w:r>
        <w:rPr>
          <w:rFonts w:ascii="Arial" w:cs="Arial" w:eastAsia="Arial" w:hAnsi="Arial"/>
          <w:b/>
          <w:bCs/>
          <w:color w:val="2E6DA4"/>
          <w:sz w:val="27"/>
          <w:szCs w:val="27"/>
        </w:rPr>
        <w:t xml:space="preserve">3.1  Data Products Portfolio</w:t>
      </w:r>
    </w:p>
    <w:p>
      <w:pPr>
        <w:spacing w:after="60"/>
      </w:pPr>
      <w:r>
        <w:t xml:space="preserve"/>
      </w:r>
    </w:p>
    <w:p>
      <w:pPr>
        <w:pStyle w:val="Heading3"/>
        <w:spacing w:after="60" w:before="180"/>
      </w:pPr>
      <w:r>
        <w:rPr>
          <w:rFonts w:ascii="Arial" w:cs="Arial" w:eastAsia="Arial" w:hAnsi="Arial"/>
          <w:b/>
          <w:bCs/>
          <w:color w:val="534AB7"/>
          <w:sz w:val="23"/>
          <w:szCs w:val="23"/>
        </w:rPr>
        <w:t xml:space="preserve">Product 1 — Quarterly Bangladesh Domestic Tourism Report</w:t>
      </w:r>
    </w:p>
    <w:p>
      <w:pPr>
        <w:spacing w:after="80"/>
      </w:pPr>
      <w:r>
        <w:rPr>
          <w:rFonts w:ascii="Arial" w:cs="Arial" w:eastAsia="Arial" w:hAnsi="Arial"/>
          <w:color w:val="1A1A1A"/>
          <w:sz w:val="22"/>
          <w:szCs w:val="22"/>
        </w:rPr>
        <w:t xml:space="preserve">A comprehensive quarterly intelligence report covering destination trends, traveller profiles, spending patterns, seasonal demand, and forward-looking indicators for the next quarter.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Format</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PDF report, 25–35 pages, branded as 'Trip Planner Intelligence'</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Frequency</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Quarterly (4 reports per year)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Primary buyers</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Bangladesh Tourism Board, Bangladesh Parjatan Corporation, district tourism offices, hospitality investors, hotel chains</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Price — single</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৳75,000 per report</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Price — annual sub</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৳2,50,000/yr (all 4 editions + data dashboard access)</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Year 1 target</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8 single buyers + 2 annual subscribers = ৳10 Lakh</w:t>
            </w:r>
          </w:p>
        </w:tc>
      </w:tr>
    </w:tbl>
    <w:p>
      <w:pPr>
        <w:spacing w:after="120"/>
      </w:pPr>
      <w:r>
        <w:t xml:space="preserve"/>
      </w:r>
    </w:p>
    <w:p>
      <w:pPr>
        <w:pStyle w:val="Heading3"/>
        <w:spacing w:after="60" w:before="180"/>
      </w:pPr>
      <w:r>
        <w:rPr>
          <w:rFonts w:ascii="Arial" w:cs="Arial" w:eastAsia="Arial" w:hAnsi="Arial"/>
          <w:b/>
          <w:bCs/>
          <w:color w:val="534AB7"/>
          <w:sz w:val="23"/>
          <w:szCs w:val="23"/>
        </w:rPr>
        <w:t xml:space="preserve">Product 2 — Destination-Specific Intelligence Pack</w:t>
      </w:r>
    </w:p>
    <w:p>
      <w:pPr>
        <w:spacing w:after="80"/>
      </w:pPr>
      <w:r>
        <w:rPr>
          <w:rFonts w:ascii="Arial" w:cs="Arial" w:eastAsia="Arial" w:hAnsi="Arial"/>
          <w:color w:val="1A1A1A"/>
          <w:sz w:val="22"/>
          <w:szCs w:val="22"/>
        </w:rPr>
        <w:t xml:space="preserve">A deep-dive report on a single destination (e.g. Cox's Bazar, Sylhet, Bandarban) covering visitor volume, spending breakdown by category, accommodation demand, transport usage, seasonality, and a 12-month forward outlook. Ideal for hotel developers, resort investors, and local government tourism bodies.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Format</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PDF + Excel data appendix, 15–20 pages per destination</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Available destinations</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All major tourist destinations with sufficient k-anonymity threshold (k≥15)</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Primary buyers</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Hotel &amp; resort developers, local tourism boards, real estate investors, NGOs planning tourism infrastructure</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Price</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৳50,000 per destination pack</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Bundling option</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Any 3 destinations for ৳1,20,000 (20% discount)</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Year 1 target</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12 packs sold = ৳6 Lakh</w:t>
            </w:r>
          </w:p>
        </w:tc>
      </w:tr>
    </w:tbl>
    <w:p>
      <w:pPr>
        <w:spacing w:after="120"/>
      </w:pPr>
      <w:r>
        <w:t xml:space="preserve"/>
      </w:r>
    </w:p>
    <w:p>
      <w:pPr>
        <w:pStyle w:val="Heading3"/>
        <w:spacing w:after="60" w:before="180"/>
      </w:pPr>
      <w:r>
        <w:rPr>
          <w:rFonts w:ascii="Arial" w:cs="Arial" w:eastAsia="Arial" w:hAnsi="Arial"/>
          <w:b/>
          <w:bCs/>
          <w:color w:val="534AB7"/>
          <w:sz w:val="23"/>
          <w:szCs w:val="23"/>
        </w:rPr>
        <w:t xml:space="preserve">Product 3 — Live Data API Subscription</w:t>
      </w:r>
    </w:p>
    <w:p>
      <w:pPr>
        <w:spacing w:after="80"/>
      </w:pPr>
      <w:r>
        <w:rPr>
          <w:rFonts w:ascii="Arial" w:cs="Arial" w:eastAsia="Arial" w:hAnsi="Arial"/>
          <w:color w:val="1A1A1A"/>
          <w:sz w:val="22"/>
          <w:szCs w:val="22"/>
        </w:rPr>
        <w:t xml:space="preserve">A REST API delivering continuously updated aggregated travel indicators — destination popularity scores, demand velocity, average budget signals — refreshed weekly. Designed for technology buyers who want to embed travel demand intelligence into their own systems.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Format</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REST API with JSON responses, weekly refresh, documented endpoints</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Primary buyers</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Hospitality chains (for dynamic pricing), fintech apps (travel spend insights), OTA platforms, academic researchers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Price — Basic</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৳1,50,000/yr — top 10 destinations, weekly refresh, 10K API calls/mo</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Price — Pro</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৳3,50,000/yr — all destinations, daily refresh, 100K API calls/mo</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Price — Enterprise</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Custom — real-time, all endpoints, SLA</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Year 1 target</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 Basic + 1 Pro subscription = ৳8 Lakh</w:t>
            </w:r>
          </w:p>
        </w:tc>
      </w:tr>
    </w:tbl>
    <w:p>
      <w:pPr>
        <w:spacing w:after="120"/>
      </w:pPr>
      <w:r>
        <w:t xml:space="preserve"/>
      </w:r>
    </w:p>
    <w:p>
      <w:pPr>
        <w:pStyle w:val="Heading3"/>
        <w:spacing w:after="60" w:before="180"/>
      </w:pPr>
      <w:r>
        <w:rPr>
          <w:rFonts w:ascii="Arial" w:cs="Arial" w:eastAsia="Arial" w:hAnsi="Arial"/>
          <w:b/>
          <w:bCs/>
          <w:color w:val="534AB7"/>
          <w:sz w:val="23"/>
          <w:szCs w:val="23"/>
        </w:rPr>
        <w:t xml:space="preserve">Product 4 — Custom Research Commission</w:t>
      </w:r>
    </w:p>
    <w:p>
      <w:pPr>
        <w:spacing w:after="80"/>
      </w:pPr>
      <w:r>
        <w:rPr>
          <w:rFonts w:ascii="Arial" w:cs="Arial" w:eastAsia="Arial" w:hAnsi="Arial"/>
          <w:color w:val="1A1A1A"/>
          <w:sz w:val="22"/>
          <w:szCs w:val="22"/>
        </w:rPr>
        <w:t xml:space="preserve">Bespoke research projects where Trip Planner's analyst team produces tailored insights on behalf of a client — for example, a hotel chain wanting to understand competitive positioning, or a government ministry studying tourism economic impact.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Format</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Custom deliverable (report, dataset, presentation) per brief</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Typical buyers</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Government ministries, development banks (ADB, World Bank), consulting firms, large hotel groups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Price range</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৳1,50,000 – ৳8,00,000 per engagement depending on scope</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Year 1 target</w:t>
            </w:r>
          </w:p>
        </w:tc>
        <w:tc>
          <w:tcPr>
            <w:tcW w:type="dxa" w:w="65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2 engagements at ৳2,50,000 avg = ৳5 Lakh</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Resource requirement</w:t>
            </w:r>
          </w:p>
        </w:tc>
        <w:tc>
          <w:tcPr>
            <w:tcW w:type="dxa" w:w="65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 part-time data analyst; templates reused across clients</w:t>
            </w:r>
          </w:p>
        </w:tc>
      </w:tr>
    </w:tbl>
    <w:p>
      <w:pPr>
        <w:spacing w:after="120"/>
      </w:pPr>
      <w:r>
        <w:t xml:space="preserve"/>
      </w:r>
    </w:p>
    <w:p>
      <w:pPr>
        <w:pStyle w:val="Heading2"/>
        <w:spacing w:after="80" w:before="240"/>
      </w:pPr>
      <w:r>
        <w:rPr>
          <w:rFonts w:ascii="Arial" w:cs="Arial" w:eastAsia="Arial" w:hAnsi="Arial"/>
          <w:b/>
          <w:bCs/>
          <w:color w:val="2E6DA4"/>
          <w:sz w:val="27"/>
          <w:szCs w:val="27"/>
        </w:rPr>
        <w:t xml:space="preserve">3.2  Data Insights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B0C4D8" w:sz="1"/>
              <w:left w:val="single" w:color="B0C4D8" w:sz="1"/>
              <w:bottom w:val="single" w:color="B0C4D8" w:sz="1"/>
              <w:right w:val="single" w:color="B0C4D8" w:sz="1"/>
            </w:tcBorders>
            <w:shd w:fill="534AB7" w:val="clear"/>
            <w:tcMar>
              <w:top w:type="dxa" w:w="100"/>
              <w:left w:type="dxa" w:w="130"/>
              <w:bottom w:type="dxa" w:w="100"/>
              <w:right w:type="dxa" w:w="130"/>
            </w:tcMar>
          </w:tcPr>
          <w:p>
            <w:r>
              <w:rPr>
                <w:rFonts w:ascii="Arial" w:cs="Arial" w:eastAsia="Arial" w:hAnsi="Arial"/>
                <w:b/>
                <w:bCs/>
                <w:color w:val="FFFFFF"/>
                <w:sz w:val="20"/>
                <w:szCs w:val="20"/>
              </w:rPr>
              <w:t xml:space="preserve">Product</w:t>
            </w:r>
          </w:p>
        </w:tc>
        <w:tc>
          <w:tcPr>
            <w:tcW w:type="dxa" w:w="1640"/>
            <w:tcBorders>
              <w:top w:val="single" w:color="B0C4D8" w:sz="1"/>
              <w:left w:val="single" w:color="B0C4D8" w:sz="1"/>
              <w:bottom w:val="single" w:color="B0C4D8" w:sz="1"/>
              <w:right w:val="single" w:color="B0C4D8" w:sz="1"/>
            </w:tcBorders>
            <w:shd w:fill="534AB7" w:val="clear"/>
            <w:tcMar>
              <w:top w:type="dxa" w:w="100"/>
              <w:left w:type="dxa" w:w="130"/>
              <w:bottom w:type="dxa" w:w="100"/>
              <w:right w:type="dxa" w:w="130"/>
            </w:tcMar>
          </w:tcPr>
          <w:p>
            <w:r>
              <w:rPr>
                <w:rFonts w:ascii="Arial" w:cs="Arial" w:eastAsia="Arial" w:hAnsi="Arial"/>
                <w:b/>
                <w:bCs/>
                <w:color w:val="FFFFFF"/>
                <w:sz w:val="20"/>
                <w:szCs w:val="20"/>
              </w:rPr>
              <w:t xml:space="preserve">Year 1</w:t>
            </w:r>
          </w:p>
        </w:tc>
        <w:tc>
          <w:tcPr>
            <w:tcW w:type="dxa" w:w="1640"/>
            <w:tcBorders>
              <w:top w:val="single" w:color="B0C4D8" w:sz="1"/>
              <w:left w:val="single" w:color="B0C4D8" w:sz="1"/>
              <w:bottom w:val="single" w:color="B0C4D8" w:sz="1"/>
              <w:right w:val="single" w:color="B0C4D8" w:sz="1"/>
            </w:tcBorders>
            <w:shd w:fill="534AB7" w:val="clear"/>
            <w:tcMar>
              <w:top w:type="dxa" w:w="100"/>
              <w:left w:type="dxa" w:w="130"/>
              <w:bottom w:type="dxa" w:w="100"/>
              <w:right w:type="dxa" w:w="130"/>
            </w:tcMar>
          </w:tcPr>
          <w:p>
            <w:r>
              <w:rPr>
                <w:rFonts w:ascii="Arial" w:cs="Arial" w:eastAsia="Arial" w:hAnsi="Arial"/>
                <w:b/>
                <w:bCs/>
                <w:color w:val="FFFFFF"/>
                <w:sz w:val="20"/>
                <w:szCs w:val="20"/>
              </w:rPr>
              <w:t xml:space="preserve">Year 2</w:t>
            </w:r>
          </w:p>
        </w:tc>
        <w:tc>
          <w:tcPr>
            <w:tcW w:type="dxa" w:w="1640"/>
            <w:tcBorders>
              <w:top w:val="single" w:color="B0C4D8" w:sz="1"/>
              <w:left w:val="single" w:color="B0C4D8" w:sz="1"/>
              <w:bottom w:val="single" w:color="B0C4D8" w:sz="1"/>
              <w:right w:val="single" w:color="B0C4D8" w:sz="1"/>
            </w:tcBorders>
            <w:shd w:fill="534AB7" w:val="clear"/>
            <w:tcMar>
              <w:top w:type="dxa" w:w="100"/>
              <w:left w:type="dxa" w:w="130"/>
              <w:bottom w:type="dxa" w:w="100"/>
              <w:right w:type="dxa" w:w="130"/>
            </w:tcMar>
          </w:tcPr>
          <w:p>
            <w:r>
              <w:rPr>
                <w:rFonts w:ascii="Arial" w:cs="Arial" w:eastAsia="Arial" w:hAnsi="Arial"/>
                <w:b/>
                <w:bCs/>
                <w:color w:val="FFFFFF"/>
                <w:sz w:val="20"/>
                <w:szCs w:val="20"/>
              </w:rPr>
              <w:t xml:space="preserve">Year 3</w:t>
            </w:r>
          </w:p>
        </w:tc>
        <w:tc>
          <w:tcPr>
            <w:tcW w:type="dxa" w:w="1640"/>
            <w:tcBorders>
              <w:top w:val="single" w:color="B0C4D8" w:sz="1"/>
              <w:left w:val="single" w:color="B0C4D8" w:sz="1"/>
              <w:bottom w:val="single" w:color="B0C4D8" w:sz="1"/>
              <w:right w:val="single" w:color="B0C4D8" w:sz="1"/>
            </w:tcBorders>
            <w:shd w:fill="534AB7" w:val="clear"/>
            <w:tcMar>
              <w:top w:type="dxa" w:w="100"/>
              <w:left w:type="dxa" w:w="130"/>
              <w:bottom w:type="dxa" w:w="100"/>
              <w:right w:type="dxa" w:w="130"/>
            </w:tcMar>
          </w:tcPr>
          <w:p>
            <w:r>
              <w:rPr>
                <w:rFonts w:ascii="Arial" w:cs="Arial" w:eastAsia="Arial" w:hAnsi="Arial"/>
                <w:b/>
                <w:bCs/>
                <w:color w:val="FFFFFF"/>
                <w:sz w:val="20"/>
                <w:szCs w:val="20"/>
              </w:rPr>
              <w:t xml:space="preserve">Year 4</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Quarterly Tourism Report</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৳10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৳18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৳30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৳45 Lakh</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534AB7"/>
                <w:sz w:val="20"/>
                <w:szCs w:val="20"/>
              </w:rPr>
              <w:t xml:space="preserve">Destination Intelligence Pack</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৳6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৳15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৳28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৳40 Lakh</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Live Data API</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৳8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৳20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৳40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৳70 Lakh</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534AB7"/>
                <w:sz w:val="20"/>
                <w:szCs w:val="20"/>
              </w:rPr>
              <w:t xml:space="preserve">Custom Research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৳5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৳10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৳18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৳25 Lakh</w:t>
            </w:r>
          </w:p>
        </w:tc>
      </w:tr>
      <w:tr>
        <w:tc>
          <w:tcPr>
            <w:tcW w:type="dxa" w:w="28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tcPr>
          <w:p>
            <w:r>
              <w:rPr>
                <w:rFonts w:ascii="Arial" w:cs="Arial" w:eastAsia="Arial" w:hAnsi="Arial"/>
                <w:b/>
                <w:bCs/>
                <w:color w:val="FFFFFF"/>
                <w:sz w:val="20"/>
                <w:szCs w:val="20"/>
              </w:rPr>
              <w:t xml:space="preserve">Total Data Insights</w:t>
            </w:r>
          </w:p>
        </w:tc>
        <w:tc>
          <w:tcPr>
            <w:tcW w:type="dxa" w:w="164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tcPr>
          <w:p>
            <w:r>
              <w:rPr>
                <w:rFonts w:ascii="Arial" w:cs="Arial" w:eastAsia="Arial" w:hAnsi="Arial"/>
                <w:b/>
                <w:bCs/>
                <w:color w:val="FFFFFF"/>
                <w:sz w:val="20"/>
                <w:szCs w:val="20"/>
              </w:rPr>
              <w:t xml:space="preserve">৳29 Lakh</w:t>
            </w:r>
          </w:p>
        </w:tc>
        <w:tc>
          <w:tcPr>
            <w:tcW w:type="dxa" w:w="164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tcPr>
          <w:p>
            <w:r>
              <w:rPr>
                <w:rFonts w:ascii="Arial" w:cs="Arial" w:eastAsia="Arial" w:hAnsi="Arial"/>
                <w:b/>
                <w:bCs/>
                <w:color w:val="FFFFFF"/>
                <w:sz w:val="20"/>
                <w:szCs w:val="20"/>
              </w:rPr>
              <w:t xml:space="preserve">৳63 Lakh</w:t>
            </w:r>
          </w:p>
        </w:tc>
        <w:tc>
          <w:tcPr>
            <w:tcW w:type="dxa" w:w="164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tcPr>
          <w:p>
            <w:r>
              <w:rPr>
                <w:rFonts w:ascii="Arial" w:cs="Arial" w:eastAsia="Arial" w:hAnsi="Arial"/>
                <w:b/>
                <w:bCs/>
                <w:color w:val="FFFFFF"/>
                <w:sz w:val="20"/>
                <w:szCs w:val="20"/>
              </w:rPr>
              <w:t xml:space="preserve">৳1.16 Cr</w:t>
            </w:r>
          </w:p>
        </w:tc>
        <w:tc>
          <w:tcPr>
            <w:tcW w:type="dxa" w:w="164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tcPr>
          <w:p>
            <w:r>
              <w:rPr>
                <w:rFonts w:ascii="Arial" w:cs="Arial" w:eastAsia="Arial" w:hAnsi="Arial"/>
                <w:b/>
                <w:bCs/>
                <w:color w:val="FFFFFF"/>
                <w:sz w:val="20"/>
                <w:szCs w:val="20"/>
              </w:rPr>
              <w:t xml:space="preserve">৳1.8 Cr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pPr>
              <w:spacing w:after="40"/>
            </w:pPr>
            <w:r>
              <w:rPr>
                <w:rFonts w:ascii="Arial" w:cs="Arial" w:eastAsia="Arial" w:hAnsi="Arial"/>
                <w:b/>
                <w:bCs/>
                <w:color w:val="0F6E56"/>
                <w:sz w:val="22"/>
                <w:szCs w:val="22"/>
              </w:rPr>
              <w:t xml:space="preserve">Data readiness gate</w:t>
            </w:r>
          </w:p>
          <w:p>
            <w:pPr>
              <w:spacing w:after="0"/>
            </w:pPr>
            <w:r>
              <w:rPr>
                <w:rFonts w:ascii="Arial" w:cs="Arial" w:eastAsia="Arial" w:hAnsi="Arial"/>
                <w:color w:val="444444"/>
                <w:sz w:val="21"/>
                <w:szCs w:val="21"/>
              </w:rPr>
              <w:t xml:space="preserve">Data Insights products should not be launched until the platform has accumulated data from at least 5,000 trips across 10+ destinations, with all data points meeting the k≥15 anonymity threshold. Estimated readiness: 6–9 months post-launch depending on B2C user acquisition velocity.</w:t>
            </w:r>
          </w:p>
        </w:tc>
      </w:tr>
    </w:tbl>
    <w:p>
      <w:pPr>
        <w:pageBreakBefore/>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4. Combined Revenue Forecast</w:t>
      </w:r>
    </w:p>
    <w:p>
      <w:pPr>
        <w:pStyle w:val="Heading2"/>
        <w:spacing w:after="80" w:before="240"/>
      </w:pPr>
      <w:r>
        <w:rPr>
          <w:rFonts w:ascii="Arial" w:cs="Arial" w:eastAsia="Arial" w:hAnsi="Arial"/>
          <w:b/>
          <w:bCs/>
          <w:color w:val="2E6DA4"/>
          <w:sz w:val="27"/>
          <w:szCs w:val="27"/>
        </w:rPr>
        <w:t xml:space="preserve">4.1  Four-year revenue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Stream</w:t>
            </w:r>
          </w:p>
        </w:tc>
        <w:tc>
          <w:tcPr>
            <w:tcW w:type="dxa" w:w="164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1</w:t>
            </w:r>
          </w:p>
        </w:tc>
        <w:tc>
          <w:tcPr>
            <w:tcW w:type="dxa" w:w="164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2</w:t>
            </w:r>
          </w:p>
        </w:tc>
        <w:tc>
          <w:tcPr>
            <w:tcW w:type="dxa" w:w="164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3</w:t>
            </w:r>
          </w:p>
        </w:tc>
        <w:tc>
          <w:tcPr>
            <w:tcW w:type="dxa" w:w="164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Year 4</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2E6DA4"/>
                <w:sz w:val="20"/>
                <w:szCs w:val="20"/>
              </w:rPr>
              <w:t xml:space="preserve">B2B SaaS — Agency</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৳6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৳21.25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৳47.5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৳84 Lakh</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2E6DA4"/>
                <w:sz w:val="20"/>
                <w:szCs w:val="20"/>
              </w:rPr>
              <w:t xml:space="preserve">B2B SaaS — Corporate</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৳6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৳22.5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৳63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৳1.26 Cr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Data Insights — Reports</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৳16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৳33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৳58 Lakh</w:t>
            </w:r>
          </w:p>
        </w:tc>
        <w:tc>
          <w:tcPr>
            <w:tcW w:type="dxa" w:w="164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৳85 Lakh</w:t>
            </w:r>
          </w:p>
        </w:tc>
      </w:tr>
      <w:tr>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534AB7"/>
                <w:sz w:val="20"/>
                <w:szCs w:val="20"/>
              </w:rPr>
              <w:t xml:space="preserve">Data Insights — API &amp; Custom</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৳13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৳30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৳58 Lakh</w:t>
            </w:r>
          </w:p>
        </w:tc>
        <w:tc>
          <w:tcPr>
            <w:tcW w:type="dxa" w:w="164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৳95 Lakh</w:t>
            </w:r>
          </w:p>
        </w:tc>
      </w:tr>
      <w:tr>
        <w:tc>
          <w:tcPr>
            <w:tcW w:type="dxa" w:w="2800"/>
            <w:tcBorders>
              <w:top w:val="single" w:color="1A3C5E" w:sz="1"/>
              <w:left w:val="single" w:color="1A3C5E" w:sz="1"/>
              <w:bottom w:val="single" w:color="1A3C5E" w:sz="1"/>
              <w:right w:val="single" w:color="1A3C5E" w:sz="1"/>
            </w:tcBorders>
            <w:shd w:fill="1A3C5E" w:val="clear"/>
            <w:tcMar>
              <w:top w:type="dxa" w:w="80"/>
              <w:left w:type="dxa" w:w="130"/>
              <w:bottom w:type="dxa" w:w="80"/>
              <w:right w:type="dxa" w:w="130"/>
            </w:tcMar>
          </w:tcPr>
          <w:p>
            <w:r>
              <w:rPr>
                <w:rFonts w:ascii="Arial" w:cs="Arial" w:eastAsia="Arial" w:hAnsi="Arial"/>
                <w:b/>
                <w:bCs/>
                <w:color w:val="FFFFFF"/>
                <w:sz w:val="20"/>
                <w:szCs w:val="20"/>
              </w:rPr>
              <w:t xml:space="preserve">TOTAL ARR / REVENUE</w:t>
            </w:r>
          </w:p>
        </w:tc>
        <w:tc>
          <w:tcPr>
            <w:tcW w:type="dxa" w:w="164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৳41 Lakh</w:t>
            </w:r>
          </w:p>
        </w:tc>
        <w:tc>
          <w:tcPr>
            <w:tcW w:type="dxa" w:w="164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৳1.07 Cr</w:t>
            </w:r>
          </w:p>
        </w:tc>
        <w:tc>
          <w:tcPr>
            <w:tcW w:type="dxa" w:w="164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৳2.26 Cr</w:t>
            </w:r>
          </w:p>
        </w:tc>
        <w:tc>
          <w:tcPr>
            <w:tcW w:type="dxa" w:w="164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৳3.9 Cr</w:t>
            </w:r>
          </w:p>
        </w:tc>
      </w:tr>
      <w:tr>
        <w:tc>
          <w:tcPr>
            <w:tcW w:type="dxa" w:w="2800"/>
            <w:tcBorders>
              <w:top w:val="single" w:color="555555" w:sz="1"/>
              <w:left w:val="single" w:color="555555" w:sz="1"/>
              <w:bottom w:val="single" w:color="555555" w:sz="1"/>
              <w:right w:val="single" w:color="555555" w:sz="1"/>
            </w:tcBorders>
            <w:shd w:fill="555555" w:val="clear"/>
            <w:tcMar>
              <w:top w:type="dxa" w:w="80"/>
              <w:left w:type="dxa" w:w="130"/>
              <w:bottom w:type="dxa" w:w="80"/>
              <w:right w:type="dxa" w:w="130"/>
            </w:tcMar>
          </w:tcPr>
          <w:p>
            <w:r>
              <w:rPr>
                <w:rFonts w:ascii="Arial" w:cs="Arial" w:eastAsia="Arial" w:hAnsi="Arial"/>
                <w:b/>
                <w:bCs/>
                <w:color w:val="FFFFFF"/>
                <w:sz w:val="20"/>
                <w:szCs w:val="20"/>
              </w:rPr>
              <w:t xml:space="preserve">Gross Margin (est.)</w:t>
            </w:r>
          </w:p>
        </w:tc>
        <w:tc>
          <w:tcPr>
            <w:tcW w:type="dxa" w:w="1640"/>
            <w:tcBorders>
              <w:top w:val="single" w:color="3B6D11" w:sz="1"/>
              <w:left w:val="single" w:color="3B6D11" w:sz="1"/>
              <w:bottom w:val="single" w:color="3B6D11" w:sz="1"/>
              <w:right w:val="single" w:color="3B6D11" w:sz="1"/>
            </w:tcBorders>
            <w:shd w:fill="3B6D11" w:val="clear"/>
            <w:tcMar>
              <w:top w:type="dxa" w:w="80"/>
              <w:left w:type="dxa" w:w="130"/>
              <w:bottom w:type="dxa" w:w="80"/>
              <w:right w:type="dxa" w:w="130"/>
            </w:tcMar>
          </w:tcPr>
          <w:p>
            <w:r>
              <w:rPr>
                <w:rFonts w:ascii="Arial" w:cs="Arial" w:eastAsia="Arial" w:hAnsi="Arial"/>
                <w:b/>
                <w:bCs/>
                <w:color w:val="FFFFFF"/>
                <w:sz w:val="20"/>
                <w:szCs w:val="20"/>
              </w:rPr>
              <w:t xml:space="preserve">78%</w:t>
            </w:r>
          </w:p>
        </w:tc>
        <w:tc>
          <w:tcPr>
            <w:tcW w:type="dxa" w:w="1640"/>
            <w:tcBorders>
              <w:top w:val="single" w:color="3B6D11" w:sz="1"/>
              <w:left w:val="single" w:color="3B6D11" w:sz="1"/>
              <w:bottom w:val="single" w:color="3B6D11" w:sz="1"/>
              <w:right w:val="single" w:color="3B6D11" w:sz="1"/>
            </w:tcBorders>
            <w:shd w:fill="3B6D11" w:val="clear"/>
            <w:tcMar>
              <w:top w:type="dxa" w:w="80"/>
              <w:left w:type="dxa" w:w="130"/>
              <w:bottom w:type="dxa" w:w="80"/>
              <w:right w:type="dxa" w:w="130"/>
            </w:tcMar>
          </w:tcPr>
          <w:p>
            <w:r>
              <w:rPr>
                <w:rFonts w:ascii="Arial" w:cs="Arial" w:eastAsia="Arial" w:hAnsi="Arial"/>
                <w:b/>
                <w:bCs/>
                <w:color w:val="FFFFFF"/>
                <w:sz w:val="20"/>
                <w:szCs w:val="20"/>
              </w:rPr>
              <w:t xml:space="preserve">80%</w:t>
            </w:r>
          </w:p>
        </w:tc>
        <w:tc>
          <w:tcPr>
            <w:tcW w:type="dxa" w:w="1640"/>
            <w:tcBorders>
              <w:top w:val="single" w:color="3B6D11" w:sz="1"/>
              <w:left w:val="single" w:color="3B6D11" w:sz="1"/>
              <w:bottom w:val="single" w:color="3B6D11" w:sz="1"/>
              <w:right w:val="single" w:color="3B6D11" w:sz="1"/>
            </w:tcBorders>
            <w:shd w:fill="3B6D11" w:val="clear"/>
            <w:tcMar>
              <w:top w:type="dxa" w:w="80"/>
              <w:left w:type="dxa" w:w="130"/>
              <w:bottom w:type="dxa" w:w="80"/>
              <w:right w:type="dxa" w:w="130"/>
            </w:tcMar>
          </w:tcPr>
          <w:p>
            <w:r>
              <w:rPr>
                <w:rFonts w:ascii="Arial" w:cs="Arial" w:eastAsia="Arial" w:hAnsi="Arial"/>
                <w:b/>
                <w:bCs/>
                <w:color w:val="FFFFFF"/>
                <w:sz w:val="20"/>
                <w:szCs w:val="20"/>
              </w:rPr>
              <w:t xml:space="preserve">82%</w:t>
            </w:r>
          </w:p>
        </w:tc>
        <w:tc>
          <w:tcPr>
            <w:tcW w:type="dxa" w:w="1640"/>
            <w:tcBorders>
              <w:top w:val="single" w:color="3B6D11" w:sz="1"/>
              <w:left w:val="single" w:color="3B6D11" w:sz="1"/>
              <w:bottom w:val="single" w:color="3B6D11" w:sz="1"/>
              <w:right w:val="single" w:color="3B6D11" w:sz="1"/>
            </w:tcBorders>
            <w:shd w:fill="3B6D11" w:val="clear"/>
            <w:tcMar>
              <w:top w:type="dxa" w:w="80"/>
              <w:left w:type="dxa" w:w="130"/>
              <w:bottom w:type="dxa" w:w="80"/>
              <w:right w:type="dxa" w:w="130"/>
            </w:tcMar>
          </w:tcPr>
          <w:p>
            <w:r>
              <w:rPr>
                <w:rFonts w:ascii="Arial" w:cs="Arial" w:eastAsia="Arial" w:hAnsi="Arial"/>
                <w:b/>
                <w:bCs/>
                <w:color w:val="FFFFFF"/>
                <w:sz w:val="20"/>
                <w:szCs w:val="20"/>
              </w:rPr>
              <w:t xml:space="preserve">85%</w:t>
            </w:r>
          </w:p>
        </w:tc>
      </w:tr>
    </w:tbl>
    <w:p>
      <w:pPr>
        <w:spacing w:after="120"/>
      </w:pPr>
      <w:r>
        <w:t xml:space="preserve"/>
      </w:r>
    </w:p>
    <w:p>
      <w:pPr>
        <w:pStyle w:val="Heading2"/>
        <w:spacing w:after="80" w:before="240"/>
      </w:pPr>
      <w:r>
        <w:rPr>
          <w:rFonts w:ascii="Arial" w:cs="Arial" w:eastAsia="Arial" w:hAnsi="Arial"/>
          <w:b/>
          <w:bCs/>
          <w:color w:val="2E6DA4"/>
          <w:sz w:val="27"/>
          <w:szCs w:val="27"/>
        </w:rPr>
        <w:t xml:space="preserve">4.2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Metric</w:t>
            </w:r>
          </w:p>
        </w:tc>
        <w:tc>
          <w:tcPr>
            <w:tcW w:type="dxa" w:w="30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B2B SaaS</w:t>
            </w:r>
          </w:p>
        </w:tc>
        <w:tc>
          <w:tcPr>
            <w:tcW w:type="dxa" w:w="30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Data Insights</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Average Contract Value (ACV)</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৳90,000 blended</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৳1,20,000 blended</w:t>
            </w:r>
          </w:p>
        </w:tc>
      </w:tr>
      <w:tr>
        <w:tc>
          <w:tcPr>
            <w:tcW w:type="dxa" w:w="3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Customer Acquisition Cost (CAC)</w:t>
            </w:r>
          </w:p>
        </w:tc>
        <w:tc>
          <w:tcPr>
            <w:tcW w:type="dxa" w:w="30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৳35,000 est.</w:t>
            </w:r>
          </w:p>
        </w:tc>
        <w:tc>
          <w:tcPr>
            <w:tcW w:type="dxa" w:w="30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৳45,000 est.</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CAC Payback Period</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 months</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~4.5 months</w:t>
            </w:r>
          </w:p>
        </w:tc>
      </w:tr>
      <w:tr>
        <w:tc>
          <w:tcPr>
            <w:tcW w:type="dxa" w:w="3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Annual Churn Rate (target)</w:t>
            </w:r>
          </w:p>
        </w:tc>
        <w:tc>
          <w:tcPr>
            <w:tcW w:type="dxa" w:w="30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&lt; 10%</w:t>
            </w:r>
          </w:p>
        </w:tc>
        <w:tc>
          <w:tcPr>
            <w:tcW w:type="dxa" w:w="30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&lt; 15% (report sub)</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Net Revenue Retention (NRR)</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115% (upsell driven)</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120% (volume growth)</w:t>
            </w:r>
          </w:p>
        </w:tc>
      </w:tr>
      <w:tr>
        <w:tc>
          <w:tcPr>
            <w:tcW w:type="dxa" w:w="3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Customer Lifetime Value (LTV)</w:t>
            </w:r>
          </w:p>
        </w:tc>
        <w:tc>
          <w:tcPr>
            <w:tcW w:type="dxa" w:w="30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৳4.5 Lakh avg (5yr)</w:t>
            </w:r>
          </w:p>
        </w:tc>
        <w:tc>
          <w:tcPr>
            <w:tcW w:type="dxa" w:w="30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৳3.6 Lakh avg</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LTV : CAC Ratio</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12.9x</w:t>
            </w:r>
          </w:p>
        </w:tc>
        <w:tc>
          <w:tcPr>
            <w:tcW w:type="dxa" w:w="30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3B6D11"/>
                <w:sz w:val="20"/>
                <w:szCs w:val="20"/>
              </w:rPr>
              <w:t xml:space="preserve">8x</w:t>
            </w:r>
          </w:p>
        </w:tc>
      </w:tr>
    </w:tbl>
    <w:p>
      <w:pPr>
        <w:pageBreakBefore/>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5. Go-to-Market Plan</w:t>
      </w:r>
    </w:p>
    <w:p>
      <w:pPr>
        <w:pStyle w:val="Heading2"/>
        <w:spacing w:after="80" w:before="240"/>
      </w:pPr>
      <w:r>
        <w:rPr>
          <w:rFonts w:ascii="Arial" w:cs="Arial" w:eastAsia="Arial" w:hAnsi="Arial"/>
          <w:b/>
          <w:bCs/>
          <w:color w:val="2E6DA4"/>
          <w:sz w:val="27"/>
          <w:szCs w:val="27"/>
        </w:rPr>
        <w:t xml:space="preserve">5.1  Sales motion — B2B SaaS</w:t>
      </w:r>
    </w:p>
    <w:p>
      <w:pPr>
        <w:spacing w:after="80"/>
      </w:pPr>
      <w:r>
        <w:rPr>
          <w:rFonts w:ascii="Arial" w:cs="Arial" w:eastAsia="Arial" w:hAnsi="Arial"/>
          <w:color w:val="1A1A1A"/>
          <w:sz w:val="22"/>
          <w:szCs w:val="22"/>
        </w:rPr>
        <w:t xml:space="preserve">B2B SaaS sales will be driven by a focused outbound motion in Year 1, transitioning to inbound-assisted selling from Year 2 as brand recognition builds.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Phase</w:t>
            </w:r>
          </w:p>
        </w:tc>
        <w:tc>
          <w:tcPr>
            <w:tcW w:type="dxa" w:w="24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Timeline</w:t>
            </w:r>
          </w:p>
        </w:tc>
        <w:tc>
          <w:tcPr>
            <w:tcW w:type="dxa" w:w="28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Focus</w:t>
            </w:r>
          </w:p>
        </w:tc>
        <w:tc>
          <w:tcPr>
            <w:tcW w:type="dxa" w:w="28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Target</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1</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Month 1–3</w:t>
            </w:r>
          </w:p>
        </w:tc>
        <w:tc>
          <w:tcPr>
            <w:tcW w:type="dxa" w:w="28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Founder-led sales; 3 pilot agencies at 50% discount to build case studies</w:t>
            </w:r>
          </w:p>
        </w:tc>
        <w:tc>
          <w:tcPr>
            <w:tcW w:type="dxa" w:w="28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3 signed pilots</w:t>
            </w:r>
          </w:p>
        </w:tc>
      </w:tr>
      <w:tr>
        <w:tc>
          <w:tcPr>
            <w:tcW w:type="dxa" w:w="1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0F6E56"/>
                <w:sz w:val="20"/>
                <w:szCs w:val="20"/>
              </w:rPr>
              <w:t xml:space="preserve">2</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Month 4–6</w:t>
            </w:r>
          </w:p>
        </w:tc>
        <w:tc>
          <w:tcPr>
            <w:tcW w:type="dxa" w:w="28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TOAB partnership; demo events at travel trade shows; outbound LinkedIn targeting</w:t>
            </w:r>
          </w:p>
        </w:tc>
        <w:tc>
          <w:tcPr>
            <w:tcW w:type="dxa" w:w="28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8 paying clients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3</w:t>
            </w:r>
          </w:p>
        </w:tc>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Month 7–12</w:t>
            </w:r>
          </w:p>
        </w:tc>
        <w:tc>
          <w:tcPr>
            <w:tcW w:type="dxa" w:w="28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First corporate sales; referral programme launch; hire one dedicated sales rep</w:t>
            </w:r>
          </w:p>
        </w:tc>
        <w:tc>
          <w:tcPr>
            <w:tcW w:type="dxa" w:w="28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15 total clients</w:t>
            </w:r>
          </w:p>
        </w:tc>
      </w:tr>
      <w:tr>
        <w:tc>
          <w:tcPr>
            <w:tcW w:type="dxa" w:w="12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0F6E56"/>
                <w:sz w:val="20"/>
                <w:szCs w:val="20"/>
              </w:rPr>
              <w:t xml:space="preserve">4</w:t>
            </w:r>
          </w:p>
        </w:tc>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Year 2–3</w:t>
            </w:r>
          </w:p>
        </w:tc>
        <w:tc>
          <w:tcPr>
            <w:tcW w:type="dxa" w:w="28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Scale outbound team; inbound content marketing; partner channel via HR software vendors</w:t>
            </w:r>
          </w:p>
        </w:tc>
        <w:tc>
          <w:tcPr>
            <w:tcW w:type="dxa" w:w="28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40+ clients</w:t>
            </w:r>
          </w:p>
        </w:tc>
      </w:tr>
    </w:tbl>
    <w:p>
      <w:pPr>
        <w:spacing w:after="120"/>
      </w:pPr>
      <w:r>
        <w:t xml:space="preserve"/>
      </w:r>
    </w:p>
    <w:p>
      <w:pPr>
        <w:pStyle w:val="Heading2"/>
        <w:spacing w:after="80" w:before="240"/>
      </w:pPr>
      <w:r>
        <w:rPr>
          <w:rFonts w:ascii="Arial" w:cs="Arial" w:eastAsia="Arial" w:hAnsi="Arial"/>
          <w:b/>
          <w:bCs/>
          <w:color w:val="2E6DA4"/>
          <w:sz w:val="27"/>
          <w:szCs w:val="27"/>
        </w:rPr>
        <w:t xml:space="preserve">5.2  Sales motion — Data Insights</w:t>
      </w:r>
    </w:p>
    <w:p>
      <w:pPr>
        <w:spacing w:after="80"/>
      </w:pPr>
      <w:r>
        <w:rPr>
          <w:rFonts w:ascii="Arial" w:cs="Arial" w:eastAsia="Arial" w:hAnsi="Arial"/>
          <w:color w:val="1A1A1A"/>
          <w:sz w:val="22"/>
          <w:szCs w:val="22"/>
        </w:rPr>
        <w:t xml:space="preserve">Data Insights sales requires a different, more relationship-driven approach targeting institutional buyers rather than SMEs. The key is leading with a free sample to demonstrate the value of the data.</w:t>
      </w:r>
    </w:p>
    <w:p>
      <w:pPr>
        <w:spacing w:after="60"/>
      </w:pPr>
      <w:r>
        <w:t xml:space="preserve"/>
      </w:r>
    </w:p>
    <w:p>
      <w:pPr>
        <w:pStyle w:val="ListParagraph"/>
        <w:numPr>
          <w:ilvl w:val="0"/>
          <w:numId w:val="2"/>
        </w:numPr>
        <w:spacing w:after="60"/>
      </w:pPr>
      <w:r>
        <w:rPr>
          <w:rFonts w:ascii="Arial" w:cs="Arial" w:eastAsia="Arial" w:hAnsi="Arial"/>
          <w:color w:val="1A1A1A"/>
          <w:sz w:val="22"/>
          <w:szCs w:val="22"/>
        </w:rPr>
        <w:t xml:space="preserve">Free sample strategy: publish a condensed 4-page 'Bangladesh Travel Pulse' summary quarterly on LinkedIn and via email. This demonstrates the quality of data, builds credibility, and generates inbound enquiries from institutional buyers.</w:t>
      </w:r>
    </w:p>
    <w:p>
      <w:pPr>
        <w:pStyle w:val="ListParagraph"/>
        <w:numPr>
          <w:ilvl w:val="0"/>
          <w:numId w:val="2"/>
        </w:numPr>
        <w:spacing w:after="60"/>
      </w:pPr>
      <w:r>
        <w:rPr>
          <w:rFonts w:ascii="Arial" w:cs="Arial" w:eastAsia="Arial" w:hAnsi="Arial"/>
          <w:color w:val="1A1A1A"/>
          <w:sz w:val="22"/>
          <w:szCs w:val="22"/>
        </w:rPr>
        <w:t xml:space="preserve">Direct outreach: contact Bangladesh Tourism Board, Bangladesh Parjatan Corporation, BIDA, and the 10 largest hotel chains with personalised proposals in Month 6.</w:t>
      </w:r>
    </w:p>
    <w:p>
      <w:pPr>
        <w:pStyle w:val="ListParagraph"/>
        <w:numPr>
          <w:ilvl w:val="0"/>
          <w:numId w:val="2"/>
        </w:numPr>
        <w:spacing w:after="60"/>
      </w:pPr>
      <w:r>
        <w:rPr>
          <w:rFonts w:ascii="Arial" w:cs="Arial" w:eastAsia="Arial" w:hAnsi="Arial"/>
          <w:color w:val="1A1A1A"/>
          <w:sz w:val="22"/>
          <w:szCs w:val="22"/>
        </w:rPr>
        <w:t xml:space="preserve">Conference presence: present findings at TOAB Annual Conference, Bangladesh Investment Summit, and hospitality industry events.</w:t>
      </w:r>
    </w:p>
    <w:p>
      <w:pPr>
        <w:pStyle w:val="ListParagraph"/>
        <w:numPr>
          <w:ilvl w:val="0"/>
          <w:numId w:val="2"/>
        </w:numPr>
        <w:spacing w:after="60"/>
      </w:pPr>
      <w:r>
        <w:rPr>
          <w:rFonts w:ascii="Arial" w:cs="Arial" w:eastAsia="Arial" w:hAnsi="Arial"/>
          <w:color w:val="1A1A1A"/>
          <w:sz w:val="22"/>
          <w:szCs w:val="22"/>
        </w:rPr>
        <w:t xml:space="preserve">Development bank pipeline: register as a data provider with ADB, World Bank Bangladesh, and UNDP — these organisations regularly commission travel and economic reports.</w:t>
      </w:r>
    </w:p>
    <w:p>
      <w:pPr>
        <w:spacing w:after="120"/>
      </w:pPr>
      <w:r>
        <w:t xml:space="preserve"/>
      </w:r>
    </w:p>
    <w:p>
      <w:pPr>
        <w:pStyle w:val="Heading2"/>
        <w:spacing w:after="80" w:before="240"/>
      </w:pPr>
      <w:r>
        <w:rPr>
          <w:rFonts w:ascii="Arial" w:cs="Arial" w:eastAsia="Arial" w:hAnsi="Arial"/>
          <w:b/>
          <w:bCs/>
          <w:color w:val="2E6DA4"/>
          <w:sz w:val="27"/>
          <w:szCs w:val="27"/>
        </w:rPr>
        <w:t xml:space="preserve">5.3  Pricing strategy principles</w:t>
      </w:r>
    </w:p>
    <w:p>
      <w:pPr>
        <w:pStyle w:val="ListParagraph"/>
        <w:numPr>
          <w:ilvl w:val="0"/>
          <w:numId w:val="2"/>
        </w:numPr>
        <w:spacing w:after="60"/>
      </w:pPr>
      <w:r>
        <w:rPr>
          <w:rFonts w:ascii="Arial" w:cs="Arial" w:eastAsia="Arial" w:hAnsi="Arial"/>
          <w:color w:val="1A1A1A"/>
          <w:sz w:val="22"/>
          <w:szCs w:val="22"/>
        </w:rPr>
        <w:t xml:space="preserve">Annual contracts only — no monthly B2B billing. This maximises cash flow predictability and reduces churn risk.</w:t>
      </w:r>
    </w:p>
    <w:p>
      <w:pPr>
        <w:pStyle w:val="ListParagraph"/>
        <w:numPr>
          <w:ilvl w:val="0"/>
          <w:numId w:val="2"/>
        </w:numPr>
        <w:spacing w:after="60"/>
      </w:pPr>
      <w:r>
        <w:rPr>
          <w:rFonts w:ascii="Arial" w:cs="Arial" w:eastAsia="Arial" w:hAnsi="Arial"/>
          <w:color w:val="1A1A1A"/>
          <w:sz w:val="22"/>
          <w:szCs w:val="22"/>
        </w:rPr>
        <w:t xml:space="preserve">Discount for upfront annual payment: 2 months free (equivalent to ~17% discount) for agencies paying annually in advance.</w:t>
      </w:r>
    </w:p>
    <w:p>
      <w:pPr>
        <w:pStyle w:val="ListParagraph"/>
        <w:numPr>
          <w:ilvl w:val="0"/>
          <w:numId w:val="2"/>
        </w:numPr>
        <w:spacing w:after="60"/>
      </w:pPr>
      <w:r>
        <w:rPr>
          <w:rFonts w:ascii="Arial" w:cs="Arial" w:eastAsia="Arial" w:hAnsi="Arial"/>
          <w:color w:val="1A1A1A"/>
          <w:sz w:val="22"/>
          <w:szCs w:val="22"/>
        </w:rPr>
        <w:t xml:space="preserve">Pilot pricing: first 5 B2B clients receive 40% off Year 1 in exchange for a signed case study and reference call rights.</w:t>
      </w:r>
    </w:p>
    <w:p>
      <w:pPr>
        <w:pStyle w:val="ListParagraph"/>
        <w:numPr>
          <w:ilvl w:val="0"/>
          <w:numId w:val="2"/>
        </w:numPr>
        <w:spacing w:after="60"/>
      </w:pPr>
      <w:r>
        <w:rPr>
          <w:rFonts w:ascii="Arial" w:cs="Arial" w:eastAsia="Arial" w:hAnsi="Arial"/>
          <w:color w:val="1A1A1A"/>
          <w:sz w:val="22"/>
          <w:szCs w:val="22"/>
        </w:rPr>
        <w:t xml:space="preserve">Data Insights anchoring: always present the higher-priced product first (Custom Research at ৳3–8 Lakh) before the standard report (৳75,000) — the report feels affordable by comparison.</w:t>
      </w:r>
    </w:p>
    <w:p>
      <w:pPr>
        <w:spacing w:after="160"/>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6. Costs &amp; Investment Requirements</w:t>
      </w:r>
    </w:p>
    <w:p>
      <w:pPr>
        <w:pStyle w:val="Heading2"/>
        <w:spacing w:after="80" w:before="240"/>
      </w:pPr>
      <w:r>
        <w:rPr>
          <w:rFonts w:ascii="Arial" w:cs="Arial" w:eastAsia="Arial" w:hAnsi="Arial"/>
          <w:b/>
          <w:bCs/>
          <w:color w:val="2E6DA4"/>
          <w:sz w:val="27"/>
          <w:szCs w:val="27"/>
        </w:rPr>
        <w:t xml:space="preserve">6.1  Headcount required to execute this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480"/>
        <w:gridCol w:w="1480"/>
      </w:tblGrid>
      <w:tr>
        <w:tc>
          <w:tcPr>
            <w:tcW w:type="dxa" w:w="24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Role</w:t>
            </w:r>
          </w:p>
        </w:tc>
        <w:tc>
          <w:tcPr>
            <w:tcW w:type="dxa" w:w="20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When to Hire</w:t>
            </w:r>
          </w:p>
        </w:tc>
        <w:tc>
          <w:tcPr>
            <w:tcW w:type="dxa" w:w="20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Responsibility</w:t>
            </w:r>
          </w:p>
        </w:tc>
        <w:tc>
          <w:tcPr>
            <w:tcW w:type="dxa" w:w="14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Yr 1 Cost</w:t>
            </w:r>
          </w:p>
        </w:tc>
        <w:tc>
          <w:tcPr>
            <w:tcW w:type="dxa" w:w="14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Yr 2 Cost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B2B Sales Executive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Month 4</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Agency &amp; corporate outbound sales</w:t>
            </w:r>
          </w:p>
        </w:tc>
        <w:tc>
          <w:tcPr>
            <w:tcW w:type="dxa" w:w="14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৳6 Lakh/yr</w:t>
            </w:r>
          </w:p>
        </w:tc>
        <w:tc>
          <w:tcPr>
            <w:tcW w:type="dxa" w:w="14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৳7.2 Lakh/yr</w:t>
            </w:r>
          </w:p>
        </w:tc>
      </w:tr>
      <w:tr>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Customer Success Manager</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Month 7</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Onboarding, retention, upsell</w:t>
            </w:r>
          </w:p>
        </w:tc>
        <w:tc>
          <w:tcPr>
            <w:tcW w:type="dxa" w:w="14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৳4.5 Lakh/yr</w:t>
            </w:r>
          </w:p>
        </w:tc>
        <w:tc>
          <w:tcPr>
            <w:tcW w:type="dxa" w:w="14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৳5.4 Lakh/yr</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Data Analyst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Month 7</w:t>
            </w:r>
          </w:p>
        </w:tc>
        <w:tc>
          <w:tcPr>
            <w:tcW w:type="dxa" w:w="20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Produce insight reports, API data pipeline</w:t>
            </w:r>
          </w:p>
        </w:tc>
        <w:tc>
          <w:tcPr>
            <w:tcW w:type="dxa" w:w="14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৳4.8 Lakh/yr</w:t>
            </w:r>
          </w:p>
        </w:tc>
        <w:tc>
          <w:tcPr>
            <w:tcW w:type="dxa" w:w="14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৳5.6 Lakh/yr</w:t>
            </w:r>
          </w:p>
        </w:tc>
      </w:tr>
      <w:tr>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Backend Engineer (part-time)</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Month 1</w:t>
            </w:r>
          </w:p>
        </w:tc>
        <w:tc>
          <w:tcPr>
            <w:tcW w:type="dxa" w:w="20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B2B features, white-label, API</w:t>
            </w:r>
          </w:p>
        </w:tc>
        <w:tc>
          <w:tcPr>
            <w:tcW w:type="dxa" w:w="14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৳5 Lakh/yr</w:t>
            </w:r>
          </w:p>
        </w:tc>
        <w:tc>
          <w:tcPr>
            <w:tcW w:type="dxa" w:w="14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৳6 Lakh/yr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60"/>
              <w:left w:type="dxa" w:w="220"/>
              <w:bottom w:type="dxa" w:w="160"/>
              <w:right w:type="dxa" w:w="220"/>
            </w:tcMar>
          </w:tcPr>
          <w:p>
            <w:pPr>
              <w:spacing w:after="40"/>
            </w:pPr>
            <w:r>
              <w:rPr>
                <w:rFonts w:ascii="Arial" w:cs="Arial" w:eastAsia="Arial" w:hAnsi="Arial"/>
                <w:b/>
                <w:bCs/>
                <w:color w:val="3B6D11"/>
                <w:sz w:val="22"/>
                <w:szCs w:val="22"/>
              </w:rPr>
              <w:t xml:space="preserve">Year 1 total operating cost estimate (B2B + Data streams)</w:t>
            </w:r>
          </w:p>
          <w:p>
            <w:pPr>
              <w:spacing w:after="0"/>
            </w:pPr>
            <w:r>
              <w:rPr>
                <w:rFonts w:ascii="Arial" w:cs="Arial" w:eastAsia="Arial" w:hAnsi="Arial"/>
                <w:color w:val="444444"/>
                <w:sz w:val="21"/>
                <w:szCs w:val="21"/>
              </w:rPr>
              <w:t xml:space="preserve">Personnel: ৳20.3 Lakh  |  Infrastructure &amp; tooling: ৳3 Lakh  |  Sales &amp; marketing: ৳4 Lakh  |  Legal &amp; compliance: ৳2 Lakh  |  Total: ~৳29 Lakh. At ৳41 Lakh projected revenue, the B2B + Data model reaches operating break-even in Year 1.</w:t>
            </w:r>
          </w:p>
        </w:tc>
      </w:tr>
    </w:tbl>
    <w:p>
      <w:pPr>
        <w:spacing w:after="160"/>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80"/>
        <w:gridCol w:w="2480"/>
      </w:tblGrid>
      <w:tr>
        <w:tc>
          <w:tcPr>
            <w:tcW w:type="dxa" w:w="26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Risk</w:t>
            </w:r>
          </w:p>
        </w:tc>
        <w:tc>
          <w:tcPr>
            <w:tcW w:type="dxa" w:w="14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Likelihood</w:t>
            </w:r>
          </w:p>
        </w:tc>
        <w:tc>
          <w:tcPr>
            <w:tcW w:type="dxa" w:w="28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Impact</w:t>
            </w:r>
          </w:p>
        </w:tc>
        <w:tc>
          <w:tcPr>
            <w:tcW w:type="dxa" w:w="248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Mitigation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Long B2B sales cycles delay Year 1 revenue</w:t>
            </w:r>
          </w:p>
        </w:tc>
        <w:tc>
          <w:tcPr>
            <w:tcW w:type="dxa" w:w="1400"/>
            <w:tcBorders>
              <w:top w:val="single" w:color="BA7517" w:sz="1"/>
              <w:left w:val="single" w:color="BA7517" w:sz="1"/>
              <w:bottom w:val="single" w:color="BA7517" w:sz="1"/>
              <w:right w:val="single" w:color="BA7517" w:sz="1"/>
            </w:tcBorders>
            <w:shd w:fill="BA7517" w:val="clear"/>
            <w:tcMar>
              <w:top w:type="dxa" w:w="80"/>
              <w:left w:type="dxa" w:w="130"/>
              <w:bottom w:type="dxa" w:w="80"/>
              <w:right w:type="dxa" w:w="130"/>
            </w:tcMar>
          </w:tcPr>
          <w:p>
            <w:r>
              <w:rPr>
                <w:rFonts w:ascii="Arial" w:cs="Arial" w:eastAsia="Arial" w:hAnsi="Arial"/>
                <w:b/>
                <w:bCs/>
                <w:color w:val="FFFFFF"/>
                <w:sz w:val="20"/>
                <w:szCs w:val="20"/>
              </w:rPr>
              <w:t xml:space="preserve">Medium</w:t>
            </w:r>
          </w:p>
        </w:tc>
        <w:tc>
          <w:tcPr>
            <w:tcW w:type="dxa" w:w="28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Revenue misses Year 1 target by 30–50%</w:t>
            </w:r>
          </w:p>
        </w:tc>
        <w:tc>
          <w:tcPr>
            <w:tcW w:type="dxa" w:w="24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Start pilot outreach in Month 1; founder leads sales personally</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Insufficient data volume for Insights launch</w:t>
            </w:r>
          </w:p>
        </w:tc>
        <w:tc>
          <w:tcPr>
            <w:tcW w:type="dxa" w:w="1400"/>
            <w:tcBorders>
              <w:top w:val="single" w:color="BA7517" w:sz="1"/>
              <w:left w:val="single" w:color="BA7517" w:sz="1"/>
              <w:bottom w:val="single" w:color="BA7517" w:sz="1"/>
              <w:right w:val="single" w:color="BA7517" w:sz="1"/>
            </w:tcBorders>
            <w:shd w:fill="BA7517" w:val="clear"/>
            <w:tcMar>
              <w:top w:type="dxa" w:w="80"/>
              <w:left w:type="dxa" w:w="130"/>
              <w:bottom w:type="dxa" w:w="80"/>
              <w:right w:type="dxa" w:w="130"/>
            </w:tcMar>
          </w:tcPr>
          <w:p>
            <w:r>
              <w:rPr>
                <w:rFonts w:ascii="Arial" w:cs="Arial" w:eastAsia="Arial" w:hAnsi="Arial"/>
                <w:b/>
                <w:bCs/>
                <w:color w:val="FFFFFF"/>
                <w:sz w:val="20"/>
                <w:szCs w:val="20"/>
              </w:rPr>
              <w:t xml:space="preserve">Medium</w:t>
            </w:r>
          </w:p>
        </w:tc>
        <w:tc>
          <w:tcPr>
            <w:tcW w:type="dxa" w:w="28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Data products delayed by 3–6 months</w:t>
            </w:r>
          </w:p>
        </w:tc>
        <w:tc>
          <w:tcPr>
            <w:tcW w:type="dxa" w:w="24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Accelerate B2C user acquisition; consider incentivised early adopters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Privacy regulation tightens data commercialisation rules</w:t>
            </w:r>
          </w:p>
        </w:tc>
        <w:tc>
          <w:tcPr>
            <w:tcW w:type="dxa" w:w="1400"/>
            <w:tcBorders>
              <w:top w:val="single" w:color="5F5E5A" w:sz="1"/>
              <w:left w:val="single" w:color="5F5E5A" w:sz="1"/>
              <w:bottom w:val="single" w:color="5F5E5A" w:sz="1"/>
              <w:right w:val="single" w:color="5F5E5A" w:sz="1"/>
            </w:tcBorders>
            <w:shd w:fill="5F5E5A" w:val="clear"/>
            <w:tcMar>
              <w:top w:type="dxa" w:w="80"/>
              <w:left w:type="dxa" w:w="130"/>
              <w:bottom w:type="dxa" w:w="80"/>
              <w:right w:type="dxa" w:w="130"/>
            </w:tcMar>
          </w:tcPr>
          <w:p>
            <w:r>
              <w:rPr>
                <w:rFonts w:ascii="Arial" w:cs="Arial" w:eastAsia="Arial" w:hAnsi="Arial"/>
                <w:b/>
                <w:bCs/>
                <w:color w:val="FFFFFF"/>
                <w:sz w:val="20"/>
                <w:szCs w:val="20"/>
              </w:rPr>
              <w:t xml:space="preserve">Low–Med</w:t>
            </w:r>
          </w:p>
        </w:tc>
        <w:tc>
          <w:tcPr>
            <w:tcW w:type="dxa" w:w="28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Data Insights products may need to be paused or reformatted</w:t>
            </w:r>
          </w:p>
        </w:tc>
        <w:tc>
          <w:tcPr>
            <w:tcW w:type="dxa" w:w="24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Build consent infrastructure correctly from Day 1; monitor PDPA progress</w:t>
            </w:r>
          </w:p>
        </w:tc>
      </w:tr>
      <w:tr>
        <w:tc>
          <w:tcPr>
            <w:tcW w:type="dxa" w:w="26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Competitor enters B2B market with VC backing</w:t>
            </w:r>
          </w:p>
        </w:tc>
        <w:tc>
          <w:tcPr>
            <w:tcW w:type="dxa" w:w="140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tcPr>
          <w:p>
            <w:r>
              <w:rPr>
                <w:rFonts w:ascii="Arial" w:cs="Arial" w:eastAsia="Arial" w:hAnsi="Arial"/>
                <w:b/>
                <w:bCs/>
                <w:color w:val="FFFFFF"/>
                <w:sz w:val="20"/>
                <w:szCs w:val="20"/>
              </w:rPr>
              <w:t xml:space="preserve">Low</w:t>
            </w:r>
          </w:p>
        </w:tc>
        <w:tc>
          <w:tcPr>
            <w:tcW w:type="dxa" w:w="28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Price pressure; slower agency acquisition</w:t>
            </w:r>
          </w:p>
        </w:tc>
        <w:tc>
          <w:tcPr>
            <w:tcW w:type="dxa" w:w="248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Lock in annual contracts early; build switching costs via integrations and data history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Key B2B client churns in Year 1</w:t>
            </w:r>
          </w:p>
        </w:tc>
        <w:tc>
          <w:tcPr>
            <w:tcW w:type="dxa" w:w="1400"/>
            <w:tcBorders>
              <w:top w:val="single" w:color="BA7517" w:sz="1"/>
              <w:left w:val="single" w:color="BA7517" w:sz="1"/>
              <w:bottom w:val="single" w:color="BA7517" w:sz="1"/>
              <w:right w:val="single" w:color="BA7517" w:sz="1"/>
            </w:tcBorders>
            <w:shd w:fill="BA7517" w:val="clear"/>
            <w:tcMar>
              <w:top w:type="dxa" w:w="80"/>
              <w:left w:type="dxa" w:w="130"/>
              <w:bottom w:type="dxa" w:w="80"/>
              <w:right w:type="dxa" w:w="130"/>
            </w:tcMar>
          </w:tcPr>
          <w:p>
            <w:r>
              <w:rPr>
                <w:rFonts w:ascii="Arial" w:cs="Arial" w:eastAsia="Arial" w:hAnsi="Arial"/>
                <w:b/>
                <w:bCs/>
                <w:color w:val="FFFFFF"/>
                <w:sz w:val="20"/>
                <w:szCs w:val="20"/>
              </w:rPr>
              <w:t xml:space="preserve">Medium</w:t>
            </w:r>
          </w:p>
        </w:tc>
        <w:tc>
          <w:tcPr>
            <w:tcW w:type="dxa" w:w="28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Revenue dip; reputational risk with references</w:t>
            </w:r>
          </w:p>
        </w:tc>
        <w:tc>
          <w:tcPr>
            <w:tcW w:type="dxa" w:w="248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Dedicated CSM from Month 7; 30-day onboarding SLA; quarterly check-ins</w:t>
            </w:r>
          </w:p>
        </w:tc>
      </w:tr>
    </w:tbl>
    <w:p>
      <w:pPr>
        <w:spacing w:after="160"/>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8.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Date</w:t>
            </w:r>
          </w:p>
        </w:tc>
        <w:tc>
          <w:tcPr>
            <w:tcW w:type="dxa" w:w="280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Milestone</w:t>
            </w:r>
          </w:p>
        </w:tc>
        <w:tc>
          <w:tcPr>
            <w:tcW w:type="dxa" w:w="5160"/>
            <w:tcBorders>
              <w:top w:val="single" w:color="B0C4D8" w:sz="1"/>
              <w:left w:val="single" w:color="B0C4D8" w:sz="1"/>
              <w:bottom w:val="single" w:color="B0C4D8" w:sz="1"/>
              <w:right w:val="single" w:color="B0C4D8" w:sz="1"/>
            </w:tcBorders>
            <w:shd w:fill="1A3C5E" w:val="clear"/>
            <w:tcMar>
              <w:top w:type="dxa" w:w="100"/>
              <w:left w:type="dxa" w:w="130"/>
              <w:bottom w:type="dxa" w:w="100"/>
              <w:right w:type="dxa" w:w="130"/>
            </w:tcMar>
          </w:tcPr>
          <w:p>
            <w:r>
              <w:rPr>
                <w:rFonts w:ascii="Arial" w:cs="Arial" w:eastAsia="Arial" w:hAnsi="Arial"/>
                <w:b/>
                <w:bCs/>
                <w:color w:val="FFFFFF"/>
                <w:sz w:val="20"/>
                <w:szCs w:val="20"/>
              </w:rPr>
              <w:t xml:space="preserve">Success Criteria</w:t>
            </w:r>
          </w:p>
        </w:tc>
      </w:tr>
      <w:tr>
        <w:tc>
          <w:tcPr>
            <w:tcW w:type="dxa" w:w="1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Month 1</w:t>
            </w:r>
          </w:p>
        </w:tc>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B2B product scoped</w:t>
            </w:r>
          </w:p>
        </w:tc>
        <w:tc>
          <w:tcPr>
            <w:tcW w:type="dxa" w:w="51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White-label, multi-seat, and budget PDF features on roadmap with delivery dates</w:t>
            </w:r>
          </w:p>
        </w:tc>
      </w:tr>
      <w:tr>
        <w:tc>
          <w:tcPr>
            <w:tcW w:type="dxa" w:w="1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0F6E56"/>
                <w:sz w:val="20"/>
                <w:szCs w:val="20"/>
              </w:rPr>
              <w:t xml:space="preserve">Month 3</w:t>
            </w:r>
          </w:p>
        </w:tc>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First 3 pilot agencies live</w:t>
            </w:r>
          </w:p>
        </w:tc>
        <w:tc>
          <w:tcPr>
            <w:tcW w:type="dxa" w:w="51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 signed agreements; onboarding complete; first feedback collected</w:t>
            </w:r>
          </w:p>
        </w:tc>
      </w:tr>
      <w:tr>
        <w:tc>
          <w:tcPr>
            <w:tcW w:type="dxa" w:w="1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Month 6</w:t>
            </w:r>
          </w:p>
        </w:tc>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Data readiness review</w:t>
            </w:r>
          </w:p>
        </w:tc>
        <w:tc>
          <w:tcPr>
            <w:tcW w:type="dxa" w:w="51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5,000 trips logged; k≥15 threshold met for top 10 destinations; Insights launch green-lit</w:t>
            </w:r>
          </w:p>
        </w:tc>
      </w:tr>
      <w:tr>
        <w:tc>
          <w:tcPr>
            <w:tcW w:type="dxa" w:w="1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0F6E56"/>
                <w:sz w:val="20"/>
                <w:szCs w:val="20"/>
              </w:rPr>
              <w:t xml:space="preserve">Month 7</w:t>
            </w:r>
          </w:p>
        </w:tc>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First Quarterly Report published</w:t>
            </w:r>
          </w:p>
        </w:tc>
        <w:tc>
          <w:tcPr>
            <w:tcW w:type="dxa" w:w="51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Report delivered to 3 paying clients; NPS score ≥ 8</w:t>
            </w:r>
          </w:p>
        </w:tc>
      </w:tr>
      <w:tr>
        <w:tc>
          <w:tcPr>
            <w:tcW w:type="dxa" w:w="1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Month 9</w:t>
            </w:r>
          </w:p>
        </w:tc>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Live Data API beta</w:t>
            </w:r>
          </w:p>
        </w:tc>
        <w:tc>
          <w:tcPr>
            <w:tcW w:type="dxa" w:w="51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2 API subscribers in beta; documentation complete</w:t>
            </w:r>
          </w:p>
        </w:tc>
      </w:tr>
      <w:tr>
        <w:tc>
          <w:tcPr>
            <w:tcW w:type="dxa" w:w="1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0F6E56"/>
                <w:sz w:val="20"/>
                <w:szCs w:val="20"/>
              </w:rPr>
              <w:t xml:space="preserve">Month 12</w:t>
            </w:r>
          </w:p>
        </w:tc>
        <w:tc>
          <w:tcPr>
            <w:tcW w:type="dxa" w:w="28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Year 1 revenue target</w:t>
            </w:r>
          </w:p>
        </w:tc>
        <w:tc>
          <w:tcPr>
            <w:tcW w:type="dxa" w:w="51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৳35–41 Lakh revenue; 13–15 B2B clients; &lt;10% churn</w:t>
            </w:r>
          </w:p>
        </w:tc>
      </w:tr>
      <w:tr>
        <w:tc>
          <w:tcPr>
            <w:tcW w:type="dxa" w:w="1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Month 18</w:t>
            </w:r>
          </w:p>
        </w:tc>
        <w:tc>
          <w:tcPr>
            <w:tcW w:type="dxa" w:w="28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Series A readiness</w:t>
            </w:r>
          </w:p>
        </w:tc>
        <w:tc>
          <w:tcPr>
            <w:tcW w:type="dxa" w:w="51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ARR run-rate of ৳80 Lakh+; 25+ clients; 2 government data contracts signed</w:t>
            </w:r>
          </w:p>
        </w:tc>
      </w:tr>
    </w:tbl>
    <w:p>
      <w:pPr>
        <w:spacing w:after="160"/>
      </w:pPr>
      <w:r>
        <w:t xml:space="preserve"/>
      </w:r>
    </w:p>
    <w:p>
      <w:pPr>
        <w:pStyle w:val="Heading1"/>
        <w:pBdr>
          <w:bottom w:val="single" w:color="2E6DA4" w:sz="10" w:space="6"/>
        </w:pBdr>
        <w:spacing w:after="140" w:before="360"/>
      </w:pPr>
      <w:r>
        <w:rPr>
          <w:rFonts w:ascii="Arial" w:cs="Arial" w:eastAsia="Arial" w:hAnsi="Arial"/>
          <w:b/>
          <w:bCs/>
          <w:color w:val="1A3C5E"/>
          <w:sz w:val="34"/>
          <w:szCs w:val="34"/>
        </w:rPr>
        <w:t xml:space="preserve">9. Appendix — Assumptions &amp; Notes</w:t>
      </w:r>
    </w:p>
    <w:p>
      <w:pPr>
        <w:pStyle w:val="Heading2"/>
        <w:spacing w:after="80" w:before="240"/>
      </w:pPr>
      <w:r>
        <w:rPr>
          <w:rFonts w:ascii="Arial" w:cs="Arial" w:eastAsia="Arial" w:hAnsi="Arial"/>
          <w:b/>
          <w:bCs/>
          <w:color w:val="2E6DA4"/>
          <w:sz w:val="27"/>
          <w:szCs w:val="27"/>
        </w:rPr>
        <w:t xml:space="preserve">Financial assumptions</w:t>
      </w:r>
    </w:p>
    <w:p>
      <w:pPr>
        <w:pStyle w:val="ListParagraph"/>
        <w:numPr>
          <w:ilvl w:val="0"/>
          <w:numId w:val="2"/>
        </w:numPr>
        <w:spacing w:after="60"/>
      </w:pPr>
      <w:r>
        <w:rPr>
          <w:rFonts w:ascii="Arial" w:cs="Arial" w:eastAsia="Arial" w:hAnsi="Arial"/>
          <w:color w:val="1A1A1A"/>
          <w:sz w:val="22"/>
          <w:szCs w:val="22"/>
        </w:rPr>
        <w:t xml:space="preserve">All figures in Bangladeshi Taka (৳). 1 Crore (Cr) = 100 Lakh = 10,000,000 Taka.</w:t>
      </w:r>
    </w:p>
    <w:p>
      <w:pPr>
        <w:pStyle w:val="ListParagraph"/>
        <w:numPr>
          <w:ilvl w:val="0"/>
          <w:numId w:val="2"/>
        </w:numPr>
        <w:spacing w:after="60"/>
      </w:pPr>
      <w:r>
        <w:rPr>
          <w:rFonts w:ascii="Arial" w:cs="Arial" w:eastAsia="Arial" w:hAnsi="Arial"/>
          <w:color w:val="1A1A1A"/>
          <w:sz w:val="22"/>
          <w:szCs w:val="22"/>
        </w:rPr>
        <w:t xml:space="preserve">Revenue projections assume no external funding in Year 1; growth self-funded from early client revenue.</w:t>
      </w:r>
    </w:p>
    <w:p>
      <w:pPr>
        <w:pStyle w:val="ListParagraph"/>
        <w:numPr>
          <w:ilvl w:val="0"/>
          <w:numId w:val="2"/>
        </w:numPr>
        <w:spacing w:after="60"/>
      </w:pPr>
      <w:r>
        <w:rPr>
          <w:rFonts w:ascii="Arial" w:cs="Arial" w:eastAsia="Arial" w:hAnsi="Arial"/>
          <w:color w:val="1A1A1A"/>
          <w:sz w:val="22"/>
          <w:szCs w:val="22"/>
        </w:rPr>
        <w:t xml:space="preserve">FX risk: If clients are international (e.g. development banks paying in USD), revenue figures may be higher. USD pricing not modelled here.</w:t>
      </w:r>
    </w:p>
    <w:p>
      <w:pPr>
        <w:pStyle w:val="ListParagraph"/>
        <w:numPr>
          <w:ilvl w:val="0"/>
          <w:numId w:val="2"/>
        </w:numPr>
        <w:spacing w:after="60"/>
      </w:pPr>
      <w:r>
        <w:rPr>
          <w:rFonts w:ascii="Arial" w:cs="Arial" w:eastAsia="Arial" w:hAnsi="Arial"/>
          <w:color w:val="1A1A1A"/>
          <w:sz w:val="22"/>
          <w:szCs w:val="22"/>
        </w:rPr>
        <w:t xml:space="preserve">Gross margin calculation excludes founder salaries; includes cloud infrastructure, third-party APIs (Google Maps), and data analyst costs.</w:t>
      </w:r>
    </w:p>
    <w:p>
      <w:pPr>
        <w:pStyle w:val="ListParagraph"/>
        <w:numPr>
          <w:ilvl w:val="0"/>
          <w:numId w:val="2"/>
        </w:numPr>
        <w:spacing w:after="60"/>
      </w:pPr>
      <w:r>
        <w:rPr>
          <w:rFonts w:ascii="Arial" w:cs="Arial" w:eastAsia="Arial" w:hAnsi="Arial"/>
          <w:color w:val="1A1A1A"/>
          <w:sz w:val="22"/>
          <w:szCs w:val="22"/>
        </w:rPr>
        <w:t xml:space="preserve">Net Revenue Retention of 115% assumes 10% churn offset by 25% of clients upgrading to a higher tier annually.</w:t>
      </w:r>
    </w:p>
    <w:p>
      <w:pPr>
        <w:spacing w:after="80"/>
      </w:pPr>
      <w:r>
        <w:t xml:space="preserve"/>
      </w:r>
    </w:p>
    <w:p>
      <w:pPr>
        <w:pStyle w:val="Heading2"/>
        <w:spacing w:after="80" w:before="240"/>
      </w:pPr>
      <w:r>
        <w:rPr>
          <w:rFonts w:ascii="Arial" w:cs="Arial" w:eastAsia="Arial" w:hAnsi="Arial"/>
          <w:b/>
          <w:bCs/>
          <w:color w:val="2E6DA4"/>
          <w:sz w:val="27"/>
          <w:szCs w:val="27"/>
        </w:rPr>
        <w:t xml:space="preserve">Market size context</w:t>
      </w:r>
    </w:p>
    <w:p>
      <w:pPr>
        <w:pStyle w:val="ListParagraph"/>
        <w:numPr>
          <w:ilvl w:val="0"/>
          <w:numId w:val="2"/>
        </w:numPr>
        <w:spacing w:after="60"/>
      </w:pPr>
      <w:r>
        <w:rPr>
          <w:rFonts w:ascii="Arial" w:cs="Arial" w:eastAsia="Arial" w:hAnsi="Arial"/>
          <w:color w:val="1A1A1A"/>
          <w:sz w:val="22"/>
          <w:szCs w:val="22"/>
        </w:rPr>
        <w:t xml:space="preserve">Bangladesh domestic tourist arrivals: approximately 8–10 million annually (BTRC, 2023 estimates).</w:t>
      </w:r>
    </w:p>
    <w:p>
      <w:pPr>
        <w:pStyle w:val="ListParagraph"/>
        <w:numPr>
          <w:ilvl w:val="0"/>
          <w:numId w:val="2"/>
        </w:numPr>
        <w:spacing w:after="60"/>
      </w:pPr>
      <w:r>
        <w:rPr>
          <w:rFonts w:ascii="Arial" w:cs="Arial" w:eastAsia="Arial" w:hAnsi="Arial"/>
          <w:color w:val="1A1A1A"/>
          <w:sz w:val="22"/>
          <w:szCs w:val="22"/>
        </w:rPr>
        <w:t xml:space="preserve">Registered travel agencies in Bangladesh: approximately 3,500+ (TOAB membership).</w:t>
      </w:r>
    </w:p>
    <w:p>
      <w:pPr>
        <w:pStyle w:val="ListParagraph"/>
        <w:numPr>
          <w:ilvl w:val="0"/>
          <w:numId w:val="2"/>
        </w:numPr>
        <w:spacing w:after="60"/>
      </w:pPr>
      <w:r>
        <w:rPr>
          <w:rFonts w:ascii="Arial" w:cs="Arial" w:eastAsia="Arial" w:hAnsi="Arial"/>
          <w:color w:val="1A1A1A"/>
          <w:sz w:val="22"/>
          <w:szCs w:val="22"/>
        </w:rPr>
        <w:t xml:space="preserve">Formal corporate travel market: estimated ৳800 Crore+ annually across all sectors.</w:t>
      </w:r>
    </w:p>
    <w:p>
      <w:pPr>
        <w:pStyle w:val="ListParagraph"/>
        <w:numPr>
          <w:ilvl w:val="0"/>
          <w:numId w:val="2"/>
        </w:numPr>
        <w:spacing w:after="60"/>
      </w:pPr>
      <w:r>
        <w:rPr>
          <w:rFonts w:ascii="Arial" w:cs="Arial" w:eastAsia="Arial" w:hAnsi="Arial"/>
          <w:color w:val="1A1A1A"/>
          <w:sz w:val="22"/>
          <w:szCs w:val="22"/>
        </w:rPr>
        <w:t xml:space="preserve">No direct competitor currently selling aggregated domestic travel data commercially in Bangladesh.</w:t>
      </w:r>
    </w:p>
    <w:p>
      <w:pPr>
        <w:spacing w:after="80"/>
      </w:pPr>
      <w:r>
        <w:t xml:space="preserve"/>
      </w:r>
    </w:p>
    <w:p>
      <w:pPr>
        <w:pStyle w:val="Heading2"/>
        <w:spacing w:after="80" w:before="240"/>
      </w:pPr>
      <w:r>
        <w:rPr>
          <w:rFonts w:ascii="Arial" w:cs="Arial" w:eastAsia="Arial" w:hAnsi="Arial"/>
          <w:b/>
          <w:bCs/>
          <w:color w:val="2E6DA4"/>
          <w:sz w:val="27"/>
          <w:szCs w:val="27"/>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Version</w:t>
            </w:r>
          </w:p>
        </w:tc>
        <w:tc>
          <w:tcPr>
            <w:tcW w:type="dxa" w:w="69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1.0</w:t>
            </w:r>
          </w:p>
        </w:tc>
      </w:tr>
      <w:tr>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Date</w:t>
            </w:r>
          </w:p>
        </w:tc>
        <w:tc>
          <w:tcPr>
            <w:tcW w:type="dxa" w:w="69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April 2026</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Classification</w:t>
            </w:r>
          </w:p>
        </w:tc>
        <w:tc>
          <w:tcPr>
            <w:tcW w:type="dxa" w:w="69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Confidential — Internal use only</w:t>
            </w:r>
          </w:p>
        </w:tc>
      </w:tr>
      <w:tr>
        <w:tc>
          <w:tcPr>
            <w:tcW w:type="dxa" w:w="240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bCs/>
                <w:color w:val="1A3C5E"/>
                <w:sz w:val="20"/>
                <w:szCs w:val="20"/>
              </w:rPr>
              <w:t xml:space="preserve">Owner</w:t>
            </w:r>
          </w:p>
        </w:tc>
        <w:tc>
          <w:tcPr>
            <w:tcW w:type="dxa" w:w="6960"/>
            <w:tcBorders>
              <w:top w:val="single" w:color="D0DDE8" w:sz="1"/>
              <w:left w:val="single" w:color="D0DDE8" w:sz="1"/>
              <w:bottom w:val="single" w:color="D0DDE8" w:sz="1"/>
              <w:right w:val="single" w:color="D0DDE8" w:sz="1"/>
            </w:tcBorders>
            <w:shd w:fill="F4F6F9" w:val="clear"/>
            <w:tcMar>
              <w:top w:type="dxa" w:w="80"/>
              <w:left w:type="dxa" w:w="130"/>
              <w:bottom w:type="dxa" w:w="80"/>
              <w:right w:type="dxa" w:w="130"/>
            </w:tcMar>
          </w:tcPr>
          <w:p>
            <w:r>
              <w:rPr>
                <w:rFonts w:ascii="Arial" w:cs="Arial" w:eastAsia="Arial" w:hAnsi="Arial"/>
                <w:b w:val="false"/>
                <w:bCs w:val="false"/>
                <w:color w:val="1A1A1A"/>
                <w:sz w:val="20"/>
                <w:szCs w:val="20"/>
              </w:rPr>
              <w:t xml:space="preserve">Product &amp; Strategy Team</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bCs/>
                <w:color w:val="1A3C5E"/>
                <w:sz w:val="20"/>
                <w:szCs w:val="20"/>
              </w:rPr>
              <w:t xml:space="preserve">Review date</w:t>
            </w:r>
          </w:p>
        </w:tc>
        <w:tc>
          <w:tcPr>
            <w:tcW w:type="dxa" w:w="6960"/>
            <w:tcBorders>
              <w:top w:val="single" w:color="D0DDE8" w:sz="1"/>
              <w:left w:val="single" w:color="D0DDE8" w:sz="1"/>
              <w:bottom w:val="single" w:color="D0DDE8" w:sz="1"/>
              <w:right w:val="single" w:color="D0DDE8"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October 2026 (6-month review)</w:t>
            </w:r>
          </w:p>
        </w:tc>
      </w:tr>
    </w:tbl>
    <w:p>
      <w:pPr>
        <w:spacing w:after="20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jc w:val="center"/>
    </w:pPr>
    <w:r>
      <w:rPr>
        <w:rFonts w:ascii="Arial" w:cs="Arial" w:eastAsia="Arial" w:hAnsi="Arial"/>
        <w:color w:val="888888"/>
        <w:sz w:val="18"/>
        <w:szCs w:val="18"/>
      </w:rPr>
      <w:t xml:space="preserve">Trip Planner — B2B &amp; Data Insights Revenue Model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3C5E"/>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6DA4"/>
      <w:sz w:val="27"/>
      <w:szCs w:val="27"/>
    </w:rPr>
  </w:style>
  <w:style w:type="paragraph" w:styleId="Heading3">
    <w:name w:val="Heading 3"/>
    <w:basedOn w:val="Normal"/>
    <w:next w:val="Normal"/>
    <w:qFormat/>
    <w:pPr>
      <w:spacing w:after="60" w:before="180"/>
      <w:outlineLvl w:val="2"/>
    </w:pPr>
    <w:rPr>
      <w:rFonts w:ascii="Arial" w:cs="Arial" w:eastAsia="Arial" w:hAnsi="Arial"/>
      <w:b/>
      <w:bCs/>
      <w:color w:val="1A3C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2026-04-13T19:49:39.009Z</dcterms:created>
  <dcterms:modified xsi:type="dcterms:W3CDTF">2026-04-13T19:49:39.010Z</dcterms:modified>
</cp:coreProperties>
</file>

<file path=docProps/custom.xml><?xml version="1.0" encoding="utf-8"?>
<Properties xmlns="http://schemas.openxmlformats.org/officeDocument/2006/custom-properties" xmlns:vt="http://schemas.openxmlformats.org/officeDocument/2006/docPropsVTypes"/>
</file>