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t xml:space="preserve"/>
      </w:r>
    </w:p>
    <w:p>
      <w:pPr>
        <w:spacing w:after="100"/>
        <w:jc w:val="center"/>
      </w:pPr>
      <w:r>
        <w:rPr>
          <w:rFonts w:ascii="Arial" w:cs="Arial" w:eastAsia="Arial" w:hAnsi="Arial"/>
          <w:b/>
          <w:bCs/>
          <w:color w:val="1A3C5E"/>
          <w:sz w:val="48"/>
          <w:szCs w:val="48"/>
        </w:rPr>
        <w:t xml:space="preserve">PRIVACY POLICY</w:t>
      </w:r>
    </w:p>
    <w:p>
      <w:pPr>
        <w:spacing w:after="100"/>
        <w:jc w:val="center"/>
      </w:pPr>
      <w:r>
        <w:rPr>
          <w:rFonts w:ascii="Arial" w:cs="Arial" w:eastAsia="Arial" w:hAnsi="Arial"/>
          <w:b/>
          <w:bCs/>
          <w:color w:val="2E6DA4"/>
          <w:sz w:val="30"/>
          <w:szCs w:val="30"/>
        </w:rPr>
        <w:t xml:space="preserve">Data Collection, Use &amp; Consent Language</w:t>
      </w:r>
    </w:p>
    <w:p>
      <w:pPr>
        <w:pBdr>
          <w:bottom w:val="single" w:color="BA7517" w:sz="4" w:space="8"/>
        </w:pBdr>
        <w:spacing w:after="300"/>
        <w:jc w:val="center"/>
      </w:pPr>
      <w:r>
        <w:t xml:space="preserve"/>
      </w:r>
    </w:p>
    <w:p>
      <w:pPr>
        <w:spacing w:after="200"/>
      </w:pPr>
      <w:r>
        <w:t xml:space="preserve"/>
      </w:r>
    </w:p>
    <w:p>
      <w:pPr>
        <w:spacing w:after="80"/>
        <w:jc w:val="center"/>
      </w:pPr>
      <w:r>
        <w:rPr>
          <w:rFonts w:ascii="Arial" w:cs="Arial" w:eastAsia="Arial" w:hAnsi="Arial"/>
          <w:color w:val="666666"/>
          <w:sz w:val="22"/>
          <w:szCs w:val="22"/>
        </w:rPr>
        <w:t xml:space="preserve">Trip Planner App  |  Version 1.0  |  April 2026</w:t>
      </w:r>
    </w:p>
    <w:p>
      <w:pPr>
        <w:spacing w:after="80"/>
        <w:jc w:val="center"/>
      </w:pPr>
      <w:r>
        <w:rPr>
          <w:rFonts w:ascii="Arial" w:cs="Arial" w:eastAsia="Arial" w:hAnsi="Arial"/>
          <w:i/>
          <w:iCs/>
          <w:color w:val="888888"/>
          <w:sz w:val="22"/>
          <w:szCs w:val="22"/>
        </w:rPr>
        <w:t xml:space="preserve">Prepared for: Legal, Product &amp; Engineering Teams</w:t>
      </w:r>
    </w:p>
    <w:p>
      <w:pPr>
        <w:spacing w:after="1200"/>
      </w:pPr>
      <w:r>
        <w:t xml:space="preserve"/>
      </w:r>
    </w:p>
    <w:p>
      <w:pPr>
        <w:jc w:val="center"/>
      </w:pPr>
      <w:r>
        <w:rPr>
          <w:rFonts w:ascii="Arial" w:cs="Arial" w:eastAsia="Arial" w:hAnsi="Arial"/>
          <w:i/>
          <w:iCs/>
          <w:color w:val="555555"/>
          <w:sz w:val="20"/>
          <w:szCs w:val="20"/>
        </w:rPr>
        <w:t xml:space="preserve">This document contains legally-drafted consent clauses ready to embed into your live Privacy Policy.</w:t>
      </w:r>
    </w:p>
    <w:p>
      <w:pPr>
        <w:pageBreakBefore/>
      </w:pPr>
      <w:r>
        <w:t xml:space="preserve"/>
      </w:r>
    </w:p>
    <w:p>
      <w:pPr>
        <w:pStyle w:val="Heading1"/>
        <w:pBdr>
          <w:bottom w:val="single" w:color="2E6DA4" w:sz="8" w:space="6"/>
        </w:pBdr>
        <w:spacing w:after="120" w:before="320"/>
      </w:pPr>
      <w:r>
        <w:rPr>
          <w:rFonts w:ascii="Arial" w:cs="Arial" w:eastAsia="Arial" w:hAnsi="Arial"/>
          <w:b/>
          <w:bCs/>
          <w:color w:val="1A3C5E"/>
          <w:sz w:val="32"/>
          <w:szCs w:val="32"/>
        </w:rPr>
        <w:t xml:space="preserve">1. Introduction &amp; Scope</w:t>
      </w:r>
    </w:p>
    <w:p>
      <w:pPr>
        <w:spacing w:after="80"/>
      </w:pPr>
      <w:r>
        <w:rPr>
          <w:rFonts w:ascii="Arial" w:cs="Arial" w:eastAsia="Arial" w:hAnsi="Arial"/>
          <w:color w:val="222222"/>
          <w:sz w:val="22"/>
          <w:szCs w:val="22"/>
        </w:rPr>
        <w:t xml:space="preserve">This Privacy Policy describes how Trip Planner ("we", "our", or "the App") collects, processes, stores, and shares information about you when you use our mobile and web application. It applies to all users of the App, including registered account holders and anonymous visitors.</w:t>
      </w:r>
    </w:p>
    <w:p>
      <w:pPr>
        <w:spacing w:after="60"/>
      </w:pPr>
      <w:r>
        <w:t xml:space="preserve"/>
      </w:r>
    </w:p>
    <w:p>
      <w:pPr>
        <w:spacing w:after="80"/>
      </w:pPr>
      <w:r>
        <w:rPr>
          <w:rFonts w:ascii="Arial" w:cs="Arial" w:eastAsia="Arial" w:hAnsi="Arial"/>
          <w:color w:val="222222"/>
          <w:sz w:val="22"/>
          <w:szCs w:val="22"/>
        </w:rPr>
        <w:t xml:space="preserve">By creating an account or using the App, you acknowledge that you have read, understood, and agree to the terms of this Privacy Policy. If you do not agree, please discontinue use of the App.</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40"/>
              <w:left w:type="dxa" w:w="200"/>
              <w:bottom w:type="dxa" w:w="140"/>
              <w:right w:type="dxa" w:w="200"/>
            </w:tcMar>
          </w:tcPr>
          <w:p>
            <w:pPr>
              <w:spacing w:after="40"/>
            </w:pPr>
            <w:r>
              <w:rPr>
                <w:rFonts w:ascii="Arial" w:cs="Arial" w:eastAsia="Arial" w:hAnsi="Arial"/>
                <w:b/>
                <w:bCs/>
                <w:color w:val="1A3C5E"/>
                <w:sz w:val="22"/>
                <w:szCs w:val="22"/>
              </w:rPr>
              <w:t xml:space="preserve">Legal basis (Bangladesh)</w:t>
            </w:r>
          </w:p>
          <w:p>
            <w:pPr>
              <w:spacing w:after="0"/>
            </w:pPr>
            <w:r>
              <w:rPr>
                <w:rFonts w:ascii="Arial" w:cs="Arial" w:eastAsia="Arial" w:hAnsi="Arial"/>
                <w:color w:val="555555"/>
                <w:sz w:val="21"/>
                <w:szCs w:val="21"/>
              </w:rPr>
              <w:t xml:space="preserve">This policy is drafted in alignment with the Bangladesh Digital Security Act 2018, the ICT Act 2006, and anticipates compliance with the forthcoming Personal Data Protection Act (PDPA). For users accessing the App from the European Union or United Kingdom, GDPR Article 6 lawful bases apply additionally.</w:t>
            </w:r>
          </w:p>
        </w:tc>
      </w:tr>
    </w:tbl>
    <w:p>
      <w:pPr>
        <w:spacing w:after="120"/>
      </w:pPr>
      <w:r>
        <w:t xml:space="preserve"/>
      </w:r>
    </w:p>
    <w:p>
      <w:pPr>
        <w:pStyle w:val="Heading1"/>
        <w:pBdr>
          <w:bottom w:val="single" w:color="2E6DA4" w:sz="8" w:space="6"/>
        </w:pBdr>
        <w:spacing w:after="120" w:before="320"/>
      </w:pPr>
      <w:r>
        <w:rPr>
          <w:rFonts w:ascii="Arial" w:cs="Arial" w:eastAsia="Arial" w:hAnsi="Arial"/>
          <w:b/>
          <w:bCs/>
          <w:color w:val="1A3C5E"/>
          <w:sz w:val="32"/>
          <w:szCs w:val="32"/>
        </w:rPr>
        <w:t xml:space="preserve">2. Data We Collect</w:t>
      </w:r>
    </w:p>
    <w:p>
      <w:pPr>
        <w:pStyle w:val="Heading2"/>
        <w:spacing w:after="80" w:before="220"/>
      </w:pPr>
      <w:r>
        <w:rPr>
          <w:rFonts w:ascii="Arial" w:cs="Arial" w:eastAsia="Arial" w:hAnsi="Arial"/>
          <w:b/>
          <w:bCs/>
          <w:color w:val="2E6DA4"/>
          <w:sz w:val="26"/>
          <w:szCs w:val="26"/>
        </w:rPr>
        <w:t xml:space="preserve">2.1  Data you provide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Data Type</w:t>
            </w:r>
          </w:p>
        </w:tc>
        <w:tc>
          <w:tcPr>
            <w:tcW w:type="dxa" w:w="6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Examples</w:t>
            </w:r>
          </w:p>
        </w:tc>
      </w:tr>
      <w:tr>
        <w:tc>
          <w:tcPr>
            <w:tcW w:type="dxa" w:w="28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1A3C5E"/>
                <w:sz w:val="20"/>
                <w:szCs w:val="20"/>
              </w:rPr>
              <w:t xml:space="preserve">Account data</w:t>
            </w:r>
          </w:p>
        </w:tc>
        <w:tc>
          <w:tcPr>
            <w:tcW w:type="dxa" w:w="65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222222"/>
                <w:sz w:val="20"/>
                <w:szCs w:val="20"/>
              </w:rPr>
              <w:t xml:space="preserve">Name, email address, password (hashed), phone number</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Trip data</w:t>
            </w:r>
          </w:p>
        </w:tc>
        <w:tc>
          <w:tcPr>
            <w:tcW w:type="dxa" w:w="6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Destination, travel dates, group size, trip name</w:t>
            </w:r>
          </w:p>
        </w:tc>
      </w:tr>
      <w:tr>
        <w:tc>
          <w:tcPr>
            <w:tcW w:type="dxa" w:w="28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1A3C5E"/>
                <w:sz w:val="20"/>
                <w:szCs w:val="20"/>
              </w:rPr>
              <w:t xml:space="preserve">Budget data</w:t>
            </w:r>
          </w:p>
        </w:tc>
        <w:tc>
          <w:tcPr>
            <w:tcW w:type="dxa" w:w="65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222222"/>
                <w:sz w:val="20"/>
                <w:szCs w:val="20"/>
              </w:rPr>
              <w:t xml:space="preserve">Entered cost estimates, expense logs, budget categories</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Communications</w:t>
            </w:r>
          </w:p>
        </w:tc>
        <w:tc>
          <w:tcPr>
            <w:tcW w:type="dxa" w:w="6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Support messages, feedback submissions, survey responses</w:t>
            </w:r>
          </w:p>
        </w:tc>
      </w:tr>
    </w:tbl>
    <w:p>
      <w:pPr>
        <w:spacing w:after="120"/>
      </w:pPr>
      <w:r>
        <w:t xml:space="preserve"/>
      </w:r>
    </w:p>
    <w:p>
      <w:pPr>
        <w:pStyle w:val="Heading2"/>
        <w:spacing w:after="80" w:before="220"/>
      </w:pPr>
      <w:r>
        <w:rPr>
          <w:rFonts w:ascii="Arial" w:cs="Arial" w:eastAsia="Arial" w:hAnsi="Arial"/>
          <w:b/>
          <w:bCs/>
          <w:color w:val="2E6DA4"/>
          <w:sz w:val="26"/>
          <w:szCs w:val="26"/>
        </w:rPr>
        <w:t xml:space="preserve">2.2  Data we collect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Data Type</w:t>
            </w:r>
          </w:p>
        </w:tc>
        <w:tc>
          <w:tcPr>
            <w:tcW w:type="dxa" w:w="6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Examples</w:t>
            </w:r>
          </w:p>
        </w:tc>
      </w:tr>
      <w:tr>
        <w:tc>
          <w:tcPr>
            <w:tcW w:type="dxa" w:w="28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1A3C5E"/>
                <w:sz w:val="20"/>
                <w:szCs w:val="20"/>
              </w:rPr>
              <w:t xml:space="preserve">Usage data</w:t>
            </w:r>
          </w:p>
        </w:tc>
        <w:tc>
          <w:tcPr>
            <w:tcW w:type="dxa" w:w="65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222222"/>
                <w:sz w:val="20"/>
                <w:szCs w:val="20"/>
              </w:rPr>
              <w:t xml:space="preserve">Pages visited, features used, buttons clicked, session duration</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Search data</w:t>
            </w:r>
          </w:p>
        </w:tc>
        <w:tc>
          <w:tcPr>
            <w:tcW w:type="dxa" w:w="6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Destination searches, area and city selections, POI views</w:t>
            </w:r>
          </w:p>
        </w:tc>
      </w:tr>
      <w:tr>
        <w:tc>
          <w:tcPr>
            <w:tcW w:type="dxa" w:w="28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1A3C5E"/>
                <w:sz w:val="20"/>
                <w:szCs w:val="20"/>
              </w:rPr>
              <w:t xml:space="preserve">Device data</w:t>
            </w:r>
          </w:p>
        </w:tc>
        <w:tc>
          <w:tcPr>
            <w:tcW w:type="dxa" w:w="65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222222"/>
                <w:sz w:val="20"/>
                <w:szCs w:val="20"/>
              </w:rPr>
              <w:t xml:space="preserve">Device type, OS version, browser type, screen resolution</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Location data</w:t>
            </w:r>
          </w:p>
        </w:tc>
        <w:tc>
          <w:tcPr>
            <w:tcW w:type="dxa" w:w="6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Only if you grant permission; used to refine map view</w:t>
            </w:r>
          </w:p>
        </w:tc>
      </w:tr>
      <w:tr>
        <w:tc>
          <w:tcPr>
            <w:tcW w:type="dxa" w:w="28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1A3C5E"/>
                <w:sz w:val="20"/>
                <w:szCs w:val="20"/>
              </w:rPr>
              <w:t xml:space="preserve">Log data</w:t>
            </w:r>
          </w:p>
        </w:tc>
        <w:tc>
          <w:tcPr>
            <w:tcW w:type="dxa" w:w="65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222222"/>
                <w:sz w:val="20"/>
                <w:szCs w:val="20"/>
              </w:rPr>
              <w:t xml:space="preserve">IP address, timestamps, error logs (retained for 90 days)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40"/>
              <w:left w:type="dxa" w:w="200"/>
              <w:bottom w:type="dxa" w:w="140"/>
              <w:right w:type="dxa" w:w="200"/>
            </w:tcMar>
          </w:tcPr>
          <w:p>
            <w:pPr>
              <w:spacing w:after="40"/>
            </w:pPr>
            <w:r>
              <w:rPr>
                <w:rFonts w:ascii="Arial" w:cs="Arial" w:eastAsia="Arial" w:hAnsi="Arial"/>
                <w:b/>
                <w:bCs/>
                <w:color w:val="A32D2D"/>
                <w:sz w:val="22"/>
                <w:szCs w:val="22"/>
              </w:rPr>
              <w:t xml:space="preserve">What we do NOT collect</w:t>
            </w:r>
          </w:p>
          <w:p>
            <w:pPr>
              <w:spacing w:after="0"/>
            </w:pPr>
            <w:r>
              <w:rPr>
                <w:rFonts w:ascii="Arial" w:cs="Arial" w:eastAsia="Arial" w:hAnsi="Arial"/>
                <w:color w:val="555555"/>
                <w:sz w:val="21"/>
                <w:szCs w:val="21"/>
              </w:rPr>
              <w:t xml:space="preserve">We do not collect real-time GPS tracking, financial account details or payment card numbers, government-issued ID numbers, biometric data, or any data from users we know to be under 13 years of age.</w:t>
            </w:r>
          </w:p>
        </w:tc>
      </w:tr>
    </w:tbl>
    <w:p>
      <w:pPr>
        <w:spacing w:after="120"/>
      </w:pPr>
      <w:r>
        <w:t xml:space="preserve"/>
      </w:r>
    </w:p>
    <w:p>
      <w:pPr>
        <w:pStyle w:val="Heading1"/>
        <w:pBdr>
          <w:bottom w:val="single" w:color="2E6DA4" w:sz="8" w:space="6"/>
        </w:pBdr>
        <w:spacing w:after="120" w:before="320"/>
      </w:pPr>
      <w:r>
        <w:rPr>
          <w:rFonts w:ascii="Arial" w:cs="Arial" w:eastAsia="Arial" w:hAnsi="Arial"/>
          <w:b/>
          <w:bCs/>
          <w:color w:val="1A3C5E"/>
          <w:sz w:val="32"/>
          <w:szCs w:val="32"/>
        </w:rPr>
        <w:t xml:space="preserve">3. How We Use Your Data</w:t>
      </w:r>
    </w:p>
    <w:p>
      <w:pPr>
        <w:pStyle w:val="Heading2"/>
        <w:spacing w:after="80" w:before="220"/>
      </w:pPr>
      <w:r>
        <w:rPr>
          <w:rFonts w:ascii="Arial" w:cs="Arial" w:eastAsia="Arial" w:hAnsi="Arial"/>
          <w:b/>
          <w:bCs/>
          <w:color w:val="2E6DA4"/>
          <w:sz w:val="26"/>
          <w:szCs w:val="26"/>
        </w:rPr>
        <w:t xml:space="preserve">3.1  To deliver the service (no consent required — contract basis)</w:t>
      </w:r>
    </w:p>
    <w:p>
      <w:pPr>
        <w:pStyle w:val="ListParagraph"/>
        <w:numPr>
          <w:ilvl w:val="0"/>
          <w:numId w:val="2"/>
        </w:numPr>
        <w:spacing w:after="60"/>
      </w:pPr>
      <w:r>
        <w:rPr>
          <w:rFonts w:ascii="Arial" w:cs="Arial" w:eastAsia="Arial" w:hAnsi="Arial"/>
          <w:color w:val="222222"/>
          <w:sz w:val="22"/>
          <w:szCs w:val="22"/>
        </w:rPr>
        <w:t xml:space="preserve">Providing trip planning, map, and POI features</w:t>
      </w:r>
    </w:p>
    <w:p>
      <w:pPr>
        <w:pStyle w:val="ListParagraph"/>
        <w:numPr>
          <w:ilvl w:val="0"/>
          <w:numId w:val="2"/>
        </w:numPr>
        <w:spacing w:after="60"/>
      </w:pPr>
      <w:r>
        <w:rPr>
          <w:rFonts w:ascii="Arial" w:cs="Arial" w:eastAsia="Arial" w:hAnsi="Arial"/>
          <w:color w:val="222222"/>
          <w:sz w:val="22"/>
          <w:szCs w:val="22"/>
        </w:rPr>
        <w:t xml:space="preserve">Calculating and displaying budget predictions and expense tracking</w:t>
      </w:r>
    </w:p>
    <w:p>
      <w:pPr>
        <w:pStyle w:val="ListParagraph"/>
        <w:numPr>
          <w:ilvl w:val="0"/>
          <w:numId w:val="2"/>
        </w:numPr>
        <w:spacing w:after="60"/>
      </w:pPr>
      <w:r>
        <w:rPr>
          <w:rFonts w:ascii="Arial" w:cs="Arial" w:eastAsia="Arial" w:hAnsi="Arial"/>
          <w:color w:val="222222"/>
          <w:sz w:val="22"/>
          <w:szCs w:val="22"/>
        </w:rPr>
        <w:t xml:space="preserve">Saving and syncing your trips across devices</w:t>
      </w:r>
    </w:p>
    <w:p>
      <w:pPr>
        <w:pStyle w:val="ListParagraph"/>
        <w:numPr>
          <w:ilvl w:val="0"/>
          <w:numId w:val="2"/>
        </w:numPr>
        <w:spacing w:after="60"/>
      </w:pPr>
      <w:r>
        <w:rPr>
          <w:rFonts w:ascii="Arial" w:cs="Arial" w:eastAsia="Arial" w:hAnsi="Arial"/>
          <w:color w:val="222222"/>
          <w:sz w:val="22"/>
          <w:szCs w:val="22"/>
        </w:rPr>
        <w:t xml:space="preserve">Sending service-critical notifications (e.g. over-budget alerts)</w:t>
      </w:r>
    </w:p>
    <w:p>
      <w:pPr>
        <w:spacing w:after="80"/>
      </w:pPr>
      <w:r>
        <w:t xml:space="preserve"/>
      </w:r>
    </w:p>
    <w:p>
      <w:pPr>
        <w:pStyle w:val="Heading2"/>
        <w:spacing w:after="80" w:before="220"/>
      </w:pPr>
      <w:r>
        <w:rPr>
          <w:rFonts w:ascii="Arial" w:cs="Arial" w:eastAsia="Arial" w:hAnsi="Arial"/>
          <w:b/>
          <w:bCs/>
          <w:color w:val="2E6DA4"/>
          <w:sz w:val="26"/>
          <w:szCs w:val="26"/>
        </w:rPr>
        <w:t xml:space="preserve">3.2  With your consent — analytics &amp; insights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40"/>
              <w:left w:type="dxa" w:w="200"/>
              <w:bottom w:type="dxa" w:w="140"/>
              <w:right w:type="dxa" w:w="200"/>
            </w:tcMar>
          </w:tcPr>
          <w:p>
            <w:pPr>
              <w:spacing w:after="40"/>
            </w:pPr>
            <w:r>
              <w:rPr>
                <w:rFonts w:ascii="Arial" w:cs="Arial" w:eastAsia="Arial" w:hAnsi="Arial"/>
                <w:b/>
                <w:bCs/>
                <w:color w:val="0F6E56"/>
                <w:sz w:val="22"/>
                <w:szCs w:val="22"/>
              </w:rPr>
              <w:t xml:space="preserve">📋 Consent Clause A — Aggregated Analytics (embed this in your registration flow)</w:t>
            </w:r>
          </w:p>
          <w:p>
            <w:pPr>
              <w:spacing w:after="0"/>
            </w:pPr>
            <w:r>
              <w:rPr>
                <w:rFonts w:ascii="Arial" w:cs="Arial" w:eastAsia="Arial" w:hAnsi="Arial"/>
                <w:color w:val="555555"/>
                <w:sz w:val="21"/>
                <w:szCs w:val="21"/>
              </w:rPr>
              <w:t xml:space="preserve">"I agree that Trip Planner may use my anonymised and aggregated trip, destination, and budget data to generate statistical insights about travel patterns in Bangladesh. This data will never identify me personally. I can withdraw this consent at any time from Settings → Privacy."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40"/>
              <w:left w:type="dxa" w:w="200"/>
              <w:bottom w:type="dxa" w:w="140"/>
              <w:right w:type="dxa" w:w="200"/>
            </w:tcMar>
          </w:tcPr>
          <w:p>
            <w:pPr>
              <w:spacing w:after="40"/>
            </w:pPr>
            <w:r>
              <w:rPr>
                <w:rFonts w:ascii="Arial" w:cs="Arial" w:eastAsia="Arial" w:hAnsi="Arial"/>
                <w:b/>
                <w:bCs/>
                <w:color w:val="BA7517"/>
                <w:sz w:val="22"/>
                <w:szCs w:val="22"/>
              </w:rPr>
              <w:t xml:space="preserve">📋 Consent Clause B — Third-Party Data Sharing (embed before first POI search)</w:t>
            </w:r>
          </w:p>
          <w:p>
            <w:pPr>
              <w:spacing w:after="0"/>
            </w:pPr>
            <w:r>
              <w:rPr>
                <w:rFonts w:ascii="Arial" w:cs="Arial" w:eastAsia="Arial" w:hAnsi="Arial"/>
                <w:color w:val="555555"/>
                <w:sz w:val="21"/>
                <w:szCs w:val="21"/>
              </w:rPr>
              <w:t xml:space="preserve">"I agree that Trip Planner may share aggregated, anonymised data (e.g. popular destinations, average trip budgets by region) with third parties such as tourism boards, hospitality businesses, and market research firms. No data that identifies me personally will ever be shared. See Section 5 for full details."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40"/>
              <w:left w:type="dxa" w:w="200"/>
              <w:bottom w:type="dxa" w:w="140"/>
              <w:right w:type="dxa" w:w="200"/>
            </w:tcMar>
          </w:tcPr>
          <w:p>
            <w:pPr>
              <w:spacing w:after="40"/>
            </w:pPr>
            <w:r>
              <w:rPr>
                <w:rFonts w:ascii="Arial" w:cs="Arial" w:eastAsia="Arial" w:hAnsi="Arial"/>
                <w:b/>
                <w:bCs/>
                <w:color w:val="1A3C5E"/>
                <w:sz w:val="22"/>
                <w:szCs w:val="22"/>
              </w:rPr>
              <w:t xml:space="preserve">📋 Consent Clause C — Improved Recommendations (optional, opt-in)</w:t>
            </w:r>
          </w:p>
          <w:p>
            <w:pPr>
              <w:spacing w:after="0"/>
            </w:pPr>
            <w:r>
              <w:rPr>
                <w:rFonts w:ascii="Arial" w:cs="Arial" w:eastAsia="Arial" w:hAnsi="Arial"/>
                <w:color w:val="555555"/>
                <w:sz w:val="21"/>
                <w:szCs w:val="21"/>
              </w:rPr>
              <w:t xml:space="preserve">"I agree that Trip Planner may analyse my individual trip history to personalise hotel suggestions, budget predictions, and destination recommendations within the App. This processing stays within the App and is not shared externally. I can opt out at any time."</w:t>
            </w:r>
          </w:p>
        </w:tc>
      </w:tr>
    </w:tbl>
    <w:p>
      <w:pPr>
        <w:spacing w:after="80"/>
      </w:pPr>
      <w:r>
        <w:t xml:space="preserve"/>
      </w:r>
    </w:p>
    <w:p>
      <w:pPr>
        <w:spacing w:after="80"/>
      </w:pPr>
      <w:r>
        <w:rPr>
          <w:rFonts w:ascii="Arial" w:cs="Arial" w:eastAsia="Arial" w:hAnsi="Arial"/>
          <w:color w:val="555555"/>
          <w:sz w:val="22"/>
          <w:szCs w:val="22"/>
        </w:rPr>
        <w:t xml:space="preserve">All three consent clauses above must be presented with a clearly visible, un-pre-ticked checkbox at registration. Users must be able to grant or revoke each consent independently.</w:t>
      </w:r>
    </w:p>
    <w:p>
      <w:pPr>
        <w:spacing w:after="120"/>
      </w:pPr>
      <w:r>
        <w:t xml:space="preserve"/>
      </w:r>
    </w:p>
    <w:p>
      <w:pPr>
        <w:pStyle w:val="Heading1"/>
        <w:pBdr>
          <w:bottom w:val="single" w:color="2E6DA4" w:sz="8" w:space="6"/>
        </w:pBdr>
        <w:spacing w:after="120" w:before="320"/>
      </w:pPr>
      <w:r>
        <w:rPr>
          <w:rFonts w:ascii="Arial" w:cs="Arial" w:eastAsia="Arial" w:hAnsi="Arial"/>
          <w:b/>
          <w:bCs/>
          <w:color w:val="1A3C5E"/>
          <w:sz w:val="32"/>
          <w:szCs w:val="32"/>
        </w:rPr>
        <w:t xml:space="preserve">4. Data We Will Never Sell or Share</w:t>
      </w:r>
    </w:p>
    <w:p>
      <w:pPr>
        <w:spacing w:after="80"/>
      </w:pPr>
      <w:r>
        <w:rPr>
          <w:rFonts w:ascii="Arial" w:cs="Arial" w:eastAsia="Arial" w:hAnsi="Arial"/>
          <w:color w:val="222222"/>
          <w:sz w:val="22"/>
          <w:szCs w:val="22"/>
        </w:rPr>
        <w:t xml:space="preserve">Regardless of any consent given, the following data will never be sold, licensed, or disclosed to any third party for any commercial purpose:</w:t>
      </w:r>
    </w:p>
    <w:p>
      <w:pPr>
        <w:spacing w:after="60"/>
      </w:pPr>
      <w:r>
        <w:t xml:space="preserve"/>
      </w:r>
    </w:p>
    <w:p>
      <w:pPr>
        <w:pStyle w:val="ListParagraph"/>
        <w:numPr>
          <w:ilvl w:val="0"/>
          <w:numId w:val="2"/>
        </w:numPr>
        <w:spacing w:after="60"/>
      </w:pPr>
      <w:r>
        <w:rPr>
          <w:rFonts w:ascii="Arial" w:cs="Arial" w:eastAsia="Arial" w:hAnsi="Arial"/>
          <w:color w:val="222222"/>
          <w:sz w:val="22"/>
          <w:szCs w:val="22"/>
        </w:rPr>
        <w:t xml:space="preserve">Your full name, email address, phone number, or any direct identifier</w:t>
      </w:r>
    </w:p>
    <w:p>
      <w:pPr>
        <w:pStyle w:val="ListParagraph"/>
        <w:numPr>
          <w:ilvl w:val="0"/>
          <w:numId w:val="2"/>
        </w:numPr>
        <w:spacing w:after="60"/>
      </w:pPr>
      <w:r>
        <w:rPr>
          <w:rFonts w:ascii="Arial" w:cs="Arial" w:eastAsia="Arial" w:hAnsi="Arial"/>
          <w:color w:val="222222"/>
          <w:sz w:val="22"/>
          <w:szCs w:val="22"/>
        </w:rPr>
        <w:t xml:space="preserve">Your individual trip itineraries, expense logs, or budget details in identifiable form</w:t>
      </w:r>
    </w:p>
    <w:p>
      <w:pPr>
        <w:pStyle w:val="ListParagraph"/>
        <w:numPr>
          <w:ilvl w:val="0"/>
          <w:numId w:val="2"/>
        </w:numPr>
        <w:spacing w:after="60"/>
      </w:pPr>
      <w:r>
        <w:rPr>
          <w:rFonts w:ascii="Arial" w:cs="Arial" w:eastAsia="Arial" w:hAnsi="Arial"/>
          <w:color w:val="222222"/>
          <w:sz w:val="22"/>
          <w:szCs w:val="22"/>
        </w:rPr>
        <w:t xml:space="preserve">Any data that could be used to identify you within a dataset of fewer than 15 users</w:t>
      </w:r>
    </w:p>
    <w:p>
      <w:pPr>
        <w:pStyle w:val="ListParagraph"/>
        <w:numPr>
          <w:ilvl w:val="0"/>
          <w:numId w:val="2"/>
        </w:numPr>
        <w:spacing w:after="60"/>
      </w:pPr>
      <w:r>
        <w:rPr>
          <w:rFonts w:ascii="Arial" w:cs="Arial" w:eastAsia="Arial" w:hAnsi="Arial"/>
          <w:color w:val="222222"/>
          <w:sz w:val="22"/>
          <w:szCs w:val="22"/>
        </w:rPr>
        <w:t xml:space="preserve">Your precise GPS location or movement history</w:t>
      </w:r>
    </w:p>
    <w:p>
      <w:pPr>
        <w:pStyle w:val="ListParagraph"/>
        <w:numPr>
          <w:ilvl w:val="0"/>
          <w:numId w:val="2"/>
        </w:numPr>
        <w:spacing w:after="60"/>
      </w:pPr>
      <w:r>
        <w:rPr>
          <w:rFonts w:ascii="Arial" w:cs="Arial" w:eastAsia="Arial" w:hAnsi="Arial"/>
          <w:color w:val="222222"/>
          <w:sz w:val="22"/>
          <w:szCs w:val="22"/>
        </w:rPr>
        <w:t xml:space="preserve">Any data to insurance companies, lenders, employers, or government agencies (except where legally compelled)</w:t>
      </w:r>
    </w:p>
    <w:p>
      <w:pPr>
        <w:pStyle w:val="ListParagraph"/>
        <w:numPr>
          <w:ilvl w:val="0"/>
          <w:numId w:val="2"/>
        </w:numPr>
        <w:spacing w:after="60"/>
      </w:pPr>
      <w:r>
        <w:rPr>
          <w:rFonts w:ascii="Arial" w:cs="Arial" w:eastAsia="Arial" w:hAnsi="Arial"/>
          <w:color w:val="222222"/>
          <w:sz w:val="22"/>
          <w:szCs w:val="22"/>
        </w:rPr>
        <w:t xml:space="preserve">Any data about users under 13 years of age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40"/>
              <w:left w:type="dxa" w:w="200"/>
              <w:bottom w:type="dxa" w:w="140"/>
              <w:right w:type="dxa" w:w="200"/>
            </w:tcMar>
          </w:tcPr>
          <w:p>
            <w:pPr>
              <w:spacing w:after="40"/>
            </w:pPr>
            <w:r>
              <w:rPr>
                <w:rFonts w:ascii="Arial" w:cs="Arial" w:eastAsia="Arial" w:hAnsi="Arial"/>
                <w:b/>
                <w:bCs/>
                <w:color w:val="0F6E56"/>
                <w:sz w:val="22"/>
                <w:szCs w:val="22"/>
              </w:rPr>
              <w:t xml:space="preserve">K-Anonymity Commitment</w:t>
            </w:r>
          </w:p>
          <w:p>
            <w:pPr>
              <w:spacing w:after="0"/>
            </w:pPr>
            <w:r>
              <w:rPr>
                <w:rFonts w:ascii="Arial" w:cs="Arial" w:eastAsia="Arial" w:hAnsi="Arial"/>
                <w:color w:val="555555"/>
                <w:sz w:val="21"/>
                <w:szCs w:val="21"/>
              </w:rPr>
              <w:t xml:space="preserve">We apply a minimum k=15 anonymity threshold to all data before it is included in any aggregated dataset or report. This means any data point we publish or share represents at least 15 distinct users, making individual identification statistically infeasible.</w:t>
            </w:r>
          </w:p>
        </w:tc>
      </w:tr>
    </w:tbl>
    <w:p>
      <w:pPr>
        <w:spacing w:after="120"/>
      </w:pPr>
      <w:r>
        <w:t xml:space="preserve"/>
      </w:r>
    </w:p>
    <w:p>
      <w:pPr>
        <w:pStyle w:val="Heading1"/>
        <w:pBdr>
          <w:bottom w:val="single" w:color="2E6DA4" w:sz="8" w:space="6"/>
        </w:pBdr>
        <w:spacing w:after="120" w:before="320"/>
      </w:pPr>
      <w:r>
        <w:rPr>
          <w:rFonts w:ascii="Arial" w:cs="Arial" w:eastAsia="Arial" w:hAnsi="Arial"/>
          <w:b/>
          <w:bCs/>
          <w:color w:val="1A3C5E"/>
          <w:sz w:val="32"/>
          <w:szCs w:val="32"/>
        </w:rPr>
        <w:t xml:space="preserve">5. Third-Party Data Sharing</w:t>
      </w:r>
    </w:p>
    <w:p>
      <w:pPr>
        <w:pStyle w:val="Heading2"/>
        <w:spacing w:after="80" w:before="220"/>
      </w:pPr>
      <w:r>
        <w:rPr>
          <w:rFonts w:ascii="Arial" w:cs="Arial" w:eastAsia="Arial" w:hAnsi="Arial"/>
          <w:b/>
          <w:bCs/>
          <w:color w:val="2E6DA4"/>
          <w:sz w:val="26"/>
          <w:szCs w:val="26"/>
        </w:rPr>
        <w:t xml:space="preserve">5.1  What we may share (with consent)</w:t>
      </w:r>
    </w:p>
    <w:p>
      <w:pPr>
        <w:spacing w:after="80"/>
      </w:pPr>
      <w:r>
        <w:rPr>
          <w:rFonts w:ascii="Arial" w:cs="Arial" w:eastAsia="Arial" w:hAnsi="Arial"/>
          <w:color w:val="222222"/>
          <w:sz w:val="22"/>
          <w:szCs w:val="22"/>
        </w:rPr>
        <w:t xml:space="preserve">Subject to Consent Clause B (Section 3.2), we may share the following aggregated, anonymised datasets with vetted third-party recipients: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8D8E8" w:sz="1"/>
              <w:left w:val="single" w:color="C8D8E8" w:sz="1"/>
              <w:bottom w:val="single" w:color="C8D8E8" w:sz="1"/>
              <w:right w:val="single" w:color="C8D8E8"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Data Product</w:t>
            </w:r>
          </w:p>
        </w:tc>
        <w:tc>
          <w:tcPr>
            <w:tcW w:type="dxa" w:w="3000"/>
            <w:tcBorders>
              <w:top w:val="single" w:color="C8D8E8" w:sz="1"/>
              <w:left w:val="single" w:color="C8D8E8" w:sz="1"/>
              <w:bottom w:val="single" w:color="C8D8E8" w:sz="1"/>
              <w:right w:val="single" w:color="C8D8E8"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Recipients</w:t>
            </w:r>
          </w:p>
        </w:tc>
        <w:tc>
          <w:tcPr>
            <w:tcW w:type="dxa" w:w="3560"/>
            <w:tcBorders>
              <w:top w:val="single" w:color="C8D8E8" w:sz="1"/>
              <w:left w:val="single" w:color="C8D8E8" w:sz="1"/>
              <w:bottom w:val="single" w:color="C8D8E8" w:sz="1"/>
              <w:right w:val="single" w:color="C8D8E8"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Frequency</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Destination popularity index</w:t>
            </w:r>
          </w:p>
        </w:tc>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Tourism boards, local govt</w:t>
            </w:r>
          </w:p>
        </w:tc>
        <w:tc>
          <w:tcPr>
            <w:tcW w:type="dxa" w:w="3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Quarterly</w:t>
            </w:r>
          </w:p>
        </w:tc>
      </w:tr>
      <w:tr>
        <w:tc>
          <w:tcPr>
            <w:tcW w:type="dxa" w:w="28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222222"/>
                <w:sz w:val="20"/>
                <w:szCs w:val="20"/>
              </w:rPr>
              <w:t xml:space="preserve">Average spend per destination</w:t>
            </w:r>
          </w:p>
        </w:tc>
        <w:tc>
          <w:tcPr>
            <w:tcW w:type="dxa" w:w="30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222222"/>
                <w:sz w:val="20"/>
                <w:szCs w:val="20"/>
              </w:rPr>
              <w:t xml:space="preserve">Hotels, hospitality chains</w:t>
            </w:r>
          </w:p>
        </w:tc>
        <w:tc>
          <w:tcPr>
            <w:tcW w:type="dxa" w:w="35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222222"/>
                <w:sz w:val="20"/>
                <w:szCs w:val="20"/>
              </w:rPr>
              <w:t xml:space="preserve">Quarterly</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Seasonal travel demand curves</w:t>
            </w:r>
          </w:p>
        </w:tc>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Bus operators, transport planners</w:t>
            </w:r>
          </w:p>
        </w:tc>
        <w:tc>
          <w:tcPr>
            <w:tcW w:type="dxa" w:w="3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Bi-annual</w:t>
            </w:r>
          </w:p>
        </w:tc>
      </w:tr>
      <w:tr>
        <w:tc>
          <w:tcPr>
            <w:tcW w:type="dxa" w:w="28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222222"/>
                <w:sz w:val="20"/>
                <w:szCs w:val="20"/>
              </w:rPr>
              <w:t xml:space="preserve">POI performance scores</w:t>
            </w:r>
          </w:p>
        </w:tc>
        <w:tc>
          <w:tcPr>
            <w:tcW w:type="dxa" w:w="30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222222"/>
                <w:sz w:val="20"/>
                <w:szCs w:val="20"/>
              </w:rPr>
              <w:t xml:space="preserve">Individual hotels/rental shops (their own data only)</w:t>
            </w:r>
          </w:p>
        </w:tc>
        <w:tc>
          <w:tcPr>
            <w:tcW w:type="dxa" w:w="35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222222"/>
                <w:sz w:val="20"/>
                <w:szCs w:val="20"/>
              </w:rPr>
              <w:t xml:space="preserve">Monthly</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Budget category breakdowns</w:t>
            </w:r>
          </w:p>
        </w:tc>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Market research firms</w:t>
            </w:r>
          </w:p>
        </w:tc>
        <w:tc>
          <w:tcPr>
            <w:tcW w:type="dxa" w:w="3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Annual</w:t>
            </w:r>
          </w:p>
        </w:tc>
      </w:tr>
    </w:tbl>
    <w:p>
      <w:pPr>
        <w:spacing w:after="100"/>
      </w:pPr>
      <w:r>
        <w:t xml:space="preserve"/>
      </w:r>
    </w:p>
    <w:p>
      <w:pPr>
        <w:pStyle w:val="Heading2"/>
        <w:spacing w:after="80" w:before="220"/>
      </w:pPr>
      <w:r>
        <w:rPr>
          <w:rFonts w:ascii="Arial" w:cs="Arial" w:eastAsia="Arial" w:hAnsi="Arial"/>
          <w:b/>
          <w:bCs/>
          <w:color w:val="2E6DA4"/>
          <w:sz w:val="26"/>
          <w:szCs w:val="26"/>
        </w:rPr>
        <w:t xml:space="preserve">5.2  Third-party service providers (processors)</w:t>
      </w:r>
    </w:p>
    <w:p>
      <w:pPr>
        <w:spacing w:after="80"/>
      </w:pPr>
      <w:r>
        <w:rPr>
          <w:rFonts w:ascii="Arial" w:cs="Arial" w:eastAsia="Arial" w:hAnsi="Arial"/>
          <w:color w:val="222222"/>
          <w:sz w:val="22"/>
          <w:szCs w:val="22"/>
        </w:rPr>
        <w:t xml:space="preserve">We share data with the following categories of service providers solely to operate the App. These parties process data on our behalf and are bound by Data Processing Agreements (DPAs):</w:t>
      </w:r>
    </w:p>
    <w:p>
      <w:pPr>
        <w:pStyle w:val="ListParagraph"/>
        <w:numPr>
          <w:ilvl w:val="0"/>
          <w:numId w:val="2"/>
        </w:numPr>
        <w:spacing w:after="60"/>
      </w:pPr>
      <w:r>
        <w:rPr>
          <w:rFonts w:ascii="Arial" w:cs="Arial" w:eastAsia="Arial" w:hAnsi="Arial"/>
          <w:color w:val="222222"/>
          <w:sz w:val="22"/>
          <w:szCs w:val="22"/>
        </w:rPr>
        <w:t xml:space="preserve">Cloud hosting &amp; infrastructure (data stored within Bangladesh or Singapore)</w:t>
      </w:r>
    </w:p>
    <w:p>
      <w:pPr>
        <w:pStyle w:val="ListParagraph"/>
        <w:numPr>
          <w:ilvl w:val="0"/>
          <w:numId w:val="2"/>
        </w:numPr>
        <w:spacing w:after="60"/>
      </w:pPr>
      <w:r>
        <w:rPr>
          <w:rFonts w:ascii="Arial" w:cs="Arial" w:eastAsia="Arial" w:hAnsi="Arial"/>
          <w:color w:val="222222"/>
          <w:sz w:val="22"/>
          <w:szCs w:val="22"/>
        </w:rPr>
        <w:t xml:space="preserve">Google Maps Platform (for map rendering and POI data — subject to Google's Privacy Policy)</w:t>
      </w:r>
    </w:p>
    <w:p>
      <w:pPr>
        <w:pStyle w:val="ListParagraph"/>
        <w:numPr>
          <w:ilvl w:val="0"/>
          <w:numId w:val="2"/>
        </w:numPr>
        <w:spacing w:after="60"/>
      </w:pPr>
      <w:r>
        <w:rPr>
          <w:rFonts w:ascii="Arial" w:cs="Arial" w:eastAsia="Arial" w:hAnsi="Arial"/>
          <w:color w:val="222222"/>
          <w:sz w:val="22"/>
          <w:szCs w:val="22"/>
        </w:rPr>
        <w:t xml:space="preserve">Analytics provider (anonymised usage data only)</w:t>
      </w:r>
    </w:p>
    <w:p>
      <w:pPr>
        <w:pStyle w:val="ListParagraph"/>
        <w:numPr>
          <w:ilvl w:val="0"/>
          <w:numId w:val="2"/>
        </w:numPr>
        <w:spacing w:after="60"/>
      </w:pPr>
      <w:r>
        <w:rPr>
          <w:rFonts w:ascii="Arial" w:cs="Arial" w:eastAsia="Arial" w:hAnsi="Arial"/>
          <w:color w:val="222222"/>
          <w:sz w:val="22"/>
          <w:szCs w:val="22"/>
        </w:rPr>
        <w:t xml:space="preserve">Email / notification delivery service</w:t>
      </w:r>
    </w:p>
    <w:p>
      <w:pPr>
        <w:spacing w:after="120"/>
      </w:pPr>
      <w:r>
        <w:t xml:space="preserve"/>
      </w:r>
    </w:p>
    <w:p>
      <w:pPr>
        <w:pStyle w:val="Heading1"/>
        <w:pBdr>
          <w:bottom w:val="single" w:color="2E6DA4" w:sz="8" w:space="6"/>
        </w:pBdr>
        <w:spacing w:after="120" w:before="320"/>
      </w:pPr>
      <w:r>
        <w:rPr>
          <w:rFonts w:ascii="Arial" w:cs="Arial" w:eastAsia="Arial" w:hAnsi="Arial"/>
          <w:b/>
          <w:bCs/>
          <w:color w:val="1A3C5E"/>
          <w:sz w:val="32"/>
          <w:szCs w:val="32"/>
        </w:rPr>
        <w:t xml:space="preserve">6. Your Rights</w:t>
      </w:r>
    </w:p>
    <w:p>
      <w:pPr>
        <w:spacing w:after="80"/>
      </w:pPr>
      <w:r>
        <w:rPr>
          <w:rFonts w:ascii="Arial" w:cs="Arial" w:eastAsia="Arial" w:hAnsi="Arial"/>
          <w:color w:val="222222"/>
          <w:sz w:val="22"/>
          <w:szCs w:val="22"/>
        </w:rPr>
        <w:t xml:space="preserve">You have the following rights regarding your personal data, exercisable at any time from Settings → Privacy or by contacting privacy@[yourapp].com: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Right</w:t>
            </w:r>
          </w:p>
        </w:tc>
        <w:tc>
          <w:tcPr>
            <w:tcW w:type="dxa" w:w="6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What it means</w:t>
            </w:r>
          </w:p>
        </w:tc>
      </w:tr>
      <w:tr>
        <w:tc>
          <w:tcPr>
            <w:tcW w:type="dxa" w:w="24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1A3C5E"/>
                <w:sz w:val="20"/>
                <w:szCs w:val="20"/>
              </w:rPr>
              <w:t xml:space="preserve">Access</w:t>
            </w:r>
          </w:p>
        </w:tc>
        <w:tc>
          <w:tcPr>
            <w:tcW w:type="dxa" w:w="69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222222"/>
                <w:sz w:val="20"/>
                <w:szCs w:val="20"/>
              </w:rPr>
              <w:t xml:space="preserve">Request a copy of all personal data we hold about you</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Correction</w:t>
            </w:r>
          </w:p>
        </w:tc>
        <w:tc>
          <w:tcPr>
            <w:tcW w:type="dxa" w:w="6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Correct any inaccurate data in your profile or trip records</w:t>
            </w:r>
          </w:p>
        </w:tc>
      </w:tr>
      <w:tr>
        <w:tc>
          <w:tcPr>
            <w:tcW w:type="dxa" w:w="24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1A3C5E"/>
                <w:sz w:val="20"/>
                <w:szCs w:val="20"/>
              </w:rPr>
              <w:t xml:space="preserve">Deletion</w:t>
            </w:r>
          </w:p>
        </w:tc>
        <w:tc>
          <w:tcPr>
            <w:tcW w:type="dxa" w:w="69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222222"/>
                <w:sz w:val="20"/>
                <w:szCs w:val="20"/>
              </w:rPr>
              <w:t xml:space="preserve">Delete your account and all associated personal data within 30 days</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Portability</w:t>
            </w:r>
          </w:p>
        </w:tc>
        <w:tc>
          <w:tcPr>
            <w:tcW w:type="dxa" w:w="6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Export your trip and budget data in machine-readable format (JSON/CSV)</w:t>
            </w:r>
          </w:p>
        </w:tc>
      </w:tr>
      <w:tr>
        <w:tc>
          <w:tcPr>
            <w:tcW w:type="dxa" w:w="24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1A3C5E"/>
                <w:sz w:val="20"/>
                <w:szCs w:val="20"/>
              </w:rPr>
              <w:t xml:space="preserve">Withdraw consent</w:t>
            </w:r>
          </w:p>
        </w:tc>
        <w:tc>
          <w:tcPr>
            <w:tcW w:type="dxa" w:w="69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222222"/>
                <w:sz w:val="20"/>
                <w:szCs w:val="20"/>
              </w:rPr>
              <w:t xml:space="preserve">Revoke any of the three data consent clauses at any time without penalty</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Opt out of insights</w:t>
            </w:r>
          </w:p>
        </w:tc>
        <w:tc>
          <w:tcPr>
            <w:tcW w:type="dxa" w:w="6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Remove your data from all future aggregated reports (prospective only)</w:t>
            </w:r>
          </w:p>
        </w:tc>
      </w:tr>
    </w:tbl>
    <w:p>
      <w:pPr>
        <w:spacing w:after="80"/>
      </w:pPr>
      <w:r>
        <w:t xml:space="preserve"/>
      </w:r>
    </w:p>
    <w:p>
      <w:pPr>
        <w:spacing w:after="80"/>
      </w:pPr>
      <w:r>
        <w:rPr>
          <w:rFonts w:ascii="Arial" w:cs="Arial" w:eastAsia="Arial" w:hAnsi="Arial"/>
          <w:color w:val="555555"/>
          <w:sz w:val="22"/>
          <w:szCs w:val="22"/>
        </w:rPr>
        <w:t xml:space="preserve">We will respond to all rights requests within 30 days. For deletion requests, anonymised aggregate data that has already been published in reports cannot be recalled, but your individual data will be fully removed.</w:t>
      </w:r>
    </w:p>
    <w:p>
      <w:pPr>
        <w:spacing w:after="120"/>
      </w:pPr>
      <w:r>
        <w:t xml:space="preserve"/>
      </w:r>
    </w:p>
    <w:p>
      <w:pPr>
        <w:pStyle w:val="Heading1"/>
        <w:pBdr>
          <w:bottom w:val="single" w:color="2E6DA4" w:sz="8" w:space="6"/>
        </w:pBdr>
        <w:spacing w:after="120" w:before="320"/>
      </w:pPr>
      <w:r>
        <w:rPr>
          <w:rFonts w:ascii="Arial" w:cs="Arial" w:eastAsia="Arial" w:hAnsi="Arial"/>
          <w:b/>
          <w:bCs/>
          <w:color w:val="1A3C5E"/>
          <w:sz w:val="32"/>
          <w:szCs w:val="32"/>
        </w:rPr>
        <w:t xml:space="preserve">7. Data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Data Type</w:t>
            </w:r>
          </w:p>
        </w:tc>
        <w:tc>
          <w:tcPr>
            <w:tcW w:type="dxa" w:w="6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Retention Period</w:t>
            </w:r>
          </w:p>
        </w:tc>
      </w:tr>
      <w:tr>
        <w:tc>
          <w:tcPr>
            <w:tcW w:type="dxa" w:w="32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1A3C5E"/>
                <w:sz w:val="20"/>
                <w:szCs w:val="20"/>
              </w:rPr>
              <w:t xml:space="preserve">Account &amp; profile data</w:t>
            </w:r>
          </w:p>
        </w:tc>
        <w:tc>
          <w:tcPr>
            <w:tcW w:type="dxa" w:w="61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222222"/>
                <w:sz w:val="20"/>
                <w:szCs w:val="20"/>
              </w:rPr>
              <w:t xml:space="preserve">Until account deletion + 30 days</w:t>
            </w:r>
          </w:p>
        </w:tc>
      </w:tr>
      <w:tr>
        <w:tc>
          <w:tcPr>
            <w:tcW w:type="dxa" w:w="3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Trip and budget data</w:t>
            </w:r>
          </w:p>
        </w:tc>
        <w:tc>
          <w:tcPr>
            <w:tcW w:type="dxa" w:w="6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Until account deletion + 30 days</w:t>
            </w:r>
          </w:p>
        </w:tc>
      </w:tr>
      <w:tr>
        <w:tc>
          <w:tcPr>
            <w:tcW w:type="dxa" w:w="32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1A3C5E"/>
                <w:sz w:val="20"/>
                <w:szCs w:val="20"/>
              </w:rPr>
              <w:t xml:space="preserve">Usage &amp; log data</w:t>
            </w:r>
          </w:p>
        </w:tc>
        <w:tc>
          <w:tcPr>
            <w:tcW w:type="dxa" w:w="61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222222"/>
                <w:sz w:val="20"/>
                <w:szCs w:val="20"/>
              </w:rPr>
              <w:t xml:space="preserve">90 days rolling</w:t>
            </w:r>
          </w:p>
        </w:tc>
      </w:tr>
      <w:tr>
        <w:tc>
          <w:tcPr>
            <w:tcW w:type="dxa" w:w="3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Anonymised aggregate data</w:t>
            </w:r>
          </w:p>
        </w:tc>
        <w:tc>
          <w:tcPr>
            <w:tcW w:type="dxa" w:w="6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Indefinitely (no personal data remains)</w:t>
            </w:r>
          </w:p>
        </w:tc>
      </w:tr>
      <w:tr>
        <w:tc>
          <w:tcPr>
            <w:tcW w:type="dxa" w:w="32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1A3C5E"/>
                <w:sz w:val="20"/>
                <w:szCs w:val="20"/>
              </w:rPr>
              <w:t xml:space="preserve">Consent records</w:t>
            </w:r>
          </w:p>
        </w:tc>
        <w:tc>
          <w:tcPr>
            <w:tcW w:type="dxa" w:w="61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222222"/>
                <w:sz w:val="20"/>
                <w:szCs w:val="20"/>
              </w:rPr>
              <w:t xml:space="preserve">7 years (legal compliance)</w:t>
            </w:r>
          </w:p>
        </w:tc>
      </w:tr>
      <w:tr>
        <w:tc>
          <w:tcPr>
            <w:tcW w:type="dxa" w:w="3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Support communications</w:t>
            </w:r>
          </w:p>
        </w:tc>
        <w:tc>
          <w:tcPr>
            <w:tcW w:type="dxa" w:w="6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 years from last interaction</w:t>
            </w:r>
          </w:p>
        </w:tc>
      </w:tr>
    </w:tbl>
    <w:p>
      <w:pPr>
        <w:spacing w:after="120"/>
      </w:pPr>
      <w:r>
        <w:t xml:space="preserve"/>
      </w:r>
    </w:p>
    <w:p>
      <w:pPr>
        <w:pStyle w:val="Heading1"/>
        <w:pBdr>
          <w:bottom w:val="single" w:color="2E6DA4" w:sz="8" w:space="6"/>
        </w:pBdr>
        <w:spacing w:after="120" w:before="320"/>
      </w:pPr>
      <w:r>
        <w:rPr>
          <w:rFonts w:ascii="Arial" w:cs="Arial" w:eastAsia="Arial" w:hAnsi="Arial"/>
          <w:b/>
          <w:bCs/>
          <w:color w:val="1A3C5E"/>
          <w:sz w:val="32"/>
          <w:szCs w:val="32"/>
        </w:rPr>
        <w:t xml:space="preserve">8. Data Security</w:t>
      </w:r>
    </w:p>
    <w:p>
      <w:pPr>
        <w:pStyle w:val="ListParagraph"/>
        <w:numPr>
          <w:ilvl w:val="0"/>
          <w:numId w:val="2"/>
        </w:numPr>
        <w:spacing w:after="60"/>
      </w:pPr>
      <w:r>
        <w:rPr>
          <w:rFonts w:ascii="Arial" w:cs="Arial" w:eastAsia="Arial" w:hAnsi="Arial"/>
          <w:color w:val="222222"/>
          <w:sz w:val="22"/>
          <w:szCs w:val="22"/>
        </w:rPr>
        <w:t xml:space="preserve">All personal data is encrypted at rest using AES-256</w:t>
      </w:r>
    </w:p>
    <w:p>
      <w:pPr>
        <w:pStyle w:val="ListParagraph"/>
        <w:numPr>
          <w:ilvl w:val="0"/>
          <w:numId w:val="2"/>
        </w:numPr>
        <w:spacing w:after="60"/>
      </w:pPr>
      <w:r>
        <w:rPr>
          <w:rFonts w:ascii="Arial" w:cs="Arial" w:eastAsia="Arial" w:hAnsi="Arial"/>
          <w:color w:val="222222"/>
          <w:sz w:val="22"/>
          <w:szCs w:val="22"/>
        </w:rPr>
        <w:t xml:space="preserve">All data in transit is protected by TLS 1.3</w:t>
      </w:r>
    </w:p>
    <w:p>
      <w:pPr>
        <w:pStyle w:val="ListParagraph"/>
        <w:numPr>
          <w:ilvl w:val="0"/>
          <w:numId w:val="2"/>
        </w:numPr>
        <w:spacing w:after="60"/>
      </w:pPr>
      <w:r>
        <w:rPr>
          <w:rFonts w:ascii="Arial" w:cs="Arial" w:eastAsia="Arial" w:hAnsi="Arial"/>
          <w:color w:val="222222"/>
          <w:sz w:val="22"/>
          <w:szCs w:val="22"/>
        </w:rPr>
        <w:t xml:space="preserve">Access to personal data is restricted to authorised personnel on a need-to-know basis</w:t>
      </w:r>
    </w:p>
    <w:p>
      <w:pPr>
        <w:pStyle w:val="ListParagraph"/>
        <w:numPr>
          <w:ilvl w:val="0"/>
          <w:numId w:val="2"/>
        </w:numPr>
        <w:spacing w:after="60"/>
      </w:pPr>
      <w:r>
        <w:rPr>
          <w:rFonts w:ascii="Arial" w:cs="Arial" w:eastAsia="Arial" w:hAnsi="Arial"/>
          <w:color w:val="222222"/>
          <w:sz w:val="22"/>
          <w:szCs w:val="22"/>
        </w:rPr>
        <w:t xml:space="preserve">We conduct security reviews at least annually</w:t>
      </w:r>
    </w:p>
    <w:p>
      <w:pPr>
        <w:pStyle w:val="ListParagraph"/>
        <w:numPr>
          <w:ilvl w:val="0"/>
          <w:numId w:val="2"/>
        </w:numPr>
        <w:spacing w:after="60"/>
      </w:pPr>
      <w:r>
        <w:rPr>
          <w:rFonts w:ascii="Arial" w:cs="Arial" w:eastAsia="Arial" w:hAnsi="Arial"/>
          <w:color w:val="222222"/>
          <w:sz w:val="22"/>
          <w:szCs w:val="22"/>
        </w:rPr>
        <w:t xml:space="preserve">In the event of a data breach affecting your rights, we will notify you within 72 hours</w:t>
      </w:r>
    </w:p>
    <w:p>
      <w:pPr>
        <w:spacing w:after="120"/>
      </w:pPr>
      <w:r>
        <w:t xml:space="preserve"/>
      </w:r>
    </w:p>
    <w:p>
      <w:pPr>
        <w:pStyle w:val="Heading1"/>
        <w:pBdr>
          <w:bottom w:val="single" w:color="2E6DA4" w:sz="8" w:space="6"/>
        </w:pBdr>
        <w:spacing w:after="120" w:before="320"/>
      </w:pPr>
      <w:r>
        <w:rPr>
          <w:rFonts w:ascii="Arial" w:cs="Arial" w:eastAsia="Arial" w:hAnsi="Arial"/>
          <w:b/>
          <w:bCs/>
          <w:color w:val="1A3C5E"/>
          <w:sz w:val="32"/>
          <w:szCs w:val="32"/>
        </w:rPr>
        <w:t xml:space="preserve">9. Changes to This Policy</w:t>
      </w:r>
    </w:p>
    <w:p>
      <w:pPr>
        <w:spacing w:after="80"/>
      </w:pPr>
      <w:r>
        <w:rPr>
          <w:rFonts w:ascii="Arial" w:cs="Arial" w:eastAsia="Arial" w:hAnsi="Arial"/>
          <w:color w:val="222222"/>
          <w:sz w:val="22"/>
          <w:szCs w:val="22"/>
        </w:rPr>
        <w:t xml:space="preserve">We may update this Privacy Policy periodically. If we make material changes — particularly to how we use or share your data — we will notify you via in-app notification and email at least 14 days before the changes take effect. Continued use of the App after that period constitutes acceptance of the revised policy.</w:t>
      </w:r>
    </w:p>
    <w:p>
      <w:pPr>
        <w:spacing w:after="120"/>
      </w:pPr>
      <w:r>
        <w:t xml:space="preserve"/>
      </w:r>
    </w:p>
    <w:p>
      <w:pPr>
        <w:pStyle w:val="Heading1"/>
        <w:pBdr>
          <w:bottom w:val="single" w:color="2E6DA4" w:sz="8" w:space="6"/>
        </w:pBdr>
        <w:spacing w:after="120" w:before="320"/>
      </w:pPr>
      <w:r>
        <w:rPr>
          <w:rFonts w:ascii="Arial" w:cs="Arial" w:eastAsia="Arial" w:hAnsi="Arial"/>
          <w:b/>
          <w:bCs/>
          <w:color w:val="1A3C5E"/>
          <w:sz w:val="32"/>
          <w:szCs w:val="32"/>
        </w:rPr>
        <w:t xml:space="preserve">10.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Role</w:t>
            </w:r>
          </w:p>
        </w:tc>
        <w:tc>
          <w:tcPr>
            <w:tcW w:type="dxa" w:w="6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Contact</w:t>
            </w:r>
          </w:p>
        </w:tc>
      </w:tr>
      <w:tr>
        <w:tc>
          <w:tcPr>
            <w:tcW w:type="dxa" w:w="30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1A3C5E"/>
                <w:sz w:val="20"/>
                <w:szCs w:val="20"/>
              </w:rPr>
              <w:t xml:space="preserve">Privacy enquiries</w:t>
            </w:r>
          </w:p>
        </w:tc>
        <w:tc>
          <w:tcPr>
            <w:tcW w:type="dxa" w:w="63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222222"/>
                <w:sz w:val="20"/>
                <w:szCs w:val="20"/>
              </w:rPr>
              <w:t xml:space="preserve">privacy@[yourapp].com</w:t>
            </w:r>
          </w:p>
        </w:tc>
      </w:tr>
      <w:tr>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Data deletion requests</w:t>
            </w:r>
          </w:p>
        </w:tc>
        <w:tc>
          <w:tcPr>
            <w:tcW w:type="dxa" w:w="6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privacy@[yourapp].com (subject: Delete My Data)</w:t>
            </w:r>
          </w:p>
        </w:tc>
      </w:tr>
      <w:tr>
        <w:tc>
          <w:tcPr>
            <w:tcW w:type="dxa" w:w="30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1A3C5E"/>
                <w:sz w:val="20"/>
                <w:szCs w:val="20"/>
              </w:rPr>
              <w:t xml:space="preserve">Complaints</w:t>
            </w:r>
          </w:p>
        </w:tc>
        <w:tc>
          <w:tcPr>
            <w:tcW w:type="dxa" w:w="63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222222"/>
                <w:sz w:val="20"/>
                <w:szCs w:val="20"/>
              </w:rPr>
              <w:t xml:space="preserve">complaints@[yourapp].com</w:t>
            </w:r>
          </w:p>
        </w:tc>
      </w:tr>
      <w:tr>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Postal address</w:t>
            </w:r>
          </w:p>
        </w:tc>
        <w:tc>
          <w:tcPr>
            <w:tcW w:type="dxa" w:w="6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[Company Name], [Address], Dhaka, Bangladesh</w:t>
            </w:r>
          </w:p>
        </w:tc>
      </w:tr>
    </w:tbl>
    <w:p>
      <w:pPr>
        <w:spacing w:after="200"/>
      </w:pPr>
      <w:r>
        <w:t xml:space="preserve"/>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6"/>
      </w:pBdr>
      <w:jc w:val="center"/>
    </w:pPr>
    <w:r>
      <w:rPr>
        <w:rFonts w:ascii="Arial" w:cs="Arial" w:eastAsia="Arial" w:hAnsi="Arial"/>
        <w:color w:val="888888"/>
        <w:sz w:val="18"/>
        <w:szCs w:val="18"/>
      </w:rPr>
      <w:t xml:space="preserve">Trip Planner — Privacy Policy  |  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C5E"/>
      <w:sz w:val="32"/>
      <w:szCs w:val="32"/>
    </w:rPr>
  </w:style>
  <w:style w:type="paragraph" w:styleId="Heading2">
    <w:name w:val="Heading 2"/>
    <w:basedOn w:val="Normal"/>
    <w:next w:val="Normal"/>
    <w:qFormat/>
    <w:pPr>
      <w:spacing w:after="80" w:before="220"/>
      <w:outlineLvl w:val="1"/>
    </w:pPr>
    <w:rPr>
      <w:rFonts w:ascii="Arial" w:cs="Arial" w:eastAsia="Arial" w:hAnsi="Arial"/>
      <w:b/>
      <w:bCs/>
      <w:color w:val="2E6DA4"/>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A3C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2026-04-13T19:43:56.133Z</dcterms:created>
  <dcterms:modified xsi:type="dcterms:W3CDTF">2026-04-13T19:43:56.134Z</dcterms:modified>
</cp:coreProperties>
</file>

<file path=docProps/custom.xml><?xml version="1.0" encoding="utf-8"?>
<Properties xmlns="http://schemas.openxmlformats.org/officeDocument/2006/custom-properties" xmlns:vt="http://schemas.openxmlformats.org/officeDocument/2006/docPropsVTypes"/>
</file>