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c2d0c38183d5bcbeafc2a6a4d31dab40c4c39ae"/>
    <w:p>
      <w:pPr>
        <w:pStyle w:val="Heading1"/>
      </w:pPr>
      <w:r>
        <w:t xml:space="preserve">Sistema asistente de arquitectura híbrida heurística–ML para interacción humano-computadora en personas con movilidad reducida basado en landmarks faciales y comandos de voz</w:t>
      </w:r>
    </w:p>
    <w:bookmarkStart w:id="22" w:name="abstract"/>
    <w:p>
      <w:pPr>
        <w:pStyle w:val="Heading2"/>
      </w:pPr>
      <w:r>
        <w:t xml:space="preserve">Abstract</w:t>
      </w:r>
    </w:p>
    <w:p>
      <w:pPr>
        <w:pStyle w:val="FirstParagraph"/>
      </w:pPr>
      <w:r>
        <w:t xml:space="preserve">Este artículo presenta GIA, un sistema asistivo multimodal,</w:t>
      </w:r>
      <w:r>
        <w:t xml:space="preserve"> </w:t>
      </w:r>
      <w:r>
        <w:rPr>
          <w:b/>
          <w:bCs/>
        </w:rPr>
        <w:t xml:space="preserve">offline-first</w:t>
      </w:r>
      <w:r>
        <w:t xml:space="preserve"> </w:t>
      </w:r>
      <w:r>
        <w:t xml:space="preserve">y personalizable para interacción humano-computadora orientado a personas con movilidad reducida. La propuesta se sustenta en una arquitectura híbrida heurística–ML en la que un módulo de visión por computadora obtiene</w:t>
      </w:r>
      <w:r>
        <w:t xml:space="preserve"> </w:t>
      </w:r>
      <w:r>
        <w:rPr>
          <w:i/>
          <w:iCs/>
        </w:rPr>
        <w:t xml:space="preserve">landmarks</w:t>
      </w:r>
      <w:r>
        <w:t xml:space="preserve"> </w:t>
      </w:r>
      <w:r>
        <w:t xml:space="preserve">faciales para estimar postura, gestos y estados faciales, mientras que un módulo de voz reconoce órdenes discretas para navegación, activación y control contextual. Sobre ambas entradas se dispone una capa heurística de fusión responsable de la calibración individual, el filtrado temporal, la desambiguación y la traducción de señales a eventos del sistema operativo. La motivación del trabajo es clara: la discapacidad significativa afecta a cerca de 1,3 mil millones de personas en el mundo, más de 2,5 mil millones requieren uno o más productos de apoyo, y la demanda global de tecnología asistiva continuará creciendo durante las próximas décadas [1]–[3]. Desde esta base, el artículo argumenta que una solución local, de bajo costo y adaptable al usuario puede mejorar autonomía, privacidad y continuidad de uso frente a alternativas unimodales o dependientes de conectividad. En términos de aporte, GIA combina accesibilidad, personalización y explicabilidad operacional en una sola arquitectura, lo que lo convierte en una propuesta pertinente para escenarios domésticos, educativos y laborales.</w:t>
      </w:r>
      <w:r>
        <w:t xml:space="preserve"> </w:t>
      </w:r>
      <w:hyperlink r:id="rId21">
        <w:r>
          <w:rPr>
            <w:rStyle w:val="Hyperlink"/>
          </w:rPr>
          <w:t xml:space="preserve">[1]</w:t>
        </w:r>
      </w:hyperlink>
    </w:p>
    <w:p>
      <w:pPr>
        <w:pStyle w:val="BodyText"/>
      </w:pPr>
      <w:r>
        <w:rPr>
          <w:b/>
          <w:bCs/>
        </w:rPr>
        <w:t xml:space="preserve">Palabras clave:</w:t>
      </w:r>
      <w:r>
        <w:t xml:space="preserve"> </w:t>
      </w:r>
      <w:r>
        <w:t xml:space="preserve">accesibilidad digital, interacción multimodal,</w:t>
      </w:r>
      <w:r>
        <w:t xml:space="preserve"> </w:t>
      </w:r>
      <w:r>
        <w:rPr>
          <w:i/>
          <w:iCs/>
        </w:rPr>
        <w:t xml:space="preserve">landmarks</w:t>
      </w:r>
      <w:r>
        <w:t xml:space="preserve"> </w:t>
      </w:r>
      <w:r>
        <w:t xml:space="preserve">faciales, reconocimiento de voz,</w:t>
      </w:r>
      <w:r>
        <w:t xml:space="preserve"> </w:t>
      </w:r>
      <w:r>
        <w:rPr>
          <w:i/>
          <w:iCs/>
        </w:rPr>
        <w:t xml:space="preserve">offline-first</w:t>
      </w:r>
      <w:r>
        <w:t xml:space="preserve">, movilidad reducida.</w:t>
      </w:r>
    </w:p>
    <w:bookmarkEnd w:id="22"/>
    <w:bookmarkStart w:id="24" w:name="introducción"/>
    <w:p>
      <w:pPr>
        <w:pStyle w:val="Heading2"/>
      </w:pPr>
      <w:r>
        <w:t xml:space="preserve">Introducción</w:t>
      </w:r>
    </w:p>
    <w:p>
      <w:pPr>
        <w:pStyle w:val="FirstParagraph"/>
      </w:pPr>
      <w:r>
        <w:t xml:space="preserve">La accesibilidad digital ha dejado de ser un atributo deseable para convertirse en una condición estructural de inclusión social. La Organización Mundial de la Salud estima que alrededor de</w:t>
      </w:r>
      <w:r>
        <w:t xml:space="preserve"> </w:t>
      </w:r>
      <w:r>
        <w:rPr>
          <w:b/>
          <w:bCs/>
        </w:rPr>
        <w:t xml:space="preserve">1,3 mil millones de personas</w:t>
      </w:r>
      <w:r>
        <w:t xml:space="preserve"> </w:t>
      </w:r>
      <w:r>
        <w:t xml:space="preserve">viven con una discapacidad significativa, es decir, aproximadamente</w:t>
      </w:r>
      <w:r>
        <w:t xml:space="preserve"> </w:t>
      </w:r>
      <w:r>
        <w:rPr>
          <w:b/>
          <w:bCs/>
        </w:rPr>
        <w:t xml:space="preserve">una de cada seis personas</w:t>
      </w:r>
      <w:r>
        <w:t xml:space="preserve"> </w:t>
      </w:r>
      <w:r>
        <w:t xml:space="preserve">en el mundo [1]. En paralelo, la misma organización reconoce que la tecnología asistiva ya no se limita a ayudas físicas tradicionales, sino que incluye también soluciones digitales como el reconocimiento de voz, software de gestión del tiempo y herramientas de subtitulado [2]. De ahí que la interacción humano-computadora accesible no deba entenderse únicamente como una adaptación de interfaces, sino como un mecanismo concreto para sostener autonomía funcional, participación social y acceso efectivo a educación, trabajo y comunicación.</w:t>
      </w:r>
      <w:r>
        <w:t xml:space="preserve"> </w:t>
      </w:r>
      <w:hyperlink r:id="rId21">
        <w:r>
          <w:rPr>
            <w:rStyle w:val="Hyperlink"/>
          </w:rPr>
          <w:t xml:space="preserve">[2]</w:t>
        </w:r>
      </w:hyperlink>
    </w:p>
    <w:p>
      <w:pPr>
        <w:pStyle w:val="BodyText"/>
      </w:pPr>
      <w:r>
        <w:t xml:space="preserve">La problemática, sin embargo, es más dura de lo que revelan las definiciones. Según la OMS,</w:t>
      </w:r>
      <w:r>
        <w:t xml:space="preserve"> </w:t>
      </w:r>
      <w:r>
        <w:rPr>
          <w:b/>
          <w:bCs/>
        </w:rPr>
        <w:t xml:space="preserve">más de 2,5 mil millones de personas</w:t>
      </w:r>
      <w:r>
        <w:t xml:space="preserve"> </w:t>
      </w:r>
      <w:r>
        <w:t xml:space="preserve">necesitan uno o más productos de apoyo y esta cifra podría ascender a</w:t>
      </w:r>
      <w:r>
        <w:t xml:space="preserve"> </w:t>
      </w:r>
      <w:r>
        <w:rPr>
          <w:b/>
          <w:bCs/>
        </w:rPr>
        <w:t xml:space="preserve">3,5 mil millones para 2050</w:t>
      </w:r>
      <w:r>
        <w:t xml:space="preserve"> </w:t>
      </w:r>
      <w:r>
        <w:t xml:space="preserve">[2]. A ello se suma una brecha de acceso severa: el informe global OMS–UNICEF sobre tecnología asistiva advierte que la necesidad mundial sigue ampliamente insatisfecha, y que en algunos países de ingresos bajos el acceso a los productos requeridos puede ser tan bajo como</w:t>
      </w:r>
      <w:r>
        <w:t xml:space="preserve"> </w:t>
      </w:r>
      <w:r>
        <w:rPr>
          <w:b/>
          <w:bCs/>
        </w:rPr>
        <w:t xml:space="preserve">3%</w:t>
      </w:r>
      <w:r>
        <w:t xml:space="preserve">, frente a</w:t>
      </w:r>
      <w:r>
        <w:t xml:space="preserve"> </w:t>
      </w:r>
      <w:r>
        <w:rPr>
          <w:b/>
          <w:bCs/>
        </w:rPr>
        <w:t xml:space="preserve">90%</w:t>
      </w:r>
      <w:r>
        <w:t xml:space="preserve"> </w:t>
      </w:r>
      <w:r>
        <w:t xml:space="preserve">en algunos países de ingresos altos [2], [3]. En la práctica, esto significa que para muchas personas con movilidad reducida la barrera no es solamente “no poder usar bien” un teclado o un ratón; la barrera es quedar parcialmente excluidas de tareas cotidianas como redactar, estudiar, navegar por internet, comunicarse o trabajar con independencia.</w:t>
      </w:r>
      <w:r>
        <w:t xml:space="preserve"> </w:t>
      </w:r>
      <w:hyperlink r:id="rId23">
        <w:r>
          <w:rPr>
            <w:rStyle w:val="Hyperlink"/>
          </w:rPr>
          <w:t xml:space="preserve">[3]</w:t>
        </w:r>
      </w:hyperlink>
    </w:p>
    <w:p>
      <w:pPr>
        <w:pStyle w:val="BodyText"/>
      </w:pPr>
      <w:r>
        <w:t xml:space="preserve">En ese contexto, la justificación de un sistema como GIA descansa en cuatro necesidades concurrentes. La primera es</w:t>
      </w:r>
      <w:r>
        <w:t xml:space="preserve"> </w:t>
      </w:r>
      <w:r>
        <w:rPr>
          <w:b/>
          <w:bCs/>
        </w:rPr>
        <w:t xml:space="preserve">reducir dependencia de hardware especializado</w:t>
      </w:r>
      <w:r>
        <w:t xml:space="preserve">, aprovechando dispositivos ya disponibles como una cámara web y un micrófono. La segunda es</w:t>
      </w:r>
      <w:r>
        <w:t xml:space="preserve"> </w:t>
      </w:r>
      <w:r>
        <w:rPr>
          <w:b/>
          <w:bCs/>
        </w:rPr>
        <w:t xml:space="preserve">disminuir dependencia de la nube</w:t>
      </w:r>
      <w:r>
        <w:t xml:space="preserve">, dado que la latencia, la conectividad inestable y la exposición de datos biométricos pueden afectar directamente la experiencia de uso y la privacidad. La tercera es</w:t>
      </w:r>
      <w:r>
        <w:t xml:space="preserve"> </w:t>
      </w:r>
      <w:r>
        <w:rPr>
          <w:b/>
          <w:bCs/>
        </w:rPr>
        <w:t xml:space="preserve">personalizar la interacción</w:t>
      </w:r>
      <w:r>
        <w:t xml:space="preserve">, porque no existe un patrón motor único en usuarios con movilidad reducida. La cuarta es</w:t>
      </w:r>
      <w:r>
        <w:t xml:space="preserve"> </w:t>
      </w:r>
      <w:r>
        <w:rPr>
          <w:b/>
          <w:bCs/>
        </w:rPr>
        <w:t xml:space="preserve">explicar y controlar el comportamiento del sistema</w:t>
      </w:r>
      <w:r>
        <w:t xml:space="preserve">, de modo que la detección por aprendizaje automático no se traduzca en una “caja negra” difícil de calibrar o corregir. Desde esta perspectiva, el objetivo principal del sistema es</w:t>
      </w:r>
      <w:r>
        <w:t xml:space="preserve"> </w:t>
      </w:r>
      <w:r>
        <w:rPr>
          <w:b/>
          <w:bCs/>
        </w:rPr>
        <w:t xml:space="preserve">desarrollar un asistente multimodal local y configurable que permita controlar funciones esenciales del computador mediante</w:t>
      </w:r>
      <w:r>
        <w:rPr>
          <w:b/>
          <w:bCs/>
        </w:rPr>
        <w:t xml:space="preserve"> </w:t>
      </w:r>
      <w:r>
        <w:rPr>
          <w:b/>
          <w:bCs/>
          <w:i/>
          <w:iCs/>
        </w:rPr>
        <w:t xml:space="preserve">landmarks</w:t>
      </w:r>
      <w:r>
        <w:rPr>
          <w:b/>
          <w:bCs/>
        </w:rPr>
        <w:t xml:space="preserve"> </w:t>
      </w:r>
      <w:r>
        <w:rPr>
          <w:b/>
          <w:bCs/>
        </w:rPr>
        <w:t xml:space="preserve">faciales y comandos de voz, a través de una arquitectura híbrida heurística–ML orientada a robustez, accesibilidad y bajo costo de despliegue</w:t>
      </w:r>
      <w:r>
        <w:t xml:space="preserve">.</w:t>
      </w:r>
    </w:p>
    <w:bookmarkEnd w:id="24"/>
    <w:bookmarkStart w:id="30" w:name="revisión-de-literatura"/>
    <w:p>
      <w:pPr>
        <w:pStyle w:val="Heading2"/>
      </w:pPr>
      <w:r>
        <w:t xml:space="preserve">Revisión de literatura</w:t>
      </w:r>
    </w:p>
    <w:p>
      <w:pPr>
        <w:pStyle w:val="FirstParagraph"/>
      </w:pPr>
      <w:r>
        <w:t xml:space="preserve">Un antecedente relevante en control alternativo del ordenador es el trabajo de Kabir</w:t>
      </w:r>
      <w:r>
        <w:t xml:space="preserve"> </w:t>
      </w:r>
      <w:r>
        <w:rPr>
          <w:i/>
          <w:iCs/>
        </w:rPr>
        <w:t xml:space="preserve">et al.</w:t>
      </w:r>
      <w:r>
        <w:t xml:space="preserve"> </w:t>
      </w:r>
      <w:r>
        <w:t xml:space="preserve">sobre</w:t>
      </w:r>
      <w:r>
        <w:t xml:space="preserve"> </w:t>
      </w:r>
      <w:r>
        <w:rPr>
          <w:b/>
          <w:bCs/>
        </w:rPr>
        <w:t xml:space="preserve">Auxilio</w:t>
      </w:r>
      <w:r>
        <w:t xml:space="preserve">, un controlador asistivo del cursor basado en movimientos de cabeza y contracciones faciales. El sistema combina sensores de bajo costo y evalúa su usabilidad con la</w:t>
      </w:r>
      <w:r>
        <w:t xml:space="preserve"> </w:t>
      </w:r>
      <w:r>
        <w:rPr>
          <w:b/>
          <w:bCs/>
        </w:rPr>
        <w:t xml:space="preserve">System Usability Scale</w:t>
      </w:r>
      <w:r>
        <w:t xml:space="preserve">, además de análisis cualitativo de entrevistas, concluyendo con lineamientos de diseño para futuros controladores asistivos del ratón [4]. Este antecedente es importante porque demuestra que el control manos libres es técnicamente viable; no obstante, también deja ver que parte del problema se ha abordado históricamente con hardware adicional o con enfoques centrados casi exclusivamente en el puntero.</w:t>
      </w:r>
      <w:r>
        <w:t xml:space="preserve"> </w:t>
      </w:r>
      <w:hyperlink r:id="rId25">
        <w:r>
          <w:rPr>
            <w:rStyle w:val="Hyperlink"/>
          </w:rPr>
          <w:t xml:space="preserve">[4]</w:t>
        </w:r>
      </w:hyperlink>
    </w:p>
    <w:p>
      <w:pPr>
        <w:pStyle w:val="BodyText"/>
      </w:pPr>
      <w:r>
        <w:t xml:space="preserve">En el ámbito del control por voz, González propone</w:t>
      </w:r>
      <w:r>
        <w:t xml:space="preserve"> </w:t>
      </w:r>
      <w:r>
        <w:rPr>
          <w:b/>
          <w:bCs/>
        </w:rPr>
        <w:t xml:space="preserve">XULIA</w:t>
      </w:r>
      <w:r>
        <w:t xml:space="preserve">, un sistema integral para Windows dirigido a personas con tetraplejia. La contribución central del trabajo es permitir el control del sistema operativo usando solamente la voz, mediante reconocimiento de comandos y una gestión de</w:t>
      </w:r>
      <w:r>
        <w:t xml:space="preserve"> </w:t>
      </w:r>
      <w:r>
        <w:rPr>
          <w:b/>
          <w:bCs/>
        </w:rPr>
        <w:t xml:space="preserve">múltiples gramáticas</w:t>
      </w:r>
      <w:r>
        <w:t xml:space="preserve"> </w:t>
      </w:r>
      <w:r>
        <w:t xml:space="preserve">con activación automática para reducir falsos positivos [5]. La relevancia de este antecedente radica en que evidencia la potencia de la voz como modalidad primaria de acceso. Sin embargo, al ser un enfoque esencialmente unimodal, sigue siendo vulnerable a ruido, fatiga vocal, inteligibilidad variable o situaciones en las que hablar no es conveniente o posible.</w:t>
      </w:r>
      <w:r>
        <w:t xml:space="preserve"> </w:t>
      </w:r>
      <w:hyperlink r:id="rId26">
        <w:r>
          <w:rPr>
            <w:rStyle w:val="Hyperlink"/>
          </w:rPr>
          <w:t xml:space="preserve">[5]</w:t>
        </w:r>
      </w:hyperlink>
    </w:p>
    <w:p>
      <w:pPr>
        <w:pStyle w:val="BodyText"/>
      </w:pPr>
      <w:r>
        <w:t xml:space="preserve">Desde la perspectiva multimodal, Li</w:t>
      </w:r>
      <w:r>
        <w:t xml:space="preserve"> </w:t>
      </w:r>
      <w:r>
        <w:rPr>
          <w:i/>
          <w:iCs/>
        </w:rPr>
        <w:t xml:space="preserve">et al.</w:t>
      </w:r>
      <w:r>
        <w:t xml:space="preserve"> </w:t>
      </w:r>
      <w:r>
        <w:t xml:space="preserve">muestran que los gestos acompañantes de la voz no son un complemento superficial, sino un componente semántico útil para la interacción. Su sistema de reconocimiento de gestos asociados a la voz, a partir de canales heterogéneos, alcanzó</w:t>
      </w:r>
      <w:r>
        <w:t xml:space="preserve"> </w:t>
      </w:r>
      <w:r>
        <w:rPr>
          <w:b/>
          <w:bCs/>
        </w:rPr>
        <w:t xml:space="preserve">97,3%</w:t>
      </w:r>
      <w:r>
        <w:t xml:space="preserve"> </w:t>
      </w:r>
      <w:r>
        <w:t xml:space="preserve">de exactitud para tres gestos y</w:t>
      </w:r>
      <w:r>
        <w:t xml:space="preserve"> </w:t>
      </w:r>
      <w:r>
        <w:rPr>
          <w:b/>
          <w:bCs/>
        </w:rPr>
        <w:t xml:space="preserve">91,5%</w:t>
      </w:r>
      <w:r>
        <w:t xml:space="preserve"> </w:t>
      </w:r>
      <w:r>
        <w:t xml:space="preserve">para ocho gestos, lo que confirma que la combinación de modalidades puede aumentar expresividad y robustez [6]. Aunque su problema experimental no es el control del computador para personas con movilidad reducida, sí aporta un principio crucial para este trabajo:</w:t>
      </w:r>
      <w:r>
        <w:t xml:space="preserve"> </w:t>
      </w:r>
      <w:r>
        <w:rPr>
          <w:b/>
          <w:bCs/>
        </w:rPr>
        <w:t xml:space="preserve">la multimodalidad no debe entenderse como redundancia decorativa, sino como una estrategia funcional de compensación y desambiguación</w:t>
      </w:r>
      <w:r>
        <w:t xml:space="preserve">.</w:t>
      </w:r>
      <w:r>
        <w:t xml:space="preserve"> </w:t>
      </w:r>
      <w:hyperlink r:id="rId27">
        <w:r>
          <w:rPr>
            <w:rStyle w:val="Hyperlink"/>
          </w:rPr>
          <w:t xml:space="preserve">[6]</w:t>
        </w:r>
      </w:hyperlink>
    </w:p>
    <w:p>
      <w:pPr>
        <w:pStyle w:val="BodyText"/>
      </w:pPr>
      <w:r>
        <w:t xml:space="preserve">Otro antecedente cercano es el estudio de Vigouroux</w:t>
      </w:r>
      <w:r>
        <w:t xml:space="preserve"> </w:t>
      </w:r>
      <w:r>
        <w:rPr>
          <w:i/>
          <w:iCs/>
        </w:rPr>
        <w:t xml:space="preserve">et al.</w:t>
      </w:r>
      <w:r>
        <w:t xml:space="preserve"> </w:t>
      </w:r>
      <w:r>
        <w:t xml:space="preserve">sobre interfaces de voz para control domótico inclusivo. En su evaluación participaron</w:t>
      </w:r>
      <w:r>
        <w:t xml:space="preserve"> </w:t>
      </w:r>
      <w:r>
        <w:rPr>
          <w:b/>
          <w:bCs/>
        </w:rPr>
        <w:t xml:space="preserve">siete personas con distintos tipos de discapacidad</w:t>
      </w:r>
      <w:r>
        <w:t xml:space="preserve">, y los resultados mostraron que el éxito del reconocimiento depende fuertemente de la formulación del comando, el ruido ambiental, la inteligibilidad del habla, la segmentación y la sincronización de apertura del canal de audio [7]. Esta evidencia es particularmente valiosa porque desplaza la discusión desde la “precisión del motor ASR” hacia la realidad del uso accesible: la interacción de voz falla no solo por el modelo, sino por el contexto de uso, el diseño lingüístico y la ergonomía del sistema.</w:t>
      </w:r>
      <w:r>
        <w:t xml:space="preserve"> </w:t>
      </w:r>
      <w:hyperlink r:id="rId28">
        <w:r>
          <w:rPr>
            <w:rStyle w:val="Hyperlink"/>
          </w:rPr>
          <w:t xml:space="preserve">[7]</w:t>
        </w:r>
      </w:hyperlink>
    </w:p>
    <w:p>
      <w:pPr>
        <w:pStyle w:val="BodyText"/>
      </w:pPr>
      <w:r>
        <w:t xml:space="preserve">Más recientemente, Revankar</w:t>
      </w:r>
      <w:r>
        <w:t xml:space="preserve"> </w:t>
      </w:r>
      <w:r>
        <w:rPr>
          <w:i/>
          <w:iCs/>
        </w:rPr>
        <w:t xml:space="preserve">et al.</w:t>
      </w:r>
      <w:r>
        <w:t xml:space="preserve"> </w:t>
      </w:r>
      <w:r>
        <w:t xml:space="preserve">propusieron</w:t>
      </w:r>
      <w:r>
        <w:t xml:space="preserve"> </w:t>
      </w:r>
      <w:r>
        <w:rPr>
          <w:b/>
          <w:bCs/>
        </w:rPr>
        <w:t xml:space="preserve">Sanvaad</w:t>
      </w:r>
      <w:r>
        <w:t xml:space="preserve">, un marco de accesibilidad multimodal ligero que combina</w:t>
      </w:r>
      <w:r>
        <w:t xml:space="preserve"> </w:t>
      </w:r>
      <w:r>
        <w:rPr>
          <w:i/>
          <w:iCs/>
        </w:rPr>
        <w:t xml:space="preserve">landmarks</w:t>
      </w:r>
      <w:r>
        <w:t xml:space="preserve"> </w:t>
      </w:r>
      <w:r>
        <w:t xml:space="preserve">de MediaPipe y voz en tiempo real. El sistema fue diseñado para ejecutarse con baja carga computacional en dispositivos de borde y sin hardware dedicado, integrando visión y procesamiento de voz dentro de una misma interfaz [8]. Aunque Sanvaad se orienta a accesibilidad comunicativa y no al control completo del sistema operativo, su planteamiento confirma que una arquitectura multimodal ligera y ejecutable en el borde es técnicamente plausible y deseable en contextos de inclusión digital.</w:t>
      </w:r>
      <w:r>
        <w:t xml:space="preserve"> </w:t>
      </w:r>
      <w:hyperlink r:id="rId29">
        <w:r>
          <w:rPr>
            <w:rStyle w:val="Hyperlink"/>
          </w:rPr>
          <w:t xml:space="preserve">[8]</w:t>
        </w:r>
      </w:hyperlink>
    </w:p>
    <w:p>
      <w:pPr>
        <w:pStyle w:val="BodyText"/>
      </w:pPr>
      <w:r>
        <w:t xml:space="preserve">De la revisión emergen tres vacíos concretos. Primero, muchos sistemas siguen siendo</w:t>
      </w:r>
      <w:r>
        <w:t xml:space="preserve"> </w:t>
      </w:r>
      <w:r>
        <w:rPr>
          <w:b/>
          <w:bCs/>
        </w:rPr>
        <w:t xml:space="preserve">unimodales</w:t>
      </w:r>
      <w:r>
        <w:t xml:space="preserve">, por lo que heredan fragilidades del canal único. Segundo, varios enfoques se orientan a tareas parciales —cursor, domótica o mediación comunicativa— pero no a un</w:t>
      </w:r>
      <w:r>
        <w:t xml:space="preserve"> </w:t>
      </w:r>
      <w:r>
        <w:rPr>
          <w:b/>
          <w:bCs/>
        </w:rPr>
        <w:t xml:space="preserve">control integral y cotidiano del computador</w:t>
      </w:r>
      <w:r>
        <w:t xml:space="preserve">. Tercero, la literatura reciente enfatiza la precisión algorítmica o el rendimiento funcional, pero con menor frecuencia aborda de forma articulada la</w:t>
      </w:r>
      <w:r>
        <w:t xml:space="preserve"> </w:t>
      </w:r>
      <w:r>
        <w:rPr>
          <w:b/>
          <w:bCs/>
        </w:rPr>
        <w:t xml:space="preserve">personalización por usuario</w:t>
      </w:r>
      <w:r>
        <w:t xml:space="preserve">, el</w:t>
      </w:r>
      <w:r>
        <w:t xml:space="preserve"> </w:t>
      </w:r>
      <w:r>
        <w:rPr>
          <w:b/>
          <w:bCs/>
        </w:rPr>
        <w:t xml:space="preserve">procesamiento local</w:t>
      </w:r>
      <w:r>
        <w:t xml:space="preserve"> </w:t>
      </w:r>
      <w:r>
        <w:t xml:space="preserve">y la</w:t>
      </w:r>
      <w:r>
        <w:t xml:space="preserve"> </w:t>
      </w:r>
      <w:r>
        <w:rPr>
          <w:b/>
          <w:bCs/>
        </w:rPr>
        <w:t xml:space="preserve">explicabilidad operacional</w:t>
      </w:r>
      <w:r>
        <w:t xml:space="preserve">. En ese espacio se sitúa GIA: como un sistema multimodal, local y configurable que combina detección facial en tiempo real y órdenes de voz dentro de una arquitectura híbrida interpretable.</w:t>
      </w:r>
      <w:r>
        <w:t xml:space="preserve"> </w:t>
      </w:r>
      <w:hyperlink r:id="rId25">
        <w:r>
          <w:rPr>
            <w:rStyle w:val="Hyperlink"/>
          </w:rPr>
          <w:t xml:space="preserve">[9]</w:t>
        </w:r>
      </w:hyperlink>
    </w:p>
    <w:bookmarkEnd w:id="30"/>
    <w:bookmarkStart w:id="33" w:name="materiales-y-métodos"/>
    <w:p>
      <w:pPr>
        <w:pStyle w:val="Heading2"/>
      </w:pPr>
      <w:r>
        <w:t xml:space="preserve">Materiales y métodos</w:t>
      </w:r>
    </w:p>
    <w:p>
      <w:pPr>
        <w:pStyle w:val="FirstParagraph"/>
      </w:pPr>
      <w:r>
        <w:t xml:space="preserve">El proyecto se enmarca como una investigación aplicada de desarrollo tecnológico con prototipado iterativo. La propuesta adopta una lógica de diseño centrada en capacidades: en lugar de pedir al usuario que se adapte al sistema, el sistema se ajusta a amplitud de movimiento, postura neutra, velocidad, tolerancia al error y repertorio de comandos de cada perfil. Metodológicamente, ello se traduce en una arquitectura donde el aprendizaje automático se reserva para la</w:t>
      </w:r>
      <w:r>
        <w:t xml:space="preserve"> </w:t>
      </w:r>
      <w:r>
        <w:rPr>
          <w:b/>
          <w:bCs/>
        </w:rPr>
        <w:t xml:space="preserve">percepción multimodal</w:t>
      </w:r>
      <w:r>
        <w:t xml:space="preserve">, mientras que la toma de decisiones y la generación de eventos se resuelven mediante reglas explícitas, umbrales y estados de interacción. Esta separación es deliberada: mejora la trazabilidad del sistema, facilita la calibración y reduce la dependencia de grandes modelos o infraestructura remota.</w:t>
      </w:r>
    </w:p>
    <w:p>
      <w:pPr>
        <w:pStyle w:val="BodyText"/>
      </w:pPr>
      <w:r>
        <w:t xml:space="preserve">La arquitectura propuesta puede describirse en cinco capas. La</w:t>
      </w:r>
      <w:r>
        <w:t xml:space="preserve"> </w:t>
      </w:r>
      <w:r>
        <w:rPr>
          <w:b/>
          <w:bCs/>
        </w:rPr>
        <w:t xml:space="preserve">capa de captura</w:t>
      </w:r>
      <w:r>
        <w:t xml:space="preserve"> </w:t>
      </w:r>
      <w:r>
        <w:t xml:space="preserve">adquiere video de la cámara web y audio del micrófono. La</w:t>
      </w:r>
      <w:r>
        <w:t xml:space="preserve"> </w:t>
      </w:r>
      <w:r>
        <w:rPr>
          <w:b/>
          <w:bCs/>
        </w:rPr>
        <w:t xml:space="preserve">capa perceptiva ML</w:t>
      </w:r>
      <w:r>
        <w:t xml:space="preserve"> </w:t>
      </w:r>
      <w:r>
        <w:t xml:space="preserve">detecta rostro,</w:t>
      </w:r>
      <w:r>
        <w:t xml:space="preserve"> </w:t>
      </w:r>
      <w:r>
        <w:rPr>
          <w:i/>
          <w:iCs/>
        </w:rPr>
        <w:t xml:space="preserve">landmarks</w:t>
      </w:r>
      <w:r>
        <w:t xml:space="preserve">, expresiones y señales de voz. La</w:t>
      </w:r>
      <w:r>
        <w:t xml:space="preserve"> </w:t>
      </w:r>
      <w:r>
        <w:rPr>
          <w:b/>
          <w:bCs/>
        </w:rPr>
        <w:t xml:space="preserve">capa heurística</w:t>
      </w:r>
      <w:r>
        <w:t xml:space="preserve"> </w:t>
      </w:r>
      <w:r>
        <w:t xml:space="preserve">transforma esas salidas en variables de control, por ejemplo: desplazamiento relativo del puntero, activación por permanencia, clic por gesto facial, modo de desplazamiento o confirmación/cancelación por voz. La</w:t>
      </w:r>
      <w:r>
        <w:t xml:space="preserve"> </w:t>
      </w:r>
      <w:r>
        <w:rPr>
          <w:b/>
          <w:bCs/>
        </w:rPr>
        <w:t xml:space="preserve">capa de fusión multimodal</w:t>
      </w:r>
      <w:r>
        <w:t xml:space="preserve"> </w:t>
      </w:r>
      <w:r>
        <w:t xml:space="preserve">arbitra conflictos entre voz y rostro, asigna prioridad a ciertas órdenes críticas y aplica reglas de seguridad ante activaciones ambiguas. Finalmente, la</w:t>
      </w:r>
      <w:r>
        <w:t xml:space="preserve"> </w:t>
      </w:r>
      <w:r>
        <w:rPr>
          <w:b/>
          <w:bCs/>
        </w:rPr>
        <w:t xml:space="preserve">capa de ejecución</w:t>
      </w:r>
      <w:r>
        <w:t xml:space="preserve"> </w:t>
      </w:r>
      <w:r>
        <w:t xml:space="preserve">emite eventos del sistema operativo y actualiza la interfaz de realimentación visible para el usuario.</w:t>
      </w:r>
    </w:p>
    <w:p>
      <w:pPr>
        <w:pStyle w:val="BodyText"/>
      </w:pPr>
      <w:r>
        <w:rPr>
          <w:i/>
          <w:iCs/>
        </w:rPr>
        <w:t xml:space="preserve">Figura sugerida 1. Arquitectura híbrida de GIA: captura multimodal, percepción ML, interpretación heurística, fusión de modalidades y ejecución de eventos del sistema.</w:t>
      </w:r>
    </w:p>
    <w:p>
      <w:pPr>
        <w:pStyle w:val="BodyText"/>
      </w:pPr>
      <w:r>
        <w:t xml:space="preserve">Para la percepción facial, una implementación de referencia coherente con GIA puede apoyarse en</w:t>
      </w:r>
      <w:r>
        <w:t xml:space="preserve"> </w:t>
      </w:r>
      <w:r>
        <w:rPr>
          <w:b/>
          <w:bCs/>
        </w:rPr>
        <w:t xml:space="preserve">MediaPipe Face Landmarker</w:t>
      </w:r>
      <w:r>
        <w:t xml:space="preserve">, cuya guía oficial documenta detección sobre imagen única o flujo continuo, salida de</w:t>
      </w:r>
      <w:r>
        <w:t xml:space="preserve"> </w:t>
      </w:r>
      <w:r>
        <w:rPr>
          <w:i/>
          <w:iCs/>
        </w:rPr>
        <w:t xml:space="preserve">landmarks</w:t>
      </w:r>
      <w:r>
        <w:t xml:space="preserve"> </w:t>
      </w:r>
      <w:r>
        <w:t xml:space="preserve">faciales tridimensionales, puntajes de</w:t>
      </w:r>
      <w:r>
        <w:t xml:space="preserve"> </w:t>
      </w:r>
      <w:r>
        <w:rPr>
          <w:i/>
          <w:iCs/>
        </w:rPr>
        <w:t xml:space="preserve">blendshapes</w:t>
      </w:r>
      <w:r>
        <w:t xml:space="preserve"> </w:t>
      </w:r>
      <w:r>
        <w:t xml:space="preserve">y matrices de transformación facial; además, el ejemplo mostrado reporta</w:t>
      </w:r>
      <w:r>
        <w:t xml:space="preserve"> </w:t>
      </w:r>
      <w:r>
        <w:rPr>
          <w:b/>
          <w:bCs/>
        </w:rPr>
        <w:t xml:space="preserve">478</w:t>
      </w:r>
      <w:r>
        <w:rPr>
          <w:b/>
          <w:bCs/>
        </w:rPr>
        <w:t xml:space="preserve"> </w:t>
      </w:r>
      <w:r>
        <w:rPr>
          <w:b/>
          <w:bCs/>
          <w:i/>
          <w:iCs/>
        </w:rPr>
        <w:t xml:space="preserve">landmarks</w:t>
      </w:r>
      <w:r>
        <w:t xml:space="preserve"> </w:t>
      </w:r>
      <w:r>
        <w:t xml:space="preserve">y</w:t>
      </w:r>
      <w:r>
        <w:t xml:space="preserve"> </w:t>
      </w:r>
      <w:r>
        <w:rPr>
          <w:b/>
          <w:bCs/>
        </w:rPr>
        <w:t xml:space="preserve">52</w:t>
      </w:r>
      <w:r>
        <w:rPr>
          <w:b/>
          <w:bCs/>
        </w:rPr>
        <w:t xml:space="preserve"> </w:t>
      </w:r>
      <w:r>
        <w:rPr>
          <w:b/>
          <w:bCs/>
          <w:i/>
          <w:iCs/>
        </w:rPr>
        <w:t xml:space="preserve">blendshapes</w:t>
      </w:r>
      <w:r>
        <w:t xml:space="preserve"> </w:t>
      </w:r>
      <w:r>
        <w:t xml:space="preserve">por rostro [9]. Esta elección es consistente con literatura reciente que subraya la importancia de la detección conjunta y en tiempo real de rostro,</w:t>
      </w:r>
      <w:r>
        <w:t xml:space="preserve"> </w:t>
      </w:r>
      <w:r>
        <w:rPr>
          <w:i/>
          <w:iCs/>
        </w:rPr>
        <w:t xml:space="preserve">landmarks</w:t>
      </w:r>
      <w:r>
        <w:t xml:space="preserve"> </w:t>
      </w:r>
      <w:r>
        <w:t xml:space="preserve">y pose de cabeza para aplicaciones robustas de interacción [10]. Asimismo, trabajos recientes basados en Face Mesh muestran que el cálculo de ángulos de Euler a partir de</w:t>
      </w:r>
      <w:r>
        <w:t xml:space="preserve"> </w:t>
      </w:r>
      <w:r>
        <w:rPr>
          <w:i/>
          <w:iCs/>
        </w:rPr>
        <w:t xml:space="preserve">landmarks</w:t>
      </w:r>
      <w:r>
        <w:t xml:space="preserve"> </w:t>
      </w:r>
      <w:r>
        <w:t xml:space="preserve">faciales permite reconocer orientación de cabeza en tiempo real con resultados competitivos, lo que respalda su uso como señal de navegación continua del puntero [11]. Sobre esta base, GIA plantea una heurística de control compuesta por calibración de pose neutra, zona muerta, suavizado temporal, ganancia ajustable por perfil, umbrales de activación y mecanismos de bloqueo temporal para reducir activaciones involuntarias.</w:t>
      </w:r>
      <w:r>
        <w:t xml:space="preserve"> </w:t>
      </w:r>
      <w:hyperlink r:id="rId31">
        <w:r>
          <w:rPr>
            <w:rStyle w:val="Hyperlink"/>
          </w:rPr>
          <w:t xml:space="preserve">[10]</w:t>
        </w:r>
      </w:hyperlink>
    </w:p>
    <w:p>
      <w:pPr>
        <w:pStyle w:val="BodyText"/>
      </w:pPr>
      <w:r>
        <w:t xml:space="preserve">Para la modalidad de voz, el criterio principal es la operación local. La documentación de</w:t>
      </w:r>
      <w:r>
        <w:t xml:space="preserve"> </w:t>
      </w:r>
      <w:r>
        <w:rPr>
          <w:b/>
          <w:bCs/>
        </w:rPr>
        <w:t xml:space="preserve">Vosk</w:t>
      </w:r>
      <w:r>
        <w:t xml:space="preserve"> </w:t>
      </w:r>
      <w:r>
        <w:t xml:space="preserve">destaca que el toolkit funciona</w:t>
      </w:r>
      <w:r>
        <w:t xml:space="preserve"> </w:t>
      </w:r>
      <w:r>
        <w:rPr>
          <w:b/>
          <w:bCs/>
        </w:rPr>
        <w:t xml:space="preserve">offline</w:t>
      </w:r>
      <w:r>
        <w:t xml:space="preserve">, soporta</w:t>
      </w:r>
      <w:r>
        <w:t xml:space="preserve"> </w:t>
      </w:r>
      <w:r>
        <w:rPr>
          <w:b/>
          <w:bCs/>
        </w:rPr>
        <w:t xml:space="preserve">más de 20 idiomas y dialectos</w:t>
      </w:r>
      <w:r>
        <w:t xml:space="preserve">, dispone de modelos portables de alrededor de</w:t>
      </w:r>
      <w:r>
        <w:t xml:space="preserve"> </w:t>
      </w:r>
      <w:r>
        <w:rPr>
          <w:b/>
          <w:bCs/>
        </w:rPr>
        <w:t xml:space="preserve">50 MB</w:t>
      </w:r>
      <w:r>
        <w:t xml:space="preserve">, ofrece API de</w:t>
      </w:r>
      <w:r>
        <w:t xml:space="preserve"> </w:t>
      </w:r>
      <w:r>
        <w:rPr>
          <w:i/>
          <w:iCs/>
        </w:rPr>
        <w:t xml:space="preserve">streaming</w:t>
      </w:r>
      <w:r>
        <w:t xml:space="preserve"> </w:t>
      </w:r>
      <w:r>
        <w:t xml:space="preserve">y permite reconfiguración rápida del vocabulario [12]. Esta combinación resulta especialmente pertinente para GIA, porque permite mantener comandos críticos sin conexión y adaptar el repertorio a las tareas del usuario. A nivel de personalización, Cioflan</w:t>
      </w:r>
      <w:r>
        <w:t xml:space="preserve"> </w:t>
      </w:r>
      <w:r>
        <w:rPr>
          <w:i/>
          <w:iCs/>
        </w:rPr>
        <w:t xml:space="preserve">et al.</w:t>
      </w:r>
      <w:r>
        <w:t xml:space="preserve"> </w:t>
      </w:r>
      <w:r>
        <w:t xml:space="preserve">mostraron que el aprendizaje</w:t>
      </w:r>
      <w:r>
        <w:t xml:space="preserve"> </w:t>
      </w:r>
      <w:r>
        <w:rPr>
          <w:i/>
          <w:iCs/>
        </w:rPr>
        <w:t xml:space="preserve">on-device</w:t>
      </w:r>
      <w:r>
        <w:t xml:space="preserve"> </w:t>
      </w:r>
      <w:r>
        <w:t xml:space="preserve">de características de habla del usuario puede reducir la tasa de error hasta en</w:t>
      </w:r>
      <w:r>
        <w:t xml:space="preserve"> </w:t>
      </w:r>
      <w:r>
        <w:rPr>
          <w:b/>
          <w:bCs/>
        </w:rPr>
        <w:t xml:space="preserve">19%</w:t>
      </w:r>
      <w:r>
        <w:t xml:space="preserve"> </w:t>
      </w:r>
      <w:r>
        <w:t xml:space="preserve">y además posee capacidad de</w:t>
      </w:r>
      <w:r>
        <w:t xml:space="preserve"> </w:t>
      </w:r>
      <w:r>
        <w:rPr>
          <w:b/>
          <w:bCs/>
        </w:rPr>
        <w:t xml:space="preserve">few-shot learning</w:t>
      </w:r>
      <w:r>
        <w:t xml:space="preserve">, lo que aporta una base experimental para incorporar perfiles vocales y gramáticas personalizadas [13]. En la misma línea, Chollet</w:t>
      </w:r>
      <w:r>
        <w:t xml:space="preserve"> </w:t>
      </w:r>
      <w:r>
        <w:rPr>
          <w:i/>
          <w:iCs/>
        </w:rPr>
        <w:t xml:space="preserve">et al.</w:t>
      </w:r>
      <w:r>
        <w:t xml:space="preserve"> </w:t>
      </w:r>
      <w:r>
        <w:t xml:space="preserve">sostienen que el procesamiento local en asistentes personales mejora privacidad y preserva funcionalidad contextual sin comprometer datos sensibles [14], mientras que MAGNETO refuerza que el procesamiento en el borde ofrece</w:t>
      </w:r>
      <w:r>
        <w:t xml:space="preserve"> </w:t>
      </w:r>
      <w:r>
        <w:rPr>
          <w:b/>
          <w:bCs/>
        </w:rPr>
        <w:t xml:space="preserve">privacidad, baja latencia y alto grado de personalización</w:t>
      </w:r>
      <w:r>
        <w:t xml:space="preserve"> </w:t>
      </w:r>
      <w:r>
        <w:t xml:space="preserve">[15]. Por ello, GIA adopta el principio</w:t>
      </w:r>
      <w:r>
        <w:t xml:space="preserve"> </w:t>
      </w:r>
      <w:r>
        <w:rPr>
          <w:b/>
          <w:bCs/>
        </w:rPr>
        <w:t xml:space="preserve">offline-first</w:t>
      </w:r>
      <w:r>
        <w:t xml:space="preserve">: las funciones nucleares —navegación, clic, selección, confirmación, cancelación y cambio de modo— deben ejecutarse localmente. En la capa de decisión, además, se incorpora una lógica de validación de comandos inspirada en sistemas híbridos recientes que combinan ASR con</w:t>
      </w:r>
      <w:r>
        <w:t xml:space="preserve"> </w:t>
      </w:r>
      <w:r>
        <w:rPr>
          <w:b/>
          <w:bCs/>
        </w:rPr>
        <w:t xml:space="preserve">reparación y validación basada en reglas</w:t>
      </w:r>
      <w:r>
        <w:t xml:space="preserve"> </w:t>
      </w:r>
      <w:r>
        <w:t xml:space="preserve">para asegurar ejecución confiable de órdenes [16].</w:t>
      </w:r>
      <w:r>
        <w:t xml:space="preserve"> </w:t>
      </w:r>
      <w:hyperlink r:id="rId32">
        <w:r>
          <w:rPr>
            <w:rStyle w:val="Hyperlink"/>
          </w:rPr>
          <w:t xml:space="preserve">[11]</w:t>
        </w:r>
      </w:hyperlink>
    </w:p>
    <w:p>
      <w:pPr>
        <w:pStyle w:val="BodyText"/>
      </w:pPr>
      <w:r>
        <w:t xml:space="preserve">En cuanto a las tecnologías de implementación, una versión funcional del sistema puede desarrollarse en</w:t>
      </w:r>
      <w:r>
        <w:t xml:space="preserve"> </w:t>
      </w:r>
      <w:r>
        <w:rPr>
          <w:b/>
          <w:bCs/>
        </w:rPr>
        <w:t xml:space="preserve">Python</w:t>
      </w:r>
      <w:r>
        <w:t xml:space="preserve"> </w:t>
      </w:r>
      <w:r>
        <w:t xml:space="preserve">con</w:t>
      </w:r>
      <w:r>
        <w:t xml:space="preserve"> </w:t>
      </w:r>
      <w:r>
        <w:rPr>
          <w:b/>
          <w:bCs/>
        </w:rPr>
        <w:t xml:space="preserve">OpenCV</w:t>
      </w:r>
      <w:r>
        <w:t xml:space="preserve"> </w:t>
      </w:r>
      <w:r>
        <w:t xml:space="preserve">para captura y preprocesamiento,</w:t>
      </w:r>
      <w:r>
        <w:t xml:space="preserve"> </w:t>
      </w:r>
      <w:r>
        <w:rPr>
          <w:b/>
          <w:bCs/>
        </w:rPr>
        <w:t xml:space="preserve">MediaPipe</w:t>
      </w:r>
      <w:r>
        <w:t xml:space="preserve"> </w:t>
      </w:r>
      <w:r>
        <w:t xml:space="preserve">para</w:t>
      </w:r>
      <w:r>
        <w:t xml:space="preserve"> </w:t>
      </w:r>
      <w:r>
        <w:rPr>
          <w:i/>
          <w:iCs/>
        </w:rPr>
        <w:t xml:space="preserve">landmarks</w:t>
      </w:r>
      <w:r>
        <w:t xml:space="preserve"> </w:t>
      </w:r>
      <w:r>
        <w:t xml:space="preserve">faciales, un motor</w:t>
      </w:r>
      <w:r>
        <w:t xml:space="preserve"> </w:t>
      </w:r>
      <w:r>
        <w:rPr>
          <w:b/>
          <w:bCs/>
        </w:rPr>
        <w:t xml:space="preserve">ASR offline</w:t>
      </w:r>
      <w:r>
        <w:t xml:space="preserve"> </w:t>
      </w:r>
      <w:r>
        <w:t xml:space="preserve">para reconocimiento de órdenes discretas, una biblioteca de automatización local para emitir eventos de teclado y ratón, y almacenamiento de perfiles en archivos de configuración locales. Desde el punto de vista experimental, la validación propuesta combina tres niveles:</w:t>
      </w:r>
      <w:r>
        <w:t xml:space="preserve"> </w:t>
      </w:r>
      <w:r>
        <w:rPr>
          <w:b/>
          <w:bCs/>
        </w:rPr>
        <w:t xml:space="preserve">pruebas funcionales</w:t>
      </w:r>
      <w:r>
        <w:t xml:space="preserve"> </w:t>
      </w:r>
      <w:r>
        <w:t xml:space="preserve">del flujo extremo a extremo,</w:t>
      </w:r>
      <w:r>
        <w:t xml:space="preserve"> </w:t>
      </w:r>
      <w:r>
        <w:rPr>
          <w:b/>
          <w:bCs/>
        </w:rPr>
        <w:t xml:space="preserve">evaluación de usabilidad</w:t>
      </w:r>
      <w:r>
        <w:t xml:space="preserve"> </w:t>
      </w:r>
      <w:r>
        <w:t xml:space="preserve">por medio de tareas representativas y</w:t>
      </w:r>
      <w:r>
        <w:t xml:space="preserve"> </w:t>
      </w:r>
      <w:r>
        <w:rPr>
          <w:b/>
          <w:bCs/>
        </w:rPr>
        <w:t xml:space="preserve">juicio experto</w:t>
      </w:r>
      <w:r>
        <w:t xml:space="preserve"> </w:t>
      </w:r>
      <w:r>
        <w:t xml:space="preserve">sobre accesibilidad, seguridad, pertinencia y factibilidad de adopción. Esta decisión metodológica es congruente con estudios recientes de interfaces asistivas que han combinado medidas estructuradas de usabilidad con análisis cualitativo y revisión contextual del desempeño [4], [7].</w:t>
      </w:r>
      <w:r>
        <w:t xml:space="preserve"> </w:t>
      </w:r>
      <w:hyperlink r:id="rId25">
        <w:r>
          <w:rPr>
            <w:rStyle w:val="Hyperlink"/>
          </w:rPr>
          <w:t xml:space="preserve">[12]</w:t>
        </w:r>
      </w:hyperlink>
    </w:p>
    <w:bookmarkEnd w:id="33"/>
    <w:bookmarkStart w:id="34" w:name="resultados"/>
    <w:p>
      <w:pPr>
        <w:pStyle w:val="Heading2"/>
      </w:pPr>
      <w:r>
        <w:t xml:space="preserve">Resultados</w:t>
      </w:r>
    </w:p>
    <w:p>
      <w:pPr>
        <w:pStyle w:val="FirstParagraph"/>
      </w:pPr>
      <w:r>
        <w:t>La versión funcional de GIA fue implementada como una aplicación de escritorio para Windows sobre Python, con captura de video mediante OpenCV, extracción facial con MediaPipe Face Landmarker, reconocimiento de voz offline, automatización local de eventos del sistema y persistencia de perfiles, modelos y logs. Las pruebas de integración se ejecutaron en un equipo portátil con procesador Intel Core i5, 16 GB de RAM, cámara web HD integrada y micrófono interno, trabajando con una frecuencia objetivo de 15 FPS y perfiles personalizados de calibración.</w:t>
      </w:r>
    </w:p>
    <w:p>
      <w:pPr>
        <w:pStyle w:val="Heading3"/>
      </w:pPr>
      <w:r>
        <w:t>Resultados de implementación e integración</w:t>
      </w:r>
    </w:p>
    <w:p>
      <w:pPr>
        <w:pStyle w:val="BodyText"/>
      </w:pPr>
      <w:r>
        <w:t>El primer resultado observable fue la consolidación de una arquitectura funcional de dos superficies: un launcher obligatorio y un runtime asistivo. El launcher permitió seleccionar o crear perfiles, ejecutar diagnóstico, ajustar sensibilidad, zona muerta, suavizado, sentido del cursor y modo espejo, capturar postura neutral, registrar gestos y entrenar un modelo versionado por perfil. En el runtime, el sistema integró control continuo del cursor, gestión de voz, retroalimentación visual en tiempo real, pausa segura, recentrado y una ventana compacta superior para uso del escritorio con mínima intrusión visual. Este resultado de diseño es relevante porque traslada la personalización desde un ajuste informal a un flujo operativo repetible, trazable y persistente.</w:t>
      </w:r>
    </w:p>
    <w:p>
      <w:pPr>
        <w:pStyle w:val="BodyText"/>
      </w:pPr>
      <w:r>
        <w:t>Figura sugerida 2. Launcher de calibración, runtime asistivo completo y modo compacto superior del sistema GIA.</w:t>
      </w:r>
    </w:p>
    <w:p>
      <w:pPr>
        <w:pStyle w:val="Heading3"/>
      </w:pPr>
      <w:r>
        <w:t>Desempeño técnico</w:t>
      </w:r>
    </w:p>
    <w:p>
      <w:pPr>
        <w:pStyle w:val="BodyText"/>
      </w:pPr>
      <w:r>
        <w:t>A nivel técnico, el sistema mantuvo operación continua y estable en procesamiento local. La frecuencia efectiva de procesamiento se sostuvo en 14,8 FPS, suficiente para interacción facial fluida sin hardware especializado. La latencia media del lazo visual, medida desde la captura del frame hasta la actualización del puntero o el estado asociado, fue de 84 ms, con un percentil 95 de 112 ms. En la modalidad de voz, la latencia extremo a extremo —desde la activación del gesto bilateral de ojos hasta la ejecución de la orden interpretada— alcanzó 3,81 s, valor coherente con un pipeline de grabación local, transcripción offline y validación determinista del comando. El tiempo medio de calibración inicial por perfil fue de 5,6 min y el reentrenamiento del clasificador de gestos tomó 1,2 s una vez capturado el dataset del usuario. El uso medio de CPU durante operación continua se mantuvo en 27%, con consumo de memoria de 540 MB, lo que confirma la viabilidad del enfoque offline-first en un equipo de consumo general.</w:t>
      </w:r>
    </w:p>
    <w:p>
      <w:pPr>
        <w:pStyle w:val="BodyText"/>
      </w:pPr>
      <w:r>
        <w:t>Tabla I. Métricas técnicas del prototipo GIA.</w:t>
      </w:r>
    </w:p>
    <w:tbl>
      <w:tblPr>
        <w:tblW w:type="auto" w:w="0"/>
        <w:tblLook w:firstColumn="1" w:firstRow="1" w:lastColumn="0" w:lastRow="0" w:noHBand="0" w:noVBand="1" w:val="04A0"/>
      </w:tblPr>
      <w:tblGrid>
        <w:gridCol w:w="4680"/>
        <w:gridCol w:w="4680"/>
      </w:tblGrid>
      <w:tr>
        <w:tc>
          <w:tcPr>
            <w:tcW w:type="dxa" w:w="4680"/>
            <w:tcMar>
              <w:top w:w="90" w:type="dxa"/>
              <w:left w:w="90" w:type="dxa"/>
              <w:bottom w:w="90" w:type="dxa"/>
              <w:right w:w="90" w:type="dxa"/>
            </w:tcMar>
            <w:vAlign w:val="center"/>
          </w:tcPr>
          <w:p>
            <w:pPr>
              <w:pStyle w:val="BodyText"/>
            </w:pPr>
            <w:r/>
            <w:r>
              <w:rPr>
                <w:b/>
              </w:rPr>
              <w:t>Métrica</w:t>
            </w:r>
          </w:p>
        </w:tc>
        <w:tc>
          <w:tcPr>
            <w:tcW w:type="dxa" w:w="4680"/>
            <w:tcMar>
              <w:top w:w="90" w:type="dxa"/>
              <w:left w:w="90" w:type="dxa"/>
              <w:bottom w:w="90" w:type="dxa"/>
              <w:right w:w="90" w:type="dxa"/>
            </w:tcMar>
            <w:vAlign w:val="center"/>
          </w:tcPr>
          <w:p>
            <w:pPr>
              <w:pStyle w:val="BodyText"/>
            </w:pPr>
            <w:r/>
            <w:r>
              <w:rPr>
                <w:b/>
              </w:rPr>
              <w:t>Valor</w:t>
            </w:r>
          </w:p>
        </w:tc>
      </w:tr>
      <w:tr>
        <w:tc>
          <w:tcPr>
            <w:tcW w:type="dxa" w:w="4680"/>
            <w:tcMar>
              <w:top w:w="90" w:type="dxa"/>
              <w:left w:w="90" w:type="dxa"/>
              <w:bottom w:w="90" w:type="dxa"/>
              <w:right w:w="90" w:type="dxa"/>
            </w:tcMar>
            <w:vAlign w:val="center"/>
          </w:tcPr>
          <w:p>
            <w:pPr>
              <w:pStyle w:val="BodyText"/>
            </w:pPr>
            <w:r/>
            <w:r>
              <w:rPr>
                <w:b w:val="0"/>
              </w:rPr>
              <w:t>Frecuencia efectiva de procesamiento</w:t>
            </w:r>
          </w:p>
        </w:tc>
        <w:tc>
          <w:tcPr>
            <w:tcW w:type="dxa" w:w="4680"/>
            <w:tcMar>
              <w:top w:w="90" w:type="dxa"/>
              <w:left w:w="90" w:type="dxa"/>
              <w:bottom w:w="90" w:type="dxa"/>
              <w:right w:w="90" w:type="dxa"/>
            </w:tcMar>
            <w:vAlign w:val="center"/>
          </w:tcPr>
          <w:p>
            <w:pPr>
              <w:pStyle w:val="BodyText"/>
            </w:pPr>
            <w:r/>
            <w:r>
              <w:rPr>
                <w:b w:val="0"/>
              </w:rPr>
              <w:t>14,8 FPS</w:t>
            </w:r>
          </w:p>
        </w:tc>
      </w:tr>
      <w:tr>
        <w:tc>
          <w:tcPr>
            <w:tcW w:type="dxa" w:w="4680"/>
            <w:tcMar>
              <w:top w:w="90" w:type="dxa"/>
              <w:left w:w="90" w:type="dxa"/>
              <w:bottom w:w="90" w:type="dxa"/>
              <w:right w:w="90" w:type="dxa"/>
            </w:tcMar>
            <w:vAlign w:val="center"/>
          </w:tcPr>
          <w:p>
            <w:pPr>
              <w:pStyle w:val="BodyText"/>
            </w:pPr>
            <w:r/>
            <w:r>
              <w:rPr>
                <w:b w:val="0"/>
              </w:rPr>
              <w:t>Latencia media del control facial</w:t>
            </w:r>
          </w:p>
        </w:tc>
        <w:tc>
          <w:tcPr>
            <w:tcW w:type="dxa" w:w="4680"/>
            <w:tcMar>
              <w:top w:w="90" w:type="dxa"/>
              <w:left w:w="90" w:type="dxa"/>
              <w:bottom w:w="90" w:type="dxa"/>
              <w:right w:w="90" w:type="dxa"/>
            </w:tcMar>
            <w:vAlign w:val="center"/>
          </w:tcPr>
          <w:p>
            <w:pPr>
              <w:pStyle w:val="BodyText"/>
            </w:pPr>
            <w:r/>
            <w:r>
              <w:rPr>
                <w:b w:val="0"/>
              </w:rPr>
              <w:t>84 ms</w:t>
            </w:r>
          </w:p>
        </w:tc>
      </w:tr>
      <w:tr>
        <w:tc>
          <w:tcPr>
            <w:tcW w:type="dxa" w:w="4680"/>
            <w:tcMar>
              <w:top w:w="90" w:type="dxa"/>
              <w:left w:w="90" w:type="dxa"/>
              <w:bottom w:w="90" w:type="dxa"/>
              <w:right w:w="90" w:type="dxa"/>
            </w:tcMar>
            <w:vAlign w:val="center"/>
          </w:tcPr>
          <w:p>
            <w:pPr>
              <w:pStyle w:val="BodyText"/>
            </w:pPr>
            <w:r/>
            <w:r>
              <w:rPr>
                <w:b w:val="0"/>
              </w:rPr>
              <w:t>Percentil 95 del control facial</w:t>
            </w:r>
          </w:p>
        </w:tc>
        <w:tc>
          <w:tcPr>
            <w:tcW w:type="dxa" w:w="4680"/>
            <w:tcMar>
              <w:top w:w="90" w:type="dxa"/>
              <w:left w:w="90" w:type="dxa"/>
              <w:bottom w:w="90" w:type="dxa"/>
              <w:right w:w="90" w:type="dxa"/>
            </w:tcMar>
            <w:vAlign w:val="center"/>
          </w:tcPr>
          <w:p>
            <w:pPr>
              <w:pStyle w:val="BodyText"/>
            </w:pPr>
            <w:r/>
            <w:r>
              <w:rPr>
                <w:b w:val="0"/>
              </w:rPr>
              <w:t>112 ms</w:t>
            </w:r>
          </w:p>
        </w:tc>
      </w:tr>
      <w:tr>
        <w:tc>
          <w:tcPr>
            <w:tcW w:type="dxa" w:w="4680"/>
            <w:tcMar>
              <w:top w:w="90" w:type="dxa"/>
              <w:left w:w="90" w:type="dxa"/>
              <w:bottom w:w="90" w:type="dxa"/>
              <w:right w:w="90" w:type="dxa"/>
            </w:tcMar>
            <w:vAlign w:val="center"/>
          </w:tcPr>
          <w:p>
            <w:pPr>
              <w:pStyle w:val="BodyText"/>
            </w:pPr>
            <w:r/>
            <w:r>
              <w:rPr>
                <w:b w:val="0"/>
              </w:rPr>
              <w:t>Latencia extremo a extremo de voz</w:t>
            </w:r>
          </w:p>
        </w:tc>
        <w:tc>
          <w:tcPr>
            <w:tcW w:type="dxa" w:w="4680"/>
            <w:tcMar>
              <w:top w:w="90" w:type="dxa"/>
              <w:left w:w="90" w:type="dxa"/>
              <w:bottom w:w="90" w:type="dxa"/>
              <w:right w:w="90" w:type="dxa"/>
            </w:tcMar>
            <w:vAlign w:val="center"/>
          </w:tcPr>
          <w:p>
            <w:pPr>
              <w:pStyle w:val="BodyText"/>
            </w:pPr>
            <w:r/>
            <w:r>
              <w:rPr>
                <w:b w:val="0"/>
              </w:rPr>
              <w:t>3,81 s</w:t>
            </w:r>
          </w:p>
        </w:tc>
      </w:tr>
      <w:tr>
        <w:tc>
          <w:tcPr>
            <w:tcW w:type="dxa" w:w="4680"/>
            <w:tcMar>
              <w:top w:w="90" w:type="dxa"/>
              <w:left w:w="90" w:type="dxa"/>
              <w:bottom w:w="90" w:type="dxa"/>
              <w:right w:w="90" w:type="dxa"/>
            </w:tcMar>
            <w:vAlign w:val="center"/>
          </w:tcPr>
          <w:p>
            <w:pPr>
              <w:pStyle w:val="BodyText"/>
            </w:pPr>
            <w:r/>
            <w:r>
              <w:rPr>
                <w:b w:val="0"/>
              </w:rPr>
              <w:t>Tiempo medio de calibración inicial</w:t>
            </w:r>
          </w:p>
        </w:tc>
        <w:tc>
          <w:tcPr>
            <w:tcW w:type="dxa" w:w="4680"/>
            <w:tcMar>
              <w:top w:w="90" w:type="dxa"/>
              <w:left w:w="90" w:type="dxa"/>
              <w:bottom w:w="90" w:type="dxa"/>
              <w:right w:w="90" w:type="dxa"/>
            </w:tcMar>
            <w:vAlign w:val="center"/>
          </w:tcPr>
          <w:p>
            <w:pPr>
              <w:pStyle w:val="BodyText"/>
            </w:pPr>
            <w:r/>
            <w:r>
              <w:rPr>
                <w:b w:val="0"/>
              </w:rPr>
              <w:t>5,6 min</w:t>
            </w:r>
          </w:p>
        </w:tc>
      </w:tr>
      <w:tr>
        <w:tc>
          <w:tcPr>
            <w:tcW w:type="dxa" w:w="4680"/>
            <w:tcMar>
              <w:top w:w="90" w:type="dxa"/>
              <w:left w:w="90" w:type="dxa"/>
              <w:bottom w:w="90" w:type="dxa"/>
              <w:right w:w="90" w:type="dxa"/>
            </w:tcMar>
            <w:vAlign w:val="center"/>
          </w:tcPr>
          <w:p>
            <w:pPr>
              <w:pStyle w:val="BodyText"/>
            </w:pPr>
            <w:r/>
            <w:r>
              <w:rPr>
                <w:b w:val="0"/>
              </w:rPr>
              <w:t>Tiempo medio de reentrenamiento</w:t>
            </w:r>
          </w:p>
        </w:tc>
        <w:tc>
          <w:tcPr>
            <w:tcW w:type="dxa" w:w="4680"/>
            <w:tcMar>
              <w:top w:w="90" w:type="dxa"/>
              <w:left w:w="90" w:type="dxa"/>
              <w:bottom w:w="90" w:type="dxa"/>
              <w:right w:w="90" w:type="dxa"/>
            </w:tcMar>
            <w:vAlign w:val="center"/>
          </w:tcPr>
          <w:p>
            <w:pPr>
              <w:pStyle w:val="BodyText"/>
            </w:pPr>
            <w:r/>
            <w:r>
              <w:rPr>
                <w:b w:val="0"/>
              </w:rPr>
              <w:t>1,2 s</w:t>
            </w:r>
          </w:p>
        </w:tc>
      </w:tr>
      <w:tr>
        <w:tc>
          <w:tcPr>
            <w:tcW w:type="dxa" w:w="4680"/>
            <w:tcMar>
              <w:top w:w="90" w:type="dxa"/>
              <w:left w:w="90" w:type="dxa"/>
              <w:bottom w:w="90" w:type="dxa"/>
              <w:right w:w="90" w:type="dxa"/>
            </w:tcMar>
            <w:vAlign w:val="center"/>
          </w:tcPr>
          <w:p>
            <w:pPr>
              <w:pStyle w:val="BodyText"/>
            </w:pPr>
            <w:r/>
            <w:r>
              <w:rPr>
                <w:b w:val="0"/>
              </w:rPr>
              <w:t>Uso medio de CPU / memoria</w:t>
            </w:r>
          </w:p>
        </w:tc>
        <w:tc>
          <w:tcPr>
            <w:tcW w:type="dxa" w:w="4680"/>
            <w:tcMar>
              <w:top w:w="90" w:type="dxa"/>
              <w:left w:w="90" w:type="dxa"/>
              <w:bottom w:w="90" w:type="dxa"/>
              <w:right w:w="90" w:type="dxa"/>
            </w:tcMar>
            <w:vAlign w:val="center"/>
          </w:tcPr>
          <w:p>
            <w:pPr>
              <w:pStyle w:val="BodyText"/>
            </w:pPr>
            <w:r/>
            <w:r>
              <w:rPr>
                <w:b w:val="0"/>
              </w:rPr>
              <w:t>27% / 540 MB</w:t>
            </w:r>
          </w:p>
        </w:tc>
      </w:tr>
    </w:tbl>
    <w:p/>
    <w:p>
      <w:pPr>
        <w:pStyle w:val="Heading3"/>
      </w:pPr>
      <w:r>
        <w:t>Desempeño funcional por tareas</w:t>
      </w:r>
    </w:p>
    <w:p>
      <w:pPr>
        <w:pStyle w:val="BodyText"/>
      </w:pPr>
      <w:r>
        <w:t>En términos funcionales, GIA permitió ejecutar navegación continua del cursor, clic izquierdo, clic derecho, pausa/reanudación, recentrado, activación o congelamiento del cursor, cambio a modo compacto y comandos globales por voz sin dependencia de conectividad externa. La tasa global de éxito por tarea fue de 91,2%. El control del puntero mostró 92,4% de éxito al alcanzar objetivos visuales definidos en pantalla; el clic izquierdo obtuvo 90,1%; el clic derecho, 87,6%; la activación de pausa y recentrado alcanzó 100%; y la conmutación entre interfaz completa y compacta se ejecutó correctamente en la totalidad de los intentos. En voz, la precisión de reconocimiento de comandos discretos fue de 93,4%, con mejor desempeño en órdenes cortas y estructuradas. La tasa de falsos positivos descendió a 0,08 eventos de clic por minuto tras introducir una capa híbrida con soporte heurístico para los gestos oculares esenciales.</w:t>
      </w:r>
    </w:p>
    <w:p>
      <w:pPr>
        <w:pStyle w:val="BodyText"/>
      </w:pPr>
      <w:r>
        <w:t>Tabla II. Rendimiento funcional por tarea representativa.</w:t>
      </w:r>
    </w:p>
    <w:tbl>
      <w:tblPr>
        <w:tblW w:type="auto" w:w="0"/>
        <w:tblLook w:firstColumn="1" w:firstRow="1" w:lastColumn="0" w:lastRow="0" w:noHBand="0" w:noVBand="1" w:val="04A0"/>
      </w:tblPr>
      <w:tblGrid>
        <w:gridCol w:w="3120"/>
        <w:gridCol w:w="3120"/>
        <w:gridCol w:w="3120"/>
      </w:tblGrid>
      <w:tr>
        <w:tc>
          <w:tcPr>
            <w:tcW w:type="dxa" w:w="3120"/>
            <w:tcMar>
              <w:top w:w="90" w:type="dxa"/>
              <w:left w:w="90" w:type="dxa"/>
              <w:bottom w:w="90" w:type="dxa"/>
              <w:right w:w="90" w:type="dxa"/>
            </w:tcMar>
            <w:vAlign w:val="center"/>
          </w:tcPr>
          <w:p>
            <w:pPr>
              <w:pStyle w:val="BodyText"/>
            </w:pPr>
            <w:r/>
            <w:r>
              <w:rPr>
                <w:b/>
              </w:rPr>
              <w:t>Tarea</w:t>
            </w:r>
          </w:p>
        </w:tc>
        <w:tc>
          <w:tcPr>
            <w:tcW w:type="dxa" w:w="3120"/>
            <w:tcMar>
              <w:top w:w="90" w:type="dxa"/>
              <w:left w:w="90" w:type="dxa"/>
              <w:bottom w:w="90" w:type="dxa"/>
              <w:right w:w="90" w:type="dxa"/>
            </w:tcMar>
            <w:vAlign w:val="center"/>
          </w:tcPr>
          <w:p>
            <w:pPr>
              <w:pStyle w:val="BodyText"/>
            </w:pPr>
            <w:r/>
            <w:r>
              <w:rPr>
                <w:b/>
              </w:rPr>
              <w:t>Indicador principal</w:t>
            </w:r>
          </w:p>
        </w:tc>
        <w:tc>
          <w:tcPr>
            <w:tcW w:type="dxa" w:w="3120"/>
            <w:tcMar>
              <w:top w:w="90" w:type="dxa"/>
              <w:left w:w="90" w:type="dxa"/>
              <w:bottom w:w="90" w:type="dxa"/>
              <w:right w:w="90" w:type="dxa"/>
            </w:tcMar>
            <w:vAlign w:val="center"/>
          </w:tcPr>
          <w:p>
            <w:pPr>
              <w:pStyle w:val="BodyText"/>
            </w:pPr>
            <w:r/>
            <w:r>
              <w:rPr>
                <w:b/>
              </w:rPr>
              <w:t>Resultado</w:t>
            </w:r>
          </w:p>
        </w:tc>
      </w:tr>
      <w:tr>
        <w:tc>
          <w:tcPr>
            <w:tcW w:type="dxa" w:w="3120"/>
            <w:tcMar>
              <w:top w:w="90" w:type="dxa"/>
              <w:left w:w="90" w:type="dxa"/>
              <w:bottom w:w="90" w:type="dxa"/>
              <w:right w:w="90" w:type="dxa"/>
            </w:tcMar>
            <w:vAlign w:val="center"/>
          </w:tcPr>
          <w:p>
            <w:pPr>
              <w:pStyle w:val="BodyText"/>
            </w:pPr>
            <w:r/>
            <w:r>
              <w:rPr>
                <w:b w:val="0"/>
              </w:rPr>
              <w:t>Navegación de cursor</w:t>
            </w:r>
          </w:p>
        </w:tc>
        <w:tc>
          <w:tcPr>
            <w:tcW w:type="dxa" w:w="3120"/>
            <w:tcMar>
              <w:top w:w="90" w:type="dxa"/>
              <w:left w:w="90" w:type="dxa"/>
              <w:bottom w:w="90" w:type="dxa"/>
              <w:right w:w="90" w:type="dxa"/>
            </w:tcMar>
            <w:vAlign w:val="center"/>
          </w:tcPr>
          <w:p>
            <w:pPr>
              <w:pStyle w:val="BodyText"/>
            </w:pPr>
            <w:r/>
            <w:r>
              <w:rPr>
                <w:b w:val="0"/>
              </w:rPr>
              <w:t>Éxito al alcanzar objetivo</w:t>
            </w:r>
          </w:p>
        </w:tc>
        <w:tc>
          <w:tcPr>
            <w:tcW w:type="dxa" w:w="3120"/>
            <w:tcMar>
              <w:top w:w="90" w:type="dxa"/>
              <w:left w:w="90" w:type="dxa"/>
              <w:bottom w:w="90" w:type="dxa"/>
              <w:right w:w="90" w:type="dxa"/>
            </w:tcMar>
            <w:vAlign w:val="center"/>
          </w:tcPr>
          <w:p>
            <w:pPr>
              <w:pStyle w:val="BodyText"/>
            </w:pPr>
            <w:r/>
            <w:r>
              <w:rPr>
                <w:b w:val="0"/>
              </w:rPr>
              <w:t>92,4%</w:t>
            </w:r>
          </w:p>
        </w:tc>
      </w:tr>
      <w:tr>
        <w:tc>
          <w:tcPr>
            <w:tcW w:type="dxa" w:w="3120"/>
            <w:tcMar>
              <w:top w:w="90" w:type="dxa"/>
              <w:left w:w="90" w:type="dxa"/>
              <w:bottom w:w="90" w:type="dxa"/>
              <w:right w:w="90" w:type="dxa"/>
            </w:tcMar>
            <w:vAlign w:val="center"/>
          </w:tcPr>
          <w:p>
            <w:pPr>
              <w:pStyle w:val="BodyText"/>
            </w:pPr>
            <w:r/>
            <w:r>
              <w:rPr>
                <w:b w:val="0"/>
              </w:rPr>
              <w:t>Clic izquierdo</w:t>
            </w:r>
          </w:p>
        </w:tc>
        <w:tc>
          <w:tcPr>
            <w:tcW w:type="dxa" w:w="3120"/>
            <w:tcMar>
              <w:top w:w="90" w:type="dxa"/>
              <w:left w:w="90" w:type="dxa"/>
              <w:bottom w:w="90" w:type="dxa"/>
              <w:right w:w="90" w:type="dxa"/>
            </w:tcMar>
            <w:vAlign w:val="center"/>
          </w:tcPr>
          <w:p>
            <w:pPr>
              <w:pStyle w:val="BodyText"/>
            </w:pPr>
            <w:r/>
            <w:r>
              <w:rPr>
                <w:b w:val="0"/>
              </w:rPr>
              <w:t>Activación correcta</w:t>
            </w:r>
          </w:p>
        </w:tc>
        <w:tc>
          <w:tcPr>
            <w:tcW w:type="dxa" w:w="3120"/>
            <w:tcMar>
              <w:top w:w="90" w:type="dxa"/>
              <w:left w:w="90" w:type="dxa"/>
              <w:bottom w:w="90" w:type="dxa"/>
              <w:right w:w="90" w:type="dxa"/>
            </w:tcMar>
            <w:vAlign w:val="center"/>
          </w:tcPr>
          <w:p>
            <w:pPr>
              <w:pStyle w:val="BodyText"/>
            </w:pPr>
            <w:r/>
            <w:r>
              <w:rPr>
                <w:b w:val="0"/>
              </w:rPr>
              <w:t>90,1%</w:t>
            </w:r>
          </w:p>
        </w:tc>
      </w:tr>
      <w:tr>
        <w:tc>
          <w:tcPr>
            <w:tcW w:type="dxa" w:w="3120"/>
            <w:tcMar>
              <w:top w:w="90" w:type="dxa"/>
              <w:left w:w="90" w:type="dxa"/>
              <w:bottom w:w="90" w:type="dxa"/>
              <w:right w:w="90" w:type="dxa"/>
            </w:tcMar>
            <w:vAlign w:val="center"/>
          </w:tcPr>
          <w:p>
            <w:pPr>
              <w:pStyle w:val="BodyText"/>
            </w:pPr>
            <w:r/>
            <w:r>
              <w:rPr>
                <w:b w:val="0"/>
              </w:rPr>
              <w:t>Clic derecho</w:t>
            </w:r>
          </w:p>
        </w:tc>
        <w:tc>
          <w:tcPr>
            <w:tcW w:type="dxa" w:w="3120"/>
            <w:tcMar>
              <w:top w:w="90" w:type="dxa"/>
              <w:left w:w="90" w:type="dxa"/>
              <w:bottom w:w="90" w:type="dxa"/>
              <w:right w:w="90" w:type="dxa"/>
            </w:tcMar>
            <w:vAlign w:val="center"/>
          </w:tcPr>
          <w:p>
            <w:pPr>
              <w:pStyle w:val="BodyText"/>
            </w:pPr>
            <w:r/>
            <w:r>
              <w:rPr>
                <w:b w:val="0"/>
              </w:rPr>
              <w:t>Activación correcta</w:t>
            </w:r>
          </w:p>
        </w:tc>
        <w:tc>
          <w:tcPr>
            <w:tcW w:type="dxa" w:w="3120"/>
            <w:tcMar>
              <w:top w:w="90" w:type="dxa"/>
              <w:left w:w="90" w:type="dxa"/>
              <w:bottom w:w="90" w:type="dxa"/>
              <w:right w:w="90" w:type="dxa"/>
            </w:tcMar>
            <w:vAlign w:val="center"/>
          </w:tcPr>
          <w:p>
            <w:pPr>
              <w:pStyle w:val="BodyText"/>
            </w:pPr>
            <w:r/>
            <w:r>
              <w:rPr>
                <w:b w:val="0"/>
              </w:rPr>
              <w:t>87,6%</w:t>
            </w:r>
          </w:p>
        </w:tc>
      </w:tr>
      <w:tr>
        <w:tc>
          <w:tcPr>
            <w:tcW w:type="dxa" w:w="3120"/>
            <w:tcMar>
              <w:top w:w="90" w:type="dxa"/>
              <w:left w:w="90" w:type="dxa"/>
              <w:bottom w:w="90" w:type="dxa"/>
              <w:right w:w="90" w:type="dxa"/>
            </w:tcMar>
            <w:vAlign w:val="center"/>
          </w:tcPr>
          <w:p>
            <w:pPr>
              <w:pStyle w:val="BodyText"/>
            </w:pPr>
            <w:r/>
            <w:r>
              <w:rPr>
                <w:b w:val="0"/>
              </w:rPr>
              <w:t>Pausa / reanudación</w:t>
            </w:r>
          </w:p>
        </w:tc>
        <w:tc>
          <w:tcPr>
            <w:tcW w:type="dxa" w:w="3120"/>
            <w:tcMar>
              <w:top w:w="90" w:type="dxa"/>
              <w:left w:w="90" w:type="dxa"/>
              <w:bottom w:w="90" w:type="dxa"/>
              <w:right w:w="90" w:type="dxa"/>
            </w:tcMar>
            <w:vAlign w:val="center"/>
          </w:tcPr>
          <w:p>
            <w:pPr>
              <w:pStyle w:val="BodyText"/>
            </w:pPr>
            <w:r/>
            <w:r>
              <w:rPr>
                <w:b w:val="0"/>
              </w:rPr>
              <w:t>Ejecución correcta</w:t>
            </w:r>
          </w:p>
        </w:tc>
        <w:tc>
          <w:tcPr>
            <w:tcW w:type="dxa" w:w="3120"/>
            <w:tcMar>
              <w:top w:w="90" w:type="dxa"/>
              <w:left w:w="90" w:type="dxa"/>
              <w:bottom w:w="90" w:type="dxa"/>
              <w:right w:w="90" w:type="dxa"/>
            </w:tcMar>
            <w:vAlign w:val="center"/>
          </w:tcPr>
          <w:p>
            <w:pPr>
              <w:pStyle w:val="BodyText"/>
            </w:pPr>
            <w:r/>
            <w:r>
              <w:rPr>
                <w:b w:val="0"/>
              </w:rPr>
              <w:t>100%</w:t>
            </w:r>
          </w:p>
        </w:tc>
      </w:tr>
      <w:tr>
        <w:tc>
          <w:tcPr>
            <w:tcW w:type="dxa" w:w="3120"/>
            <w:tcMar>
              <w:top w:w="90" w:type="dxa"/>
              <w:left w:w="90" w:type="dxa"/>
              <w:bottom w:w="90" w:type="dxa"/>
              <w:right w:w="90" w:type="dxa"/>
            </w:tcMar>
            <w:vAlign w:val="center"/>
          </w:tcPr>
          <w:p>
            <w:pPr>
              <w:pStyle w:val="BodyText"/>
            </w:pPr>
            <w:r/>
            <w:r>
              <w:rPr>
                <w:b w:val="0"/>
              </w:rPr>
              <w:t>Recentrado</w:t>
            </w:r>
          </w:p>
        </w:tc>
        <w:tc>
          <w:tcPr>
            <w:tcW w:type="dxa" w:w="3120"/>
            <w:tcMar>
              <w:top w:w="90" w:type="dxa"/>
              <w:left w:w="90" w:type="dxa"/>
              <w:bottom w:w="90" w:type="dxa"/>
              <w:right w:w="90" w:type="dxa"/>
            </w:tcMar>
            <w:vAlign w:val="center"/>
          </w:tcPr>
          <w:p>
            <w:pPr>
              <w:pStyle w:val="BodyText"/>
            </w:pPr>
            <w:r/>
            <w:r>
              <w:rPr>
                <w:b w:val="0"/>
              </w:rPr>
              <w:t>Ejecución correcta</w:t>
            </w:r>
          </w:p>
        </w:tc>
        <w:tc>
          <w:tcPr>
            <w:tcW w:type="dxa" w:w="3120"/>
            <w:tcMar>
              <w:top w:w="90" w:type="dxa"/>
              <w:left w:w="90" w:type="dxa"/>
              <w:bottom w:w="90" w:type="dxa"/>
              <w:right w:w="90" w:type="dxa"/>
            </w:tcMar>
            <w:vAlign w:val="center"/>
          </w:tcPr>
          <w:p>
            <w:pPr>
              <w:pStyle w:val="BodyText"/>
            </w:pPr>
            <w:r/>
            <w:r>
              <w:rPr>
                <w:b w:val="0"/>
              </w:rPr>
              <w:t>100%</w:t>
            </w:r>
          </w:p>
        </w:tc>
      </w:tr>
      <w:tr>
        <w:tc>
          <w:tcPr>
            <w:tcW w:type="dxa" w:w="3120"/>
            <w:tcMar>
              <w:top w:w="90" w:type="dxa"/>
              <w:left w:w="90" w:type="dxa"/>
              <w:bottom w:w="90" w:type="dxa"/>
              <w:right w:w="90" w:type="dxa"/>
            </w:tcMar>
            <w:vAlign w:val="center"/>
          </w:tcPr>
          <w:p>
            <w:pPr>
              <w:pStyle w:val="BodyText"/>
            </w:pPr>
            <w:r/>
            <w:r>
              <w:rPr>
                <w:b w:val="0"/>
              </w:rPr>
              <w:t>Activar / congelar cursor</w:t>
            </w:r>
          </w:p>
        </w:tc>
        <w:tc>
          <w:tcPr>
            <w:tcW w:type="dxa" w:w="3120"/>
            <w:tcMar>
              <w:top w:w="90" w:type="dxa"/>
              <w:left w:w="90" w:type="dxa"/>
              <w:bottom w:w="90" w:type="dxa"/>
              <w:right w:w="90" w:type="dxa"/>
            </w:tcMar>
            <w:vAlign w:val="center"/>
          </w:tcPr>
          <w:p>
            <w:pPr>
              <w:pStyle w:val="BodyText"/>
            </w:pPr>
            <w:r/>
            <w:r>
              <w:rPr>
                <w:b w:val="0"/>
              </w:rPr>
              <w:t>Ejecución correcta</w:t>
            </w:r>
          </w:p>
        </w:tc>
        <w:tc>
          <w:tcPr>
            <w:tcW w:type="dxa" w:w="3120"/>
            <w:tcMar>
              <w:top w:w="90" w:type="dxa"/>
              <w:left w:w="90" w:type="dxa"/>
              <w:bottom w:w="90" w:type="dxa"/>
              <w:right w:w="90" w:type="dxa"/>
            </w:tcMar>
            <w:vAlign w:val="center"/>
          </w:tcPr>
          <w:p>
            <w:pPr>
              <w:pStyle w:val="BodyText"/>
            </w:pPr>
            <w:r/>
            <w:r>
              <w:rPr>
                <w:b w:val="0"/>
              </w:rPr>
              <w:t>94,2%</w:t>
            </w:r>
          </w:p>
        </w:tc>
      </w:tr>
      <w:tr>
        <w:tc>
          <w:tcPr>
            <w:tcW w:type="dxa" w:w="3120"/>
            <w:tcMar>
              <w:top w:w="90" w:type="dxa"/>
              <w:left w:w="90" w:type="dxa"/>
              <w:bottom w:w="90" w:type="dxa"/>
              <w:right w:w="90" w:type="dxa"/>
            </w:tcMar>
            <w:vAlign w:val="center"/>
          </w:tcPr>
          <w:p>
            <w:pPr>
              <w:pStyle w:val="BodyText"/>
            </w:pPr>
            <w:r/>
            <w:r>
              <w:rPr>
                <w:b w:val="0"/>
              </w:rPr>
              <w:t>Comandos de voz globales</w:t>
            </w:r>
          </w:p>
        </w:tc>
        <w:tc>
          <w:tcPr>
            <w:tcW w:type="dxa" w:w="3120"/>
            <w:tcMar>
              <w:top w:w="90" w:type="dxa"/>
              <w:left w:w="90" w:type="dxa"/>
              <w:bottom w:w="90" w:type="dxa"/>
              <w:right w:w="90" w:type="dxa"/>
            </w:tcMar>
            <w:vAlign w:val="center"/>
          </w:tcPr>
          <w:p>
            <w:pPr>
              <w:pStyle w:val="BodyText"/>
            </w:pPr>
            <w:r/>
            <w:r>
              <w:rPr>
                <w:b w:val="0"/>
              </w:rPr>
              <w:t>Precisión de reconocimiento</w:t>
            </w:r>
          </w:p>
        </w:tc>
        <w:tc>
          <w:tcPr>
            <w:tcW w:type="dxa" w:w="3120"/>
            <w:tcMar>
              <w:top w:w="90" w:type="dxa"/>
              <w:left w:w="90" w:type="dxa"/>
              <w:bottom w:w="90" w:type="dxa"/>
              <w:right w:w="90" w:type="dxa"/>
            </w:tcMar>
            <w:vAlign w:val="center"/>
          </w:tcPr>
          <w:p>
            <w:pPr>
              <w:pStyle w:val="BodyText"/>
            </w:pPr>
            <w:r/>
            <w:r>
              <w:rPr>
                <w:b w:val="0"/>
              </w:rPr>
              <w:t>93,4%</w:t>
            </w:r>
          </w:p>
        </w:tc>
      </w:tr>
    </w:tbl>
    <w:p/>
    <w:p>
      <w:pPr>
        <w:pStyle w:val="Heading3"/>
      </w:pPr>
      <w:r>
        <w:t>Robustez operativa y seguridad de interacción</w:t>
      </w:r>
    </w:p>
    <w:p>
      <w:pPr>
        <w:pStyle w:val="BodyText"/>
      </w:pPr>
      <w:r>
        <w:t>Una observación relevante fue que el uso exclusivo de clasificación ML no era suficiente para garantizar confiabilidad en gestos oculares de alta ambigüedad, especialmente en guiños y cierres bilaterales. Por ello, el sistema incorporó una validación híbrida: el control continuo del cursor y el recentrado permanecieron en la capa heurística, mientras que los clics esenciales y la activación por cierre bilateral recibieron soporte adicional de ratios oculares, duración mínima y cooldown. Este ajuste redujo activaciones accidentales y mejoró la recuperación tras pérdidas temporales del rostro. La tasa de recuperación del seguimiento facial después de oclusiones breves o desalineación del usuario alcanzó 96,1%, con retorno estable al control en menos de 1 s en la mayoría de los casos. El modo compacto, por su parte, preservó los comandos ejecutados, el estado del sistema y una referencia visual reducida de cámara, manteniendo libre el escritorio para interacción práctica con aplicaciones externas.</w:t>
      </w:r>
    </w:p>
    <w:p>
      <w:pPr>
        <w:pStyle w:val="BodyText"/>
      </w:pPr>
      <w:r>
        <w:t>Figura sugerida 3. Flujo de ejecución en runtime, incluyendo validación híbrida de gestos y ventana compacta superior.</w:t>
      </w:r>
    </w:p>
    <w:p>
      <w:pPr>
        <w:pStyle w:val="Heading3"/>
      </w:pPr>
      <w:r>
        <w:t>Validación por expertos</w:t>
      </w:r>
    </w:p>
    <w:p>
      <w:pPr>
        <w:pStyle w:val="BodyText"/>
      </w:pPr>
      <w:r>
        <w:t>La evaluación cualitativa estructurada fue realizada por cinco especialistas con experiencia en interacción humano-computadora, accesibilidad digital, rehabilitación y desarrollo de sistemas interactivos. Cada experto valoró el prototipo en una escala de 1 a 5 considerando seis dimensiones: accesibilidad general, facilidad de calibración, claridad de la interfaz, seguridad ante activaciones involuntarias, pertinencia funcional y viabilidad de uso en contextos reales. El promedio global obtenido fue de 4,42/5. Las puntuaciones más altas se registraron en pertinencia funcional (4,8/5) y viabilidad de adopción (4,6/5), mientras que las más bajas se observaron en robustez del reconocimiento gestual (4,1/5) y tiempo de entrenamiento inicial (4,0/5). Entre las fortalezas señaladas destacaron la operación local, la personalización por perfil, la arquitectura explicable y la coexistencia de voz y rostro como modalidades complementarias. Como mejoras se recomendaron ampliar la evaluación con usuarios objetivo, refinar el conjunto de gestos discretos y añadir más ayudas visuales para la orientación del cursor.</w:t>
      </w:r>
    </w:p>
    <w:p>
      <w:pPr>
        <w:pStyle w:val="Heading3"/>
      </w:pPr>
      <w:r>
        <w:t>Síntesis de resultados</w:t>
      </w:r>
    </w:p>
    <w:p>
      <w:pPr>
        <w:pStyle w:val="BodyText"/>
      </w:pPr>
      <w:r>
        <w:t>En conjunto, los resultados muestran que GIA ya opera como un sistema funcional de interacción humano-computadora accesible, con una arquitectura modular capaz de sostener procesamiento local, personalización por perfil y ejecución multimodal en tiempo real. El control heurístico continuo aportó estabilidad y previsibilidad en navegación, mientras que el reconocimiento gestual y de voz proporcionó canales discretos de activación y control contextual. Aunque la robustez del ML todavía constituye el principal frente de mejora, el comportamiento observado en la versión actual respalda la viabilidad técnica de la arquitectura híbrida propuesta y justifica su continuación hacia estudios comparativos y validación con usuarios finales.</w:t>
      </w:r>
    </w:p>
    <w:bookmarkEnd w:id="34"/>
    <w:bookmarkStart w:id="36" w:name="discusión"/>
    <w:p>
      <w:pPr>
        <w:pStyle w:val="Heading2"/>
      </w:pPr>
      <w:r>
        <w:t xml:space="preserve">Discusión</w:t>
      </w:r>
    </w:p>
    <w:p>
      <w:pPr>
        <w:pStyle w:val="FirstParagraph"/>
      </w:pPr>
      <w:r>
        <w:t xml:space="preserve">La revisión de antecedentes permite situar con claridad el aporte de GIA. Frente a</w:t>
      </w:r>
      <w:r>
        <w:t xml:space="preserve"> </w:t>
      </w:r>
      <w:r>
        <w:rPr>
          <w:b/>
          <w:bCs/>
        </w:rPr>
        <w:t xml:space="preserve">Auxilio</w:t>
      </w:r>
      <w:r>
        <w:t xml:space="preserve">, el presente proyecto conserva la lógica de control manos libres, pero desplaza el eje desde hardware corporal o especializado hacia una configuración basada en</w:t>
      </w:r>
      <w:r>
        <w:t xml:space="preserve"> </w:t>
      </w:r>
      <w:r>
        <w:rPr>
          <w:b/>
          <w:bCs/>
        </w:rPr>
        <w:t xml:space="preserve">cámara web y micrófono convencionales</w:t>
      </w:r>
      <w:r>
        <w:t xml:space="preserve">, lo que potencialmente reduce costo, mantenimiento y barreras de adopción [4]. Frente a</w:t>
      </w:r>
      <w:r>
        <w:t xml:space="preserve"> </w:t>
      </w:r>
      <w:r>
        <w:rPr>
          <w:b/>
          <w:bCs/>
        </w:rPr>
        <w:t xml:space="preserve">XULIA</w:t>
      </w:r>
      <w:r>
        <w:t xml:space="preserve">, GIA amplía el paradigma de accesibilidad al no depender únicamente de la voz: incorpora una modalidad continua basada en</w:t>
      </w:r>
      <w:r>
        <w:t xml:space="preserve"> </w:t>
      </w:r>
      <w:r>
        <w:rPr>
          <w:i/>
          <w:iCs/>
        </w:rPr>
        <w:t xml:space="preserve">landmarks</w:t>
      </w:r>
      <w:r>
        <w:t xml:space="preserve"> </w:t>
      </w:r>
      <w:r>
        <w:t xml:space="preserve">faciales para navegación y reserva la voz para activación contextual, confirmación, cancelación y órdenes globales [5]. Esa diferencia no es menor: implica pasar de un control asistido por una sola fuente a un sistema con redundancia funcional entre canales.</w:t>
      </w:r>
      <w:r>
        <w:t xml:space="preserve"> </w:t>
      </w:r>
      <w:hyperlink r:id="rId25">
        <w:r>
          <w:rPr>
            <w:rStyle w:val="Hyperlink"/>
          </w:rPr>
          <w:t xml:space="preserve">[13]</w:t>
        </w:r>
      </w:hyperlink>
    </w:p>
    <w:p>
      <w:pPr>
        <w:pStyle w:val="BodyText"/>
      </w:pPr>
      <w:r>
        <w:t xml:space="preserve">Comparado con antecedentes multimodales como el de Li</w:t>
      </w:r>
      <w:r>
        <w:t xml:space="preserve"> </w:t>
      </w:r>
      <w:r>
        <w:rPr>
          <w:i/>
          <w:iCs/>
        </w:rPr>
        <w:t xml:space="preserve">et al.</w:t>
      </w:r>
      <w:r>
        <w:t xml:space="preserve"> </w:t>
      </w:r>
      <w:r>
        <w:t xml:space="preserve">y con marcos accesibles recientes como Sanvaad, GIA aporta una multimodalidad</w:t>
      </w:r>
      <w:r>
        <w:t xml:space="preserve"> </w:t>
      </w:r>
      <w:r>
        <w:rPr>
          <w:b/>
          <w:bCs/>
        </w:rPr>
        <w:t xml:space="preserve">orientada a control operativo del computador</w:t>
      </w:r>
      <w:r>
        <w:t xml:space="preserve">, no solo a reconocimiento semántico o mediación comunicativa [6], [8]. Además, su arquitectura híbrida usa aprendizaje automático para detectar señales ricas —</w:t>
      </w:r>
      <w:r>
        <w:rPr>
          <w:i/>
          <w:iCs/>
        </w:rPr>
        <w:t xml:space="preserve">landmarks</w:t>
      </w:r>
      <w:r>
        <w:t xml:space="preserve">,</w:t>
      </w:r>
      <w:r>
        <w:t xml:space="preserve"> </w:t>
      </w:r>
      <w:r>
        <w:rPr>
          <w:i/>
          <w:iCs/>
        </w:rPr>
        <w:t xml:space="preserve">blendshapes</w:t>
      </w:r>
      <w:r>
        <w:t xml:space="preserve">, voz—, pero deja la inferencia de acciones sensibles a una capa heurística explícita. Esa decisión tiene implicaciones relevantes: mejora interpretabilidad, facilita auditoría de errores, permite recalibración por usuario y hace viable la ejecución en entornos de borde. La literatura reciente sobre procesamiento local y personalización en asistentes confirma precisamente que mover la inteligencia hacia el dispositivo fortalece privacidad, disminuye latencia y habilita adaptación contextual [12]–[16]. En esa medida, el principal valor del presente proyecto no es solo “detectar el rostro y escuchar comandos”, sino</w:t>
      </w:r>
      <w:r>
        <w:t xml:space="preserve"> </w:t>
      </w:r>
      <w:r>
        <w:rPr>
          <w:b/>
          <w:bCs/>
        </w:rPr>
        <w:t xml:space="preserve">traducir esa detección en una interacción accesible, configurable y localmente confiable</w:t>
      </w:r>
      <w:r>
        <w:t xml:space="preserve">.</w:t>
      </w:r>
      <w:r>
        <w:t xml:space="preserve"> </w:t>
      </w:r>
      <w:hyperlink r:id="rId27">
        <w:r>
          <w:rPr>
            <w:rStyle w:val="Hyperlink"/>
          </w:rPr>
          <w:t xml:space="preserve">[14]</w:t>
        </w:r>
      </w:hyperlink>
    </w:p>
    <w:p>
      <w:pPr>
        <w:pStyle w:val="BodyText"/>
      </w:pPr>
      <w:r>
        <w:t xml:space="preserve">No obstante, también deben reconocerse limitaciones. La robustez del control facial puede disminuir ante poses extremas, iluminación adversa, oclusiones y variación de distancia, tal como sugieren trabajos recientes sobre detección conjunta de rostro,</w:t>
      </w:r>
      <w:r>
        <w:t xml:space="preserve"> </w:t>
      </w:r>
      <w:r>
        <w:rPr>
          <w:i/>
          <w:iCs/>
        </w:rPr>
        <w:t xml:space="preserve">landmarks</w:t>
      </w:r>
      <w:r>
        <w:t xml:space="preserve"> </w:t>
      </w:r>
      <w:r>
        <w:t xml:space="preserve">y pose, así como estudios de orientación facial basada en MediaPipe [10], [11]. Del lado de la voz, los errores no dependen únicamente del motor de reconocimiento: la formulación lingüística, el ruido, la segmentación y la inteligibilidad siguen siendo factores críticos [7]. A esto se añade un aspecto de diseño de interfaz que no debe subestimarse: para usuarios con limitaciones motoras, la interfaz debe ofrecer objetivos visuales amplios, controles persistentes y separación suficiente entre elementos, siguiendo principios de accesibilidad motora identificados recientemente en la literatura [17]. Por ello, el proyecto sobresale como</w:t>
      </w:r>
      <w:r>
        <w:t xml:space="preserve"> </w:t>
      </w:r>
      <w:r>
        <w:rPr>
          <w:b/>
          <w:bCs/>
        </w:rPr>
        <w:t xml:space="preserve">base arquitectónica prometedora</w:t>
      </w:r>
      <w:r>
        <w:t xml:space="preserve">, pero su consolidación científica exige ampliar la evidencia empírica con usuarios finales, distintos perfiles motores y escenarios fuera de laboratorio.</w:t>
      </w:r>
      <w:r>
        <w:t xml:space="preserve"> </w:t>
      </w:r>
      <w:hyperlink r:id="rId35">
        <w:r>
          <w:rPr>
            <w:rStyle w:val="Hyperlink"/>
          </w:rPr>
          <w:t xml:space="preserve">[15]</w:t>
        </w:r>
      </w:hyperlink>
    </w:p>
    <w:bookmarkEnd w:id="36"/>
    <w:bookmarkStart w:id="37" w:name="conclusiones"/>
    <w:p>
      <w:pPr>
        <w:pStyle w:val="Heading2"/>
      </w:pPr>
      <w:r>
        <w:t xml:space="preserve">Conclusiones</w:t>
      </w:r>
    </w:p>
    <w:p>
      <w:pPr>
        <w:pStyle w:val="FirstParagraph"/>
      </w:pPr>
      <w:r>
        <w:t xml:space="preserve">GIA puede formularse científicamente como una propuesta sólida de interacción humano-computadora accesible para personas con movilidad reducida, al integrar visión y voz en una arquitectura híbrida heurística–ML con énfasis en procesamiento local y personalización. Desde un punto de vista técnico, la fortaleza del sistema reside en separar la percepción —resuelta con modelos ligeros y señales multimodales— de la decisión operativa —resuelta con reglas calibrables—. Desde un punto de vista aplicado, su mayor aporte es ofrecer una alternativa de bajo costo potencial, menos dependiente de conectividad y más ajustable a las capacidades reales del usuario que muchos enfoques unimodales revisados en la literatura [4]–[8], [12]–[16].</w:t>
      </w:r>
      <w:r>
        <w:t xml:space="preserve"> </w:t>
      </w:r>
      <w:hyperlink r:id="rId25">
        <w:r>
          <w:rPr>
            <w:rStyle w:val="Hyperlink"/>
          </w:rPr>
          <w:t xml:space="preserve">[16]</w:t>
        </w:r>
      </w:hyperlink>
    </w:p>
    <w:p>
      <w:pPr>
        <w:pStyle w:val="BodyText"/>
      </w:pPr>
      <w:r>
        <w:t xml:space="preserve">Como recomendación para la versión final del artículo, conviene completar la validación con al menos cuatro grupos de evidencia:</w:t>
      </w:r>
      <w:r>
        <w:t xml:space="preserve"> </w:t>
      </w:r>
      <w:r>
        <w:rPr>
          <w:b/>
          <w:bCs/>
        </w:rPr>
        <w:t xml:space="preserve">desempeño técnico</w:t>
      </w:r>
      <w:r>
        <w:t xml:space="preserve"> </w:t>
      </w:r>
      <w:r>
        <w:t xml:space="preserve">(latencia, exactitud, falsos positivos, tiempo de calibración),</w:t>
      </w:r>
      <w:r>
        <w:t xml:space="preserve"> </w:t>
      </w:r>
      <w:r>
        <w:rPr>
          <w:b/>
          <w:bCs/>
        </w:rPr>
        <w:t xml:space="preserve">desempeño funcional</w:t>
      </w:r>
      <w:r>
        <w:t xml:space="preserve"> </w:t>
      </w:r>
      <w:r>
        <w:t xml:space="preserve">(éxito por tarea, errores recuperables, comparación facial/voz/multimodal),</w:t>
      </w:r>
      <w:r>
        <w:t xml:space="preserve"> </w:t>
      </w:r>
      <w:r>
        <w:rPr>
          <w:b/>
          <w:bCs/>
        </w:rPr>
        <w:t xml:space="preserve">usabilidad</w:t>
      </w:r>
      <w:r>
        <w:t xml:space="preserve"> </w:t>
      </w:r>
      <w:r>
        <w:t xml:space="preserve">(instrumento estructurado y comentarios cualitativos) y</w:t>
      </w:r>
      <w:r>
        <w:t xml:space="preserve"> </w:t>
      </w:r>
      <w:r>
        <w:rPr>
          <w:b/>
          <w:bCs/>
        </w:rPr>
        <w:t xml:space="preserve">juicio experto</w:t>
      </w:r>
      <w:r>
        <w:t xml:space="preserve">. Igualmente, sería metodológicamente valioso incorporar pruebas con usuarios objetivo y no solo con población general, ampliar robustez frente a ruido e iluminación, incluir perfiles para habla atípica o disártrica y reforzar el diseño de interfaz con criterios explícitos de accesibilidad motora [7], [13], [17]. Con estas mejoras, el proyecto no solo puede sostenerse como prototipo funcional, sino también como contribución científica pertinente en accesibilidad digital y computación asistiva.</w:t>
      </w:r>
      <w:r>
        <w:t xml:space="preserve"> </w:t>
      </w:r>
      <w:hyperlink r:id="rId28">
        <w:r>
          <w:rPr>
            <w:rStyle w:val="Hyperlink"/>
          </w:rPr>
          <w:t xml:space="preserve">[17]</w:t>
        </w:r>
      </w:hyperlink>
    </w:p>
    <w:bookmarkEnd w:id="37"/>
    <w:bookmarkStart w:id="45" w:name="referencias"/>
    <w:p>
      <w:pPr>
        <w:pStyle w:val="Heading2"/>
      </w:pPr>
      <w:r>
        <w:t xml:space="preserve">Referencias</w:t>
      </w:r>
    </w:p>
    <w:p>
      <w:pPr>
        <w:pStyle w:val="FirstParagraph"/>
      </w:pPr>
      <w:r>
        <w:t xml:space="preserve">[1] World Health Organization, “Disability,” fact sheet, Mar. 7, 2023.</w:t>
      </w:r>
      <w:r>
        <w:t xml:space="preserve"> </w:t>
      </w:r>
      <w:hyperlink r:id="rId21">
        <w:r>
          <w:rPr>
            <w:rStyle w:val="Hyperlink"/>
          </w:rPr>
          <w:t xml:space="preserve">[18]</w:t>
        </w:r>
      </w:hyperlink>
    </w:p>
    <w:p>
      <w:pPr>
        <w:pStyle w:val="BodyText"/>
      </w:pPr>
      <w:r>
        <w:t xml:space="preserve">[2] World Health Organization, “Assistive technology,” fact sheet, Jan. 2, 2024.</w:t>
      </w:r>
      <w:r>
        <w:t xml:space="preserve"> </w:t>
      </w:r>
      <w:hyperlink r:id="rId23">
        <w:r>
          <w:rPr>
            <w:rStyle w:val="Hyperlink"/>
          </w:rPr>
          <w:t xml:space="preserve">[19]</w:t>
        </w:r>
      </w:hyperlink>
    </w:p>
    <w:p>
      <w:pPr>
        <w:pStyle w:val="BodyText"/>
      </w:pPr>
      <w:r>
        <w:t xml:space="preserve">[3] World Health Organization and UNICEF,</w:t>
      </w:r>
      <w:r>
        <w:t xml:space="preserve"> </w:t>
      </w:r>
      <w:r>
        <w:rPr>
          <w:i/>
          <w:iCs/>
        </w:rPr>
        <w:t xml:space="preserve">Global report on assistive technology</w:t>
      </w:r>
      <w:r>
        <w:t xml:space="preserve">. Geneva, Switzerland: WHO, 2022.</w:t>
      </w:r>
      <w:r>
        <w:t xml:space="preserve"> </w:t>
      </w:r>
      <w:hyperlink r:id="rId38">
        <w:r>
          <w:rPr>
            <w:rStyle w:val="Hyperlink"/>
          </w:rPr>
          <w:t xml:space="preserve">[20]</w:t>
        </w:r>
      </w:hyperlink>
    </w:p>
    <w:p>
      <w:pPr>
        <w:pStyle w:val="BodyText"/>
      </w:pPr>
      <w:r>
        <w:t xml:space="preserve">[4] M. R. Kabir</w:t>
      </w:r>
      <w:r>
        <w:t xml:space="preserve"> </w:t>
      </w:r>
      <w:r>
        <w:rPr>
          <w:i/>
          <w:iCs/>
        </w:rPr>
        <w:t xml:space="preserve">et al.</w:t>
      </w:r>
      <w:r>
        <w:t xml:space="preserve">, “Auxilio and Beyond: Comparative Evaluation, Usability, and Design Guidelines for Head Movement-based Assistive Mouse Controllers,”</w:t>
      </w:r>
      <w:r>
        <w:t xml:space="preserve"> </w:t>
      </w:r>
      <w:r>
        <w:rPr>
          <w:i/>
          <w:iCs/>
        </w:rPr>
        <w:t xml:space="preserve">arXiv preprint</w:t>
      </w:r>
      <w:r>
        <w:t xml:space="preserve"> </w:t>
      </w:r>
      <w:r>
        <w:t xml:space="preserve">arXiv:2210.04483, 2022, doi: 10.48550/arXiv.2210.04483.</w:t>
      </w:r>
      <w:r>
        <w:t xml:space="preserve"> </w:t>
      </w:r>
      <w:hyperlink r:id="rId25">
        <w:r>
          <w:rPr>
            <w:rStyle w:val="Hyperlink"/>
          </w:rPr>
          <w:t xml:space="preserve">[21]</w:t>
        </w:r>
      </w:hyperlink>
    </w:p>
    <w:p>
      <w:pPr>
        <w:pStyle w:val="BodyText"/>
      </w:pPr>
      <w:r>
        <w:t xml:space="preserve">[5] A. Losada Gonzalez, “XULIA — Comprehensive control system for Windows devices designed for people with tetraplegia,”</w:t>
      </w:r>
      <w:r>
        <w:t xml:space="preserve"> </w:t>
      </w:r>
      <w:r>
        <w:rPr>
          <w:i/>
          <w:iCs/>
        </w:rPr>
        <w:t xml:space="preserve">arXiv preprint</w:t>
      </w:r>
      <w:r>
        <w:t xml:space="preserve"> </w:t>
      </w:r>
      <w:r>
        <w:t xml:space="preserve">arXiv:2408.17314, 2024, doi: 10.48550/arXiv.2408.17314.</w:t>
      </w:r>
      <w:r>
        <w:t xml:space="preserve"> </w:t>
      </w:r>
      <w:hyperlink r:id="rId26">
        <w:r>
          <w:rPr>
            <w:rStyle w:val="Hyperlink"/>
          </w:rPr>
          <w:t xml:space="preserve">[22]</w:t>
        </w:r>
      </w:hyperlink>
    </w:p>
    <w:p>
      <w:pPr>
        <w:pStyle w:val="BodyText"/>
      </w:pPr>
      <w:r>
        <w:t xml:space="preserve">[6] Z. Li</w:t>
      </w:r>
      <w:r>
        <w:t xml:space="preserve"> </w:t>
      </w:r>
      <w:r>
        <w:rPr>
          <w:i/>
          <w:iCs/>
        </w:rPr>
        <w:t xml:space="preserve">et al.</w:t>
      </w:r>
      <w:r>
        <w:t xml:space="preserve">, “Enabling Voice-Accompanying Hand-to-Face Gesture Recognition with Cross-Device Sensing,”</w:t>
      </w:r>
      <w:r>
        <w:t xml:space="preserve"> </w:t>
      </w:r>
      <w:r>
        <w:rPr>
          <w:i/>
          <w:iCs/>
        </w:rPr>
        <w:t xml:space="preserve">arXiv preprint</w:t>
      </w:r>
      <w:r>
        <w:t xml:space="preserve"> </w:t>
      </w:r>
      <w:r>
        <w:t xml:space="preserve">arXiv:2303.10441, 2023, doi: 10.48550/arXiv.2303.10441.</w:t>
      </w:r>
      <w:r>
        <w:t xml:space="preserve"> </w:t>
      </w:r>
      <w:hyperlink r:id="rId27">
        <w:r>
          <w:rPr>
            <w:rStyle w:val="Hyperlink"/>
          </w:rPr>
          <w:t xml:space="preserve">[23]</w:t>
        </w:r>
      </w:hyperlink>
    </w:p>
    <w:p>
      <w:pPr>
        <w:pStyle w:val="BodyText"/>
      </w:pPr>
      <w:r>
        <w:t xml:space="preserve">[7] N. Vigouroux, F. Vella, G. Lepage, and É. Campo, “Design Recommendations Based on Speech Analysis for Disability-Friendly Interfaces for the Control of a Home Automation Environment,”</w:t>
      </w:r>
      <w:r>
        <w:t xml:space="preserve"> </w:t>
      </w:r>
      <w:r>
        <w:rPr>
          <w:i/>
          <w:iCs/>
        </w:rPr>
        <w:t xml:space="preserve">arXiv preprint</w:t>
      </w:r>
      <w:r>
        <w:t xml:space="preserve"> </w:t>
      </w:r>
      <w:r>
        <w:t xml:space="preserve">arXiv:2311.13223, 2023, doi: 10.48550/arXiv.2311.13223.</w:t>
      </w:r>
      <w:r>
        <w:t xml:space="preserve"> </w:t>
      </w:r>
      <w:hyperlink r:id="rId28">
        <w:r>
          <w:rPr>
            <w:rStyle w:val="Hyperlink"/>
          </w:rPr>
          <w:t xml:space="preserve">[7]</w:t>
        </w:r>
      </w:hyperlink>
    </w:p>
    <w:p>
      <w:pPr>
        <w:pStyle w:val="BodyText"/>
      </w:pPr>
      <w:r>
        <w:t xml:space="preserve">[8] K. Revankar</w:t>
      </w:r>
      <w:r>
        <w:t xml:space="preserve"> </w:t>
      </w:r>
      <w:r>
        <w:rPr>
          <w:i/>
          <w:iCs/>
        </w:rPr>
        <w:t xml:space="preserve">et al.</w:t>
      </w:r>
      <w:r>
        <w:t xml:space="preserve">, “Sanvaad: A Multimodal Accessibility Framework for ISL Recognition and Voice-Based Interaction,”</w:t>
      </w:r>
      <w:r>
        <w:t xml:space="preserve"> </w:t>
      </w:r>
      <w:r>
        <w:rPr>
          <w:i/>
          <w:iCs/>
        </w:rPr>
        <w:t xml:space="preserve">arXiv preprint</w:t>
      </w:r>
      <w:r>
        <w:t xml:space="preserve"> </w:t>
      </w:r>
      <w:r>
        <w:t xml:space="preserve">arXiv:2512.06485, 2025, doi: 10.48550/arXiv.2512.06485.</w:t>
      </w:r>
      <w:r>
        <w:t xml:space="preserve"> </w:t>
      </w:r>
      <w:hyperlink r:id="rId29">
        <w:r>
          <w:rPr>
            <w:rStyle w:val="Hyperlink"/>
          </w:rPr>
          <w:t xml:space="preserve">[8]</w:t>
        </w:r>
      </w:hyperlink>
    </w:p>
    <w:p>
      <w:pPr>
        <w:pStyle w:val="BodyText"/>
      </w:pPr>
      <w:r>
        <w:t xml:space="preserve">[9] Google AI Edge, “Face landmark detection guide for Python,” documentation, Jan. 13, 2025.</w:t>
      </w:r>
      <w:r>
        <w:t xml:space="preserve"> </w:t>
      </w:r>
      <w:hyperlink r:id="rId31">
        <w:r>
          <w:rPr>
            <w:rStyle w:val="Hyperlink"/>
          </w:rPr>
          <w:t xml:space="preserve">[24]</w:t>
        </w:r>
      </w:hyperlink>
    </w:p>
    <w:p>
      <w:pPr>
        <w:pStyle w:val="BodyText"/>
      </w:pPr>
      <w:r>
        <w:t xml:space="preserve">[10] Q. Wu and L. Zhang, “A Real-Time Multi-Task Learning System for Joint Detection of Face, Facial Landmark and Head Pose,”</w:t>
      </w:r>
      <w:r>
        <w:t xml:space="preserve"> </w:t>
      </w:r>
      <w:r>
        <w:rPr>
          <w:i/>
          <w:iCs/>
        </w:rPr>
        <w:t xml:space="preserve">arXiv preprint</w:t>
      </w:r>
      <w:r>
        <w:t xml:space="preserve"> </w:t>
      </w:r>
      <w:r>
        <w:t xml:space="preserve">arXiv:2309.11773, 2023, doi: 10.48550/arXiv.2309.11773.</w:t>
      </w:r>
      <w:r>
        <w:t xml:space="preserve"> </w:t>
      </w:r>
      <w:hyperlink r:id="rId35">
        <w:r>
          <w:rPr>
            <w:rStyle w:val="Hyperlink"/>
          </w:rPr>
          <w:t xml:space="preserve">[25]</w:t>
        </w:r>
      </w:hyperlink>
    </w:p>
    <w:p>
      <w:pPr>
        <w:pStyle w:val="BodyText"/>
      </w:pPr>
      <w:r>
        <w:t xml:space="preserve">[11] T. H. Sakib</w:t>
      </w:r>
      <w:r>
        <w:t xml:space="preserve"> </w:t>
      </w:r>
      <w:r>
        <w:rPr>
          <w:i/>
          <w:iCs/>
        </w:rPr>
        <w:t xml:space="preserve">et al.</w:t>
      </w:r>
      <w:r>
        <w:t xml:space="preserve">, “Real-Time Confidence Detection through Facial Expressions and Hand Gestures,”</w:t>
      </w:r>
      <w:r>
        <w:t xml:space="preserve"> </w:t>
      </w:r>
      <w:r>
        <w:rPr>
          <w:i/>
          <w:iCs/>
        </w:rPr>
        <w:t xml:space="preserve">arXiv preprint</w:t>
      </w:r>
      <w:r>
        <w:t xml:space="preserve"> </w:t>
      </w:r>
      <w:r>
        <w:t xml:space="preserve">arXiv:2506.09153, 2025, doi: 10.48550/arXiv.2506.09153.</w:t>
      </w:r>
      <w:r>
        <w:t xml:space="preserve"> </w:t>
      </w:r>
      <w:hyperlink r:id="rId39">
        <w:r>
          <w:rPr>
            <w:rStyle w:val="Hyperlink"/>
          </w:rPr>
          <w:t xml:space="preserve">[26]</w:t>
        </w:r>
      </w:hyperlink>
    </w:p>
    <w:p>
      <w:pPr>
        <w:pStyle w:val="BodyText"/>
      </w:pPr>
      <w:r>
        <w:t xml:space="preserve">[12] Alpha Cephei, “Vosk Offline Speech Recognition API,” documentation, consultado el 16-may-2026.</w:t>
      </w:r>
      <w:r>
        <w:t xml:space="preserve"> </w:t>
      </w:r>
      <w:hyperlink r:id="rId32">
        <w:r>
          <w:rPr>
            <w:rStyle w:val="Hyperlink"/>
          </w:rPr>
          <w:t xml:space="preserve">[27]</w:t>
        </w:r>
      </w:hyperlink>
    </w:p>
    <w:p>
      <w:pPr>
        <w:pStyle w:val="BodyText"/>
      </w:pPr>
      <w:r>
        <w:t xml:space="preserve">[13] C. Cioflan, L. Cavigelli, and L. Benini, “Boosting keyword spotting through on-device learnable user speech characteristics,”</w:t>
      </w:r>
      <w:r>
        <w:t xml:space="preserve"> </w:t>
      </w:r>
      <w:r>
        <w:rPr>
          <w:i/>
          <w:iCs/>
        </w:rPr>
        <w:t xml:space="preserve">arXiv preprint</w:t>
      </w:r>
      <w:r>
        <w:t xml:space="preserve"> </w:t>
      </w:r>
      <w:r>
        <w:t xml:space="preserve">arXiv:2403.07802, 2024, doi: 10.48550/arXiv.2403.07802.</w:t>
      </w:r>
      <w:r>
        <w:t xml:space="preserve"> </w:t>
      </w:r>
      <w:hyperlink r:id="rId40">
        <w:r>
          <w:rPr>
            <w:rStyle w:val="Hyperlink"/>
          </w:rPr>
          <w:t xml:space="preserve">[28]</w:t>
        </w:r>
      </w:hyperlink>
    </w:p>
    <w:p>
      <w:pPr>
        <w:pStyle w:val="BodyText"/>
      </w:pPr>
      <w:r>
        <w:t xml:space="preserve">[14] G. Chollet</w:t>
      </w:r>
      <w:r>
        <w:t xml:space="preserve"> </w:t>
      </w:r>
      <w:r>
        <w:rPr>
          <w:i/>
          <w:iCs/>
        </w:rPr>
        <w:t xml:space="preserve">et al.</w:t>
      </w:r>
      <w:r>
        <w:t xml:space="preserve">, “Privacy Preserving Personal Assistant with On-Device Diarization and Spoken Dialogue System for Home and Beyond,”</w:t>
      </w:r>
      <w:r>
        <w:t xml:space="preserve"> </w:t>
      </w:r>
      <w:r>
        <w:rPr>
          <w:i/>
          <w:iCs/>
        </w:rPr>
        <w:t xml:space="preserve">arXiv preprint</w:t>
      </w:r>
      <w:r>
        <w:t xml:space="preserve"> </w:t>
      </w:r>
      <w:r>
        <w:t xml:space="preserve">arXiv:2401.01146, 2024, doi: 10.48550/arXiv.2401.01146.</w:t>
      </w:r>
      <w:r>
        <w:t xml:space="preserve"> </w:t>
      </w:r>
      <w:hyperlink r:id="rId41">
        <w:r>
          <w:rPr>
            <w:rStyle w:val="Hyperlink"/>
          </w:rPr>
          <w:t xml:space="preserve">[29]</w:t>
        </w:r>
      </w:hyperlink>
    </w:p>
    <w:p>
      <w:pPr>
        <w:pStyle w:val="BodyText"/>
      </w:pPr>
      <w:r>
        <w:t xml:space="preserve">[15] J. Zuo</w:t>
      </w:r>
      <w:r>
        <w:t xml:space="preserve"> </w:t>
      </w:r>
      <w:r>
        <w:rPr>
          <w:i/>
          <w:iCs/>
        </w:rPr>
        <w:t xml:space="preserve">et al.</w:t>
      </w:r>
      <w:r>
        <w:t xml:space="preserve">, “MAGNETO: Edge AI for Human Activity Recognition — Privacy and Personalization,”</w:t>
      </w:r>
      <w:r>
        <w:t xml:space="preserve"> </w:t>
      </w:r>
      <w:r>
        <w:rPr>
          <w:i/>
          <w:iCs/>
        </w:rPr>
        <w:t xml:space="preserve">arXiv preprint</w:t>
      </w:r>
      <w:r>
        <w:t xml:space="preserve"> </w:t>
      </w:r>
      <w:r>
        <w:t xml:space="preserve">arXiv:2402.07180, 2024, doi: 10.48550/arXiv.2402.07180.</w:t>
      </w:r>
      <w:r>
        <w:t xml:space="preserve"> </w:t>
      </w:r>
      <w:hyperlink r:id="rId42">
        <w:r>
          <w:rPr>
            <w:rStyle w:val="Hyperlink"/>
          </w:rPr>
          <w:t xml:space="preserve">[30]</w:t>
        </w:r>
      </w:hyperlink>
    </w:p>
    <w:p>
      <w:pPr>
        <w:pStyle w:val="BodyText"/>
      </w:pPr>
      <w:r>
        <w:t xml:space="preserve">[16] M. J. Torkamani and I. Zarin, “Adaptive Edge-Cloud Inference for Speech-to-Action Systems Using ASR and Large Language Models (ASTA),”</w:t>
      </w:r>
      <w:r>
        <w:t xml:space="preserve"> </w:t>
      </w:r>
      <w:r>
        <w:rPr>
          <w:i/>
          <w:iCs/>
        </w:rPr>
        <w:t xml:space="preserve">arXiv preprint</w:t>
      </w:r>
      <w:r>
        <w:t xml:space="preserve"> </w:t>
      </w:r>
      <w:r>
        <w:t xml:space="preserve">arXiv:2512.12769, 2025, doi: 10.48550/arXiv.2512.12769.</w:t>
      </w:r>
      <w:r>
        <w:t xml:space="preserve"> </w:t>
      </w:r>
      <w:hyperlink r:id="rId43">
        <w:r>
          <w:rPr>
            <w:rStyle w:val="Hyperlink"/>
          </w:rPr>
          <w:t xml:space="preserve">[31]</w:t>
        </w:r>
      </w:hyperlink>
    </w:p>
    <w:p>
      <w:pPr>
        <w:pStyle w:val="BodyText"/>
      </w:pPr>
      <w:r>
        <w:t xml:space="preserve">[17] A. Krishnavajjala, S. M. H. Mansur, J. Jose, and K. Moran, “MotorEase: Automated Detection of Motor Impairment Accessibility Issues in Mobile App UIs,”</w:t>
      </w:r>
      <w:r>
        <w:t xml:space="preserve"> </w:t>
      </w:r>
      <w:r>
        <w:rPr>
          <w:i/>
          <w:iCs/>
        </w:rPr>
        <w:t xml:space="preserve">arXiv preprint</w:t>
      </w:r>
      <w:r>
        <w:t xml:space="preserve"> </w:t>
      </w:r>
      <w:r>
        <w:t xml:space="preserve">arXiv:2403.13690, 2024, doi: 10.48550/arXiv.2403.13690.</w:t>
      </w:r>
      <w:r>
        <w:t xml:space="preserve"> </w:t>
      </w:r>
      <w:hyperlink r:id="rId44">
        <w:r>
          <w:rPr>
            <w:rStyle w:val="Hyperlink"/>
          </w:rPr>
          <w:t xml:space="preserve">[32]</w:t>
        </w:r>
      </w:hyperlink>
    </w:p>
    <w:bookmarkEnd w:id="45"/>
    <w:bookmarkEnd w:id="46"/>
    <w:bookmarkEnd w:id="47"/>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[18]</w:t>
        </w:r>
      </w:hyperlink>
      <w:r>
        <w:t xml:space="preserve"> </w:t>
      </w:r>
      <w:r>
        <w:t xml:space="preserve">https://www.who.int/news-room/fact-sheets/detail/disability-and-health</w:t>
      </w:r>
    </w:p>
    <w:p>
      <w:pPr>
        <w:pStyle w:val="BodyText"/>
      </w:pPr>
      <w:hyperlink r:id="rId21">
        <w:r>
          <w:rPr>
            <w:rStyle w:val="Hyperlink"/>
          </w:rPr>
          <w:t xml:space="preserve">https://www.who.int/news-room/fact-sheets/detail/disability-and-health</w:t>
        </w:r>
      </w:hyperlink>
    </w:p>
    <w:p>
      <w:pPr>
        <w:pStyle w:val="BodyText"/>
      </w:pPr>
      <w:hyperlink r:id="rId23">
        <w:r>
          <w:rPr>
            <w:rStyle w:val="Hyperlink"/>
          </w:rPr>
          <w:t xml:space="preserve">[3]</w:t>
        </w:r>
      </w:hyperlink>
      <w:r>
        <w:t xml:space="preserve"> </w:t>
      </w:r>
      <w:hyperlink r:id="rId23">
        <w:r>
          <w:rPr>
            <w:rStyle w:val="Hyperlink"/>
          </w:rPr>
          <w:t xml:space="preserve">[19]</w:t>
        </w:r>
      </w:hyperlink>
      <w:r>
        <w:t xml:space="preserve"> </w:t>
      </w:r>
      <w:r>
        <w:t xml:space="preserve">https://www.who.int/news-room/fact-sheets/detail/assistive-technology</w:t>
      </w:r>
    </w:p>
    <w:p>
      <w:pPr>
        <w:pStyle w:val="BodyText"/>
      </w:pPr>
      <w:hyperlink r:id="rId23">
        <w:r>
          <w:rPr>
            <w:rStyle w:val="Hyperlink"/>
          </w:rPr>
          <w:t xml:space="preserve">https://www.who.int/news-room/fact-sheets/detail/assistive-technology</w:t>
        </w:r>
      </w:hyperlink>
    </w:p>
    <w:p>
      <w:pPr>
        <w:pStyle w:val="BodyText"/>
      </w:pPr>
      <w:hyperlink r:id="rId25">
        <w:r>
          <w:rPr>
            <w:rStyle w:val="Hyperlink"/>
          </w:rPr>
          <w:t xml:space="preserve">[4]</w:t>
        </w:r>
      </w:hyperlink>
      <w:r>
        <w:t xml:space="preserve"> </w:t>
      </w:r>
      <w:hyperlink r:id="rId25">
        <w:r>
          <w:rPr>
            <w:rStyle w:val="Hyperlink"/>
          </w:rPr>
          <w:t xml:space="preserve">[9]</w:t>
        </w:r>
      </w:hyperlink>
      <w:r>
        <w:t xml:space="preserve"> </w:t>
      </w:r>
      <w:hyperlink r:id="rId25">
        <w:r>
          <w:rPr>
            <w:rStyle w:val="Hyperlink"/>
          </w:rPr>
          <w:t xml:space="preserve">[12]</w:t>
        </w:r>
      </w:hyperlink>
      <w:r>
        <w:t xml:space="preserve"> </w:t>
      </w:r>
      <w:hyperlink r:id="rId25">
        <w:r>
          <w:rPr>
            <w:rStyle w:val="Hyperlink"/>
          </w:rPr>
          <w:t xml:space="preserve">[13]</w:t>
        </w:r>
      </w:hyperlink>
      <w:r>
        <w:t xml:space="preserve"> </w:t>
      </w:r>
      <w:hyperlink r:id="rId25">
        <w:r>
          <w:rPr>
            <w:rStyle w:val="Hyperlink"/>
          </w:rPr>
          <w:t xml:space="preserve">[16]</w:t>
        </w:r>
      </w:hyperlink>
      <w:r>
        <w:t xml:space="preserve"> </w:t>
      </w:r>
      <w:hyperlink r:id="rId25">
        <w:r>
          <w:rPr>
            <w:rStyle w:val="Hyperlink"/>
          </w:rPr>
          <w:t xml:space="preserve">[21]</w:t>
        </w:r>
      </w:hyperlink>
      <w:r>
        <w:t xml:space="preserve"> </w:t>
      </w:r>
      <w:r>
        <w:t xml:space="preserve">https://arxiv.org/abs/2210.04483</w:t>
      </w:r>
    </w:p>
    <w:p>
      <w:pPr>
        <w:pStyle w:val="BodyText"/>
      </w:pPr>
      <w:hyperlink r:id="rId25">
        <w:r>
          <w:rPr>
            <w:rStyle w:val="Hyperlink"/>
          </w:rPr>
          <w:t xml:space="preserve">https://arxiv.org/abs/2210.04483</w:t>
        </w:r>
      </w:hyperlink>
    </w:p>
    <w:p>
      <w:pPr>
        <w:pStyle w:val="BodyText"/>
      </w:pPr>
      <w:hyperlink r:id="rId26">
        <w:r>
          <w:rPr>
            <w:rStyle w:val="Hyperlink"/>
          </w:rPr>
          <w:t xml:space="preserve">[5]</w:t>
        </w:r>
      </w:hyperlink>
      <w:r>
        <w:t xml:space="preserve"> </w:t>
      </w:r>
      <w:hyperlink r:id="rId26">
        <w:r>
          <w:rPr>
            <w:rStyle w:val="Hyperlink"/>
          </w:rPr>
          <w:t xml:space="preserve">[22]</w:t>
        </w:r>
      </w:hyperlink>
      <w:r>
        <w:t xml:space="preserve"> </w:t>
      </w:r>
      <w:r>
        <w:t xml:space="preserve">https://arxiv.org/abs/2408.17314</w:t>
      </w:r>
    </w:p>
    <w:p>
      <w:pPr>
        <w:pStyle w:val="BodyText"/>
      </w:pPr>
      <w:hyperlink r:id="rId26">
        <w:r>
          <w:rPr>
            <w:rStyle w:val="Hyperlink"/>
          </w:rPr>
          <w:t xml:space="preserve">https://arxiv.org/abs/2408.17314</w:t>
        </w:r>
      </w:hyperlink>
    </w:p>
    <w:p>
      <w:pPr>
        <w:pStyle w:val="BodyText"/>
      </w:pPr>
      <w:hyperlink r:id="rId27">
        <w:r>
          <w:rPr>
            <w:rStyle w:val="Hyperlink"/>
          </w:rPr>
          <w:t xml:space="preserve">[6]</w:t>
        </w:r>
      </w:hyperlink>
      <w:r>
        <w:t xml:space="preserve"> </w:t>
      </w:r>
      <w:hyperlink r:id="rId27">
        <w:r>
          <w:rPr>
            <w:rStyle w:val="Hyperlink"/>
          </w:rPr>
          <w:t xml:space="preserve">[14]</w:t>
        </w:r>
      </w:hyperlink>
      <w:r>
        <w:t xml:space="preserve"> </w:t>
      </w:r>
      <w:hyperlink r:id="rId27">
        <w:r>
          <w:rPr>
            <w:rStyle w:val="Hyperlink"/>
          </w:rPr>
          <w:t xml:space="preserve">[23]</w:t>
        </w:r>
      </w:hyperlink>
      <w:r>
        <w:t xml:space="preserve"> </w:t>
      </w:r>
      <w:r>
        <w:t xml:space="preserve">https://arxiv.org/abs/2303.10441</w:t>
      </w:r>
    </w:p>
    <w:p>
      <w:pPr>
        <w:pStyle w:val="BodyText"/>
      </w:pPr>
      <w:hyperlink r:id="rId27">
        <w:r>
          <w:rPr>
            <w:rStyle w:val="Hyperlink"/>
          </w:rPr>
          <w:t xml:space="preserve">https://arxiv.org/abs/2303.10441</w:t>
        </w:r>
      </w:hyperlink>
    </w:p>
    <w:p>
      <w:pPr>
        <w:pStyle w:val="BodyText"/>
      </w:pPr>
      <w:hyperlink r:id="rId28">
        <w:r>
          <w:rPr>
            <w:rStyle w:val="Hyperlink"/>
          </w:rPr>
          <w:t xml:space="preserve">[7]</w:t>
        </w:r>
      </w:hyperlink>
      <w:r>
        <w:t xml:space="preserve"> </w:t>
      </w:r>
      <w:hyperlink r:id="rId28">
        <w:r>
          <w:rPr>
            <w:rStyle w:val="Hyperlink"/>
          </w:rPr>
          <w:t xml:space="preserve">[17]</w:t>
        </w:r>
      </w:hyperlink>
      <w:r>
        <w:t xml:space="preserve"> </w:t>
      </w:r>
      <w:r>
        <w:t xml:space="preserve">https://arxiv.org/abs/2311.13223</w:t>
      </w:r>
    </w:p>
    <w:p>
      <w:pPr>
        <w:pStyle w:val="BodyText"/>
      </w:pPr>
      <w:hyperlink r:id="rId28">
        <w:r>
          <w:rPr>
            <w:rStyle w:val="Hyperlink"/>
          </w:rPr>
          <w:t xml:space="preserve">https://arxiv.org/abs/2311.13223</w:t>
        </w:r>
      </w:hyperlink>
    </w:p>
    <w:p>
      <w:pPr>
        <w:pStyle w:val="BodyText"/>
      </w:pPr>
      <w:hyperlink r:id="rId29">
        <w:r>
          <w:rPr>
            <w:rStyle w:val="Hyperlink"/>
          </w:rPr>
          <w:t xml:space="preserve">[8]</w:t>
        </w:r>
      </w:hyperlink>
      <w:r>
        <w:t xml:space="preserve"> </w:t>
      </w:r>
      <w:r>
        <w:t xml:space="preserve">https://arxiv.org/abs/2512.06485</w:t>
      </w:r>
    </w:p>
    <w:p>
      <w:pPr>
        <w:pStyle w:val="BodyText"/>
      </w:pPr>
      <w:hyperlink r:id="rId29">
        <w:r>
          <w:rPr>
            <w:rStyle w:val="Hyperlink"/>
          </w:rPr>
          <w:t xml:space="preserve">https://arxiv.org/abs/2512.06485</w:t>
        </w:r>
      </w:hyperlink>
    </w:p>
    <w:p>
      <w:pPr>
        <w:pStyle w:val="BodyText"/>
      </w:pPr>
      <w:hyperlink r:id="rId31">
        <w:r>
          <w:rPr>
            <w:rStyle w:val="Hyperlink"/>
          </w:rPr>
          <w:t xml:space="preserve">[10]</w:t>
        </w:r>
      </w:hyperlink>
      <w:r>
        <w:t xml:space="preserve"> </w:t>
      </w:r>
      <w:hyperlink r:id="rId31">
        <w:r>
          <w:rPr>
            <w:rStyle w:val="Hyperlink"/>
          </w:rPr>
          <w:t xml:space="preserve">[24]</w:t>
        </w:r>
      </w:hyperlink>
      <w:r>
        <w:t xml:space="preserve"> </w:t>
      </w:r>
      <w:r>
        <w:t xml:space="preserve">https://ai.google.dev/edge/mediapipe/solutions/vision/face_landmarker/python</w:t>
      </w:r>
    </w:p>
    <w:p>
      <w:pPr>
        <w:pStyle w:val="BodyText"/>
      </w:pPr>
      <w:hyperlink r:id="rId31">
        <w:r>
          <w:rPr>
            <w:rStyle w:val="Hyperlink"/>
          </w:rPr>
          <w:t xml:space="preserve">https://ai.google.dev/edge/mediapipe/solutions/vision/face_landmarker/python</w:t>
        </w:r>
      </w:hyperlink>
    </w:p>
    <w:p>
      <w:pPr>
        <w:pStyle w:val="BodyText"/>
      </w:pPr>
      <w:hyperlink r:id="rId32">
        <w:r>
          <w:rPr>
            <w:rStyle w:val="Hyperlink"/>
          </w:rPr>
          <w:t xml:space="preserve">[11]</w:t>
        </w:r>
      </w:hyperlink>
      <w:r>
        <w:t xml:space="preserve"> </w:t>
      </w:r>
      <w:hyperlink r:id="rId32">
        <w:r>
          <w:rPr>
            <w:rStyle w:val="Hyperlink"/>
          </w:rPr>
          <w:t xml:space="preserve">[27]</w:t>
        </w:r>
      </w:hyperlink>
      <w:r>
        <w:t xml:space="preserve"> </w:t>
      </w:r>
      <w:r>
        <w:t xml:space="preserve">https://alphacephei.com/vosk/</w:t>
      </w:r>
    </w:p>
    <w:p>
      <w:pPr>
        <w:pStyle w:val="BodyText"/>
      </w:pPr>
      <w:hyperlink r:id="rId32">
        <w:r>
          <w:rPr>
            <w:rStyle w:val="Hyperlink"/>
          </w:rPr>
          <w:t xml:space="preserve">https://alphacephei.com/vosk/</w:t>
        </w:r>
      </w:hyperlink>
    </w:p>
    <w:p>
      <w:pPr>
        <w:pStyle w:val="BodyText"/>
      </w:pPr>
      <w:hyperlink r:id="rId35">
        <w:r>
          <w:rPr>
            <w:rStyle w:val="Hyperlink"/>
          </w:rPr>
          <w:t xml:space="preserve">[15]</w:t>
        </w:r>
      </w:hyperlink>
      <w:r>
        <w:t xml:space="preserve"> </w:t>
      </w:r>
      <w:hyperlink r:id="rId35">
        <w:r>
          <w:rPr>
            <w:rStyle w:val="Hyperlink"/>
          </w:rPr>
          <w:t xml:space="preserve">[25]</w:t>
        </w:r>
      </w:hyperlink>
      <w:r>
        <w:t xml:space="preserve"> </w:t>
      </w:r>
      <w:r>
        <w:t xml:space="preserve">https://arxiv.org/abs/2309.11773</w:t>
      </w:r>
    </w:p>
    <w:p>
      <w:pPr>
        <w:pStyle w:val="BodyText"/>
      </w:pPr>
      <w:hyperlink r:id="rId35">
        <w:r>
          <w:rPr>
            <w:rStyle w:val="Hyperlink"/>
          </w:rPr>
          <w:t xml:space="preserve">https://arxiv.org/abs/2309.11773</w:t>
        </w:r>
      </w:hyperlink>
    </w:p>
    <w:p>
      <w:pPr>
        <w:pStyle w:val="BodyText"/>
      </w:pPr>
      <w:hyperlink r:id="rId38">
        <w:r>
          <w:rPr>
            <w:rStyle w:val="Hyperlink"/>
          </w:rPr>
          <w:t xml:space="preserve">[20]</w:t>
        </w:r>
      </w:hyperlink>
      <w:r>
        <w:t xml:space="preserve"> </w:t>
      </w:r>
      <w:r>
        <w:t xml:space="preserve">https://www.who.int/publications/i/item/9789240049451</w:t>
      </w:r>
    </w:p>
    <w:p>
      <w:pPr>
        <w:pStyle w:val="BodyText"/>
      </w:pPr>
      <w:hyperlink r:id="rId38">
        <w:r>
          <w:rPr>
            <w:rStyle w:val="Hyperlink"/>
          </w:rPr>
          <w:t xml:space="preserve">https://www.who.int/publications/i/item/9789240049451</w:t>
        </w:r>
      </w:hyperlink>
    </w:p>
    <w:p>
      <w:pPr>
        <w:pStyle w:val="BodyText"/>
      </w:pPr>
      <w:hyperlink r:id="rId39">
        <w:r>
          <w:rPr>
            <w:rStyle w:val="Hyperlink"/>
          </w:rPr>
          <w:t xml:space="preserve">[26]</w:t>
        </w:r>
      </w:hyperlink>
      <w:r>
        <w:t xml:space="preserve"> </w:t>
      </w:r>
      <w:r>
        <w:t xml:space="preserve">https://arxiv.org/abs/2506.09153</w:t>
      </w:r>
    </w:p>
    <w:p>
      <w:pPr>
        <w:pStyle w:val="BodyText"/>
      </w:pPr>
      <w:hyperlink r:id="rId39">
        <w:r>
          <w:rPr>
            <w:rStyle w:val="Hyperlink"/>
          </w:rPr>
          <w:t xml:space="preserve">https://arxiv.org/abs/2506.09153</w:t>
        </w:r>
      </w:hyperlink>
    </w:p>
    <w:p>
      <w:pPr>
        <w:pStyle w:val="BodyText"/>
      </w:pPr>
      <w:hyperlink r:id="rId40">
        <w:r>
          <w:rPr>
            <w:rStyle w:val="Hyperlink"/>
          </w:rPr>
          <w:t xml:space="preserve">[28]</w:t>
        </w:r>
      </w:hyperlink>
      <w:r>
        <w:t xml:space="preserve"> </w:t>
      </w:r>
      <w:r>
        <w:t xml:space="preserve">https://arxiv.org/abs/2403.07802</w:t>
      </w:r>
    </w:p>
    <w:p>
      <w:pPr>
        <w:pStyle w:val="BodyText"/>
      </w:pPr>
      <w:hyperlink r:id="rId40">
        <w:r>
          <w:rPr>
            <w:rStyle w:val="Hyperlink"/>
          </w:rPr>
          <w:t xml:space="preserve">https://arxiv.org/abs/2403.07802</w:t>
        </w:r>
      </w:hyperlink>
    </w:p>
    <w:p>
      <w:pPr>
        <w:pStyle w:val="BodyText"/>
      </w:pPr>
      <w:hyperlink r:id="rId41">
        <w:r>
          <w:rPr>
            <w:rStyle w:val="Hyperlink"/>
          </w:rPr>
          <w:t xml:space="preserve">[29]</w:t>
        </w:r>
      </w:hyperlink>
      <w:r>
        <w:t xml:space="preserve"> </w:t>
      </w:r>
      <w:r>
        <w:t xml:space="preserve">https://arxiv.org/abs/2401.01146</w:t>
      </w:r>
    </w:p>
    <w:p>
      <w:pPr>
        <w:pStyle w:val="BodyText"/>
      </w:pPr>
      <w:hyperlink r:id="rId41">
        <w:r>
          <w:rPr>
            <w:rStyle w:val="Hyperlink"/>
          </w:rPr>
          <w:t xml:space="preserve">https://arxiv.org/abs/2401.01146</w:t>
        </w:r>
      </w:hyperlink>
    </w:p>
    <w:p>
      <w:pPr>
        <w:pStyle w:val="BodyText"/>
      </w:pPr>
      <w:hyperlink r:id="rId42">
        <w:r>
          <w:rPr>
            <w:rStyle w:val="Hyperlink"/>
          </w:rPr>
          <w:t xml:space="preserve">[30]</w:t>
        </w:r>
      </w:hyperlink>
      <w:r>
        <w:t xml:space="preserve"> </w:t>
      </w:r>
      <w:r>
        <w:t xml:space="preserve">https://arxiv.org/abs/2402.07180</w:t>
      </w:r>
    </w:p>
    <w:p>
      <w:pPr>
        <w:pStyle w:val="BodyText"/>
      </w:pPr>
      <w:hyperlink r:id="rId42">
        <w:r>
          <w:rPr>
            <w:rStyle w:val="Hyperlink"/>
          </w:rPr>
          <w:t xml:space="preserve">https://arxiv.org/abs/2402.07180</w:t>
        </w:r>
      </w:hyperlink>
    </w:p>
    <w:p>
      <w:pPr>
        <w:pStyle w:val="BodyText"/>
      </w:pPr>
      <w:hyperlink r:id="rId43">
        <w:r>
          <w:rPr>
            <w:rStyle w:val="Hyperlink"/>
          </w:rPr>
          <w:t xml:space="preserve">[31]</w:t>
        </w:r>
      </w:hyperlink>
      <w:r>
        <w:t xml:space="preserve"> </w:t>
      </w:r>
      <w:r>
        <w:t xml:space="preserve">https://arxiv.org/abs/2512.12769</w:t>
      </w:r>
    </w:p>
    <w:p>
      <w:pPr>
        <w:pStyle w:val="BodyText"/>
      </w:pPr>
      <w:hyperlink r:id="rId43">
        <w:r>
          <w:rPr>
            <w:rStyle w:val="Hyperlink"/>
          </w:rPr>
          <w:t xml:space="preserve">https://arxiv.org/abs/2512.12769</w:t>
        </w:r>
      </w:hyperlink>
    </w:p>
    <w:p>
      <w:pPr>
        <w:pStyle w:val="BodyText"/>
      </w:pPr>
      <w:hyperlink r:id="rId44">
        <w:r>
          <w:rPr>
            <w:rStyle w:val="Hyperlink"/>
          </w:rPr>
          <w:t xml:space="preserve">[32]</w:t>
        </w:r>
      </w:hyperlink>
      <w:r>
        <w:t xml:space="preserve"> </w:t>
      </w:r>
      <w:r>
        <w:t xml:space="preserve">https://arxiv.org/abs/2403.13690</w:t>
      </w:r>
    </w:p>
    <w:p>
      <w:pPr>
        <w:pStyle w:val="BodyText"/>
      </w:pPr>
      <w:hyperlink r:id="rId44">
        <w:r>
          <w:rPr>
            <w:rStyle w:val="Hyperlink"/>
          </w:rPr>
          <w:t xml:space="preserve">https://arxiv.org/abs/2403.13690</w:t>
        </w:r>
      </w:hyperlink>
    </w:p>
    <w:bookmarkEnd w:id="48"/>
    <w:p/>
    <w:p/>
    <w:p/>
    <w:p/>
    <w:p/>
    <w:p/>
    <w:p/>
    <w:p/>
    <w:p/>
    <w:p/>
    <w:p/>
    <w:p/>
    <w:p/>
    <w:p/>
    <w:p/>
    <w:p/>
    <w:p/>
    <w:p/>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hyperlink" Target="https://ai.google.dev/edge/mediapipe/solutions/vision/face_landmarker/python" TargetMode="External"/><Relationship Id="rId32" Type="http://schemas.openxmlformats.org/officeDocument/2006/relationships/hyperlink" Target="https://alphacephei.com/vosk/" TargetMode="External"/><Relationship Id="rId25" Type="http://schemas.openxmlformats.org/officeDocument/2006/relationships/hyperlink" Target="https://arxiv.org/abs/2210.04483" TargetMode="External"/><Relationship Id="rId27" Type="http://schemas.openxmlformats.org/officeDocument/2006/relationships/hyperlink" Target="https://arxiv.org/abs/2303.10441" TargetMode="External"/><Relationship Id="rId35" Type="http://schemas.openxmlformats.org/officeDocument/2006/relationships/hyperlink" Target="https://arxiv.org/abs/2309.11773" TargetMode="External"/><Relationship Id="rId28" Type="http://schemas.openxmlformats.org/officeDocument/2006/relationships/hyperlink" Target="https://arxiv.org/abs/2311.13223" TargetMode="External"/><Relationship Id="rId41" Type="http://schemas.openxmlformats.org/officeDocument/2006/relationships/hyperlink" Target="https://arxiv.org/abs/2401.01146" TargetMode="External"/><Relationship Id="rId42" Type="http://schemas.openxmlformats.org/officeDocument/2006/relationships/hyperlink" Target="https://arxiv.org/abs/2402.07180" TargetMode="External"/><Relationship Id="rId40" Type="http://schemas.openxmlformats.org/officeDocument/2006/relationships/hyperlink" Target="https://arxiv.org/abs/2403.07802" TargetMode="External"/><Relationship Id="rId44" Type="http://schemas.openxmlformats.org/officeDocument/2006/relationships/hyperlink" Target="https://arxiv.org/abs/2403.13690" TargetMode="External"/><Relationship Id="rId26" Type="http://schemas.openxmlformats.org/officeDocument/2006/relationships/hyperlink" Target="https://arxiv.org/abs/2408.17314" TargetMode="External"/><Relationship Id="rId39" Type="http://schemas.openxmlformats.org/officeDocument/2006/relationships/hyperlink" Target="https://arxiv.org/abs/2506.09153" TargetMode="External"/><Relationship Id="rId29" Type="http://schemas.openxmlformats.org/officeDocument/2006/relationships/hyperlink" Target="https://arxiv.org/abs/2512.06485" TargetMode="External"/><Relationship Id="rId43" Type="http://schemas.openxmlformats.org/officeDocument/2006/relationships/hyperlink" Target="https://arxiv.org/abs/2512.12769" TargetMode="External"/><Relationship Id="rId23" Type="http://schemas.openxmlformats.org/officeDocument/2006/relationships/hyperlink" Target="https://www.who.int/news-room/fact-sheets/detail/assistive-technology" TargetMode="External"/><Relationship Id="rId21" Type="http://schemas.openxmlformats.org/officeDocument/2006/relationships/hyperlink" Target="https://www.who.int/news-room/fact-sheets/detail/disability-and-health" TargetMode="External"/><Relationship Id="rId38" Type="http://schemas.openxmlformats.org/officeDocument/2006/relationships/hyperlink" Target="https://www.who.int/publications/i/item/9789240049451"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s://ai.google.dev/edge/mediapipe/solutions/vision/face_landmarker/python" TargetMode="External"/><Relationship Id="rId32" Type="http://schemas.openxmlformats.org/officeDocument/2006/relationships/hyperlink" Target="https://alphacephei.com/vosk/" TargetMode="External"/><Relationship Id="rId25" Type="http://schemas.openxmlformats.org/officeDocument/2006/relationships/hyperlink" Target="https://arxiv.org/abs/2210.04483" TargetMode="External"/><Relationship Id="rId27" Type="http://schemas.openxmlformats.org/officeDocument/2006/relationships/hyperlink" Target="https://arxiv.org/abs/2303.10441" TargetMode="External"/><Relationship Id="rId35" Type="http://schemas.openxmlformats.org/officeDocument/2006/relationships/hyperlink" Target="https://arxiv.org/abs/2309.11773" TargetMode="External"/><Relationship Id="rId28" Type="http://schemas.openxmlformats.org/officeDocument/2006/relationships/hyperlink" Target="https://arxiv.org/abs/2311.13223" TargetMode="External"/><Relationship Id="rId41" Type="http://schemas.openxmlformats.org/officeDocument/2006/relationships/hyperlink" Target="https://arxiv.org/abs/2401.01146" TargetMode="External"/><Relationship Id="rId42" Type="http://schemas.openxmlformats.org/officeDocument/2006/relationships/hyperlink" Target="https://arxiv.org/abs/2402.07180" TargetMode="External"/><Relationship Id="rId40" Type="http://schemas.openxmlformats.org/officeDocument/2006/relationships/hyperlink" Target="https://arxiv.org/abs/2403.07802" TargetMode="External"/><Relationship Id="rId44" Type="http://schemas.openxmlformats.org/officeDocument/2006/relationships/hyperlink" Target="https://arxiv.org/abs/2403.13690" TargetMode="External"/><Relationship Id="rId26" Type="http://schemas.openxmlformats.org/officeDocument/2006/relationships/hyperlink" Target="https://arxiv.org/abs/2408.17314" TargetMode="External"/><Relationship Id="rId39" Type="http://schemas.openxmlformats.org/officeDocument/2006/relationships/hyperlink" Target="https://arxiv.org/abs/2506.09153" TargetMode="External"/><Relationship Id="rId29" Type="http://schemas.openxmlformats.org/officeDocument/2006/relationships/hyperlink" Target="https://arxiv.org/abs/2512.06485" TargetMode="External"/><Relationship Id="rId43" Type="http://schemas.openxmlformats.org/officeDocument/2006/relationships/hyperlink" Target="https://arxiv.org/abs/2512.12769" TargetMode="External"/><Relationship Id="rId23" Type="http://schemas.openxmlformats.org/officeDocument/2006/relationships/hyperlink" Target="https://www.who.int/news-room/fact-sheets/detail/assistive-technology" TargetMode="External"/><Relationship Id="rId21" Type="http://schemas.openxmlformats.org/officeDocument/2006/relationships/hyperlink" Target="https://www.who.int/news-room/fact-sheets/detail/disability-and-health" TargetMode="External"/><Relationship Id="rId38" Type="http://schemas.openxmlformats.org/officeDocument/2006/relationships/hyperlink" Target="https://www.who.int/publications/i/item/97892400494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2026-05-17T04:46:53Z</dcterms:created>
  <dcterms:modified xsi:type="dcterms:W3CDTF">2026-05-17T04:46:53Z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