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9F4F1A" w:rsidP="00F74009">
            <w:pPr>
              <w:spacing w:after="0" w:line="240" w:lineRule="auto"/>
              <w:jc w:val="right"/>
              <w:rPr>
                <w:rFonts w:ascii="Cambria Math" w:hAnsi="Cambria Math"/>
              </w:rPr>
            </w:pPr>
            <w:r>
              <w:rPr>
                <w:rFonts w:ascii="Cambria Math" w:hAnsi="Cambria Math"/>
              </w:rPr>
              <w:t>06/08</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sz w:val="44"/>
          <w:szCs w:val="44"/>
        </w:rPr>
      </w:pPr>
      <w:r w:rsidRPr="007C363F">
        <w:rPr>
          <w:sz w:val="44"/>
          <w:szCs w:val="44"/>
        </w:rPr>
        <w:t>Descrição da linguagem de programação NOME</w:t>
      </w:r>
    </w:p>
    <w:p w:rsidR="006B4B27" w:rsidRDefault="006B4B27" w:rsidP="006B4B27"/>
    <w:p w:rsidR="006B4B27" w:rsidRPr="006B4B27" w:rsidRDefault="006B4B27" w:rsidP="006B4B27">
      <w:pPr>
        <w:jc w:val="center"/>
        <w:rPr>
          <w:lang w:val="en-US"/>
        </w:rPr>
      </w:pPr>
      <w:r w:rsidRPr="006B4B27">
        <w:rPr>
          <w:b/>
          <w:lang w:val="en-US"/>
        </w:rPr>
        <w:t>N</w:t>
      </w:r>
      <w:r w:rsidRPr="006B4B27">
        <w:rPr>
          <w:lang w:val="en-US"/>
        </w:rPr>
        <w:t xml:space="preserve">on </w:t>
      </w:r>
      <w:r w:rsidRPr="006B4B27">
        <w:rPr>
          <w:b/>
          <w:lang w:val="en-US"/>
        </w:rPr>
        <w:t>O</w:t>
      </w:r>
      <w:r w:rsidRPr="006B4B27">
        <w:rPr>
          <w:lang w:val="en-US"/>
        </w:rPr>
        <w:t xml:space="preserve">bject Oriented and </w:t>
      </w:r>
      <w:r w:rsidRPr="006B4B27">
        <w:rPr>
          <w:b/>
          <w:lang w:val="en-US"/>
        </w:rPr>
        <w:t>M</w:t>
      </w:r>
      <w:r w:rsidRPr="006B4B27">
        <w:rPr>
          <w:lang w:val="en-US"/>
        </w:rPr>
        <w:t xml:space="preserve">ockingly </w:t>
      </w:r>
      <w:r w:rsidRPr="006B4B27">
        <w:rPr>
          <w:b/>
          <w:lang w:val="en-US"/>
        </w:rPr>
        <w:t>E</w:t>
      </w:r>
      <w:r w:rsidRPr="006B4B27">
        <w:rPr>
          <w:lang w:val="en-US"/>
        </w:rPr>
        <w:t>nvisaged language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r w:rsidR="006B4B27" w:rsidTr="00D77265">
        <w:tc>
          <w:tcPr>
            <w:tcW w:w="1129" w:type="dxa"/>
            <w:vAlign w:val="center"/>
          </w:tcPr>
          <w:p w:rsidR="006B4B27" w:rsidRDefault="006B4B27" w:rsidP="00D77265"/>
        </w:tc>
        <w:tc>
          <w:tcPr>
            <w:tcW w:w="4537" w:type="dxa"/>
            <w:vAlign w:val="center"/>
          </w:tcPr>
          <w:p w:rsidR="006B4B27" w:rsidRDefault="006B4B27" w:rsidP="00D77265"/>
        </w:tc>
        <w:tc>
          <w:tcPr>
            <w:tcW w:w="2834" w:type="dxa"/>
            <w:vAlign w:val="center"/>
          </w:tcPr>
          <w:p w:rsidR="006B4B27" w:rsidRDefault="006B4B27" w:rsidP="00D77265"/>
        </w:tc>
      </w:tr>
    </w:tbl>
    <w:p w:rsidR="00771A37" w:rsidRDefault="00771A37" w:rsidP="00771A37">
      <w:pPr>
        <w:pStyle w:val="Ttulo2"/>
      </w:pPr>
      <w:r>
        <w:lastRenderedPageBreak/>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lastRenderedPageBreak/>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lastRenderedPageBreak/>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Default="001D13DC" w:rsidP="001D13DC">
      <w:r>
        <w:t>#Comentário que não será levado em consideração</w:t>
      </w:r>
    </w:p>
    <w:p w:rsidR="006B4B27" w:rsidRDefault="006B4B27" w:rsidP="001D13DC"/>
    <w:p w:rsidR="006B4B27" w:rsidRDefault="006B4B27" w:rsidP="001D13DC"/>
    <w:p w:rsidR="006B4B27" w:rsidRPr="001D13DC" w:rsidRDefault="006B4B27" w:rsidP="001D13DC"/>
    <w:p w:rsidR="00143790" w:rsidRDefault="00404A4E" w:rsidP="00DA5F2C">
      <w:pPr>
        <w:pStyle w:val="Ttulo1"/>
      </w:pPr>
      <w:r>
        <w:lastRenderedPageBreak/>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584C7D"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584C7D"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584C7D"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584C7D"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584C7D" w:rsidP="003E3A29">
      <w:pPr>
        <w:pStyle w:val="Ttulo2"/>
      </w:pPr>
      <w:bookmarkStart w:id="0" w:name="_Ref475298351"/>
      <w:r>
        <w:t>Expressões</w:t>
      </w:r>
      <w:r w:rsidR="00404A4E">
        <w:t xml:space="preserve"> regular</w:t>
      </w:r>
      <w:r>
        <w:t>es</w:t>
      </w:r>
      <w:r w:rsidR="001D13DC">
        <w:t xml:space="preserve"> </w:t>
      </w:r>
      <w:r w:rsidR="003E3A29">
        <w:t>da linguagem</w:t>
      </w:r>
      <w:bookmarkEnd w:id="0"/>
    </w:p>
    <w:p w:rsidR="00584C7D" w:rsidRDefault="00584C7D" w:rsidP="003E3A29">
      <w:pPr>
        <w:rPr>
          <w:rFonts w:ascii="Cambria Math" w:hAnsi="Cambria Math"/>
        </w:rPr>
      </w:pPr>
      <w:r>
        <w:t xml:space="preserve">Palavra reservada: </w:t>
      </w:r>
      <w:proofErr w:type="spellStart"/>
      <w:r w:rsidR="00404A4E" w:rsidRPr="00404A4E">
        <w:t>chr</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int</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flt</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brk</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iff</w:t>
      </w:r>
      <w:proofErr w:type="spellEnd"/>
      <w:r w:rsidR="00404A4E" w:rsidRPr="00404A4E">
        <w:t xml:space="preserve"> </w:t>
      </w:r>
      <w:r w:rsidR="009A3ACC">
        <w:rPr>
          <w:rFonts w:ascii="Cambria Math" w:hAnsi="Cambria Math"/>
        </w:rPr>
        <w:t>|</w:t>
      </w:r>
      <w:r w:rsidR="00404A4E">
        <w:rPr>
          <w:rFonts w:ascii="Cambria Math" w:hAnsi="Cambria Math"/>
        </w:rPr>
        <w:t xml:space="preserve"> </w:t>
      </w:r>
      <w:proofErr w:type="spellStart"/>
      <w:r w:rsidR="00404A4E">
        <w:rPr>
          <w:rFonts w:ascii="Cambria Math" w:hAnsi="Cambria Math"/>
        </w:rPr>
        <w:t>els</w:t>
      </w:r>
      <w:proofErr w:type="spellEnd"/>
      <w:r w:rsidR="00404A4E" w:rsidRPr="00404A4E">
        <w:t xml:space="preserve"> </w:t>
      </w:r>
      <w:r w:rsidR="009A3ACC">
        <w:rPr>
          <w:rFonts w:ascii="Cambria Math" w:hAnsi="Cambria Math"/>
        </w:rPr>
        <w:t>|</w:t>
      </w:r>
      <w:r w:rsidR="00404A4E">
        <w:rPr>
          <w:rFonts w:ascii="Cambria Math" w:hAnsi="Cambria Math"/>
        </w:rPr>
        <w:t xml:space="preserve"> for</w:t>
      </w:r>
      <w:r w:rsidR="00404A4E" w:rsidRPr="00404A4E">
        <w:t xml:space="preserve"> </w:t>
      </w:r>
      <w:r w:rsidR="009A3ACC">
        <w:rPr>
          <w:rFonts w:ascii="Cambria Math" w:hAnsi="Cambria Math"/>
        </w:rPr>
        <w:t>|</w:t>
      </w:r>
      <w:r w:rsidR="00404A4E">
        <w:rPr>
          <w:rFonts w:ascii="Cambria Math" w:hAnsi="Cambria Math"/>
        </w:rPr>
        <w:t xml:space="preserve"> </w:t>
      </w:r>
      <w:proofErr w:type="spellStart"/>
      <w:r w:rsidR="00404A4E">
        <w:rPr>
          <w:rFonts w:ascii="Cambria Math" w:hAnsi="Cambria Math"/>
        </w:rPr>
        <w:t>whl</w:t>
      </w:r>
      <w:proofErr w:type="spellEnd"/>
    </w:p>
    <w:p w:rsidR="00584C7D" w:rsidRDefault="00584C7D" w:rsidP="003E3A29">
      <w:pPr>
        <w:rPr>
          <w:rFonts w:ascii="Cambria Math" w:hAnsi="Cambria Math"/>
        </w:rPr>
      </w:pPr>
      <w:r>
        <w:rPr>
          <w:rFonts w:ascii="Cambria Math" w:hAnsi="Cambria Math"/>
        </w:rPr>
        <w:t xml:space="preserve">Comentário: </w:t>
      </w:r>
      <w:proofErr w:type="gramStart"/>
      <w:r w:rsidR="00404A4E">
        <w:rPr>
          <w:rFonts w:ascii="Cambria Math" w:hAnsi="Cambria Math"/>
        </w:rPr>
        <w:t>#</w:t>
      </w:r>
      <w:r w:rsidR="009A3ACC">
        <w:rPr>
          <w:rFonts w:ascii="Cambria Math" w:hAnsi="Cambria Math"/>
        </w:rPr>
        <w:t>.</w:t>
      </w:r>
      <w:r w:rsidR="009A3ACC" w:rsidRPr="009A3ACC">
        <w:rPr>
          <w:rFonts w:ascii="Cambria Math" w:hAnsi="Cambria Math"/>
          <w:vertAlign w:val="superscript"/>
        </w:rPr>
        <w:t>*</w:t>
      </w:r>
      <w:proofErr w:type="gramEnd"/>
      <w:r w:rsidR="00202EC5">
        <w:rPr>
          <w:rFonts w:ascii="Cambria Math" w:hAnsi="Cambria Math"/>
        </w:rPr>
        <w:t xml:space="preserve"> </w:t>
      </w:r>
    </w:p>
    <w:p w:rsidR="00584C7D" w:rsidRDefault="00584C7D" w:rsidP="003E3A29">
      <w:pPr>
        <w:rPr>
          <w:rFonts w:ascii="Cambria Math" w:hAnsi="Cambria Math"/>
        </w:rPr>
      </w:pPr>
      <w:r>
        <w:rPr>
          <w:rFonts w:ascii="Cambria Math" w:hAnsi="Cambria Math"/>
        </w:rPr>
        <w:t>Operadores Lógicos</w:t>
      </w:r>
      <w:proofErr w:type="gramStart"/>
      <w:r>
        <w:rPr>
          <w:rFonts w:ascii="Cambria Math" w:hAnsi="Cambria Math"/>
        </w:rPr>
        <w:t xml:space="preserve">: </w:t>
      </w:r>
      <w:r w:rsidR="00202EC5">
        <w:rPr>
          <w:rFonts w:ascii="Cambria Math" w:hAnsi="Cambria Math"/>
        </w:rPr>
        <w:t>!</w:t>
      </w:r>
      <w:proofErr w:type="gramEnd"/>
      <w:r w:rsidR="00202EC5">
        <w:rPr>
          <w:rFonts w:ascii="Cambria Math" w:hAnsi="Cambria Math"/>
        </w:rPr>
        <w:t xml:space="preserve"> </w:t>
      </w:r>
      <w:r w:rsidR="009A3ACC">
        <w:rPr>
          <w:rFonts w:ascii="Cambria Math" w:hAnsi="Cambria Math"/>
        </w:rPr>
        <w:t>|</w:t>
      </w:r>
      <w:r w:rsidR="00202EC5">
        <w:rPr>
          <w:rFonts w:ascii="Cambria Math" w:hAnsi="Cambria Math"/>
        </w:rPr>
        <w:t xml:space="preserve"> &amp;</w:t>
      </w:r>
      <w:r w:rsidR="00B07BC5">
        <w:rPr>
          <w:rFonts w:ascii="Cambria Math" w:hAnsi="Cambria Math"/>
        </w:rPr>
        <w:t xml:space="preserve"> </w:t>
      </w:r>
      <w:r w:rsidR="009A3ACC">
        <w:rPr>
          <w:rFonts w:ascii="Cambria Math" w:hAnsi="Cambria Math"/>
        </w:rPr>
        <w:t>|</w:t>
      </w:r>
      <w:r w:rsidR="00B07BC5">
        <w:rPr>
          <w:rFonts w:ascii="Cambria Math" w:hAnsi="Cambria Math"/>
        </w:rPr>
        <w:t xml:space="preserve"> </w:t>
      </w:r>
      <w:r w:rsidR="009A3ACC">
        <w:rPr>
          <w:rFonts w:ascii="Cambria Math" w:hAnsi="Cambria Math"/>
        </w:rPr>
        <w:t>‘</w:t>
      </w:r>
      <w:r w:rsidR="00B07B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Pr>
          <w:rFonts w:ascii="Cambria Math" w:hAnsi="Cambria Math"/>
        </w:rPr>
        <w:t xml:space="preserve"> ^ | &lt;&lt; | &gt;&gt;</w:t>
      </w:r>
    </w:p>
    <w:p w:rsidR="00584C7D" w:rsidRDefault="00584C7D" w:rsidP="003E3A29">
      <w:pPr>
        <w:rPr>
          <w:rFonts w:ascii="Cambria Math" w:hAnsi="Cambria Math"/>
        </w:rPr>
      </w:pPr>
      <w:r>
        <w:rPr>
          <w:rFonts w:ascii="Cambria Math" w:hAnsi="Cambria Math"/>
        </w:rPr>
        <w:t>Operadores Aritméticos:</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Pr>
          <w:rFonts w:ascii="Cambria Math" w:hAnsi="Cambria Math"/>
        </w:rPr>
        <w:t xml:space="preserve"> %</w:t>
      </w:r>
    </w:p>
    <w:p w:rsidR="00584C7D" w:rsidRDefault="00584C7D" w:rsidP="003E3A29">
      <w:pPr>
        <w:rPr>
          <w:rFonts w:ascii="Cambria Math" w:hAnsi="Cambria Math"/>
        </w:rPr>
      </w:pPr>
      <w:r>
        <w:rPr>
          <w:rFonts w:ascii="Cambria Math" w:hAnsi="Cambria Math"/>
        </w:rPr>
        <w:t>Operadores relacionais:</w:t>
      </w:r>
      <w:r w:rsidRPr="00584C7D">
        <w:rPr>
          <w:rFonts w:ascii="Cambria Math" w:hAnsi="Cambria Math"/>
        </w:rPr>
        <w:t xml:space="preserve"> </w:t>
      </w:r>
      <w:r>
        <w:rPr>
          <w:rFonts w:ascii="Cambria Math" w:hAnsi="Cambria Math"/>
        </w:rPr>
        <w:t>&gt; | &lt; | =</w:t>
      </w:r>
      <w:r>
        <w:rPr>
          <w:rFonts w:ascii="Cambria Math" w:hAnsi="Cambria Math"/>
        </w:rPr>
        <w:t xml:space="preserve"> | </w:t>
      </w:r>
      <w:r>
        <w:rPr>
          <w:rFonts w:ascii="Cambria Math" w:hAnsi="Cambria Math"/>
        </w:rPr>
        <w:t xml:space="preserve">== </w:t>
      </w:r>
      <w:proofErr w:type="gramStart"/>
      <w:r>
        <w:rPr>
          <w:rFonts w:ascii="Cambria Math" w:hAnsi="Cambria Math"/>
        </w:rPr>
        <w:t>| !</w:t>
      </w:r>
      <w:proofErr w:type="gramEnd"/>
      <w:r>
        <w:rPr>
          <w:rFonts w:ascii="Cambria Math" w:hAnsi="Cambria Math"/>
        </w:rPr>
        <w:t>= | &lt;= | &gt;=</w:t>
      </w:r>
    </w:p>
    <w:p w:rsidR="003E3A29" w:rsidRDefault="00584C7D" w:rsidP="003E3A29">
      <w:pPr>
        <w:rPr>
          <w:rFonts w:ascii="Cambria Math" w:hAnsi="Cambria Math"/>
        </w:rPr>
      </w:pPr>
      <w:r>
        <w:rPr>
          <w:rFonts w:ascii="Cambria Math" w:hAnsi="Cambria Math"/>
        </w:rPr>
        <w:t>Pontuação Geral</w:t>
      </w:r>
      <w:proofErr w:type="gramStart"/>
      <w:r>
        <w:rPr>
          <w:rFonts w:ascii="Cambria Math" w:hAnsi="Cambria Math"/>
        </w:rPr>
        <w:t>:</w:t>
      </w:r>
      <w:r w:rsidR="00202EC5">
        <w:rPr>
          <w:rFonts w:ascii="Cambria Math" w:hAnsi="Cambria Math"/>
        </w:rPr>
        <w:t xml:space="preserve"> ;</w:t>
      </w:r>
      <w:proofErr w:type="gramEnd"/>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w:t>
      </w:r>
    </w:p>
    <w:p w:rsidR="00584C7D" w:rsidRDefault="00584C7D" w:rsidP="003E3A29">
      <w:pPr>
        <w:rPr>
          <w:rFonts w:ascii="Cambria Math" w:hAnsi="Cambria Math"/>
        </w:rPr>
      </w:pPr>
      <w:proofErr w:type="spellStart"/>
      <w:r>
        <w:rPr>
          <w:rFonts w:ascii="Cambria Math" w:hAnsi="Cambria Math"/>
        </w:rPr>
        <w:t>Id’s</w:t>
      </w:r>
      <w:proofErr w:type="spellEnd"/>
      <w:r>
        <w:rPr>
          <w:rFonts w:ascii="Cambria Math" w:hAnsi="Cambria Math"/>
        </w:rPr>
        <w:t xml:space="preserve">: </w:t>
      </w:r>
      <w:r w:rsidR="000C655D">
        <w:rPr>
          <w:rFonts w:ascii="Cambria Math" w:hAnsi="Cambria Math"/>
        </w:rPr>
        <w:t>[a-</w:t>
      </w:r>
      <w:proofErr w:type="spellStart"/>
      <w:r w:rsidR="000C655D">
        <w:rPr>
          <w:rFonts w:ascii="Cambria Math" w:hAnsi="Cambria Math"/>
        </w:rPr>
        <w:t>zA</w:t>
      </w:r>
      <w:proofErr w:type="spellEnd"/>
      <w:r w:rsidR="000C655D">
        <w:rPr>
          <w:rFonts w:ascii="Cambria Math" w:hAnsi="Cambria Math"/>
        </w:rPr>
        <w:t>-</w:t>
      </w:r>
      <w:proofErr w:type="gramStart"/>
      <w:r w:rsidR="000C655D">
        <w:rPr>
          <w:rFonts w:ascii="Cambria Math" w:hAnsi="Cambria Math"/>
        </w:rPr>
        <w:t>Z](</w:t>
      </w:r>
      <w:proofErr w:type="gramEnd"/>
      <w:r w:rsidR="000C655D">
        <w:rPr>
          <w:rFonts w:ascii="Cambria Math" w:hAnsi="Cambria Math"/>
        </w:rPr>
        <w:t>[a-</w:t>
      </w:r>
      <w:proofErr w:type="spellStart"/>
      <w:r w:rsidR="000C655D">
        <w:rPr>
          <w:rFonts w:ascii="Cambria Math" w:hAnsi="Cambria Math"/>
        </w:rPr>
        <w:t>zA</w:t>
      </w:r>
      <w:proofErr w:type="spellEnd"/>
      <w:r w:rsidR="000C655D">
        <w:rPr>
          <w:rFonts w:ascii="Cambria Math" w:hAnsi="Cambria Math"/>
        </w:rPr>
        <w:t>-Z]|[0-9])*</w:t>
      </w:r>
    </w:p>
    <w:p w:rsidR="000C655D" w:rsidRDefault="000C655D" w:rsidP="003E3A29">
      <w:pPr>
        <w:rPr>
          <w:rFonts w:ascii="Cambria Math" w:hAnsi="Cambria Math"/>
        </w:rPr>
      </w:pPr>
      <w:r>
        <w:rPr>
          <w:rFonts w:ascii="Cambria Math" w:hAnsi="Cambria Math"/>
        </w:rPr>
        <w:t>Números Inteiros: [0-</w:t>
      </w:r>
      <w:proofErr w:type="gramStart"/>
      <w:r>
        <w:rPr>
          <w:rFonts w:ascii="Cambria Math" w:hAnsi="Cambria Math"/>
        </w:rPr>
        <w:t>9]+</w:t>
      </w:r>
      <w:proofErr w:type="gramEnd"/>
    </w:p>
    <w:p w:rsidR="00A329E5" w:rsidRDefault="000C655D" w:rsidP="003E3A29">
      <w:pPr>
        <w:rPr>
          <w:rFonts w:ascii="Cambria Math" w:hAnsi="Cambria Math"/>
        </w:rPr>
      </w:pPr>
      <w:r>
        <w:rPr>
          <w:rFonts w:ascii="Cambria Math" w:hAnsi="Cambria Math"/>
        </w:rPr>
        <w:t>Números decimais: [0-</w:t>
      </w:r>
      <w:proofErr w:type="gramStart"/>
      <w:r>
        <w:rPr>
          <w:rFonts w:ascii="Cambria Math" w:hAnsi="Cambria Math"/>
        </w:rPr>
        <w:t>9]+</w:t>
      </w:r>
      <w:proofErr w:type="gramEnd"/>
      <w:r>
        <w:rPr>
          <w:rFonts w:ascii="Cambria Math" w:hAnsi="Cambria Math"/>
        </w:rPr>
        <w:t>’.’[0-9]+</w:t>
      </w:r>
    </w:p>
    <w:p w:rsidR="00A329E5" w:rsidRDefault="00A329E5" w:rsidP="003E3A29">
      <w:pPr>
        <w:rPr>
          <w:rFonts w:ascii="Cambria Math" w:hAnsi="Cambria Math"/>
        </w:rPr>
      </w:pPr>
    </w:p>
    <w:p w:rsidR="00A329E5" w:rsidRDefault="00A329E5"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
    <w:p w:rsidR="00A329E5" w:rsidRPr="00C10FDE" w:rsidRDefault="00A329E5" w:rsidP="003E3A29">
      <w:pPr>
        <w:rPr>
          <w:rFonts w:ascii="Cambria Math" w:hAnsi="Cambria Math"/>
        </w:rPr>
      </w:pPr>
    </w:p>
    <w:p w:rsidR="00B07BC5" w:rsidRDefault="00B07BC5" w:rsidP="00B07BC5">
      <w:pPr>
        <w:pStyle w:val="Ttulo2"/>
      </w:pPr>
      <w:r>
        <w:t xml:space="preserve">Autômato de reconhecimento de </w:t>
      </w:r>
      <w:proofErr w:type="spellStart"/>
      <w:r w:rsidRPr="00B07BC5">
        <w:rPr>
          <w:i/>
        </w:rPr>
        <w:t>tokens</w:t>
      </w:r>
      <w:proofErr w:type="spellEnd"/>
      <w:r>
        <w:t xml:space="preserve"> da linguagem</w:t>
      </w:r>
      <w:bookmarkStart w:id="1" w:name="_GoBack"/>
      <w:bookmarkEnd w:id="1"/>
    </w:p>
    <w:p w:rsidR="00B07BC5" w:rsidRPr="00B07BC5" w:rsidRDefault="005218CA" w:rsidP="00B07BC5">
      <w:r>
        <w:rPr>
          <w:noProof/>
          <w:lang w:eastAsia="pt-BR"/>
        </w:rPr>
        <w:drawing>
          <wp:inline distT="0" distB="0" distL="0" distR="0">
            <wp:extent cx="8891270" cy="4070985"/>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1270" cy="4070985"/>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52F" w:rsidRDefault="0048752F" w:rsidP="00A04A15">
      <w:pPr>
        <w:spacing w:after="0" w:line="240" w:lineRule="auto"/>
      </w:pPr>
      <w:r>
        <w:separator/>
      </w:r>
    </w:p>
  </w:endnote>
  <w:endnote w:type="continuationSeparator" w:id="0">
    <w:p w:rsidR="0048752F" w:rsidRDefault="0048752F"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C97E63">
              <w:rPr>
                <w:bCs/>
                <w:noProof/>
              </w:rPr>
              <w:t>6</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C97E63">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52F" w:rsidRDefault="0048752F" w:rsidP="00A04A15">
      <w:pPr>
        <w:spacing w:after="0" w:line="240" w:lineRule="auto"/>
      </w:pPr>
      <w:r>
        <w:separator/>
      </w:r>
    </w:p>
  </w:footnote>
  <w:footnote w:type="continuationSeparator" w:id="0">
    <w:p w:rsidR="0048752F" w:rsidRDefault="0048752F"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C655D"/>
    <w:rsid w:val="000F475A"/>
    <w:rsid w:val="00126123"/>
    <w:rsid w:val="00143790"/>
    <w:rsid w:val="00180C7E"/>
    <w:rsid w:val="00193282"/>
    <w:rsid w:val="001D13DC"/>
    <w:rsid w:val="00202EC5"/>
    <w:rsid w:val="00213530"/>
    <w:rsid w:val="002232D8"/>
    <w:rsid w:val="002631ED"/>
    <w:rsid w:val="002D7184"/>
    <w:rsid w:val="00394690"/>
    <w:rsid w:val="003E3A29"/>
    <w:rsid w:val="003E4CE2"/>
    <w:rsid w:val="003E6D9B"/>
    <w:rsid w:val="00404A4E"/>
    <w:rsid w:val="0048752F"/>
    <w:rsid w:val="004B49C0"/>
    <w:rsid w:val="004C38B8"/>
    <w:rsid w:val="00510496"/>
    <w:rsid w:val="005218CA"/>
    <w:rsid w:val="0055699F"/>
    <w:rsid w:val="005671D2"/>
    <w:rsid w:val="0058228C"/>
    <w:rsid w:val="00584C7D"/>
    <w:rsid w:val="005F6BC3"/>
    <w:rsid w:val="00677CE8"/>
    <w:rsid w:val="006B4B27"/>
    <w:rsid w:val="006B7E40"/>
    <w:rsid w:val="006D2D71"/>
    <w:rsid w:val="006E3D54"/>
    <w:rsid w:val="00743005"/>
    <w:rsid w:val="007653DB"/>
    <w:rsid w:val="00771A37"/>
    <w:rsid w:val="007B66D4"/>
    <w:rsid w:val="007C363F"/>
    <w:rsid w:val="007D427A"/>
    <w:rsid w:val="007D431B"/>
    <w:rsid w:val="007F6365"/>
    <w:rsid w:val="00834BEC"/>
    <w:rsid w:val="00947C5B"/>
    <w:rsid w:val="009726B1"/>
    <w:rsid w:val="00986A9E"/>
    <w:rsid w:val="009A3ACC"/>
    <w:rsid w:val="009B4347"/>
    <w:rsid w:val="009D0823"/>
    <w:rsid w:val="009F4F1A"/>
    <w:rsid w:val="00A04A15"/>
    <w:rsid w:val="00A329E5"/>
    <w:rsid w:val="00B07BC5"/>
    <w:rsid w:val="00B15CBF"/>
    <w:rsid w:val="00B3173B"/>
    <w:rsid w:val="00B74A41"/>
    <w:rsid w:val="00BA101E"/>
    <w:rsid w:val="00C048B4"/>
    <w:rsid w:val="00C10FDE"/>
    <w:rsid w:val="00C97E63"/>
    <w:rsid w:val="00CD351E"/>
    <w:rsid w:val="00CD6027"/>
    <w:rsid w:val="00D37B49"/>
    <w:rsid w:val="00D45C52"/>
    <w:rsid w:val="00D77265"/>
    <w:rsid w:val="00D907AC"/>
    <w:rsid w:val="00DA5F2C"/>
    <w:rsid w:val="00DC5700"/>
    <w:rsid w:val="00DF36FE"/>
    <w:rsid w:val="00DF51EE"/>
    <w:rsid w:val="00E14117"/>
    <w:rsid w:val="00E50ABD"/>
    <w:rsid w:val="00E67A58"/>
    <w:rsid w:val="00EB1D6D"/>
    <w:rsid w:val="00F500B8"/>
    <w:rsid w:val="00F74009"/>
    <w:rsid w:val="00F9230E"/>
    <w:rsid w:val="00FA6AE1"/>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7127-0C89-4200-BC2A-77261F20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1046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34</cp:revision>
  <cp:lastPrinted>2017-08-08T23:06:00Z</cp:lastPrinted>
  <dcterms:created xsi:type="dcterms:W3CDTF">2017-01-07T11:26:00Z</dcterms:created>
  <dcterms:modified xsi:type="dcterms:W3CDTF">2017-08-08T23:06:00Z</dcterms:modified>
</cp:coreProperties>
</file>