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03864"/>
          <w:sz w:val="24"/>
        </w:rPr>
        <w:t>DOCUMENTAÇÃO DE ESTRUTURA</w:t>
      </w:r>
    </w:p>
    <w:p>
      <w:pPr>
        <w:pStyle w:val="Title"/>
        <w:jc w:val="center"/>
      </w:pPr>
      <w:r>
        <w:rPr>
          <w:color w:val="000000"/>
        </w:rPr>
        <w:t>Vida Financeira AI</w:t>
      </w:r>
    </w:p>
    <w:p>
      <w:pPr>
        <w:spacing w:before="160"/>
        <w:jc w:val="center"/>
      </w:pPr>
      <w:r>
        <w:rPr>
          <w:color w:val="464646"/>
          <w:sz w:val="28"/>
        </w:rPr>
        <w:t>Planejamento modular de um assistente financeiro pessoal com inteligência artificial híbrida</w:t>
      </w:r>
    </w:p>
    <w:p/>
    <w:p>
      <w:pPr>
        <w:spacing w:before="2400"/>
        <w:jc w:val="center"/>
      </w:pPr>
      <w:r>
        <w:t>Versão 2.0 consolidada para especificação do MVP</w:t>
        <w:br/>
        <w:t>Setembro de 2026</w:t>
      </w:r>
    </w:p>
    <w:p>
      <w:pPr>
        <w:pStyle w:val="Heading1"/>
        <w:keepNext/>
      </w:pPr>
      <w:r>
        <w:rPr>
          <w:color w:val="000000"/>
        </w:rPr>
        <w:t>Apresentação do projeto</w:t>
      </w:r>
    </w:p>
    <w:p>
      <w:r>
        <w:t>Este documento define a estrutura funcional e técnica do Vida Financeira AI, uma aplicação de gestão financeira que combina organização de receitas e despesas, planejamento de metas, análise de comportamento e orientação conversacional. A proposta não é criar apenas um painel de gastos, mas um sistema que acompanhe o usuário, explique sua situação e transforme informações financeiras em ações compreensíveis.</w:t>
      </w:r>
    </w:p>
    <w:p>
      <w:r>
        <w:t>A implementação será modular e progressiva. O produto começará com uma inteligência artificial acessada por API, porque isso reduz a complexidade inicial e permite validar a experiência. Depois será acrescentado um modelo local. Na etapa seguinte, um roteador híbrido escolherá entre IA local e API externa conforme custo, privacidade, complexidade e disponibilidade.</w:t>
      </w:r>
    </w:p>
    <w:p>
      <w:pPr>
        <w:pStyle w:val="Heading2"/>
        <w:keepNext/>
      </w:pPr>
      <w:r>
        <w:rPr>
          <w:color w:val="000000"/>
        </w:rPr>
        <w:t>Objetivo deste documento</w:t>
      </w:r>
    </w:p>
    <w:p>
      <w:pPr>
        <w:pStyle w:val="ListBullet"/>
      </w:pPr>
      <w:r>
        <w:t>Definir claramente o propósito, o público e os limites do produto.</w:t>
      </w:r>
    </w:p>
    <w:p>
      <w:pPr>
        <w:pStyle w:val="ListBullet"/>
      </w:pPr>
      <w:r>
        <w:t>Organizar os módulos e as responsabilidades do sistema.</w:t>
      </w:r>
    </w:p>
    <w:p>
      <w:pPr>
        <w:pStyle w:val="ListBullet"/>
      </w:pPr>
      <w:r>
        <w:t>Descrever como a inteligência artificial se conecta aos dados e às regras financeiras.</w:t>
      </w:r>
    </w:p>
    <w:p>
      <w:pPr>
        <w:pStyle w:val="ListBullet"/>
      </w:pPr>
      <w:r>
        <w:t>Apresentar as etapas de implementação em uma ordem segura e realista.</w:t>
      </w:r>
    </w:p>
    <w:p>
      <w:pPr>
        <w:pStyle w:val="ListBullet"/>
      </w:pPr>
      <w:r>
        <w:t>Servir como referência para decisões de produto, design e desenvolvimento.</w:t>
      </w:r>
    </w:p>
    <w:p>
      <w:pPr>
        <w:pStyle w:val="Heading2"/>
        <w:keepNext/>
      </w:pPr>
      <w:r>
        <w:rPr>
          <w:color w:val="000000"/>
        </w:rPr>
        <w:t>Decisão central</w:t>
      </w:r>
    </w:p>
    <w:p>
      <w:r>
        <w:t>A inteligência artificial não será responsável por calcular saldos, juros, parcelas ou projeções. Esses resultados serão produzidos por regras e cálculos tradicionais, que podem ser testados e auditados. A IA receberá apenas o contexto necessário para interpretar os resultados, conversar com o usuário e apresentar alternativas.</w:t>
      </w:r>
    </w:p>
    <w:p>
      <w:pPr>
        <w:pStyle w:val="Heading2"/>
        <w:keepNext/>
      </w:pPr>
      <w:r>
        <w:rPr>
          <w:color w:val="000000"/>
        </w:rPr>
        <w:t>Tecnologias definidas</w:t>
      </w:r>
    </w:p>
    <w:tbl>
      <w:tblPr>
        <w:tblW w:type="auto" w:w="0"/>
        <w:jc w:val="center"/>
        <w:tblLayout w:type="fixed"/>
        <w:tblLook w:firstColumn="1" w:firstRow="1" w:lastColumn="0" w:lastRow="0" w:noHBand="0" w:noVBand="1" w:val="04A0"/>
      </w:tblPr>
      <w:tblGrid>
        <w:gridCol w:w="3264"/>
        <w:gridCol w:w="3264"/>
        <w:gridCol w:w="3264"/>
      </w:tblGrid>
      <w:tr>
        <w:tc>
          <w:tcPr>
            <w:tcW w:type="dxa" w:w="19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Parte do sistema</w:t>
            </w:r>
          </w:p>
        </w:tc>
        <w:tc>
          <w:tcPr>
            <w:tcW w:type="dxa" w:w="2232"/>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Tecnologia</w:t>
            </w:r>
          </w:p>
        </w:tc>
        <w:tc>
          <w:tcPr>
            <w:tcW w:type="dxa" w:w="518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Responsabilidade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Frontend</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React com Next.js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Interface web, experiência do usuário e comunicação com a API</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Backend principal</w:t>
            </w:r>
          </w:p>
        </w:tc>
        <w:tc>
          <w:tcPr>
            <w:tcW w:type="dxa" w:w="223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PHP com Laravel</w:t>
            </w:r>
          </w:p>
        </w:tc>
        <w:tc>
          <w:tcPr>
            <w:tcW w:type="dxa" w:w="518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Autenticação, regras financeiras, API, permissões e integrações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Serviço de inteligência</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Python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Orquestração da IA, análises especializadas, modelos locais e avaliações</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Banco de dados</w:t>
            </w:r>
          </w:p>
        </w:tc>
        <w:tc>
          <w:tcPr>
            <w:tcW w:type="dxa" w:w="223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PostgreSQL</w:t>
            </w:r>
          </w:p>
        </w:tc>
        <w:tc>
          <w:tcPr>
            <w:tcW w:type="dxa" w:w="518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Persistência transacional, histórico, auditoria e dados financeiros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IA externa</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API de modelo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Conversas e análises que exigem maior capacidade</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IA local futura</w:t>
            </w:r>
          </w:p>
        </w:tc>
        <w:tc>
          <w:tcPr>
            <w:tcW w:type="dxa" w:w="223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Modelo servido pelo Python</w:t>
            </w:r>
          </w:p>
        </w:tc>
        <w:tc>
          <w:tcPr>
            <w:tcW w:type="dxa" w:w="518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Tarefas privadas, repetitivas ou de menor custo</w:t>
            </w:r>
          </w:p>
        </w:tc>
      </w:tr>
    </w:tbl>
    <w:p>
      <w:pPr>
        <w:spacing w:after="20"/>
      </w:pPr>
    </w:p>
    <w:p>
      <w:pPr>
        <w:pStyle w:val="Heading2"/>
        <w:keepNext/>
      </w:pPr>
      <w:r>
        <w:rPr>
          <w:color w:val="000000"/>
        </w:rPr>
        <w:t>Visão resumida</w:t>
      </w:r>
    </w:p>
    <w:tbl>
      <w:tblPr>
        <w:tblW w:type="auto" w:w="0"/>
        <w:jc w:val="center"/>
        <w:tblLayout w:type="fixed"/>
        <w:tblLook w:firstColumn="1" w:firstRow="1" w:lastColumn="0" w:lastRow="0" w:noHBand="0" w:noVBand="1" w:val="04A0"/>
      </w:tblPr>
      <w:tblGrid>
        <w:gridCol w:w="4896"/>
        <w:gridCol w:w="4896"/>
      </w:tblGrid>
      <w:tr>
        <w:tc>
          <w:tcPr>
            <w:tcW w:type="dxa" w:w="230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Elemento</w:t>
            </w:r>
          </w:p>
        </w:tc>
        <w:tc>
          <w:tcPr>
            <w:tcW w:type="dxa" w:w="705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Definição</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Produto</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Copiloto financeiro pessoal com acompanhamento contínuo</w:t>
            </w:r>
          </w:p>
        </w:tc>
      </w:tr>
      <w:tr>
        <w:tc>
          <w:tcPr>
            <w:tcW w:type="dxa" w:w="23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Primeira versão</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
              <w:rPr>
                <w:b w:val="0"/>
                <w:sz w:val="19"/>
              </w:rPr>
              <w:t>Importação de extrato, gestão financeira, resumo do mês e assistente via API</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Evolução</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Previsões, metas, alertas, mercado e modelo local</w:t>
            </w:r>
          </w:p>
        </w:tc>
      </w:tr>
      <w:tr>
        <w:tc>
          <w:tcPr>
            <w:tcW w:type="dxa" w:w="23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Arquitetura</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 modular com serviço Python especializado</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IA</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API primeiro, local depois e roteamento híbrido na maturidade</w:t>
            </w:r>
          </w:p>
        </w:tc>
      </w:tr>
      <w:tr>
        <w:tc>
          <w:tcPr>
            <w:tcW w:type="dxa" w:w="23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Princípio</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Cálculos confiáveis no sistema e explicações na IA</w:t>
            </w:r>
          </w:p>
        </w:tc>
      </w:tr>
    </w:tbl>
    <w:p>
      <w:pPr>
        <w:spacing w:after="20"/>
      </w:pPr>
    </w:p>
    <w:p>
      <w:pPr>
        <w:pStyle w:val="Heading1"/>
        <w:keepNext/>
      </w:pPr>
      <w:r>
        <w:rPr>
          <w:color w:val="000000"/>
        </w:rPr>
        <w:t>Visão do produto</w:t>
      </w:r>
    </w:p>
    <w:p>
      <w:pPr>
        <w:pStyle w:val="Heading2"/>
        <w:keepNext/>
      </w:pPr>
      <w:r>
        <w:rPr>
          <w:color w:val="000000"/>
        </w:rPr>
        <w:t>Problema que será resolvido</w:t>
      </w:r>
    </w:p>
    <w:p>
      <w:r>
        <w:t>Aplicativos financeiros normalmente registram movimentações e exibem gráficos, mas deixam para o usuário a tarefa de interpretar os dados e decidir o que fazer. O Vida Financeira AI pretende reduzir essa distância. O sistema deve identificar mudanças relevantes, explicar consequências e ajudar o usuário a construir planos possíveis.</w:t>
      </w:r>
    </w:p>
    <w:p>
      <w:pPr>
        <w:pStyle w:val="Heading2"/>
        <w:keepNext/>
      </w:pPr>
      <w:r>
        <w:rPr>
          <w:color w:val="000000"/>
        </w:rPr>
        <w:t>Proposta de valor</w:t>
      </w:r>
    </w:p>
    <w:p>
      <w:r>
        <w:t>O usuário terá uma visão única de sua vida financeira e poderá fazer perguntas em linguagem natural. O sistema combinará seus dados, regras financeiras, metas e informações atuais para responder de maneira pessoal, transparente e prática.</w:t>
      </w:r>
    </w:p>
    <w:p>
      <w:pPr>
        <w:pStyle w:val="Heading2"/>
        <w:keepNext/>
      </w:pPr>
      <w:r>
        <w:rPr>
          <w:color w:val="000000"/>
        </w:rPr>
        <w:t>Público inicial</w:t>
      </w:r>
    </w:p>
    <w:p>
      <w:pPr>
        <w:pStyle w:val="ListBullet"/>
      </w:pPr>
      <w:r>
        <w:t>Pessoas que desejam organizar receitas, despesas e contas recorrentes.</w:t>
      </w:r>
    </w:p>
    <w:p>
      <w:pPr>
        <w:pStyle w:val="ListBullet"/>
      </w:pPr>
      <w:r>
        <w:t>Usuários que têm dificuldade em interpretar gráficos e indicadores financeiros.</w:t>
      </w:r>
    </w:p>
    <w:p>
      <w:pPr>
        <w:pStyle w:val="ListBullet"/>
      </w:pPr>
      <w:r>
        <w:t>Pessoas que precisam planejar compras, quitar dívidas ou criar uma reserva.</w:t>
      </w:r>
    </w:p>
    <w:p>
      <w:pPr>
        <w:pStyle w:val="ListBullet"/>
      </w:pPr>
      <w:r>
        <w:t>Usuários que valorizam explicações simples e acompanhamento contínuo.</w:t>
      </w:r>
    </w:p>
    <w:p>
      <w:pPr>
        <w:pStyle w:val="Heading2"/>
        <w:keepNext/>
      </w:pPr>
      <w:r>
        <w:rPr>
          <w:color w:val="000000"/>
        </w:rPr>
        <w:t>Experiência esperada</w:t>
      </w:r>
    </w:p>
    <w:p>
      <w:r>
        <w:t>A tela inicial deverá apresentar uma leitura objetiva da situação atual: dinheiro disponível, compromissos até o próximo recebimento, categorias que merecem atenção e progresso das metas. Em seguida, o usuário poderá escolher ações como analisar o mês, planejar uma compra, organizar dívidas ou criar uma meta.</w:t>
      </w:r>
    </w:p>
    <w:tbl>
      <w:tblPr>
        <w:tblW w:type="auto" w:w="0"/>
        <w:jc w:val="center"/>
        <w:tblLayout w:type="fixed"/>
        <w:tblLook w:firstColumn="1" w:firstRow="1" w:lastColumn="0" w:lastRow="0" w:noHBand="0" w:noVBand="1" w:val="04A0"/>
      </w:tblPr>
      <w:tblGrid>
        <w:gridCol w:w="4896"/>
        <w:gridCol w:w="4896"/>
      </w:tblGrid>
      <w:tr>
        <w:tc>
          <w:tcPr>
            <w:tcW w:type="dxa" w:w="302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Pergunta do usuário</w:t>
            </w:r>
          </w:p>
        </w:tc>
        <w:tc>
          <w:tcPr>
            <w:tcW w:type="dxa" w:w="633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Resposta esperada do sistema</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Como está meu mês?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Resumo do período, riscos, variações e próximos compromissos</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Posso comprar isto?</w:t>
            </w:r>
          </w:p>
        </w:tc>
        <w:tc>
          <w:tcPr>
            <w:tcW w:type="dxa" w:w="63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Impacto no caixa, na reserva e nas metas, com alternativas</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Onde estou gastando demais?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Comparação com o histórico e identificação de categorias</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Como alcançar minha meta?</w:t>
            </w:r>
          </w:p>
        </w:tc>
        <w:tc>
          <w:tcPr>
            <w:tcW w:type="dxa" w:w="63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Valor mensal necessário, prazo e possíveis ajustes</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 que vence antes do salário?</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Lista de compromissos e saldo projetado</w:t>
            </w:r>
          </w:p>
        </w:tc>
      </w:tr>
    </w:tbl>
    <w:p>
      <w:pPr>
        <w:spacing w:after="20"/>
      </w:pPr>
    </w:p>
    <w:p>
      <w:pPr>
        <w:pStyle w:val="Heading2"/>
        <w:keepNext/>
      </w:pPr>
      <w:r>
        <w:rPr>
          <w:color w:val="000000"/>
        </w:rPr>
        <w:t>Limites do produto</w:t>
      </w:r>
    </w:p>
    <w:p>
      <w:pPr>
        <w:pStyle w:val="ListBullet"/>
      </w:pPr>
      <w:r>
        <w:t>Não prometer rentabilidade nem apresentar estimativas como garantia.</w:t>
      </w:r>
    </w:p>
    <w:p>
      <w:pPr>
        <w:pStyle w:val="ListBullet"/>
      </w:pPr>
      <w:r>
        <w:t>Não realizar movimentações financeiras automaticamente no início.</w:t>
      </w:r>
    </w:p>
    <w:p>
      <w:pPr>
        <w:pStyle w:val="ListBullet"/>
      </w:pPr>
      <w:r>
        <w:t>Não substituir aconselhamento profissional em decisões de alto impacto.</w:t>
      </w:r>
    </w:p>
    <w:p>
      <w:pPr>
        <w:pStyle w:val="ListBullet"/>
      </w:pPr>
      <w:r>
        <w:t>Não ocultar incertezas, dados ausentes ou limitações das fontes.</w:t>
      </w:r>
    </w:p>
    <w:p>
      <w:pPr>
        <w:pStyle w:val="Heading1"/>
        <w:keepNext/>
      </w:pPr>
      <w:r>
        <w:rPr>
          <w:color w:val="000000"/>
        </w:rPr>
        <w:t>Estrutura modular do sistema</w:t>
      </w:r>
    </w:p>
    <w:p>
      <w:r>
        <w:t>O núcleo do sistema será organizado como um monólito modular em Laravel. Os módulos financeiros funcionarão na mesma aplicação no começo, com responsabilidades e dados bem definidos. O Python será um serviço especializado separado, chamado pelo Laravel somente quando houver necessidade de inteligência artificial, processamento analítico ou execução de modelo local. O Next.js consumirá exclusivamente a API do Laravel.</w:t>
      </w:r>
    </w:p>
    <w:tbl>
      <w:tblPr>
        <w:tblW w:type="auto" w:w="0"/>
        <w:jc w:val="center"/>
        <w:tblLayout w:type="fixed"/>
        <w:tblLook w:firstColumn="1" w:firstRow="1" w:lastColumn="0" w:lastRow="0" w:noHBand="0" w:noVBand="1" w:val="04A0"/>
      </w:tblPr>
      <w:tblGrid>
        <w:gridCol w:w="3264"/>
        <w:gridCol w:w="3264"/>
        <w:gridCol w:w="3264"/>
      </w:tblGrid>
      <w:tr>
        <w:tc>
          <w:tcPr>
            <w:tcW w:type="dxa" w:w="165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Módulo</w:t>
            </w:r>
          </w:p>
        </w:tc>
        <w:tc>
          <w:tcPr>
            <w:tcW w:type="dxa" w:w="352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Responsabilidade principal</w:t>
            </w:r>
          </w:p>
        </w:tc>
        <w:tc>
          <w:tcPr>
            <w:tcW w:type="dxa" w:w="417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Entregas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Identidade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Controlar usuário, acesso e consentimentos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Cadastro, login, recuperação e preferências</w:t>
            </w:r>
          </w:p>
        </w:tc>
      </w:tr>
      <w:tr>
        <w:tc>
          <w:tcPr>
            <w:tcW w:type="dxa" w:w="16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Financeiro</w:t>
            </w:r>
          </w:p>
        </w:tc>
        <w:tc>
          <w:tcPr>
            <w:tcW w:type="dxa" w:w="35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Registrar e organizar movimentações</w:t>
            </w:r>
          </w:p>
        </w:tc>
        <w:tc>
          <w:tcPr>
            <w:tcW w:type="dxa" w:w="41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Receitas, despesas, categorias e contas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Planejamento</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Transformar intenção em plano</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Orçamentos, metas, reserva e dívidas</w:t>
            </w:r>
          </w:p>
        </w:tc>
      </w:tr>
      <w:tr>
        <w:tc>
          <w:tcPr>
            <w:tcW w:type="dxa" w:w="16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Inteligência</w:t>
            </w:r>
          </w:p>
        </w:tc>
        <w:tc>
          <w:tcPr>
            <w:tcW w:type="dxa" w:w="35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Calcular e detectar situações</w:t>
            </w:r>
          </w:p>
        </w:tc>
        <w:tc>
          <w:tcPr>
            <w:tcW w:type="dxa" w:w="41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Projeções, indicadores, regras e alertas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Assistente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Conversar e explicar resultados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Chat, memória autorizada e ferramentas</w:t>
            </w:r>
          </w:p>
        </w:tc>
      </w:tr>
      <w:tr>
        <w:tc>
          <w:tcPr>
            <w:tcW w:type="dxa" w:w="16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Mercado</w:t>
            </w:r>
          </w:p>
        </w:tc>
        <w:tc>
          <w:tcPr>
            <w:tcW w:type="dxa" w:w="35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Obter informações externas atuais</w:t>
            </w:r>
          </w:p>
        </w:tc>
        <w:tc>
          <w:tcPr>
            <w:tcW w:type="dxa" w:w="41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Indicadores, taxas, notícias e fontes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Integrações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Importar dados de outras origens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t>Extratos OFX e CSV no MVP; PDF e Open Finance somente em fases futuras</w:t>
            </w:r>
          </w:p>
        </w:tc>
      </w:tr>
      <w:tr>
        <w:tc>
          <w:tcPr>
            <w:tcW w:type="dxa" w:w="16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Governança</w:t>
            </w:r>
          </w:p>
        </w:tc>
        <w:tc>
          <w:tcPr>
            <w:tcW w:type="dxa" w:w="35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Controlar risco, custo e auditoria</w:t>
            </w:r>
          </w:p>
        </w:tc>
        <w:tc>
          <w:tcPr>
            <w:tcW w:type="dxa" w:w="41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Logs, privacidade, uso de IA e rastreabilidade</w:t>
            </w:r>
          </w:p>
        </w:tc>
      </w:tr>
    </w:tbl>
    <w:p>
      <w:pPr>
        <w:spacing w:after="20"/>
      </w:pPr>
    </w:p>
    <w:p>
      <w:pPr>
        <w:pStyle w:val="Heading2"/>
        <w:keepNext/>
      </w:pPr>
      <w:r>
        <w:rPr>
          <w:color w:val="000000"/>
        </w:rPr>
        <w:t>Relação entre os módulos</w:t>
      </w:r>
    </w:p>
    <w:p>
      <w:pPr>
        <w:pStyle w:val="ListNumber"/>
      </w:pPr>
      <w:r>
        <w:t>O usuário realiza uma ação no aplicativo ou envia uma pergunta.</w:t>
      </w:r>
    </w:p>
    <w:p>
      <w:pPr>
        <w:pStyle w:val="ListNumber"/>
      </w:pPr>
      <w:r>
        <w:t>O módulo de identidade confirma quem está acessando.</w:t>
      </w:r>
    </w:p>
    <w:p>
      <w:pPr>
        <w:pStyle w:val="ListNumber"/>
      </w:pPr>
      <w:r>
        <w:t>O módulo financeiro recupera somente os dados pertencentes ao usuário.</w:t>
      </w:r>
    </w:p>
    <w:p>
      <w:pPr>
        <w:pStyle w:val="ListNumber"/>
      </w:pPr>
      <w:r>
        <w:t>O módulo de inteligência executa cálculos e aplica regras.</w:t>
      </w:r>
    </w:p>
    <w:p>
      <w:pPr>
        <w:pStyle w:val="ListNumber"/>
      </w:pPr>
      <w:r>
        <w:t>O módulo assistente recebe um resumo dos resultados e seleciona a IA.</w:t>
      </w:r>
    </w:p>
    <w:p>
      <w:pPr>
        <w:pStyle w:val="ListNumber"/>
      </w:pPr>
      <w:r>
        <w:t>Se necessário, o módulo de mercado consulta informações atuais e registra as fontes.</w:t>
      </w:r>
    </w:p>
    <w:p>
      <w:pPr>
        <w:pStyle w:val="ListNumber"/>
      </w:pPr>
      <w:r>
        <w:t>A resposta retorna ao usuário com dados, premissas, consequências e alternativas.</w:t>
      </w:r>
    </w:p>
    <w:p>
      <w:pPr>
        <w:pStyle w:val="Heading2"/>
        <w:keepNext/>
      </w:pPr>
      <w:r>
        <w:rPr>
          <w:color w:val="000000"/>
        </w:rPr>
        <w:t>Separação de responsabilidades</w:t>
      </w:r>
    </w:p>
    <w:tbl>
      <w:tblPr>
        <w:tblW w:type="auto" w:w="0"/>
        <w:jc w:val="center"/>
        <w:tblLayout w:type="fixed"/>
        <w:tblLook w:firstColumn="1" w:firstRow="1" w:lastColumn="0" w:lastRow="0" w:noHBand="0" w:noVBand="1" w:val="04A0"/>
      </w:tblPr>
      <w:tblGrid>
        <w:gridCol w:w="3264"/>
        <w:gridCol w:w="3264"/>
        <w:gridCol w:w="3264"/>
      </w:tblGrid>
      <w:tr>
        <w:tc>
          <w:tcPr>
            <w:tcW w:type="dxa" w:w="1872"/>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Responsável</w:t>
            </w:r>
          </w:p>
        </w:tc>
        <w:tc>
          <w:tcPr>
            <w:tcW w:type="dxa" w:w="37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Pode fazer</w:t>
            </w:r>
          </w:p>
        </w:tc>
        <w:tc>
          <w:tcPr>
            <w:tcW w:type="dxa" w:w="37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Não deve fazer</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Motor financeiro</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Calcular saldos, parcelas, juros e projeções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Produzir linguagem persuasiva ou inventar contexto</w:t>
            </w:r>
          </w:p>
        </w:tc>
      </w:tr>
      <w:tr>
        <w:tc>
          <w:tcPr>
            <w:tcW w:type="dxa" w:w="18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Motor de regras</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Classificar riscos e acionar alertas</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Alterar critérios sem versão e auditoria</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Inteligência artificial</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Entender perguntas, escolher ferramentas e explicar</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Inventar valores ou escrever diretamente no banco</w:t>
            </w:r>
          </w:p>
        </w:tc>
      </w:tr>
      <w:tr>
        <w:tc>
          <w:tcPr>
            <w:tcW w:type="dxa" w:w="18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Fonte de mercado</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Fornecer dados atuais com data e origem</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Ser tratada como verdade sem validação</w:t>
            </w:r>
          </w:p>
        </w:tc>
      </w:tr>
    </w:tbl>
    <w:p>
      <w:pPr>
        <w:spacing w:after="20"/>
      </w:pPr>
    </w:p>
    <w:p>
      <w:pPr>
        <w:pStyle w:val="Heading1"/>
        <w:keepNext/>
      </w:pPr>
      <w:r>
        <w:rPr>
          <w:color w:val="000000"/>
        </w:rPr>
        <w:t>Arquitetura conceitual</w:t>
      </w:r>
    </w:p>
    <w:p>
      <w:pPr>
        <w:pStyle w:val="Heading2"/>
        <w:keepNext/>
      </w:pPr>
      <w:r>
        <w:rPr>
          <w:color w:val="000000"/>
        </w:rPr>
        <w:t>Camadas da aplicação</w:t>
      </w:r>
    </w:p>
    <w:tbl>
      <w:tblPr>
        <w:tblW w:type="auto" w:w="0"/>
        <w:jc w:val="center"/>
        <w:tblLayout w:type="fixed"/>
        <w:tblLook w:firstColumn="1" w:firstRow="1" w:lastColumn="0" w:lastRow="0" w:noHBand="0" w:noVBand="1" w:val="04A0"/>
      </w:tblPr>
      <w:tblGrid>
        <w:gridCol w:w="4896"/>
        <w:gridCol w:w="4896"/>
      </w:tblGrid>
      <w:tr>
        <w:tc>
          <w:tcPr>
            <w:tcW w:type="dxa" w:w="216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Camada</w:t>
            </w:r>
          </w:p>
        </w:tc>
        <w:tc>
          <w:tcPr>
            <w:tcW w:type="dxa" w:w="720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Papel</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Next.js e React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Renderiza a interface web, formulários, painéis e conversas</w:t>
            </w:r>
          </w:p>
        </w:tc>
      </w:tr>
      <w:tr>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API Laravel</w:t>
            </w:r>
          </w:p>
        </w:tc>
        <w:tc>
          <w:tcPr>
            <w:tcW w:type="dxa" w:w="720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Recebe solicitações, autentica, autoriza e coordena os casos de uso</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Domínio Laravel</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Contém regras financeiras, cálculos, validações e módulos de negócio</w:t>
            </w:r>
          </w:p>
        </w:tc>
      </w:tr>
      <w:tr>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Serviço Python</w:t>
            </w:r>
          </w:p>
        </w:tc>
        <w:tc>
          <w:tcPr>
            <w:tcW w:type="dxa" w:w="720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Orquestra provedores de IA, modelos locais, avaliações e análises especializadas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PostgreSQL</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Armazena dados financeiros, usuários, metas, auditoria e uso de IA</w:t>
            </w:r>
          </w:p>
        </w:tc>
      </w:tr>
      <w:tr>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Infraestrutura</w:t>
            </w:r>
          </w:p>
        </w:tc>
        <w:tc>
          <w:tcPr>
            <w:tcW w:type="dxa" w:w="720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Conecta filas, cache, fontes de mercado e serviços externos</w:t>
            </w:r>
          </w:p>
        </w:tc>
      </w:tr>
    </w:tbl>
    <w:p>
      <w:pPr>
        <w:spacing w:after="20"/>
      </w:pPr>
    </w:p>
    <w:p>
      <w:pPr>
        <w:pStyle w:val="Heading2"/>
        <w:keepNext/>
      </w:pPr>
      <w:r>
        <w:rPr>
          <w:color w:val="000000"/>
        </w:rPr>
        <w:t>Fluxo de informação</w:t>
      </w:r>
    </w:p>
    <w:p>
      <w:r>
        <w:t>O frontend Next.js nunca deverá enviar uma chave secreta de IA, chamar o serviço Python diretamente ou consultar o PostgreSQL. Toda comunicação passará pela API Laravel. O Laravel aplicará autenticação, autorização, validação e limites, preparará o contexto financeiro e chamará o Python apenas quando necessário.</w:t>
      </w:r>
    </w:p>
    <w:tbl>
      <w:tblPr>
        <w:tblW w:type="auto" w:w="0"/>
        <w:jc w:val="center"/>
        <w:tblLayout w:type="fixed"/>
        <w:tblLook w:firstColumn="1" w:firstRow="1" w:lastColumn="0" w:lastRow="0" w:noHBand="0" w:noVBand="1" w:val="04A0"/>
      </w:tblPr>
      <w:tblGrid>
        <w:gridCol w:w="3264"/>
        <w:gridCol w:w="3264"/>
        <w:gridCol w:w="3264"/>
      </w:tblGrid>
      <w:tr>
        <w:tc>
          <w:tcPr>
            <w:tcW w:type="dxa" w:w="19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Origem</w:t>
            </w:r>
          </w:p>
        </w:tc>
        <w:tc>
          <w:tcPr>
            <w:tcW w:type="dxa" w:w="216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Destino</w:t>
            </w:r>
          </w:p>
        </w:tc>
        <w:tc>
          <w:tcPr>
            <w:tcW w:type="dxa" w:w="525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Conteúdo</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Next.js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Ação ou pergunta do usuário</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PostgreSQL</w:t>
            </w:r>
          </w:p>
        </w:tc>
        <w:tc>
          <w:tcPr>
            <w:tcW w:type="dxa" w:w="52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 ou alteração autorizada</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Motor financeiro</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 autenticado e dados do caso de uso</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Serviço Python</w:t>
            </w:r>
          </w:p>
        </w:tc>
        <w:tc>
          <w:tcPr>
            <w:tcW w:type="dxa" w:w="52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Pergunta e contexto financeiro mínimo</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Python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Provedor de IA</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Instruções, ferramentas e contexto autorizado</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Python</w:t>
            </w:r>
          </w:p>
        </w:tc>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52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Resposta estruturada, uso e rastreabilidade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Laravel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Next.js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Resposta final pronta para apresentação</w:t>
            </w:r>
          </w:p>
        </w:tc>
      </w:tr>
    </w:tbl>
    <w:p>
      <w:pPr>
        <w:spacing w:after="20"/>
      </w:pPr>
    </w:p>
    <w:p>
      <w:pPr>
        <w:pStyle w:val="Heading2"/>
        <w:keepNext/>
      </w:pPr>
      <w:r>
        <w:rPr>
          <w:color w:val="000000"/>
        </w:rPr>
        <w:t>Por que Laravel modular com Python separado</w:t>
      </w:r>
    </w:p>
    <w:p>
      <w:pPr>
        <w:pStyle w:val="ListBullet"/>
      </w:pPr>
      <w:r>
        <w:t>Laravel concentra autenticação, regras de negócio, transações e segurança financeira.</w:t>
      </w:r>
    </w:p>
    <w:p>
      <w:pPr>
        <w:pStyle w:val="ListBullet"/>
      </w:pPr>
      <w:r>
        <w:t>PostgreSQL mantém consistência e histórico dos dados principais.</w:t>
      </w:r>
    </w:p>
    <w:p>
      <w:pPr>
        <w:pStyle w:val="ListBullet"/>
      </w:pPr>
      <w:r>
        <w:t>Python evolui de forma independente para IA, modelos locais e processamento analítico.</w:t>
      </w:r>
    </w:p>
    <w:p>
      <w:pPr>
        <w:pStyle w:val="ListBullet"/>
      </w:pPr>
      <w:r>
        <w:t>Next.js permanece focado na experiência e não conhece detalhes dos provedores de IA.</w:t>
      </w:r>
    </w:p>
    <w:p>
      <w:pPr>
        <w:pStyle w:val="ListBullet"/>
      </w:pPr>
      <w:r>
        <w:t>A separação evita transformar toda a aplicação em microsserviços antes da necessidade.</w:t>
      </w:r>
    </w:p>
    <w:p>
      <w:pPr>
        <w:pStyle w:val="Heading2"/>
        <w:keepNext/>
      </w:pPr>
      <w:r>
        <w:rPr>
          <w:color w:val="000000"/>
        </w:rPr>
        <w:t>Critérios para separar um módulo</w:t>
      </w:r>
    </w:p>
    <w:p>
      <w:r>
        <w:t>Além do serviço Python, um módulo Laravel só deverá virar serviço independente quando houver uma necessidade comprovada, como volume muito diferente, equipe própria, ciclo de implantação separado, requisito de isolamento ou dependência externa que justifique essa complexidade.</w:t>
      </w:r>
    </w:p>
    <w:p>
      <w:pPr>
        <w:pStyle w:val="Heading1"/>
        <w:keepNext/>
      </w:pPr>
      <w:r>
        <w:rPr>
          <w:color w:val="000000"/>
        </w:rPr>
        <w:t>Estratégia de inteligência artificial híbrida</w:t>
      </w:r>
    </w:p>
    <w:p>
      <w:pPr>
        <w:pStyle w:val="Heading2"/>
        <w:keepNext/>
      </w:pPr>
      <w:r>
        <w:rPr>
          <w:color w:val="000000"/>
        </w:rPr>
        <w:t>Fase inicial com API</w:t>
      </w:r>
    </w:p>
    <w:p>
      <w:r>
        <w:t>A primeira versão usará uma API externa de inteligência artificial somente após consentimento específico. O assistente será de leitura, receberá contexto mínimo preparado pelo Laravel e não terá acesso ao arquivo bruto nem permissão para gravar dados financeiros. A chave da API ficará somente no servidor.</w:t>
      </w:r>
    </w:p>
    <w:p>
      <w:pPr>
        <w:pStyle w:val="Heading2"/>
        <w:keepNext/>
      </w:pPr>
      <w:r>
        <w:rPr>
          <w:color w:val="000000"/>
        </w:rPr>
        <w:t>Fase local</w:t>
      </w:r>
    </w:p>
    <w:p>
      <w:r>
        <w:t>Depois do MVP, um modelo local será avaliado para tarefas repetitivas, sensíveis ou de menor complexidade. A adoção dependerá de testes de qualidade em português, capacidade de utilizar ferramentas, consumo de memória, tempo de resposta e custo total de infraestrutura.</w:t>
      </w:r>
    </w:p>
    <w:p>
      <w:pPr>
        <w:pStyle w:val="Heading2"/>
        <w:keepNext/>
      </w:pPr>
      <w:r>
        <w:rPr>
          <w:color w:val="000000"/>
        </w:rPr>
        <w:t>Fase híbrida</w:t>
      </w:r>
    </w:p>
    <w:p>
      <w:r>
        <w:t>Na fase híbrida, um roteador decidirá qual provedor deve responder. A decisão não será baseada apenas no preço. O sistema considerará privacidade, complexidade, urgência, disponibilidade, tamanho do contexto e desempenho medido em avaliações.</w:t>
      </w:r>
    </w:p>
    <w:tbl>
      <w:tblPr>
        <w:tblW w:type="auto" w:w="0"/>
        <w:jc w:val="center"/>
        <w:tblLayout w:type="fixed"/>
        <w:tblLook w:firstColumn="1" w:firstRow="1" w:lastColumn="0" w:lastRow="0" w:noHBand="0" w:noVBand="1" w:val="04A0"/>
      </w:tblPr>
      <w:tblGrid>
        <w:gridCol w:w="3264"/>
        <w:gridCol w:w="3264"/>
        <w:gridCol w:w="3264"/>
      </w:tblGrid>
      <w:tr>
        <w:tc>
          <w:tcPr>
            <w:tcW w:type="dxa" w:w="316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Situação</w:t>
            </w:r>
          </w:p>
        </w:tc>
        <w:tc>
          <w:tcPr>
            <w:tcW w:type="dxa" w:w="244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Destino preferencial</w:t>
            </w:r>
          </w:p>
        </w:tc>
        <w:tc>
          <w:tcPr>
            <w:tcW w:type="dxa" w:w="37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Justificativa</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 simples de dados já calculados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Modelo local</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Baixo custo e maior controle</w:t>
            </w:r>
          </w:p>
        </w:tc>
      </w:tr>
      <w:tr>
        <w:tc>
          <w:tcPr>
            <w:tcW w:type="dxa" w:w="31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Classificação de transação</w:t>
            </w:r>
          </w:p>
        </w:tc>
        <w:tc>
          <w:tcPr>
            <w:tcW w:type="dxa" w:w="244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Modelo local ou regra</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Tarefa curta e repetitiva</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Análise ampla de comportamento</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API externa</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Exige maior capacidade de interpretação</w:t>
            </w:r>
          </w:p>
        </w:tc>
      </w:tr>
      <w:tr>
        <w:tc>
          <w:tcPr>
            <w:tcW w:type="dxa" w:w="31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 de saldo ou juros</w:t>
            </w:r>
          </w:p>
        </w:tc>
        <w:tc>
          <w:tcPr>
            <w:tcW w:type="dxa" w:w="244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Sistema tradicional</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Deve ser determinístico e testável</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Dado econômico atual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Fonte externa autorizada</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Necessita data, origem e validade</w:t>
            </w:r>
          </w:p>
        </w:tc>
      </w:tr>
      <w:tr>
        <w:tc>
          <w:tcPr>
            <w:tcW w:type="dxa" w:w="31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Falha do provedor principal</w:t>
            </w:r>
          </w:p>
        </w:tc>
        <w:tc>
          <w:tcPr>
            <w:tcW w:type="dxa" w:w="244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Provedor alternativo</w:t>
            </w:r>
          </w:p>
        </w:tc>
        <w:tc>
          <w:tcPr>
            <w:tcW w:type="dxa" w:w="37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Mantém continuidade com limites claros</w:t>
            </w:r>
          </w:p>
        </w:tc>
      </w:tr>
    </w:tbl>
    <w:p>
      <w:pPr>
        <w:spacing w:after="20"/>
      </w:pPr>
    </w:p>
    <w:p>
      <w:pPr>
        <w:pStyle w:val="Heading2"/>
        <w:keepNext/>
      </w:pPr>
      <w:r>
        <w:rPr>
          <w:color w:val="000000"/>
        </w:rPr>
        <w:t>Critérios do roteador</w:t>
      </w:r>
    </w:p>
    <w:p>
      <w:pPr>
        <w:pStyle w:val="ListBullet"/>
      </w:pPr>
      <w:r>
        <w:t>Complexidade da pergunta e número de ferramentas necessárias.</w:t>
      </w:r>
    </w:p>
    <w:p>
      <w:pPr>
        <w:pStyle w:val="ListBullet"/>
      </w:pPr>
      <w:r>
        <w:t>Sensibilidade dos dados envolvidos.</w:t>
      </w:r>
    </w:p>
    <w:p>
      <w:pPr>
        <w:pStyle w:val="ListBullet"/>
      </w:pPr>
      <w:r>
        <w:t>Limite de custo por usuário e por período.</w:t>
      </w:r>
    </w:p>
    <w:p>
      <w:pPr>
        <w:pStyle w:val="ListBullet"/>
      </w:pPr>
      <w:r>
        <w:t>Tempo de resposta esperado.</w:t>
      </w:r>
    </w:p>
    <w:p>
      <w:pPr>
        <w:pStyle w:val="ListBullet"/>
      </w:pPr>
      <w:r>
        <w:t>Disponibilidade e saúde de cada provedor.</w:t>
      </w:r>
    </w:p>
    <w:p>
      <w:pPr>
        <w:pStyle w:val="ListBullet"/>
      </w:pPr>
      <w:r>
        <w:t>Qualidade histórica do provedor para aquela categoria de tarefa.</w:t>
      </w:r>
    </w:p>
    <w:p>
      <w:pPr>
        <w:pStyle w:val="Heading2"/>
        <w:keepNext/>
      </w:pPr>
      <w:r>
        <w:rPr>
          <w:color w:val="000000"/>
        </w:rPr>
        <w:t>Princípios do assistente</w:t>
      </w:r>
    </w:p>
    <w:p>
      <w:pPr>
        <w:pStyle w:val="ListBullet"/>
      </w:pPr>
      <w:r>
        <w:t>Nunca inventar saldos, taxas, datas ou movimentações.</w:t>
      </w:r>
    </w:p>
    <w:p>
      <w:pPr>
        <w:pStyle w:val="ListBullet"/>
      </w:pPr>
      <w:r>
        <w:t>Distinguir fatos, cálculos, estimativas e sugestões.</w:t>
      </w:r>
    </w:p>
    <w:p>
      <w:pPr>
        <w:pStyle w:val="ListBullet"/>
      </w:pPr>
      <w:r>
        <w:t>Solicitar dados ausentes antes de conclusões de alto impacto.</w:t>
      </w:r>
    </w:p>
    <w:p>
      <w:pPr>
        <w:pStyle w:val="ListBullet"/>
      </w:pPr>
      <w:r>
        <w:t>Mostrar consequências e alternativas, sem pressionar o usuário.</w:t>
      </w:r>
    </w:p>
    <w:p>
      <w:pPr>
        <w:pStyle w:val="ListBullet"/>
      </w:pPr>
      <w:r>
        <w:t>Informar fonte e data para conteúdo que muda com o tempo.</w:t>
      </w:r>
    </w:p>
    <w:p>
      <w:pPr>
        <w:pStyle w:val="Heading1"/>
        <w:keepNext/>
      </w:pPr>
      <w:r>
        <w:rPr>
          <w:color w:val="000000"/>
        </w:rPr>
        <w:t>Ferramentas do assistente</w:t>
      </w:r>
    </w:p>
    <w:p>
      <w:r>
        <w:t>A IA não terá acesso livre ao banco. Ela receberá uma lista limitada de ferramentas disponibilizadas pelo sistema. Cada ferramenta validará o usuário, registrará a execução e retornará somente os campos necessários.</w:t>
      </w:r>
    </w:p>
    <w:tbl>
      <w:tblPr>
        <w:tblW w:type="auto" w:w="0"/>
        <w:jc w:val="center"/>
        <w:tblLayout w:type="fixed"/>
        <w:tblLook w:firstColumn="1" w:firstRow="1" w:lastColumn="0" w:lastRow="0" w:noHBand="0" w:noVBand="1" w:val="04A0"/>
      </w:tblPr>
      <w:tblGrid>
        <w:gridCol w:w="3264"/>
        <w:gridCol w:w="3264"/>
        <w:gridCol w:w="3264"/>
      </w:tblGrid>
      <w:tr>
        <w:tc>
          <w:tcPr>
            <w:tcW w:type="dxa" w:w="302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Ferramenta conceitual</w:t>
            </w:r>
          </w:p>
        </w:tc>
        <w:tc>
          <w:tcPr>
            <w:tcW w:type="dxa" w:w="460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Finalidade</w:t>
            </w:r>
          </w:p>
        </w:tc>
        <w:tc>
          <w:tcPr>
            <w:tcW w:type="dxa" w:w="172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Tipo de acesso</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Consultar saldo</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Obter posição atual calculada</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Leitura</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Consultar gastos</w:t>
            </w:r>
          </w:p>
        </w:tc>
        <w:tc>
          <w:tcPr>
            <w:tcW w:type="dxa" w:w="460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Resumir despesas por período e categoria</w:t>
            </w:r>
          </w:p>
        </w:tc>
        <w:tc>
          <w:tcPr>
            <w:tcW w:type="dxa" w:w="17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Leitura</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Consultar compromissos</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Listar contas e parcelas futuras</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Leitura</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Consultar metas</w:t>
            </w:r>
          </w:p>
        </w:tc>
        <w:tc>
          <w:tcPr>
            <w:tcW w:type="dxa" w:w="460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Ver valor, prazo e progresso</w:t>
            </w:r>
          </w:p>
        </w:tc>
        <w:tc>
          <w:tcPr>
            <w:tcW w:type="dxa" w:w="17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Leitura</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Projetar fluxo de caixa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Calcular saldo provável em datas futuras</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Simular compra</w:t>
            </w:r>
          </w:p>
        </w:tc>
        <w:tc>
          <w:tcPr>
            <w:tcW w:type="dxa" w:w="460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Comparar pagamento e impacto financeiro</w:t>
            </w:r>
          </w:p>
        </w:tc>
        <w:tc>
          <w:tcPr>
            <w:tcW w:type="dxa" w:w="17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Simular meta</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Estimar esforço mensal e prazo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w:t>
            </w:r>
          </w:p>
        </w:tc>
      </w:tr>
      <w:tr>
        <w:tc>
          <w:tcPr>
            <w:tcW w:type="dxa" w:w="302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Consultar mercado</w:t>
            </w:r>
          </w:p>
        </w:tc>
        <w:tc>
          <w:tcPr>
            <w:tcW w:type="dxa" w:w="460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Obter indicadores atuais com origem</w:t>
            </w:r>
          </w:p>
        </w:tc>
        <w:tc>
          <w:tcPr>
            <w:tcW w:type="dxa" w:w="172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Externo</w:t>
            </w:r>
          </w:p>
        </w:tc>
      </w:tr>
    </w:tbl>
    <w:p>
      <w:pPr>
        <w:spacing w:after="20"/>
      </w:pPr>
    </w:p>
    <w:p>
      <w:pPr>
        <w:pStyle w:val="Heading2"/>
        <w:keepNext/>
      </w:pPr>
      <w:r>
        <w:rPr>
          <w:color w:val="000000"/>
        </w:rPr>
        <w:t>Exemplo do fluxo Posso comprar</w:t>
      </w:r>
    </w:p>
    <w:p>
      <w:pPr>
        <w:pStyle w:val="ListNumber"/>
      </w:pPr>
      <w:r>
        <w:t>O usuário informa o valor, a forma de pagamento e a data desejada.</w:t>
      </w:r>
    </w:p>
    <w:p>
      <w:pPr>
        <w:pStyle w:val="ListNumber"/>
      </w:pPr>
      <w:r>
        <w:t>O assistente identifica quais informações financeiras são necessárias.</w:t>
      </w:r>
    </w:p>
    <w:p>
      <w:pPr>
        <w:pStyle w:val="ListNumber"/>
      </w:pPr>
      <w:r>
        <w:t>O sistema calcula saldo disponível, contas futuras, parcelas, reserva e metas.</w:t>
      </w:r>
    </w:p>
    <w:p>
      <w:pPr>
        <w:pStyle w:val="ListNumber"/>
      </w:pPr>
      <w:r>
        <w:t>O motor de regras verifica risco de déficit e comprometimento da renda.</w:t>
      </w:r>
    </w:p>
    <w:p>
      <w:pPr>
        <w:pStyle w:val="ListNumber"/>
      </w:pPr>
      <w:r>
        <w:t>A IA explica o impacto e apresenta alternativas, como esperar, reduzir valor ou planejar a compra.</w:t>
      </w:r>
    </w:p>
    <w:p>
      <w:pPr>
        <w:pStyle w:val="ListNumber"/>
      </w:pPr>
      <w:r>
        <w:t>A resposta registra quais dados e regras foram utilizados.</w:t>
      </w:r>
    </w:p>
    <w:p>
      <w:pPr>
        <w:pStyle w:val="Heading2"/>
        <w:keepNext/>
      </w:pPr>
      <w:r>
        <w:rPr>
          <w:color w:val="000000"/>
        </w:rPr>
        <w:t>Memória financeira</w:t>
      </w:r>
    </w:p>
    <w:p>
      <w:r>
        <w:t>A memória será mantida pelo próprio sistema, e não dependerá da lembrança do modelo. Preferências e objetivos somente serão salvos com finalidade definida e consentimento. O sistema enviará à IA apenas memórias relevantes para a conversa atual.</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Tipo de memória</w:t>
            </w:r>
          </w:p>
        </w:tc>
        <w:tc>
          <w:tcPr>
            <w:tcW w:type="dxa" w:w="4752"/>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Exemplo</w:t>
            </w:r>
          </w:p>
        </w:tc>
        <w:tc>
          <w:tcPr>
            <w:tcW w:type="dxa" w:w="244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Controle</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Preferência</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Respostas curtas e diretas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 pode alterar</w:t>
            </w:r>
          </w:p>
        </w:tc>
      </w:tr>
      <w:tr>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Objetivo</w:t>
            </w:r>
          </w:p>
        </w:tc>
        <w:tc>
          <w:tcPr>
            <w:tcW w:type="dxa" w:w="475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Criar reserva de vinte mil reais</w:t>
            </w:r>
          </w:p>
        </w:tc>
        <w:tc>
          <w:tcPr>
            <w:tcW w:type="dxa" w:w="244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Prazo e status definidos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Comportamento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Deseja reduzir delivery</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Confirmação antes de salvar</w:t>
            </w:r>
          </w:p>
        </w:tc>
      </w:tr>
      <w:tr>
        <w:tc>
          <w:tcPr>
            <w:tcW w:type="dxa" w:w="216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Perfil</w:t>
            </w:r>
          </w:p>
        </w:tc>
        <w:tc>
          <w:tcPr>
            <w:tcW w:type="dxa" w:w="475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Preferência conservadora</w:t>
            </w:r>
          </w:p>
        </w:tc>
        <w:tc>
          <w:tcPr>
            <w:tcW w:type="dxa" w:w="244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Revisão periódica</w:t>
            </w:r>
          </w:p>
        </w:tc>
      </w:tr>
    </w:tbl>
    <w:p>
      <w:pPr>
        <w:spacing w:after="20"/>
      </w:pPr>
    </w:p>
    <w:p>
      <w:pPr>
        <w:pStyle w:val="Heading1"/>
        <w:keepNext/>
      </w:pPr>
      <w:r>
        <w:rPr>
          <w:color w:val="000000"/>
        </w:rPr>
        <w:t>Estrutura de dados</w:t>
      </w:r>
    </w:p>
    <w:p>
      <w:r>
        <w:t>O PostgreSQL será a fonte principal dos dados do produto. O modelo deverá preservar histórico, separar informações por usuário e permitir auditoria. Valores monetários usarão tipo decimal. Datas financeiras serão armazenadas conforme sua finalidade, enquanto eventos técnicos e auditorias usarão horário universal. O Laravel será o proprietário das gravações financeiras; o serviço Python receberá somente os dados necessários e não gravará diretamente nas tabelas centrais.</w:t>
      </w:r>
    </w:p>
    <w:tbl>
      <w:tblPr>
        <w:tblW w:type="auto" w:w="0"/>
        <w:jc w:val="center"/>
        <w:tblLayout w:type="fixed"/>
        <w:tblLook w:firstColumn="1" w:firstRow="1" w:lastColumn="0" w:lastRow="0" w:noHBand="0" w:noVBand="1" w:val="04A0"/>
      </w:tblPr>
      <w:tblGrid>
        <w:gridCol w:w="4896"/>
        <w:gridCol w:w="4896"/>
      </w:tblGrid>
      <w:tr>
        <w:tc>
          <w:tcPr>
            <w:tcW w:type="dxa" w:w="208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Grupo</w:t>
            </w:r>
          </w:p>
        </w:tc>
        <w:tc>
          <w:tcPr>
            <w:tcW w:type="dxa" w:w="7272"/>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Informações principais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Identidade, acesso, fuso horário, preferências e consentimentos</w:t>
            </w:r>
          </w:p>
        </w:tc>
      </w:tr>
      <w:tr>
        <w:tc>
          <w:tcPr>
            <w:tcW w:type="dxa" w:w="20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Contas</w:t>
            </w:r>
          </w:p>
        </w:tc>
        <w:tc>
          <w:tcPr>
            <w:tcW w:type="dxa" w:w="72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Nome, tipo, saldo inicial, instituição e situação</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Transações</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Tipo, valor, data, categoria, conta, origem e observação</w:t>
            </w:r>
          </w:p>
        </w:tc>
      </w:tr>
      <w:tr>
        <w:tc>
          <w:tcPr>
            <w:tcW w:type="dxa" w:w="20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Recorrências</w:t>
            </w:r>
          </w:p>
        </w:tc>
        <w:tc>
          <w:tcPr>
            <w:tcW w:type="dxa" w:w="72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Frequência, próxima data, valor esperado e situação</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Parcelamentos</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Valor total, quantidade, parcela atual e vencimentos</w:t>
            </w:r>
          </w:p>
        </w:tc>
      </w:tr>
      <w:tr>
        <w:tc>
          <w:tcPr>
            <w:tcW w:type="dxa" w:w="20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Orçamentos</w:t>
            </w:r>
          </w:p>
        </w:tc>
        <w:tc>
          <w:tcPr>
            <w:tcW w:type="dxa" w:w="72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Categoria, mês, limite e valor consumido</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Metas</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Objetivo, valor alvo, prazo, progresso e prioridade</w:t>
            </w:r>
          </w:p>
        </w:tc>
      </w:tr>
      <w:tr>
        <w:tc>
          <w:tcPr>
            <w:tcW w:type="dxa" w:w="20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Memórias</w:t>
            </w:r>
          </w:p>
        </w:tc>
        <w:tc>
          <w:tcPr>
            <w:tcW w:type="dxa" w:w="72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Tipo, conteúdo, consentimento, validade e origem</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Uso de IA</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Provedor, modelo, consumo, custo, tempo e resultado</w:t>
            </w:r>
          </w:p>
        </w:tc>
      </w:tr>
      <w:tr>
        <w:tc>
          <w:tcPr>
            <w:tcW w:type="dxa" w:w="20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Auditoria</w:t>
            </w:r>
          </w:p>
        </w:tc>
        <w:tc>
          <w:tcPr>
            <w:tcW w:type="dxa" w:w="7272"/>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 ação, objeto, momento e resultado</w:t>
            </w:r>
          </w:p>
        </w:tc>
      </w:tr>
    </w:tbl>
    <w:p>
      <w:pPr>
        <w:spacing w:after="20"/>
      </w:pPr>
    </w:p>
    <w:p>
      <w:pPr>
        <w:pStyle w:val="Heading2"/>
        <w:keepNext/>
      </w:pPr>
      <w:r>
        <w:rPr>
          <w:color w:val="000000"/>
        </w:rPr>
        <w:t>Relacionamentos principais</w:t>
      </w:r>
    </w:p>
    <w:p>
      <w:pPr>
        <w:pStyle w:val="ListBullet"/>
      </w:pPr>
      <w:r>
        <w:t>Um usuário pode possuir várias contas, transações, metas e orçamentos.</w:t>
      </w:r>
    </w:p>
    <w:p>
      <w:pPr>
        <w:pStyle w:val="ListBullet"/>
      </w:pPr>
      <w:r>
        <w:t>Uma conta pode possuir várias transações.</w:t>
      </w:r>
    </w:p>
    <w:p>
      <w:pPr>
        <w:pStyle w:val="ListBullet"/>
      </w:pPr>
      <w:r>
        <w:t>Uma categoria pode classificar várias transações.</w:t>
      </w:r>
    </w:p>
    <w:p>
      <w:pPr>
        <w:pStyle w:val="ListBullet"/>
      </w:pPr>
      <w:r>
        <w:t>Uma transação pode pertencer a um parcelamento ou recorrência.</w:t>
      </w:r>
    </w:p>
    <w:p>
      <w:pPr>
        <w:pStyle w:val="ListBullet"/>
      </w:pPr>
      <w:r>
        <w:t>Toda memória e todo registro de uso da IA pertencem a um único usuário.</w:t>
      </w:r>
    </w:p>
    <w:p>
      <w:pPr>
        <w:pStyle w:val="Heading2"/>
        <w:keepNext/>
      </w:pPr>
      <w:r>
        <w:rPr>
          <w:color w:val="000000"/>
        </w:rPr>
        <w:t>Regras essenciais de integridade</w:t>
      </w:r>
    </w:p>
    <w:p>
      <w:pPr>
        <w:pStyle w:val="ListBullet"/>
      </w:pPr>
      <w:r>
        <w:t>Nenhuma consulta financeira pode deixar de filtrar o usuário autenticado.</w:t>
      </w:r>
    </w:p>
    <w:p>
      <w:pPr>
        <w:pStyle w:val="ListBullet"/>
      </w:pPr>
      <w:r>
        <w:t>Valores financeiros não podem ser armazenados como números aproximados.</w:t>
      </w:r>
    </w:p>
    <w:p>
      <w:pPr>
        <w:pStyle w:val="ListBullet"/>
      </w:pPr>
      <w:r>
        <w:t>Alterações relevantes precisam manter histórico ou auditoria.</w:t>
      </w:r>
    </w:p>
    <w:p>
      <w:pPr>
        <w:pStyle w:val="ListBullet"/>
      </w:pPr>
      <w:r>
        <w:t>Importações devem impedir duplicidade por identificadores e critérios de conciliação.</w:t>
      </w:r>
    </w:p>
    <w:p>
      <w:pPr>
        <w:pStyle w:val="ListBullet"/>
      </w:pPr>
      <w:r>
        <w:t>Exclusões devem respeitar obrigações legais, consentimento e política de retenção.</w:t>
      </w:r>
    </w:p>
    <w:p>
      <w:pPr>
        <w:pStyle w:val="Heading1"/>
        <w:keepNext/>
      </w:pPr>
      <w:r>
        <w:rPr>
          <w:color w:val="000000"/>
        </w:rPr>
        <w:t>Requisitos funcionais</w:t>
      </w:r>
    </w:p>
    <w:tbl>
      <w:tblPr>
        <w:tblW w:type="auto" w:w="0"/>
        <w:jc w:val="center"/>
        <w:tblLayout w:type="fixed"/>
        <w:tblLook w:firstColumn="1" w:firstRow="1" w:lastColumn="0" w:lastRow="0" w:noHBand="0" w:noVBand="1" w:val="04A0"/>
      </w:tblPr>
      <w:tblGrid>
        <w:gridCol w:w="3264"/>
        <w:gridCol w:w="3264"/>
        <w:gridCol w:w="3264"/>
      </w:tblGrid>
      <w:tr>
        <w:tc>
          <w:tcPr>
            <w:tcW w:type="dxa" w:w="93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Código</w:t>
            </w:r>
          </w:p>
        </w:tc>
        <w:tc>
          <w:tcPr>
            <w:tcW w:type="dxa" w:w="705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Requisito</w:t>
            </w:r>
          </w:p>
        </w:tc>
        <w:tc>
          <w:tcPr>
            <w:tcW w:type="dxa" w:w="136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Prioridade</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RF01</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Cadastrar e autenticar usuários</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RF02</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Registrar receitas e despesas</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 complementar</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RF03</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Organizar categorias e contas</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RF04</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Exibir resumo mensal e saldo</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RF05</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Registrar recorrências e parcelamentos</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2</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RF06</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Criar metas e orçamento mensal</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2</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RF07</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Conversar com o assistente sobre dados próprios</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 opcional</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RF08</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Projetar saldo e identificar risco de déficit</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2</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RF09</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Simular compra, meta e pagamento de dívida</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2</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RF10</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Consultar dados atuais de mercado com fonte</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3</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RF11</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
              <w:rPr>
                <w:b w:val="0"/>
                <w:sz w:val="19"/>
              </w:rPr>
              <w:t>Importar extratos diários ou mensais em OFX e CSV, identificar a instituição e evitar duplicidades</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MVP</w:t>
            </w:r>
          </w:p>
        </w:tc>
      </w:tr>
      <w:tr>
        <w:tc>
          <w:tcPr>
            <w:tcW w:type="dxa" w:w="93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RF12</w:t>
            </w:r>
          </w:p>
        </w:tc>
        <w:tc>
          <w:tcPr>
            <w:tcW w:type="dxa" w:w="705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Usar IA local e roteamento híbrido</w:t>
            </w:r>
          </w:p>
        </w:tc>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Fase 4</w:t>
            </w:r>
          </w:p>
        </w:tc>
      </w:tr>
      <w:tr>
        <w:tc>
          <w:tcPr>
            <w:tcW w:type="dxa" w:w="3264"/>
            <w:vAlign w:val="center"/>
            <w:tcMar>
              <w:top w:w="100" w:type="dxa"/>
              <w:left w:w="100" w:type="dxa"/>
              <w:bottom w:w="100" w:type="dxa"/>
              <w:right w:w="100" w:type="dxa"/>
            </w:tcMar>
          </w:tcPr>
          <w:p>
            <w:r>
              <w:rPr>
                <w:sz w:val="19"/>
              </w:rPr>
              <w:t>RF13</w:t>
            </w:r>
          </w:p>
        </w:tc>
        <w:tc>
          <w:tcPr>
            <w:tcW w:type="dxa" w:w="3264"/>
            <w:vAlign w:val="center"/>
            <w:tcMar>
              <w:top w:w="100" w:type="dxa"/>
              <w:left w:w="100" w:type="dxa"/>
              <w:bottom w:w="100" w:type="dxa"/>
              <w:right w:w="100" w:type="dxa"/>
            </w:tcMar>
          </w:tcPr>
          <w:p>
            <w:r>
              <w:rPr>
                <w:sz w:val="19"/>
              </w:rPr>
              <w:t>Importar transações por Open Finance e conciliá-las com os lançamentos existentes</w:t>
            </w:r>
          </w:p>
        </w:tc>
        <w:tc>
          <w:tcPr>
            <w:tcW w:type="dxa" w:w="3264"/>
            <w:vAlign w:val="center"/>
            <w:tcMar>
              <w:top w:w="100" w:type="dxa"/>
              <w:left w:w="100" w:type="dxa"/>
              <w:bottom w:w="100" w:type="dxa"/>
              <w:right w:w="100" w:type="dxa"/>
            </w:tcMar>
          </w:tcPr>
          <w:p>
            <w:r>
              <w:t>Pós-MVP</w:t>
            </w:r>
          </w:p>
        </w:tc>
      </w:tr>
    </w:tbl>
    <w:p>
      <w:pPr>
        <w:spacing w:after="20"/>
      </w:pPr>
    </w:p>
    <w:p>
      <w:pPr>
        <w:pStyle w:val="Heading1"/>
        <w:keepNext/>
      </w:pPr>
      <w:r>
        <w:rPr>
          <w:color w:val="000000"/>
        </w:rPr>
        <w:t>Requisitos não funcionais</w:t>
      </w:r>
    </w:p>
    <w:tbl>
      <w:tblPr>
        <w:tblW w:type="auto" w:w="0"/>
        <w:jc w:val="center"/>
        <w:tblLayout w:type="fixed"/>
        <w:tblLook w:firstColumn="1" w:firstRow="1" w:lastColumn="0" w:lastRow="0" w:noHBand="0" w:noVBand="1" w:val="04A0"/>
      </w:tblPr>
      <w:tblGrid>
        <w:gridCol w:w="4896"/>
        <w:gridCol w:w="4896"/>
      </w:tblGrid>
      <w:tr>
        <w:tc>
          <w:tcPr>
            <w:tcW w:type="dxa" w:w="19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Área</w:t>
            </w:r>
          </w:p>
        </w:tc>
        <w:tc>
          <w:tcPr>
            <w:tcW w:type="dxa" w:w="741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Requisito</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Segurança</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Autenticação forte, autorização por recurso e gestão segura de segredos</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Privacidade</w:t>
            </w:r>
          </w:p>
        </w:tc>
        <w:tc>
          <w:tcPr>
            <w:tcW w:type="dxa" w:w="74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Consentimento, minimização de dados, exportação e exclusão</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Confiabilidade</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Cálculos reproduzíveis, testes e recuperação de falhas</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Desempenho</w:t>
            </w:r>
          </w:p>
        </w:tc>
        <w:tc>
          <w:tcPr>
            <w:tcW w:type="dxa" w:w="74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Resumos rápidos e tarefas longas processadas de forma assíncrona</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Observabilidade</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Métricas, logs sem dados sensíveis, custo e latência por provedor</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Acessibilidade</w:t>
            </w:r>
          </w:p>
        </w:tc>
        <w:tc>
          <w:tcPr>
            <w:tcW w:type="dxa" w:w="74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Interface clara, teclado, contraste, leitores de tela e linguagem simples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Escalabilidade</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Módulos independentes e cache controlado para dados externos</w:t>
            </w:r>
          </w:p>
        </w:tc>
      </w:tr>
      <w:tr>
        <w:tc>
          <w:tcPr>
            <w:tcW w:type="dxa" w:w="19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Manutenibilidade</w:t>
            </w:r>
          </w:p>
        </w:tc>
        <w:tc>
          <w:tcPr>
            <w:tcW w:type="dxa" w:w="74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Contratos claros, documentação e regras versionadas</w:t>
            </w:r>
          </w:p>
        </w:tc>
      </w:tr>
    </w:tbl>
    <w:p>
      <w:pPr>
        <w:spacing w:after="20"/>
      </w:pPr>
    </w:p>
    <w:p>
      <w:pPr>
        <w:pStyle w:val="Heading1"/>
        <w:keepNext/>
      </w:pPr>
      <w:r>
        <w:rPr>
          <w:color w:val="000000"/>
        </w:rPr>
        <w:t>Segurança privacidade e governança</w:t>
      </w:r>
    </w:p>
    <w:p>
      <w:pPr>
        <w:pStyle w:val="Heading2"/>
        <w:keepNext/>
      </w:pPr>
      <w:r>
        <w:rPr>
          <w:color w:val="000000"/>
        </w:rPr>
        <w:t>Controles obrigatórios</w:t>
      </w:r>
    </w:p>
    <w:p>
      <w:pPr>
        <w:pStyle w:val="ListBullet"/>
      </w:pPr>
      <w:r>
        <w:t>Criptografar conexões e dados sensíveis armazenados.</w:t>
      </w:r>
    </w:p>
    <w:p>
      <w:pPr>
        <w:pStyle w:val="ListBullet"/>
      </w:pPr>
      <w:r>
        <w:t>Manter chaves e credenciais fora do aplicativo e do código-fonte.</w:t>
      </w:r>
    </w:p>
    <w:p>
      <w:pPr>
        <w:pStyle w:val="ListBullet"/>
      </w:pPr>
      <w:r>
        <w:t>Aplicar menor privilégio a usuários, serviços e ferramentas da IA.</w:t>
      </w:r>
    </w:p>
    <w:p>
      <w:pPr>
        <w:pStyle w:val="ListBullet"/>
      </w:pPr>
      <w:r>
        <w:t>Remover dados financeiros e mensagens completas dos logs comuns.</w:t>
      </w:r>
    </w:p>
    <w:p>
      <w:pPr>
        <w:pStyle w:val="ListBullet"/>
      </w:pPr>
      <w:r>
        <w:t>Registrar ferramentas chamadas pela IA e resultados relevantes.</w:t>
      </w:r>
    </w:p>
    <w:p>
      <w:pPr>
        <w:pStyle w:val="ListBullet"/>
      </w:pPr>
      <w:r>
        <w:t>Definir limites de uso, custo e frequência por usuário.</w:t>
      </w:r>
    </w:p>
    <w:p>
      <w:pPr>
        <w:pStyle w:val="ListBullet"/>
      </w:pPr>
      <w:r>
        <w:t>Exigir confirmação humana antes de qualquer ação de escrita sensível.</w:t>
      </w:r>
    </w:p>
    <w:p>
      <w:pPr>
        <w:pStyle w:val="Heading2"/>
        <w:keepNext/>
      </w:pPr>
      <w:r>
        <w:rPr>
          <w:color w:val="000000"/>
        </w:rPr>
        <w:t>LGPD e consentimento</w:t>
      </w:r>
    </w:p>
    <w:p>
      <w:r>
        <w:t>O sistema deverá explicar quais dados são coletados, por que são necessários, por quanto tempo serão mantidos e quando poderão ser enviados a um provedor de IA. O usuário deve conseguir revisar preferências, revogar consentimentos e solicitar exportação ou exclusão.</w:t>
      </w:r>
    </w:p>
    <w:p>
      <w:pPr>
        <w:pStyle w:val="Heading2"/>
        <w:keepNext/>
      </w:pPr>
      <w:r>
        <w:rPr>
          <w:color w:val="000000"/>
        </w:rPr>
        <w:t>Riscos principais</w:t>
      </w:r>
    </w:p>
    <w:tbl>
      <w:tblPr>
        <w:tblW w:type="auto" w:w="0"/>
        <w:jc w:val="center"/>
        <w:tblLayout w:type="fixed"/>
        <w:tblLook w:firstColumn="1" w:firstRow="1" w:lastColumn="0" w:lastRow="0" w:noHBand="0" w:noVBand="1" w:val="04A0"/>
      </w:tblPr>
      <w:tblGrid>
        <w:gridCol w:w="3264"/>
        <w:gridCol w:w="3264"/>
        <w:gridCol w:w="3264"/>
      </w:tblGrid>
      <w:tr>
        <w:tc>
          <w:tcPr>
            <w:tcW w:type="dxa" w:w="237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Risco</w:t>
            </w:r>
          </w:p>
        </w:tc>
        <w:tc>
          <w:tcPr>
            <w:tcW w:type="dxa" w:w="309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Impacto</w:t>
            </w:r>
          </w:p>
        </w:tc>
        <w:tc>
          <w:tcPr>
            <w:tcW w:type="dxa" w:w="388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Tratamento</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IA inventar valores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Decisão financeira incorreta</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Fornecer dados calculados, validar saídas e testar cenários</w:t>
            </w:r>
          </w:p>
        </w:tc>
      </w:tr>
      <w:tr>
        <w:tc>
          <w:tcPr>
            <w:tcW w:type="dxa" w:w="23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Vazamento entre usuários</w:t>
            </w:r>
          </w:p>
        </w:tc>
        <w:tc>
          <w:tcPr>
            <w:tcW w:type="dxa" w:w="309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Exposição grave de dados</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Autorização por recurso e testes de isolamento</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Informação de mercado desatualizada</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Orientação inadequada</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Data, fonte, cache e validade explícitos</w:t>
            </w:r>
          </w:p>
        </w:tc>
      </w:tr>
      <w:tr>
        <w:tc>
          <w:tcPr>
            <w:tcW w:type="dxa" w:w="23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Custo inesperado de IA</w:t>
            </w:r>
          </w:p>
        </w:tc>
        <w:tc>
          <w:tcPr>
            <w:tcW w:type="dxa" w:w="309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Aumento operacional</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Limites, roteamento, cache e monitoramento</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Indisponibilidade de provedor</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Assistente fora do ar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Fallback, circuit breaker e resposta degradada</w:t>
            </w:r>
          </w:p>
        </w:tc>
      </w:tr>
      <w:tr>
        <w:tc>
          <w:tcPr>
            <w:tcW w:type="dxa" w:w="237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Automação excessiva</w:t>
            </w:r>
          </w:p>
        </w:tc>
        <w:tc>
          <w:tcPr>
            <w:tcW w:type="dxa" w:w="309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Ação sem compreensão do usuário</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Confirmação e limites de autonomia</w:t>
            </w:r>
          </w:p>
        </w:tc>
      </w:tr>
    </w:tbl>
    <w:p>
      <w:pPr>
        <w:spacing w:after="20"/>
      </w:pPr>
    </w:p>
    <w:p>
      <w:pPr>
        <w:pStyle w:val="Heading2"/>
        <w:keepNext/>
      </w:pPr>
      <w:r>
        <w:rPr>
          <w:color w:val="000000"/>
        </w:rPr>
        <w:t>Indicadores de governança</w:t>
      </w:r>
    </w:p>
    <w:p>
      <w:pPr>
        <w:pStyle w:val="ListBullet"/>
      </w:pPr>
      <w:r>
        <w:t>Percentual de respostas com contexto financeiro confirmado.</w:t>
      </w:r>
    </w:p>
    <w:p>
      <w:pPr>
        <w:pStyle w:val="ListBullet"/>
      </w:pPr>
      <w:r>
        <w:t>Taxa de valores incorretos ou não fundamentados em avaliações.</w:t>
      </w:r>
    </w:p>
    <w:p>
      <w:pPr>
        <w:pStyle w:val="ListBullet"/>
      </w:pPr>
      <w:r>
        <w:t>Custo médio de IA por usuário ativo.</w:t>
      </w:r>
    </w:p>
    <w:p>
      <w:pPr>
        <w:pStyle w:val="ListBullet"/>
      </w:pPr>
      <w:r>
        <w:t>Latência por provedor e categoria de tarefa.</w:t>
      </w:r>
    </w:p>
    <w:p>
      <w:pPr>
        <w:pStyle w:val="ListBullet"/>
      </w:pPr>
      <w:r>
        <w:t>Quantidade de falhas, fallbacks e ferramentas negadas.</w:t>
      </w:r>
    </w:p>
    <w:p>
      <w:pPr>
        <w:pStyle w:val="Heading1"/>
        <w:keepNext/>
      </w:pPr>
      <w:r>
        <w:rPr>
          <w:color w:val="000000"/>
        </w:rPr>
        <w:t>Etapas de implementação</w:t>
      </w:r>
    </w:p>
    <w:p>
      <w:r>
        <w:t>As etapas abaixo priorizam validação de produto e segurança. Cada fase possui uma entrega observável e um critério de conclusão, evitando iniciar integrações avançadas antes da base estar confiável.</w:t>
      </w:r>
    </w:p>
    <w:tbl>
      <w:tblPr>
        <w:tblW w:type="auto" w:w="0"/>
        <w:jc w:val="center"/>
        <w:tblLayout w:type="fixed"/>
        <w:tblLook w:firstColumn="1" w:firstRow="1" w:lastColumn="0" w:lastRow="0" w:noHBand="0" w:noVBand="1" w:val="04A0"/>
      </w:tblPr>
      <w:tblGrid>
        <w:gridCol w:w="3264"/>
        <w:gridCol w:w="3264"/>
        <w:gridCol w:w="3264"/>
      </w:tblGrid>
      <w:tr>
        <w:tc>
          <w:tcPr>
            <w:tcW w:type="dxa" w:w="136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Etapa</w:t>
            </w:r>
          </w:p>
        </w:tc>
        <w:tc>
          <w:tcPr>
            <w:tcW w:type="dxa" w:w="3888"/>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Escopo</w:t>
            </w:r>
          </w:p>
        </w:tc>
        <w:tc>
          <w:tcPr>
            <w:tcW w:type="dxa" w:w="410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rPr>
                <w:b/>
                <w:color w:val="FFFFFF"/>
                <w:sz w:val="19"/>
              </w:rPr>
              <w:t>Critério de conclusão</w:t>
            </w:r>
          </w:p>
        </w:tc>
      </w:tr>
      <w:t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1 Fundação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Next.js, Laravel, PostgreSQL, identidade, auditoria e ambientes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Fluxo completo publicado com usuários isolados</w:t>
            </w:r>
          </w:p>
        </w:tc>
      </w:tr>
      <w:tr>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2 MVP financeiro</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Contas, saldo inicial, OFX, CSV, prévia, classificação, deduplicação, ajustes e resumo</w:t>
            </w:r>
          </w:p>
        </w:tc>
        <w:tc>
          <w:tcPr>
            <w:tcW w:type="dxa" w:w="41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Extratos suportados são reimportados sem duplicidade e o saldo obedece às regras de conciliação</w:t>
            </w:r>
          </w:p>
        </w:tc>
      </w:tr>
      <w:t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3 Serviço Python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Contrato interno, segurança, observabilidade e integração Laravel</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Comunicação autenticada, limitada e rastreável</w:t>
            </w:r>
          </w:p>
        </w:tc>
      </w:tr>
      <w:tr>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4 IA por API</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Assistente básico opcional, ferramentas somente de leitura, consentimento e limites</w:t>
            </w:r>
          </w:p>
        </w:tc>
        <w:tc>
          <w:tcPr>
            <w:tcW w:type="dxa" w:w="41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Assistente usa apenas dados autorizados e não inventa valores no conjunto de avaliação; primeira entrega concluída</w:t>
            </w:r>
          </w:p>
        </w:tc>
      </w:tr>
      <w:t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5 Planejamento (Fase 2)</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Recorrências, parcelamentos, orçamento, metas e reserva</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Recursos planejados e projeções conferidas em cenários definidos</w:t>
            </w:r>
          </w:p>
        </w:tc>
      </w:tr>
      <w:tr>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6 Inteligência</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Regras, alertas, simulação de compra e dívidas</w:t>
            </w:r>
          </w:p>
        </w:tc>
        <w:tc>
          <w:tcPr>
            <w:tcW w:type="dxa" w:w="41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Cada orientação apresenta dados e premissas</w:t>
            </w:r>
          </w:p>
        </w:tc>
      </w:tr>
      <w:t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7 Mercado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Indicadores, fontes, validade e pesquisa controlada</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Toda informação variável exibe fonte e data</w:t>
            </w:r>
          </w:p>
        </w:tc>
      </w:tr>
      <w:tr>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8 IA local</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Modelo servido em Python, avaliações e infraestrutura</w:t>
            </w:r>
          </w:p>
        </w:tc>
        <w:tc>
          <w:tcPr>
            <w:tcW w:type="dxa" w:w="41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Tarefas aprovadas atingem qualidade e latência mínimas</w:t>
            </w:r>
          </w:p>
        </w:tc>
      </w:tr>
      <w:t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9 Híbrido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Roteador Python, fallback, custo e observabilidade</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pPr>
              <w:spacing w:after="40"/>
            </w:pPr>
            <w:r>
              <w:rPr>
                <w:sz w:val="19"/>
              </w:rPr>
              <w:t>Decisões do roteador são rastreáveis e reversíveis</w:t>
            </w:r>
          </w:p>
        </w:tc>
      </w:tr>
      <w:tr>
        <w:tc>
          <w:tcPr>
            <w:tcW w:type="dxa" w:w="136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10 Integrações</w:t>
            </w:r>
          </w:p>
        </w:tc>
        <w:tc>
          <w:tcPr>
            <w:tcW w:type="dxa" w:w="3888"/>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Novos layouts bancários e avaliação controlada de PDF digital</w:t>
            </w:r>
          </w:p>
        </w:tc>
        <w:tc>
          <w:tcPr>
            <w:tcW w:type="dxa" w:w="410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left w:w="100" w:type="dxa"/>
              <w:right w:w="100" w:type="dxa"/>
            </w:tcMar>
          </w:tcPr>
          <w:p>
            <w:r>
              <w:t>Novos formatos entram por adaptadores sem alterar regras financeiras</w:t>
            </w:r>
          </w:p>
        </w:tc>
      </w:tr>
      <w:tr>
        <w:tc>
          <w:tcPr>
            <w:tcW w:type="dxa" w:w="3264"/>
            <w:vAlign w:val="center"/>
            <w:tcMar>
              <w:top w:w="100" w:type="dxa"/>
              <w:left w:w="100" w:type="dxa"/>
              <w:bottom w:w="100" w:type="dxa"/>
              <w:right w:w="100" w:type="dxa"/>
            </w:tcMar>
          </w:tcPr>
          <w:p>
            <w:r>
              <w:rPr>
                <w:sz w:val="19"/>
              </w:rPr>
              <w:t>11 Open Finance</w:t>
            </w:r>
          </w:p>
        </w:tc>
        <w:tc>
          <w:tcPr>
            <w:tcW w:type="dxa" w:w="3264"/>
            <w:vAlign w:val="center"/>
            <w:tcMar>
              <w:top w:w="100" w:type="dxa"/>
              <w:left w:w="100" w:type="dxa"/>
              <w:bottom w:w="100" w:type="dxa"/>
              <w:right w:w="100" w:type="dxa"/>
            </w:tcMar>
          </w:tcPr>
          <w:p>
            <w:r>
              <w:rPr>
                <w:sz w:val="19"/>
              </w:rPr>
              <w:t>Conexão consentida, importação de histórico, webhooks, conciliação e prevenção de duplicidades</w:t>
            </w:r>
          </w:p>
        </w:tc>
        <w:tc>
          <w:tcPr>
            <w:tcW w:type="dxa" w:w="3264"/>
            <w:vAlign w:val="center"/>
            <w:tcMar>
              <w:top w:w="100" w:type="dxa"/>
              <w:left w:w="100" w:type="dxa"/>
              <w:bottom w:w="100" w:type="dxa"/>
              <w:right w:w="100" w:type="dxa"/>
            </w:tcMar>
          </w:tcPr>
          <w:p>
            <w:r>
              <w:rPr>
                <w:sz w:val="19"/>
              </w:rPr>
              <w:t>Entradas e saídas são atualizadas sem duplicação e sem uso do saldo bancário</w:t>
            </w:r>
          </w:p>
        </w:tc>
      </w:tr>
    </w:tbl>
    <w:p>
      <w:pPr>
        <w:spacing w:after="20"/>
      </w:pPr>
    </w:p>
    <w:p>
      <w:pPr>
        <w:pStyle w:val="Heading2"/>
        <w:keepNext/>
      </w:pPr>
      <w:r>
        <w:rPr>
          <w:color w:val="000000"/>
        </w:rPr>
        <w:t>Ordem de construção do MVP</w:t>
      </w:r>
    </w:p>
    <w:p>
      <w:pPr>
        <w:pStyle w:val="ListNumber"/>
      </w:pPr>
      <w:r>
        <w:t>Definir personas, jornadas e critérios de sucesso.</w:t>
      </w:r>
    </w:p>
    <w:p>
      <w:pPr>
        <w:pStyle w:val="ListNumber"/>
      </w:pPr>
      <w:r>
        <w:t>Preparar os ambientes de Next.js, Laravel, Python e PostgreSQL.</w:t>
      </w:r>
    </w:p>
    <w:p>
      <w:pPr>
        <w:pStyle w:val="ListNumber"/>
      </w:pPr>
      <w:r>
        <w:t>Criar no Laravel o cadastro, login, consentimentos e preferências.</w:t>
      </w:r>
    </w:p>
    <w:p>
      <w:pPr>
        <w:pStyle w:val="ListNumber"/>
      </w:pPr>
      <w:r>
        <w:t>Estruturar no PostgreSQL contas, categorias e transações.</w:t>
      </w:r>
    </w:p>
    <w:p>
      <w:pPr>
        <w:pStyle w:val="ListNumber"/>
      </w:pPr>
      <w:r>
        <w:t>Implementar o envio, a leitura, a prévia e a confirmação de extratos, com identificação do banco e prevenção de duplicidades.</w:t>
      </w:r>
    </w:p>
    <w:p>
      <w:pPr>
        <w:pStyle w:val="ListNumber"/>
      </w:pPr>
      <w:r>
        <w:t>Construir no Laravel o resumo mensal e os testes dos cálculos.</w:t>
      </w:r>
    </w:p>
    <w:p>
      <w:pPr>
        <w:pStyle w:val="ListNumber"/>
      </w:pPr>
      <w:r>
        <w:t>Desenvolver no Next.js as telas do MVP e a experiência responsiva.</w:t>
      </w:r>
    </w:p>
    <w:p>
      <w:pPr>
        <w:pStyle w:val="ListNumber"/>
      </w:pPr>
      <w:r>
        <w:t>Validar o núcleo financeiro antes de integrar o assistente. Recorrências, parcelamentos, orçamento e metas começarão somente na Fase 2, após a primeira entrega com o assistente básico opcional.</w:t>
      </w:r>
    </w:p>
    <w:p>
      <w:pPr>
        <w:pStyle w:val="ListNumber"/>
      </w:pPr>
      <w:r>
        <w:t>Criar o contrato seguro entre Laravel e o serviço Python.</w:t>
      </w:r>
    </w:p>
    <w:p>
      <w:pPr>
        <w:pStyle w:val="ListNumber"/>
      </w:pPr>
      <w:r>
        <w:t>Conectar pelo Python o assistente via API com ferramentas de leitura.</w:t>
      </w:r>
    </w:p>
    <w:p>
      <w:pPr>
        <w:pStyle w:val="ListNumber"/>
      </w:pPr>
      <w:r>
        <w:t>Criar avaliações, limites de custo e monitoramento.</w:t>
      </w:r>
    </w:p>
    <w:p>
      <w:pPr>
        <w:pStyle w:val="ListNumber"/>
      </w:pPr>
      <w:r>
        <w:t>Liberar para um grupo pequeno e medir utilidade antes da IA local.</w:t>
      </w:r>
    </w:p>
    <w:p>
      <w:pPr>
        <w:pStyle w:val="Heading2"/>
        <w:keepNext/>
      </w:pPr>
      <w:r>
        <w:rPr>
          <w:color w:val="000000"/>
        </w:rPr>
        <w:t>Itens fora do primeiro MVP</w:t>
      </w:r>
    </w:p>
    <w:p>
      <w:pPr>
        <w:pStyle w:val="ListBullet"/>
      </w:pPr>
      <w:r>
        <w:t>Integração Open Finance para sincronização automática do histórico financeiro.</w:t>
      </w:r>
    </w:p>
    <w:p>
      <w:pPr>
        <w:pStyle w:val="ListBullet"/>
      </w:pPr>
      <w:r>
        <w:t>Compra e venda de investimentos.</w:t>
      </w:r>
    </w:p>
    <w:p>
      <w:pPr>
        <w:pStyle w:val="ListBullet"/>
      </w:pPr>
      <w:r>
        <w:t>Pagamentos automáticos.</w:t>
      </w:r>
    </w:p>
    <w:p>
      <w:pPr>
        <w:pStyle w:val="ListBullet"/>
      </w:pPr>
      <w:r>
        <w:t>Treinamento de modelo do zero.</w:t>
      </w:r>
    </w:p>
    <w:p>
      <w:pPr>
        <w:pStyle w:val="ListBullet"/>
      </w:pPr>
      <w:r>
        <w:t>Arquitetura de microsserviços.</w:t>
      </w:r>
    </w:p>
    <w:p>
      <w:pPr>
        <w:pStyle w:val="ListBullet"/>
      </w:pPr>
      <w:r>
        <w:t>Recomendação personalizada de ativos como consultoria.</w:t>
      </w:r>
    </w:p>
    <w:p>
      <w:pPr>
        <w:pStyle w:val="Heading1"/>
        <w:keepNext/>
      </w:pPr>
      <w:r>
        <w:rPr>
          <w:color w:val="000000"/>
        </w:rPr>
        <w:t>Planejamento de produto</w:t>
      </w:r>
    </w:p>
    <w:p>
      <w:pPr>
        <w:pStyle w:val="Heading2"/>
        <w:keepNext/>
      </w:pPr>
      <w:r>
        <w:rPr>
          <w:color w:val="000000"/>
        </w:rPr>
        <w:t>Histórias prioritárias</w:t>
      </w:r>
    </w:p>
    <w:tbl>
      <w:tblPr>
        <w:tblW w:type="auto" w:w="0"/>
        <w:jc w:val="center"/>
        <w:tblLayout w:type="fixed"/>
        <w:tblLook w:firstColumn="1" w:firstRow="1" w:lastColumn="0" w:lastRow="0" w:noHBand="0" w:noVBand="1" w:val="04A0"/>
      </w:tblPr>
      <w:tblGrid>
        <w:gridCol w:w="4896"/>
        <w:gridCol w:w="4896"/>
      </w:tblGrid>
      <w:tr>
        <w:tc>
          <w:tcPr>
            <w:tcW w:type="dxa" w:w="468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Como usuário eu quero</w:t>
            </w:r>
          </w:p>
        </w:tc>
        <w:tc>
          <w:tcPr>
            <w:tcW w:type="dxa" w:w="468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Para que</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Registrar uma movimentação rapidamente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Meu saldo represente a realidade</w:t>
            </w:r>
          </w:p>
        </w:tc>
      </w:tr>
      <w:tr>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Ver o que ainda vence neste mês</w:t>
            </w:r>
          </w:p>
        </w:tc>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Eu não seja surpreendido por contas</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Entender por que meu dinheiro acabou</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Eu consiga mudar um comportamento</w:t>
            </w:r>
          </w:p>
        </w:tc>
      </w:tr>
      <w:tr>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Perguntar se posso fazer uma compra</w:t>
            </w:r>
          </w:p>
        </w:tc>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Eu conheça o impacto antes de decidir</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Criar uma meta com prazo</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Eu saiba quanto reservar por mês</w:t>
            </w:r>
          </w:p>
        </w:tc>
      </w:tr>
      <w:tr>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Receber um alerta útil e explicável</w:t>
            </w:r>
          </w:p>
        </w:tc>
        <w:tc>
          <w:tcPr>
            <w:tcW w:type="dxa" w:w="46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Eu possa agir antes de faltar dinheiro</w:t>
            </w:r>
          </w:p>
        </w:tc>
      </w:tr>
    </w:tbl>
    <w:p>
      <w:pPr>
        <w:spacing w:after="20"/>
      </w:pPr>
    </w:p>
    <w:p>
      <w:pPr>
        <w:pStyle w:val="Heading2"/>
        <w:keepNext/>
      </w:pPr>
      <w:r>
        <w:rPr>
          <w:color w:val="000000"/>
        </w:rPr>
        <w:t>Métricas iniciais</w:t>
      </w:r>
    </w:p>
    <w:tbl>
      <w:tblPr>
        <w:tblW w:type="auto" w:w="0"/>
        <w:jc w:val="center"/>
        <w:tblLayout w:type="fixed"/>
        <w:tblLook w:firstColumn="1" w:firstRow="1" w:lastColumn="0" w:lastRow="0" w:noHBand="0" w:noVBand="1" w:val="04A0"/>
      </w:tblPr>
      <w:tblGrid>
        <w:gridCol w:w="4896"/>
        <w:gridCol w:w="4896"/>
      </w:tblGrid>
      <w:tr>
        <w:tc>
          <w:tcPr>
            <w:tcW w:type="dxa" w:w="2016"/>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Dimensão</w:t>
            </w:r>
          </w:p>
        </w:tc>
        <w:tc>
          <w:tcPr>
            <w:tcW w:type="dxa" w:w="7344"/>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Métrica sugerida</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Ativação</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 cadastra dados suficientes e recebe o primeiro resumo</w:t>
            </w:r>
          </w:p>
        </w:tc>
      </w:tr>
      <w:tr>
        <w:tc>
          <w:tcPr>
            <w:tcW w:type="dxa" w:w="20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Engajamento</w:t>
            </w:r>
          </w:p>
        </w:tc>
        <w:tc>
          <w:tcPr>
            <w:tcW w:type="dxa" w:w="73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Usuários que revisam a situação semanalmente</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Utilidade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Respostas avaliadas como úteis e compreensíveis</w:t>
            </w:r>
          </w:p>
        </w:tc>
      </w:tr>
      <w:tr>
        <w:tc>
          <w:tcPr>
            <w:tcW w:type="dxa" w:w="20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Mudança</w:t>
            </w:r>
          </w:p>
        </w:tc>
        <w:tc>
          <w:tcPr>
            <w:tcW w:type="dxa" w:w="73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Metas criadas, planos aceitos e alertas que geram ação</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Confiança</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Taxa de correção, contestação e abandono após respostas</w:t>
            </w:r>
          </w:p>
        </w:tc>
      </w:tr>
      <w:tr>
        <w:tc>
          <w:tcPr>
            <w:tcW w:type="dxa" w:w="2016"/>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Eficiência</w:t>
            </w:r>
          </w:p>
        </w:tc>
        <w:tc>
          <w:tcPr>
            <w:tcW w:type="dxa" w:w="7344"/>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Custo e tempo médio de resposta por categoria</w:t>
            </w:r>
          </w:p>
        </w:tc>
      </w:tr>
    </w:tbl>
    <w:p>
      <w:pPr>
        <w:spacing w:after="20"/>
      </w:pPr>
    </w:p>
    <w:p>
      <w:pPr>
        <w:pStyle w:val="Heading2"/>
        <w:keepNext/>
      </w:pPr>
      <w:r>
        <w:rPr>
          <w:color w:val="000000"/>
        </w:rPr>
        <w:t>Critérios para validar a ideia</w:t>
      </w:r>
    </w:p>
    <w:p>
      <w:pPr>
        <w:pStyle w:val="ListBullet"/>
      </w:pPr>
      <w:r>
        <w:t>Usuários conseguem importar um extrato diário ou mensal, revisar as movimentações e obter o primeiro resumo sem esforço excessivo.</w:t>
      </w:r>
    </w:p>
    <w:p>
      <w:pPr>
        <w:pStyle w:val="ListBullet"/>
      </w:pPr>
      <w:r>
        <w:t>O resumo ajuda a entender a situação sem depender de muitos gráficos.</w:t>
      </w:r>
    </w:p>
    <w:p>
      <w:pPr>
        <w:pStyle w:val="ListBullet"/>
      </w:pPr>
      <w:r>
        <w:t>As respostas do assistente são percebidas como específicas, e não genéricas.</w:t>
      </w:r>
    </w:p>
    <w:p>
      <w:pPr>
        <w:pStyle w:val="ListBullet"/>
      </w:pPr>
      <w:r>
        <w:t>As orientações produzem ações como ajustar limite, criar meta ou adiar compra.</w:t>
      </w:r>
    </w:p>
    <w:p>
      <w:pPr>
        <w:pStyle w:val="ListBullet"/>
      </w:pPr>
      <w:r>
        <w:t>O custo da IA permanece compatível com o modelo de negócio.</w:t>
      </w:r>
    </w:p>
    <w:p>
      <w:pPr>
        <w:pStyle w:val="Heading1"/>
        <w:keepNext/>
      </w:pPr>
      <w:r>
        <w:rPr>
          <w:color w:val="000000"/>
        </w:rPr>
        <w:t>Próximas decisões</w:t>
      </w:r>
    </w:p>
    <w:p>
      <w:r>
        <w:t>Antes de iniciar a implementação, o projeto deverá transformar esta estrutura em um backlog priorizado. As decisões abaixo precisam ser registradas porque alteram experiência, segurança e custo.</w:t>
      </w:r>
    </w:p>
    <w:tbl>
      <w:tblPr>
        <w:tblW w:type="auto" w:w="0"/>
        <w:jc w:val="center"/>
        <w:tblLayout w:type="fixed"/>
        <w:tblLook w:firstColumn="1" w:firstRow="1" w:lastColumn="0" w:lastRow="0" w:noHBand="0" w:noVBand="1" w:val="04A0"/>
      </w:tblPr>
      <w:tblGrid>
        <w:gridCol w:w="4896"/>
        <w:gridCol w:w="4896"/>
      </w:tblGrid>
      <w:tr>
        <w:tc>
          <w:tcPr>
            <w:tcW w:type="dxa" w:w="288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Decisão</w:t>
            </w:r>
          </w:p>
        </w:tc>
        <w:tc>
          <w:tcPr>
            <w:tcW w:type="dxa" w:w="6480"/>
            <w:shd w:fill="2038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9"/>
              </w:rPr>
              <w:t>Pergunta a responder</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Primeiro público</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Qual grupo possui a dor mais clara e acessível para testes?</w:t>
            </w:r>
          </w:p>
        </w:tc>
      </w:tr>
      <w:tr>
        <w:tc>
          <w:tcPr>
            <w:tcW w:type="dxa" w:w="28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Entrada de dados</w:t>
            </w:r>
          </w:p>
        </w:tc>
        <w:tc>
          <w:tcPr>
            <w:tcW w:type="dxa" w:w="64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
              <w:rPr>
                <w:b w:val="0"/>
                <w:sz w:val="19"/>
              </w:rPr>
              <w:t>Decisão: importação de extrato como fluxo principal; lançamento manual apenas para complemento e correção.</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Plataforma</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t>Decisão: interface web responsiva em Next.js na primeira entrega; aplicativo móvel será avaliado depois.</w:t>
            </w:r>
          </w:p>
        </w:tc>
      </w:tr>
      <w:tr>
        <w:tc>
          <w:tcPr>
            <w:tcW w:type="dxa" w:w="28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Tom do assistente</w:t>
            </w:r>
          </w:p>
        </w:tc>
        <w:tc>
          <w:tcPr>
            <w:tcW w:type="dxa" w:w="64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Quão direto, detalhado e proativo ele deve ser?</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Modelo de receita</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Gratuito limitado, assinatura ou benefício corporativo?</w:t>
            </w:r>
          </w:p>
        </w:tc>
      </w:tr>
      <w:tr>
        <w:tc>
          <w:tcPr>
            <w:tcW w:type="dxa" w:w="28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Dados externos</w:t>
            </w:r>
          </w:p>
        </w:tc>
        <w:tc>
          <w:tcPr>
            <w:tcW w:type="dxa" w:w="64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Quais fontes serão autorizadas e com qual frequência?</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Memória</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t>Decisão do MVP: preferências explícitas e conversas por 90 dias; auditoria técnica por 180 dias; exclusão antecipada mediante solicitação, ressalvadas obrigações legais.</w:t>
            </w:r>
          </w:p>
        </w:tc>
      </w:tr>
      <w:tr>
        <w:tc>
          <w:tcPr>
            <w:tcW w:type="dxa" w:w="28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IA local</w:t>
            </w:r>
          </w:p>
        </w:tc>
        <w:tc>
          <w:tcPr>
            <w:tcW w:type="dxa" w:w="6480"/>
            <w:shd w:fill="EEF3F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40"/>
            </w:pPr>
            <w:r>
              <w:rPr>
                <w:sz w:val="18"/>
              </w:rPr>
              <w:t>Qual hardware e qual volume justificam a operação própria?</w:t>
            </w:r>
          </w:p>
        </w:tc>
      </w:tr>
    </w:tbl>
    <w:p>
      <w:pPr>
        <w:spacing w:after="20"/>
      </w:pPr>
    </w:p>
    <w:p>
      <w:pPr>
        <w:pStyle w:val="Heading2"/>
        <w:keepNext/>
      </w:pPr>
      <w:r>
        <w:rPr>
          <w:color w:val="000000"/>
        </w:rPr>
        <w:t>Primeira entrega recomendada</w:t>
      </w:r>
    </w:p>
    <w:p>
      <w:r>
        <w:t>A primeira entrega será uma aplicação web responsiva em Next.js, apoiada por API Laravel, PostgreSQL e serviço Python restrito à orquestração da IA. O usuário poderá cadastrar uma conta, informar o saldo gerencial inicial, importar extratos OFX ou CSV, confirmar o banco, revisar e classificar movimentações, resolver possíveis duplicidades e visualizar o saldo e o resumo do período. Lançamentos manuais existirão apenas para ajustes e complementos. O assistente básico será opcional, somente de leitura e usará dados confirmados e cálculos produzidos pelo Laravel. Metas, orçamentos, recorrências, parcelamentos estruturados, simulações, PDF e Open Finance não fazem parte desta entrega.</w:t>
      </w:r>
    </w:p>
    <w:p>
      <w:pPr>
        <w:pStyle w:val="Heading2"/>
        <w:keepNext/>
      </w:pPr>
      <w:r>
        <w:rPr>
          <w:color w:val="000000"/>
        </w:rPr>
        <w:t>Critério geral de sucesso</w:t>
      </w:r>
    </w:p>
    <w:p>
      <w:r>
        <w:t>O produto será bem-sucedido quando ajudar o usuário a tomar decisões financeiras mais conscientes sem esconder as premissas utilizadas. A sensação de inteligência deverá vir da continuidade, da clareza e da relevância das orientações, e não da aparência de certeza absoluta.</w:t>
      </w:r>
    </w:p>
    <w:p>
      <w:r>
        <w:br w:type="page"/>
      </w:r>
    </w:p>
    <w:p>
      <w:pPr>
        <w:pStyle w:val="Heading1"/>
        <w:keepNext/>
      </w:pPr>
      <w:r>
        <w:rPr>
          <w:color w:val="000000"/>
        </w:rPr>
        <w:t>Importação de extrato bancário no MVP</w:t>
      </w:r>
    </w:p>
    <w:p>
      <w:r>
        <w:t>No MVP, o usuário não precisará cadastrar cada entrada e saída individualmente. Ele poderá anexar o extrato completo de um dia ou de um mês. O sistema transformará as linhas do arquivo em uma prévia de movimentações e pedirá confirmação antes de incorporá-las à vida financeira.</w:t>
      </w:r>
    </w:p>
    <w:p>
      <w:pPr>
        <w:pStyle w:val="Heading2"/>
        <w:keepNext/>
      </w:pPr>
      <w:r>
        <w:rPr>
          <w:color w:val="000000"/>
        </w:rPr>
        <w:t>Formatos e compatibilidade</w:t>
      </w:r>
    </w:p>
    <w:p>
      <w:r>
        <w:t>OFX será o formato preferencial. CSV fará parte do MVP por meio de adaptadores versionados para instituições e layouts previamente suportados. Qualquer PDF, inclusive digital com texto selecionável, ficará fora da primeira entrega. A compatibilidade com PDF poderá ser avaliada depois que OFX e CSV atingirem os critérios de qualidade e conciliação. PDF escaneado e fotografia exigiriam OCR e permanecem fora do escopo planejado.</w:t>
      </w:r>
    </w:p>
    <w:p>
      <w:pPr>
        <w:pStyle w:val="Heading2"/>
        <w:keepNext/>
      </w:pPr>
      <w:r>
        <w:rPr>
          <w:color w:val="000000"/>
        </w:rPr>
        <w:t>Identificação da instituição financeira</w:t>
      </w:r>
    </w:p>
    <w:p>
      <w:r>
        <w:t>A tela de importação exibirá um campo Banco ou instituição financeira. O sistema tentará preencher esse campo automaticamente usando metadados do OFX, cabeçalhos do CSV, nome do arquivo e padrões conhecidos. Como a detecção pode falhar, o usuário sempre poderá selecionar ou corrigir o banco antes de continuar. A informação confirmada ficará vinculada à conta e ao lote importado.</w:t>
      </w:r>
    </w:p>
    <w:p>
      <w:pPr>
        <w:pStyle w:val="Heading2"/>
        <w:keepNext/>
      </w:pPr>
      <w:r>
        <w:rPr>
          <w:color w:val="000000"/>
        </w:rPr>
        <w:t>Fluxo da importação</w:t>
      </w:r>
    </w:p>
    <w:p>
      <w:pPr>
        <w:pStyle w:val="ListNumber"/>
      </w:pPr>
      <w:r>
        <w:t>O usuário escolhe a conta, seleciona ou confirma o banco e anexa o arquivo.</w:t>
      </w:r>
    </w:p>
    <w:p>
      <w:pPr>
        <w:pStyle w:val="ListNumber"/>
      </w:pPr>
      <w:r>
        <w:t>O sistema valida formato, tamanho, período, codificação e presença dos campos mínimos.</w:t>
      </w:r>
    </w:p>
    <w:p>
      <w:pPr>
        <w:pStyle w:val="ListNumber"/>
      </w:pPr>
      <w:r>
        <w:t>Um adaptador da instituição interpreta data, descrição, documento, valor e natureza de crédito ou débito.</w:t>
      </w:r>
    </w:p>
    <w:p>
      <w:pPr>
        <w:pStyle w:val="ListNumber"/>
      </w:pPr>
      <w:r>
        <w:t>O sistema apresenta uma prévia com banco, conta, período, quantidade de movimentações, total de entradas, total de saídas e itens com erro.</w:t>
      </w:r>
    </w:p>
    <w:p>
      <w:pPr>
        <w:pStyle w:val="ListNumber"/>
      </w:pPr>
      <w:r>
        <w:t>O usuário pode corrigir categorias, ignorar linhas ou cancelar o processo antes da confirmação.</w:t>
      </w:r>
    </w:p>
    <w:p>
      <w:pPr>
        <w:pStyle w:val="ListNumber"/>
      </w:pPr>
      <w:r>
        <w:t>Na confirmação, as movimentações válidas são gravadas em uma única operação e o lote recebe um relatório de resultado.</w:t>
      </w:r>
    </w:p>
    <w:p>
      <w:pPr>
        <w:pStyle w:val="Heading2"/>
        <w:keepNext/>
      </w:pPr>
      <w:r>
        <w:rPr>
          <w:color w:val="000000"/>
        </w:rPr>
        <w:t>Regras de segurança e qualidade</w:t>
      </w:r>
    </w:p>
    <w:p>
      <w:pPr>
        <w:pStyle w:val="ListBullet"/>
      </w:pPr>
      <w:r>
        <w:t>Nunca considerar o nome do arquivo como prova suficiente do banco; a instituição deve ser confirmada pelo usuário quando houver dúvida.</w:t>
      </w:r>
    </w:p>
    <w:p>
      <w:pPr>
        <w:pStyle w:val="ListBullet"/>
      </w:pPr>
      <w:r>
        <w:t>Não gravar parcialmente um lote se ocorrer uma falha crítica durante a confirmação.</w:t>
      </w:r>
    </w:p>
    <w:p>
      <w:pPr>
        <w:pStyle w:val="ListBullet"/>
      </w:pPr>
      <w:r>
        <w:t>Detectar duplicidades automaticamente pelo identificador bancário estável no escopo da conta. Na ausência dele, calcular uma impressão digital independente do lote usando proprietário, conta, data efetiva, valor com sinal, moeda, documento ou referência disponível e descrição normalizada. Mesmo uma correspondência completa dessa impressão digital será apenas possível duplicidade: compras legítimas podem ter os mesmos dados. O usuário decidirá se deve vincular, importar separadamente ou ignorar. O lote de origem nunca fará parte da comparação.</w:t>
      </w:r>
    </w:p>
    <w:p>
      <w:pPr>
        <w:pStyle w:val="ListBullet"/>
      </w:pPr>
      <w:r>
        <w:t>Preservar a descrição original do banco e registrar separadamente a descrição normalizada e a categoria atribuída.</w:t>
      </w:r>
    </w:p>
    <w:p>
      <w:pPr>
        <w:pStyle w:val="ListBullet"/>
      </w:pPr>
      <w:r>
        <w:t>Não enviar o arquivo bruto do extrato à IA. A classificação por IA, quando usada, receberá somente os campos mínimos necessários e seguirá consentimento e política de privacidade.</w:t>
      </w:r>
    </w:p>
    <w:p>
      <w:pPr>
        <w:pStyle w:val="ListBullet"/>
      </w:pPr>
      <w:r>
        <w:t>Permitir a exclusão de um lote importado de forma auditável, revertendo apenas as movimentações criadas por aquele lote e não alterações posteriores sem confirmação.</w:t>
      </w:r>
    </w:p>
    <w:p>
      <w:pPr>
        <w:pStyle w:val="Heading2"/>
        <w:keepNext/>
      </w:pPr>
      <w:r>
        <w:rPr>
          <w:color w:val="000000"/>
        </w:rPr>
        <w:t>Dados do lote de importação</w:t>
      </w:r>
    </w:p>
    <w:tbl>
      <w:tblPr>
        <w:tblStyle w:val="LightShading-Accent1"/>
        <w:tblW w:type="auto" w:w="0"/>
        <w:tblLook w:firstColumn="1" w:firstRow="1" w:lastColumn="0" w:lastRow="0" w:noHBand="0" w:noVBand="1" w:val="04A0"/>
      </w:tblPr>
      <w:tblGrid>
        <w:gridCol w:w="4896"/>
        <w:gridCol w:w="4896"/>
      </w:tblGrid>
      <w:tr>
        <w:tc>
          <w:tcPr>
            <w:tcW w:type="dxa" w:w="4896"/>
            <w:vAlign w:val="center"/>
            <w:shd w:fill="1F4E78"/>
          </w:tcPr>
          <w:p>
            <w:r>
              <w:rPr>
                <w:color w:val="FFFFFF"/>
              </w:rPr>
            </w:r>
            <w:r>
              <w:rPr>
                <w:b/>
                <w:color w:val="FFFFFF"/>
                <w:sz w:val="19"/>
              </w:rPr>
              <w:t>Grupo</w:t>
            </w:r>
          </w:p>
        </w:tc>
        <w:tc>
          <w:tcPr>
            <w:tcW w:type="dxa" w:w="4896"/>
            <w:vAlign w:val="center"/>
            <w:shd w:fill="1F4E78"/>
          </w:tcPr>
          <w:p>
            <w:r>
              <w:rPr>
                <w:color w:val="FFFFFF"/>
              </w:rPr>
            </w:r>
            <w:r>
              <w:rPr>
                <w:b/>
                <w:color w:val="FFFFFF"/>
                <w:sz w:val="19"/>
              </w:rPr>
              <w:t>Informações</w:t>
            </w:r>
          </w:p>
        </w:tc>
      </w:tr>
      <w:tr>
        <w:tc>
          <w:tcPr>
            <w:tcW w:type="dxa" w:w="4896"/>
            <w:vAlign w:val="center"/>
          </w:tcPr>
          <w:p>
            <w:r/>
            <w:r>
              <w:rPr>
                <w:b/>
                <w:sz w:val="19"/>
              </w:rPr>
              <w:t>Origem</w:t>
            </w:r>
          </w:p>
        </w:tc>
        <w:tc>
          <w:tcPr>
            <w:tcW w:type="dxa" w:w="4896"/>
            <w:vAlign w:val="center"/>
          </w:tcPr>
          <w:p>
            <w:r/>
            <w:r>
              <w:rPr>
                <w:b w:val="0"/>
                <w:sz w:val="19"/>
              </w:rPr>
              <w:t>Usuário, conta, banco confirmado, formato e nome original do arquivo</w:t>
            </w:r>
          </w:p>
        </w:tc>
      </w:tr>
      <w:tr>
        <w:tc>
          <w:tcPr>
            <w:tcW w:type="dxa" w:w="4896"/>
            <w:vAlign w:val="center"/>
          </w:tcPr>
          <w:p>
            <w:r/>
            <w:r>
              <w:rPr>
                <w:b/>
                <w:sz w:val="19"/>
              </w:rPr>
              <w:t>Período</w:t>
            </w:r>
          </w:p>
        </w:tc>
        <w:tc>
          <w:tcPr>
            <w:tcW w:type="dxa" w:w="4896"/>
            <w:vAlign w:val="center"/>
          </w:tcPr>
          <w:p>
            <w:r/>
            <w:r>
              <w:rPr>
                <w:b w:val="0"/>
                <w:sz w:val="19"/>
              </w:rPr>
              <w:t>Data inicial, data final e momento da importação</w:t>
            </w:r>
          </w:p>
        </w:tc>
      </w:tr>
      <w:tr>
        <w:tc>
          <w:tcPr>
            <w:tcW w:type="dxa" w:w="4896"/>
            <w:vAlign w:val="center"/>
          </w:tcPr>
          <w:p>
            <w:r/>
            <w:r>
              <w:rPr>
                <w:b/>
                <w:sz w:val="19"/>
              </w:rPr>
              <w:t>Controle</w:t>
            </w:r>
          </w:p>
        </w:tc>
        <w:tc>
          <w:tcPr>
            <w:tcW w:type="dxa" w:w="4896"/>
            <w:vAlign w:val="center"/>
          </w:tcPr>
          <w:p>
            <w:r/>
            <w:r>
              <w:rPr>
                <w:b w:val="0"/>
                <w:sz w:val="19"/>
              </w:rPr>
              <w:t>Identificador do lote, hash do arquivo, estado e versão do adaptador</w:t>
            </w:r>
          </w:p>
        </w:tc>
      </w:tr>
      <w:tr>
        <w:tc>
          <w:tcPr>
            <w:tcW w:type="dxa" w:w="4896"/>
            <w:vAlign w:val="center"/>
          </w:tcPr>
          <w:p>
            <w:r/>
            <w:r>
              <w:rPr>
                <w:b/>
                <w:sz w:val="19"/>
              </w:rPr>
              <w:t>Resultado</w:t>
            </w:r>
          </w:p>
        </w:tc>
        <w:tc>
          <w:tcPr>
            <w:tcW w:type="dxa" w:w="4896"/>
            <w:vAlign w:val="center"/>
          </w:tcPr>
          <w:p>
            <w:r/>
            <w:r>
              <w:rPr>
                <w:b w:val="0"/>
                <w:sz w:val="19"/>
              </w:rPr>
              <w:t>Linhas lidas, importadas, duplicadas, ignoradas e com erro</w:t>
            </w:r>
          </w:p>
        </w:tc>
      </w:tr>
      <w:tr>
        <w:tc>
          <w:tcPr>
            <w:tcW w:type="dxa" w:w="4896"/>
            <w:vAlign w:val="center"/>
          </w:tcPr>
          <w:p>
            <w:r/>
            <w:r>
              <w:rPr>
                <w:b/>
                <w:sz w:val="19"/>
              </w:rPr>
              <w:t>Auditoria</w:t>
            </w:r>
          </w:p>
        </w:tc>
        <w:tc>
          <w:tcPr>
            <w:tcW w:type="dxa" w:w="4896"/>
            <w:vAlign w:val="center"/>
          </w:tcPr>
          <w:p>
            <w:r/>
            <w:r>
              <w:rPr>
                <w:b w:val="0"/>
                <w:sz w:val="19"/>
              </w:rPr>
              <w:t>Quem confirmou, quando confirmou e correções realizadas</w:t>
            </w:r>
          </w:p>
        </w:tc>
      </w:tr>
    </w:tbl>
    <w:p>
      <w:pPr>
        <w:pStyle w:val="Heading2"/>
        <w:keepNext/>
      </w:pPr>
      <w:r>
        <w:rPr>
          <w:color w:val="000000"/>
        </w:rPr>
        <w:t>Critérios de aceite do MVP</w:t>
      </w:r>
    </w:p>
    <w:p>
      <w:pPr>
        <w:pStyle w:val="ListBullet"/>
      </w:pPr>
      <w:r>
        <w:t>Importar um extrato completo diário ou mensal em OFX e CSV suportados.</w:t>
      </w:r>
    </w:p>
    <w:p>
      <w:pPr>
        <w:pStyle w:val="ListBullet"/>
      </w:pPr>
      <w:r>
        <w:t>Exibir e permitir confirmar ou corrigir a instituição financeira.</w:t>
      </w:r>
    </w:p>
    <w:p>
      <w:pPr>
        <w:pStyle w:val="ListBullet"/>
      </w:pPr>
      <w:r>
        <w:t>Mostrar a prévia e os totais antes de alterar o saldo gerencial.</w:t>
      </w:r>
    </w:p>
    <w:p>
      <w:pPr>
        <w:pStyle w:val="ListBullet"/>
      </w:pPr>
      <w:r>
        <w:t>Reimportar o mesmo arquivo sem duplicar movimentações.</w:t>
      </w:r>
    </w:p>
    <w:p>
      <w:pPr>
        <w:pStyle w:val="ListBullet"/>
      </w:pPr>
      <w:r>
        <w:t>Informar claramente linhas rejeitadas e permitir corrigi-las ou lançá-las manualmente.</w:t>
      </w:r>
    </w:p>
    <w:p>
      <w:pPr>
        <w:pStyle w:val="ListBullet"/>
      </w:pPr>
      <w:r>
        <w:t>Manter rastreabilidade entre cada movimentação e seu lote de origem.</w:t>
      </w:r>
    </w:p>
    <w:p>
      <w:pPr>
        <w:pStyle w:val="Heading1"/>
        <w:keepNext/>
      </w:pPr>
      <w:r>
        <w:rPr>
          <w:color w:val="000000"/>
        </w:rPr>
        <w:t>Implementação futura de Open Finance</w:t>
      </w:r>
    </w:p>
    <w:p>
      <w:r>
        <w:t>A conexão com Open Finance será desenvolvida após a validação do MVP. No MVP, a entrada principal de dados será a importação de arquivos de extrato bancário, com lançamentos manuais reservados para complementos e correções. A fase de Open Finance substituirá gradualmente o envio de arquivos por sincronização consentida, mantendo as mesmas regras de revisão, classificação, conciliação e prevenção de duplicidades.</w:t>
      </w:r>
    </w:p>
    <w:p>
      <w:pPr>
        <w:pStyle w:val="Heading2"/>
        <w:keepNext/>
      </w:pPr>
      <w:r>
        <w:rPr>
          <w:color w:val="000000"/>
        </w:rPr>
        <w:t>Objetivo da integração</w:t>
      </w:r>
    </w:p>
    <w:p>
      <w:r>
        <w:t>A integração consultará somente os dados necessários para identificar movimentações financeiras. O sistema não iniciará Pix, transferências ou pagamentos e não utilizará o saldo bancário informado pela instituição.</w:t>
      </w:r>
    </w:p>
    <w:tbl>
      <w:tblPr>
        <w:tblStyle w:val="TableGrid"/>
        <w:tblW w:type="auto" w:w="0"/>
        <w:tblLook w:firstColumn="1" w:firstRow="1" w:lastColumn="0" w:lastRow="0" w:noHBand="0" w:noVBand="1" w:val="04A0"/>
      </w:tblPr>
      <w:tblGrid>
        <w:gridCol w:w="4896"/>
        <w:gridCol w:w="4896"/>
      </w:tblGrid>
      <w:tr>
        <w:tc>
          <w:tcPr>
            <w:tcW w:type="dxa" w:w="4896"/>
            <w:vAlign w:val="center"/>
          </w:tcPr>
          <w:p>
            <w:r>
              <w:rPr>
                <w:b/>
                <w:sz w:val="20"/>
              </w:rPr>
              <w:t>Incluído nesta fase</w:t>
            </w:r>
          </w:p>
        </w:tc>
        <w:tc>
          <w:tcPr>
            <w:tcW w:type="dxa" w:w="4896"/>
            <w:vAlign w:val="center"/>
          </w:tcPr>
          <w:p>
            <w:r>
              <w:rPr>
                <w:b/>
                <w:sz w:val="20"/>
              </w:rPr>
              <w:t>Fora desta fase</w:t>
            </w:r>
          </w:p>
        </w:tc>
      </w:tr>
      <w:tr>
        <w:tc>
          <w:tcPr>
            <w:tcW w:type="dxa" w:w="4896"/>
            <w:vAlign w:val="center"/>
          </w:tcPr>
          <w:p>
            <w:r>
              <w:rPr>
                <w:sz w:val="20"/>
              </w:rPr>
              <w:t>Histórico de transações bancárias</w:t>
            </w:r>
          </w:p>
        </w:tc>
        <w:tc>
          <w:tcPr>
            <w:tcW w:type="dxa" w:w="4896"/>
            <w:vAlign w:val="center"/>
          </w:tcPr>
          <w:p>
            <w:r>
              <w:rPr>
                <w:sz w:val="20"/>
              </w:rPr>
              <w:t>Consulta ou exibição do saldo bancário</w:t>
            </w:r>
          </w:p>
        </w:tc>
      </w:tr>
      <w:tr>
        <w:tc>
          <w:tcPr>
            <w:tcW w:type="dxa" w:w="4896"/>
            <w:vAlign w:val="center"/>
          </w:tcPr>
          <w:p>
            <w:r>
              <w:rPr>
                <w:sz w:val="20"/>
              </w:rPr>
              <w:t>Compras e parcelas de cartão</w:t>
            </w:r>
          </w:p>
        </w:tc>
        <w:tc>
          <w:tcPr>
            <w:tcW w:type="dxa" w:w="4896"/>
            <w:vAlign w:val="center"/>
          </w:tcPr>
          <w:p>
            <w:r>
              <w:rPr>
                <w:sz w:val="20"/>
              </w:rPr>
              <w:t>Iniciação de Pix ou transferência</w:t>
            </w:r>
          </w:p>
        </w:tc>
      </w:tr>
      <w:tr>
        <w:tc>
          <w:tcPr>
            <w:tcW w:type="dxa" w:w="4896"/>
            <w:vAlign w:val="center"/>
          </w:tcPr>
          <w:p>
            <w:r>
              <w:rPr>
                <w:sz w:val="20"/>
              </w:rPr>
              <w:t>Pix e transferências enviados e recebidos</w:t>
            </w:r>
          </w:p>
        </w:tc>
        <w:tc>
          <w:tcPr>
            <w:tcW w:type="dxa" w:w="4896"/>
            <w:vAlign w:val="center"/>
          </w:tcPr>
          <w:p>
            <w:r>
              <w:rPr>
                <w:sz w:val="20"/>
              </w:rPr>
              <w:t>Pagamento de contas</w:t>
            </w:r>
          </w:p>
        </w:tc>
      </w:tr>
      <w:tr>
        <w:tc>
          <w:tcPr>
            <w:tcW w:type="dxa" w:w="4896"/>
            <w:vAlign w:val="center"/>
          </w:tcPr>
          <w:p>
            <w:r>
              <w:rPr>
                <w:sz w:val="20"/>
              </w:rPr>
              <w:t>Classificação em entrada, saída ou transferência interna</w:t>
            </w:r>
          </w:p>
        </w:tc>
        <w:tc>
          <w:tcPr>
            <w:tcW w:type="dxa" w:w="4896"/>
            <w:vAlign w:val="center"/>
          </w:tcPr>
          <w:p>
            <w:r>
              <w:rPr>
                <w:sz w:val="20"/>
              </w:rPr>
              <w:t>Investimentos, empréstimos ou análise de crédito</w:t>
            </w:r>
          </w:p>
        </w:tc>
      </w:tr>
      <w:tr>
        <w:tc>
          <w:tcPr>
            <w:tcW w:type="dxa" w:w="4896"/>
            <w:vAlign w:val="center"/>
          </w:tcPr>
          <w:p>
            <w:r>
              <w:rPr>
                <w:sz w:val="20"/>
              </w:rPr>
              <w:t>Sincronização e conciliação automática</w:t>
            </w:r>
          </w:p>
        </w:tc>
        <w:tc>
          <w:tcPr>
            <w:tcW w:type="dxa" w:w="4896"/>
            <w:vAlign w:val="center"/>
          </w:tcPr>
          <w:p>
            <w:r>
              <w:rPr>
                <w:sz w:val="20"/>
              </w:rPr>
              <w:t>Movimentação automática do dinheiro do cliente</w:t>
            </w:r>
          </w:p>
        </w:tc>
      </w:tr>
    </w:tbl>
    <w:p>
      <w:pPr>
        <w:pStyle w:val="Heading2"/>
        <w:keepNext/>
      </w:pPr>
      <w:r>
        <w:rPr>
          <w:color w:val="000000"/>
        </w:rPr>
        <w:t>Saldo financeiro da aplicação</w:t>
      </w:r>
    </w:p>
    <w:p>
      <w:r>
        <w:t>O produto continuará mantendo um saldo gerencial próprio. O usuário poderá informar um saldo inicial, e o sistema o atualizará com os lançamentos manuais e importados. O cálculo será saldo inicial mais entradas menos saídas. Esse valor representa a posição financeira controlada na aplicação e pode divergir do saldo disponível no banco.</w:t>
      </w:r>
    </w:p>
    <w:p>
      <w:r>
        <w:t>Quando o usuário corrigir esse valor, a aplicação criará um lançamento de ajuste. O histórico anterior será preservado para auditoria.</w:t>
      </w:r>
    </w:p>
    <w:p>
      <w:pPr>
        <w:pStyle w:val="Heading2"/>
        <w:keepNext/>
      </w:pPr>
      <w:r>
        <w:rPr>
          <w:color w:val="000000"/>
        </w:rPr>
        <w:t>Fluxo de importação</w:t>
      </w:r>
    </w:p>
    <w:p>
      <w:r>
        <w:t>1. O usuário autoriza a conexão da instituição financeira por meio do provedor de Open Finance.</w:t>
      </w:r>
    </w:p>
    <w:p>
      <w:r>
        <w:t>2. O Laravel registra a conexão vinculada ao usuário e solicita somente os produtos necessários.</w:t>
      </w:r>
    </w:p>
    <w:p>
      <w:r>
        <w:t>3. Uma tarefa assíncrona importa o histórico disponível e armazena os identificadores externos.</w:t>
      </w:r>
    </w:p>
    <w:p>
      <w:r>
        <w:t>4. O sistema compara as movimentações com lançamentos manuais e importações anteriores.</w:t>
      </w:r>
    </w:p>
    <w:p>
      <w:r>
        <w:t>5. As movimentações confirmadas entram como receitas, despesas, transferências internas ou itens ignorados.</w:t>
      </w:r>
    </w:p>
    <w:p>
      <w:r>
        <w:t>6. Novas notificações de sincronização atualizam os registros sem criar duplicidades.</w:t>
      </w:r>
    </w:p>
    <w:p>
      <w:pPr>
        <w:pStyle w:val="Heading2"/>
        <w:keepNext/>
      </w:pPr>
      <w:r>
        <w:rPr>
          <w:color w:val="000000"/>
        </w:rPr>
        <w:t>Regras de conciliação</w:t>
      </w:r>
    </w:p>
    <w:p>
      <w:pPr>
        <w:pStyle w:val="ListBullet"/>
      </w:pPr>
      <w:r>
        <w:t>Uma compra no cartão será reconhecida como despesa. O pagamento da fatura não será contabilizado novamente como despesa.</w:t>
      </w:r>
    </w:p>
    <w:p>
      <w:pPr>
        <w:pStyle w:val="ListBullet"/>
      </w:pPr>
      <w:r>
        <w:t>Uma transferência entre contas do mesmo usuário não alterará o saldo financeiro geral.</w:t>
      </w:r>
    </w:p>
    <w:p>
      <w:pPr>
        <w:pStyle w:val="ListBullet"/>
      </w:pPr>
      <w:r>
        <w:t>Uma movimentação semelhante a um lançamento manual será apresentada para vinculação antes da criação de outro registro.</w:t>
      </w:r>
    </w:p>
    <w:p>
      <w:pPr>
        <w:pStyle w:val="ListBullet"/>
      </w:pPr>
      <w:r>
        <w:t>Transações pendentes poderão ser atualizadas quando a instituição alterar seu estado.</w:t>
      </w:r>
    </w:p>
    <w:p>
      <w:pPr>
        <w:pStyle w:val="ListBullet"/>
      </w:pPr>
      <w:r>
        <w:t>Transações removidas ou corrigidas pelo provedor manterão registro de auditoria na aplicação.</w:t>
      </w:r>
    </w:p>
    <w:p>
      <w:pPr>
        <w:pStyle w:val="Heading2"/>
        <w:keepNext/>
      </w:pPr>
      <w:r>
        <w:rPr>
          <w:color w:val="000000"/>
        </w:rPr>
        <w:t>Dados mínimos armazenados</w:t>
      </w:r>
    </w:p>
    <w:p>
      <w:r>
        <w:t>Cada movimentação importada deverá guardar o usuário proprietário, a conexão, a conta de origem, o identificador externo, a data, o valor, a descrição original, o tipo de crédito ou débito, a natureza financeira, a categoria, o estado, a origem do lançamento e as datas de importação e atualização. A referência da conta será mantida somente para organizar as movimentações e reconhecer transferências internas.</w:t>
      </w:r>
    </w:p>
    <w:p>
      <w:pPr>
        <w:pStyle w:val="Heading2"/>
        <w:keepNext/>
      </w:pPr>
      <w:r>
        <w:rPr>
          <w:color w:val="000000"/>
        </w:rPr>
        <w:t>Preparação para múltiplos clientes</w:t>
      </w:r>
    </w:p>
    <w:p>
      <w:r>
        <w:t>Embora a primeira utilização seja pessoal, a integração será isolada por usuário ou organização. Toda consulta deverá validar o proprietário do recurso. Credenciais do provedor permanecerão no backend, dados sensíveis não serão gravados em logs comuns e o usuário poderá revogar o consentimento e solicitar exclusão ou exportação conforme a política do produto.</w:t>
      </w:r>
    </w:p>
    <w:p>
      <w:pPr>
        <w:pStyle w:val="Heading2"/>
        <w:keepNext/>
      </w:pPr>
      <w:r>
        <w:rPr>
          <w:color w:val="000000"/>
        </w:rPr>
        <w:t>Critérios para iniciar esta fase</w:t>
      </w:r>
    </w:p>
    <w:p>
      <w:pPr>
        <w:pStyle w:val="ListBullet"/>
      </w:pPr>
      <w:r>
        <w:t>O MVP de importação de extratos está estável, e seus cálculos de saldo e conciliação foram aprovados.</w:t>
      </w:r>
    </w:p>
    <w:p>
      <w:pPr>
        <w:pStyle w:val="ListBullet"/>
      </w:pPr>
      <w:r>
        <w:t>As regras de cartão, fatura, transferências internas e ajustes estão testadas.</w:t>
      </w:r>
    </w:p>
    <w:p>
      <w:pPr>
        <w:pStyle w:val="ListBullet"/>
      </w:pPr>
      <w:r>
        <w:t>O modelo de dados suporta identificadores externos, conciliação e auditoria.</w:t>
      </w:r>
    </w:p>
    <w:p>
      <w:pPr>
        <w:pStyle w:val="ListBullet"/>
      </w:pPr>
      <w:r>
        <w:t>Os requisitos de consentimento, privacidade, retenção e exclusão foram definidos.</w:t>
      </w:r>
    </w:p>
    <w:p>
      <w:pPr>
        <w:pStyle w:val="ListBullet"/>
      </w:pPr>
      <w:r>
        <w:t>O custo, a cobertura das instituições e os limites comerciais do provedor foram avaliados.</w:t>
      </w:r>
    </w:p>
    <w:p>
      <w:r>
        <w:br w:type="page"/>
      </w:r>
    </w:p>
    <w:p>
      <w:pPr>
        <w:pStyle w:val="Heading1"/>
        <w:keepNext/>
      </w:pPr>
      <w:r>
        <w:rPr>
          <w:color w:val="000000"/>
        </w:rPr>
        <w:t>Especificação consolidada da primeira entrega</w:t>
      </w:r>
    </w:p>
    <w:p>
      <w:pPr>
        <w:spacing w:after="120" w:line="269" w:lineRule="auto"/>
      </w:pPr>
      <w:r>
        <w:t>Esta seção substitui qualquer interpretação divergente sobre o MVP. Em caso de conflito com trechos anteriores, prevalecem as decisões e regras abaixo. O objetivo da primeira entrega é provar que o usuário consegue transformar um extrato em uma visão gerencial confiável, com baixo esforço e sem contagem duplicada.</w:t>
      </w:r>
    </w:p>
    <w:p>
      <w:pPr>
        <w:pStyle w:val="Heading2"/>
        <w:keepNext/>
      </w:pPr>
      <w:r>
        <w:rPr>
          <w:color w:val="000000"/>
        </w:rPr>
        <w:t>Escopo fechado do MVP</w:t>
      </w:r>
    </w:p>
    <w:tbl>
      <w:tblPr>
        <w:tblW w:type="auto" w:w="0"/>
        <w:tblLayout w:type="fixed"/>
        <w:tblLook w:firstColumn="1" w:firstRow="1" w:lastColumn="0" w:lastRow="0" w:noHBand="0" w:noVBand="1" w:val="04A0"/>
      </w:tblPr>
      <w:tblGrid>
        <w:gridCol w:w="4896"/>
        <w:gridCol w:w="4896"/>
      </w:tblGrid>
      <w:tr>
        <w:trPr>
          <w:tblHeader/>
        </w:trP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Incluído</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Adiado para depois do MVP</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Interface web responsiva em Next.js</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Aplicativo móvel nativo</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Cadastro, login, consentimentos e recuperação de acesso</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Perfis familiares e compartilhamento avançado</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Cadastro de contas e saldo gerencial inicial</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Orçamento mensal, metas e reserva estruturada</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Importação OFX e CSV de layouts suportados</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PDF digital, PDF escaneado e OCR</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Confirmação do banco, prévia e validação do lote</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Open Finance e sincronização automática</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Classificação de entradas, saídas, transferências, cartão, fatura, estorno e ajuste</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Recorrências e parcelamentos como módulos próprios</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Deduplicação, conciliação e auditoria</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Simulações de compra e dívida</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Saldo gerencial e resumo mensal realizado</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Projeções avançadas e dados de mercado</w:t>
            </w:r>
          </w:p>
        </w:tc>
      </w:tr>
      <w:tr>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Assistente opcional, básico e somente de leitura</w:t>
            </w:r>
          </w:p>
        </w:tc>
        <w:tc>
          <w:tcPr>
            <w:tcW w:type="dxa" w:w="46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IA local e roteamento híbrido</w:t>
            </w:r>
          </w:p>
        </w:tc>
      </w:tr>
    </w:tbl>
    <w:p>
      <w:pPr>
        <w:spacing w:after="80"/>
      </w:pPr>
    </w:p>
    <w:p>
      <w:pPr>
        <w:pStyle w:val="Heading2"/>
        <w:keepNext/>
      </w:pPr>
      <w:r>
        <w:rPr>
          <w:color w:val="000000"/>
        </w:rPr>
        <w:t>Regra de duplicidade e conciliação</w:t>
      </w:r>
    </w:p>
    <w:p>
      <w:pPr>
        <w:spacing w:after="120" w:line="269" w:lineRule="auto"/>
      </w:pPr>
      <w:r>
        <w:t>A idempotência funcionará em dois níveis. O hash do arquivo impedirá a confirmação acidental do mesmo arquivo na mesma conta. Cada movimentação será comparada independentemente do lote, permitindo reconhecer lançamentos em arquivos diferentes ou em futura sincronização por Open Finance. Sem identificador bancário estável, a comparação gerará candidatos para revisão, sem bloquear automaticamente uma compra legítima.</w:t>
      </w:r>
    </w:p>
    <w:p>
      <w:pPr>
        <w:pStyle w:val="ListBullet"/>
        <w:spacing w:after="60"/>
      </w:pPr>
      <w:r>
        <w:t>Chave principal: identificador bancário estável no escopo da conta.</w:t>
      </w:r>
    </w:p>
    <w:p>
      <w:pPr>
        <w:pStyle w:val="ListBullet"/>
        <w:spacing w:after="60"/>
      </w:pPr>
      <w:r>
        <w:t>Impressão digital alternativa para sugerir duplicidade: proprietário, conta, data efetiva, valor com sinal, moeda, documento ou referência disponível e descrição normalizada.</w:t>
      </w:r>
    </w:p>
    <w:p>
      <w:pPr>
        <w:pStyle w:val="ListBullet"/>
        <w:spacing w:after="60"/>
      </w:pPr>
      <w:r>
        <w:t>O identificador do lote será usado apenas para rastreabilidade e reversão; nunca para decidir se a movimentação já existe.</w:t>
      </w:r>
    </w:p>
    <w:p>
      <w:pPr>
        <w:pStyle w:val="ListBullet"/>
        <w:spacing w:after="60"/>
      </w:pPr>
      <w:r>
        <w:t>Somente a repetição do identificador bancário estável na mesma conta será bloqueada como duplicidade confirmada. Sem esse identificador, correspondência completa ou parcial da impressão digital será exibida como possível duplicidade e exigirá escolha: vincular, importar separadamente ou ignorar.</w:t>
      </w:r>
    </w:p>
    <w:p>
      <w:pPr>
        <w:pStyle w:val="ListBullet"/>
        <w:spacing w:after="60"/>
      </w:pPr>
      <w:r>
        <w:t>A decisão manual ficará registrada com usuário, horário, valores comparados e motivo opcional.</w:t>
      </w:r>
    </w:p>
    <w:p>
      <w:pPr>
        <w:pStyle w:val="Heading2"/>
        <w:keepNext/>
      </w:pPr>
      <w:r>
        <w:rPr>
          <w:color w:val="000000"/>
        </w:rPr>
        <w:t>Modelo do saldo gerencial</w:t>
      </w:r>
    </w:p>
    <w:p>
      <w:pPr>
        <w:spacing w:after="120" w:line="269" w:lineRule="auto"/>
      </w:pPr>
      <w:r>
        <w:t>O saldo gerencial pertence a cada conta e não é uma cópia do saldo bancário. Para um período, ele corresponde ao saldo inicial confirmado, somado aos lançamentos confirmados que afetam caixa. O consolidado soma as contas ativas, eliminando efeitos internos entre elas. Resultado por categoria e saldo de caixa são visões diferentes e não devem ser confundidos.</w:t>
      </w:r>
    </w:p>
    <w:tbl>
      <w:tblPr>
        <w:tblW w:type="auto" w:w="0"/>
        <w:tblLayout w:type="fixed"/>
        <w:tblLook w:firstColumn="1" w:firstRow="1" w:lastColumn="0" w:lastRow="0" w:noHBand="0" w:noVBand="1" w:val="04A0"/>
      </w:tblPr>
      <w:tblGrid>
        <w:gridCol w:w="3264"/>
        <w:gridCol w:w="3264"/>
        <w:gridCol w:w="3264"/>
      </w:tblGrid>
      <w:tr>
        <w:trPr>
          <w:tblHeader/>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Situação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Tratamento no saldo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Tratamento no resumo</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Compra no débito, Pix enviado ou saque</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Reduz a conta na data efetiva</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Saída conforme categoria; saque pode permanecer a classificar</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Entrada por Pix, transferência externa ou depósito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Aumenta a conta na data efetiva</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Entrada; só será receita após classificação</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Compra no cartão de crédito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Não reduz a conta corrente; aumenta obrigação do cartão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Despesa reconhecida uma vez na compra</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Pagamento de fatura</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Reduz conta pagadora e reduz obrigação do cartão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Transferência de liquidação; não cria nova despesa</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Juros, multa e tarifa da fatura</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Reduz a conta quando pagos ou aumenta a obrigação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Despesa financeira separada</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Transferência entre contas próprias</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Reduz uma conta e aumenta a outra</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Efeito zero no consolidado; vínculo entre os dois lados</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Estorno ou reembolso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Inverte o efeito financeiro quando confirmado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Vinculado ao original; reduz a despesa ou receita original</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Lançamento pendente</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Não entra no saldo realizado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Pode aparecer separado no previsto, com rótulo pendente</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Ajuste de saldo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Afeta a conta na data informada</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Não é receita nem despesa; exige motivo e auditoria</w:t>
            </w:r>
          </w:p>
        </w:tc>
      </w:tr>
      <w:t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Lançamento ignorado</w:t>
            </w:r>
          </w:p>
        </w:tc>
        <w:tc>
          <w:tcPr>
            <w:tcW w:type="dxa" w:w="33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Não afeta o saldo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Permanece rastreável no lote</w:t>
            </w:r>
          </w:p>
        </w:tc>
      </w:tr>
    </w:tbl>
    <w:p>
      <w:pPr>
        <w:spacing w:after="80"/>
      </w:pPr>
    </w:p>
    <w:p>
      <w:pPr>
        <w:pStyle w:val="Heading2"/>
        <w:keepNext/>
      </w:pPr>
      <w:r>
        <w:rPr>
          <w:color w:val="000000"/>
        </w:rPr>
        <w:t>Contratos de dados e estados</w:t>
      </w:r>
    </w:p>
    <w:tbl>
      <w:tblPr>
        <w:tblW w:type="auto" w:w="0"/>
        <w:tblLayout w:type="fixed"/>
        <w:tblLook w:firstColumn="1" w:firstRow="1" w:lastColumn="0" w:lastRow="0" w:noHBand="0" w:noVBand="1" w:val="04A0"/>
      </w:tblPr>
      <w:tblGrid>
        <w:gridCol w:w="3264"/>
        <w:gridCol w:w="3264"/>
        <w:gridCol w:w="3264"/>
      </w:tblGrid>
      <w:tr>
        <w:trPr>
          <w:tblHeader/>
        </w:trP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Entidade</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Campos obrigatórios no MVP</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Estados e transições principais</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Conta</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id, usuário, nome, tipo, moeda, saldo inicial, data do saldo, instituição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ativa → arquivada; reativação permitida; arquivada não recebe novos lotes</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Lote de importação</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id, usuário, conta, banco, formato, hash, período, adaptador, versão, contadores</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enviado → validando → prévia → confirmado; de prévia para cancelado; falha pode voltar a validando; confirmado pode ser revertido com auditoria</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Transação</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id, usuário, conta, lote opcional, data efetiva, valor com sinal, moeda, descrição original, natureza, estado, origem, fingerprint</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pendente → confirmada ou cancelada; confirmada → estornada; dados originais são imutáveis; classificação pode ser revisada</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Conciliação</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id, transação origem, candidata, tipo de correspondência, decisão, confiança, responsável</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sugerida → vinculada, rejeitada ou mantida separada; decisão pode ser reaberta com histórico</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Recorrência</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regra, frequência, próxima data, valor esperado e situação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Fora do MVP. Contrato futuro: rascunho → ativa → pausada → encerrada</w:t>
            </w:r>
          </w:p>
        </w:tc>
      </w:tr>
      <w:t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Parcelamento</w:t>
            </w:r>
          </w:p>
        </w:tc>
        <w:tc>
          <w:tcPr>
            <w:tcW w:type="dxa" w:w="43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compra, total, quantidade, parcelas, vencimentos e vínculo com cartão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Fora do MVP. Contrato futuro: previsto → ativo → quitado, cancelado ou renegociado</w:t>
            </w:r>
          </w:p>
        </w:tc>
      </w:tr>
    </w:tbl>
    <w:p>
      <w:pPr>
        <w:spacing w:after="80"/>
      </w:pPr>
    </w:p>
    <w:p>
      <w:pPr>
        <w:pStyle w:val="Heading2"/>
        <w:keepNext/>
      </w:pPr>
      <w:r>
        <w:rPr>
          <w:color w:val="000000"/>
        </w:rPr>
        <w:t>Tratamento de erros</w:t>
      </w:r>
    </w:p>
    <w:tbl>
      <w:tblPr>
        <w:tblW w:type="auto" w:w="0"/>
        <w:tblLayout w:type="fixed"/>
        <w:tblLook w:firstColumn="1" w:firstRow="1" w:lastColumn="0" w:lastRow="0" w:noHBand="0" w:noVBand="1" w:val="04A0"/>
      </w:tblPr>
      <w:tblGrid>
        <w:gridCol w:w="3264"/>
        <w:gridCol w:w="3264"/>
        <w:gridCol w:w="3264"/>
      </w:tblGrid>
      <w:tr>
        <w:trPr>
          <w:tblHeader/>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Código conceitual</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Quando ocorre</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Comportamento esperado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ARQUIVO_NAO_SUPORTADO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Formato, banco ou layout não reconhecido</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Não grava movimentações; informa formatos aceitos</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ARQUIVO_JA_CONFIRMADO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Hash de arquivo confirmado anteriormente</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Bloqueia confirmação e aponta o lote anterior</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LINHA_INVALIDA</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Data, valor ou natureza ausente ou incoerente</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Mantém a linha na prévia para correção ou exclusão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POSSIVEL_DUPLICIDADE</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Impressão digital completa ou parcial coincide, sem identificador bancário estável</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Solicita decisão sem importar automaticamente</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CONFLITO_DE_ESTADO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Ação incompatível com o estado atual</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Retorna conflito e o estado vigente, sem alteração parcial</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FALHA_DE_CONFIRMACAO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Erro crítico ao gravar o lote</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Reverte toda a transação e preserva diagnóstico seguro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IA_SEM_CONSENTIMENTO</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Assistente chamado sem autorização válida</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Não envia dados externos e oferece ativação consciente</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IA_INDISPONIVEL</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Falha ou limite do provedor</w:t>
            </w:r>
          </w:p>
        </w:tc>
        <w:tc>
          <w:tcPr>
            <w:tcW w:type="dxa" w:w="37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Mantém resumo determinístico disponível e informa indisponibilidade</w:t>
            </w:r>
          </w:p>
        </w:tc>
      </w:tr>
    </w:tbl>
    <w:p>
      <w:pPr>
        <w:spacing w:after="80"/>
      </w:pPr>
    </w:p>
    <w:p>
      <w:pPr>
        <w:pStyle w:val="Heading2"/>
        <w:keepNext/>
      </w:pPr>
      <w:r>
        <w:rPr>
          <w:color w:val="000000"/>
        </w:rPr>
        <w:t>Contratos da API da primeira entrega</w:t>
      </w:r>
    </w:p>
    <w:p>
      <w:pPr>
        <w:spacing w:after="120" w:line="269" w:lineRule="auto"/>
      </w:pPr>
      <w:r>
        <w:t>A API será versionada e usará autenticação no servidor. Toda resposta de erro conterá código estável, mensagem compreensível, identificador de rastreamento e detalhes de campo que não exponham dados sensíveis.</w:t>
      </w:r>
    </w:p>
    <w:tbl>
      <w:tblPr>
        <w:tblW w:type="auto" w:w="0"/>
        <w:tblLayout w:type="fixed"/>
        <w:tblLook w:firstColumn="1" w:firstRow="1" w:lastColumn="0" w:lastRow="0" w:noHBand="0" w:noVBand="1" w:val="04A0"/>
      </w:tblPr>
      <w:tblGrid>
        <w:gridCol w:w="3264"/>
        <w:gridCol w:w="3264"/>
        <w:gridCol w:w="3264"/>
      </w:tblGrid>
      <w:tr>
        <w:trPr>
          <w:tblHeader/>
        </w:trP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Operação</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Entrada essencial</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Saída e aceite</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POST /v1/importacoes</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conta, banco opcional e arquivo OFX ou CSV</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Cria lote em validação e devolve identificador</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GET /v1/importacoes/{id}/previa</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identificador do lote</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Totais, linhas válidas, rejeitadas e possíveis duplicidades</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POST /v1/importacoes/{id}/confirmacao</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decisões de linhas e duplicidades</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Confirma tudo em uma transação e devolve relatório</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POST /v1/importacoes/{id}/reversao</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motivo e confirmação explícita</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Reverte somente efeitos pertencentes ao lote, preservando histórico</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GET /v1/resumo</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contas, início e fim do período</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Saldo inicial/final, entradas, saídas, ajustes e itens pendentes separados</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POST /v1/assistente/perguntas</w:t>
            </w:r>
          </w:p>
        </w:tc>
        <w:tc>
          <w:tcPr>
            <w:tcW w:type="dxa" w:w="295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pergunta, consentimento válido e período</w:t>
            </w:r>
          </w:p>
        </w:tc>
        <w:tc>
          <w:tcPr>
            <w:tcW w:type="dxa" w:w="331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Resposta fundamentada, dados usados, limitações e rastreabilidade</w:t>
            </w:r>
          </w:p>
        </w:tc>
      </w:tr>
    </w:tbl>
    <w:p>
      <w:pPr>
        <w:spacing w:after="80"/>
      </w:pPr>
    </w:p>
    <w:p>
      <w:pPr>
        <w:pStyle w:val="Heading2"/>
        <w:keepNext/>
      </w:pPr>
      <w:r>
        <w:rPr>
          <w:color w:val="000000"/>
        </w:rPr>
        <w:t>Consentimento e retenção da inteligência artificial</w:t>
      </w:r>
    </w:p>
    <w:p>
      <w:pPr>
        <w:spacing w:after="120" w:line="269" w:lineRule="auto"/>
      </w:pPr>
      <w:r>
        <w:t>O assistente será desativado por padrão. A ativação exigirá consentimento separado da política geral, com versão, finalidade, categorias de dados, provedor, retenção e forma de revogação. A revogação impedirá novos envios imediatamente e não afetará os cálculos financeiros do aplicativo.</w:t>
      </w:r>
    </w:p>
    <w:tbl>
      <w:tblPr>
        <w:tblW w:type="auto" w:w="0"/>
        <w:tblLayout w:type="fixed"/>
        <w:tblLook w:firstColumn="1" w:firstRow="1" w:lastColumn="0" w:lastRow="0" w:noHBand="0" w:noVBand="1" w:val="04A0"/>
      </w:tblPr>
      <w:tblGrid>
        <w:gridCol w:w="4896"/>
        <w:gridCol w:w="4896"/>
      </w:tblGrid>
      <w:tr>
        <w:trPr>
          <w:tblHeader/>
        </w:trP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Item</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Decisão do MVP</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Dados permitidos à API externa</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Pergunta, período, moeda, totais calculados, categorias agregadas e somente transações selecionadas com data, valor, natureza e descrição normalizada quando indispensáveis</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Dados proibidos</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Arquivo bruto, credenciais, nome completo, e-mail, CPF, número completo da conta ou cartão, identificadores internos e descrições que não sejam necessárias</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Arquivo de extrato</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Mantido apenas durante validação e auditoria operacional por até 24 horas após confirmação; depois é excluído. O hash e o relatório do lote permanecem.</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Conversas no produto</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90 dias, com exclusão antecipada pelo usuário; memórias só são gravadas mediante confirmação separada</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Auditoria técnica de IA</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180 dias para provedor, modelo, custo, latência, ferramentas e resultado de segurança, sem prompt completo em logs comuns</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Retenção no provedor</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Preferência obrigatória por modalidade sem retenção. Se indisponível, limite contratual máximo de 30 dias, informado antes do consentimento</w:t>
            </w:r>
          </w:p>
        </w:tc>
      </w:tr>
      <w:tr>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Validação jurídica</w:t>
            </w:r>
          </w:p>
        </w:tc>
        <w:tc>
          <w:tcPr>
            <w:tcW w:type="dxa" w:w="62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Prazos e textos serão revisados antes do lançamento conforme LGPD, contratos e obrigações aplicáveis</w:t>
            </w:r>
          </w:p>
        </w:tc>
      </w:tr>
    </w:tbl>
    <w:p>
      <w:pPr>
        <w:spacing w:after="80"/>
      </w:pPr>
    </w:p>
    <w:p>
      <w:pPr>
        <w:pStyle w:val="Heading2"/>
        <w:keepNext/>
      </w:pPr>
      <w:r>
        <w:rPr>
          <w:color w:val="000000"/>
        </w:rPr>
        <w:t>Critérios de aceite por fluxo</w:t>
      </w:r>
    </w:p>
    <w:tbl>
      <w:tblPr>
        <w:tblW w:type="auto" w:w="0"/>
        <w:tblLayout w:type="fixed"/>
        <w:tblLook w:firstColumn="1" w:firstRow="1" w:lastColumn="0" w:lastRow="0" w:noHBand="0" w:noVBand="1" w:val="04A0"/>
      </w:tblPr>
      <w:tblGrid>
        <w:gridCol w:w="4896"/>
        <w:gridCol w:w="4896"/>
      </w:tblGrid>
      <w:tr>
        <w:trPr>
          <w:tblHeader/>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Fluxo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pPr>
            <w:r>
              <w:rPr>
                <w:rFonts w:ascii="Aptos" w:hAnsi="Aptos"/>
                <w:b/>
                <w:color w:val="FFFFFF"/>
                <w:sz w:val="18"/>
              </w:rPr>
              <w:t>Critérios verificáveis</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Cadastro e acesso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Usuário cria conta, autentica, recupera acesso e não consulta recursos de outro usuário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Conta e saldo inicial</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Saldo exige moeda e data; correções geram ajuste auditável, sem apagar histórico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Importação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OFX e CSV suportados geram prévia; nenhuma linha é gravada antes da confirmação; falha crítica não deixa gravação parcial</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Duplicidade</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Mesmo arquivo e mesma movimentação em arquivo diferente não são duplicados; casos ambíguos pedem decisão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Conciliação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Transferências próprias têm efeito consolidado zero; compra no cartão e pagamento da fatura não duplicam despesa; estorno referencia o original</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Resumo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Totais conferem com casos de teste e separam realizado, pendente, ajuste, receita, despesa e transferência</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Assistente</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sz w:val="17"/>
              </w:rPr>
              <w:t>Sem consentimento não há envio externo; com consentimento, a resposta usa somente dados autorizados e declara ausência de contexto</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Auditoria e reversão</w:t>
            </w:r>
          </w:p>
        </w:tc>
        <w:tc>
          <w:tcPr>
            <w:tcW w:type="dxa" w:w="698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DF4F8"/>
          </w:tcPr>
          <w:p>
            <w:pPr>
              <w:spacing w:after="0" w:line="259" w:lineRule="auto"/>
            </w:pPr>
            <w:r>
              <w:rPr>
                <w:rFonts w:ascii="Aptos" w:hAnsi="Aptos"/>
                <w:b w:val="0"/>
                <w:sz w:val="17"/>
              </w:rPr>
              <w:t>Importação, classificação, decisão de duplicidade, ajuste e reversão registram autor, momento e resultado</w:t>
            </w:r>
          </w:p>
        </w:tc>
      </w:tr>
    </w:tbl>
    <w:p>
      <w:pPr>
        <w:spacing w:after="80"/>
      </w:pPr>
    </w:p>
    <w:p>
      <w:pPr>
        <w:pStyle w:val="Heading2"/>
        <w:keepNext/>
      </w:pPr>
      <w:r>
        <w:rPr>
          <w:color w:val="000000"/>
        </w:rPr>
        <w:t>Prontidão para o backlog</w:t>
      </w:r>
    </w:p>
    <w:p>
      <w:pPr>
        <w:spacing w:after="120" w:line="269" w:lineRule="auto"/>
      </w:pPr>
      <w:r>
        <w:t>Com estas decisões, a documentação está pronta para virar backlog. O próximo artefato deve decompor apenas o MVP; recorrências, parcelamentos, metas, orçamento, PDF, Open Finance e IA local permanecem fora da primeira priorização.</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Vida Financeira AI  •  Documentação de estrutura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de Estrutura do Vida Financeira AI</dc:title>
  <dc:subject>Arquitetura modular e plano de implementação</dc:subject>
  <dc:creator>Maycon Magalhães</dc:creator>
  <cp:keywords/>
  <dc:description>generated by python-docx</dc:description>
  <cp:lastModifiedBy/>
  <cp:revision>1</cp:revision>
  <dcterms:created xsi:type="dcterms:W3CDTF">2013-12-23T23:15:00Z</dcterms:created>
  <dcterms:modified xsi:type="dcterms:W3CDTF">2013-12-23T23:15:00Z</dcterms:modified>
  <cp:category/>
</cp:coreProperties>
</file>