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Rapport final de projet</w:t>
      </w:r>
    </w:p>
    <w:p>
      <w:pPr>
        <w:jc w:val="center"/>
      </w:pPr>
      <w:r>
        <w:rPr>
          <w:rFonts w:ascii="Arial" w:hAnsi="Arial"/>
          <w:b/>
          <w:sz w:val="28"/>
        </w:rPr>
        <w:t>Système intelligent multi-modèles pour la rétention client</w:t>
      </w:r>
    </w:p>
    <w:p>
      <w:pPr>
        <w:jc w:val="center"/>
      </w:pPr>
      <w:r>
        <w:rPr>
          <w:rFonts w:ascii="Arial" w:hAnsi="Arial"/>
          <w:sz w:val="24"/>
        </w:rPr>
        <w:t>Prédiction du churn et évaluation du risque de revenus</w:t>
      </w:r>
    </w:p>
    <w:p>
      <w:pPr>
        <w:jc w:val="center"/>
      </w:pPr>
      <w:r>
        <w:rPr>
          <w:rFonts w:ascii="Arial" w:hAnsi="Arial"/>
          <w:sz w:val="21"/>
        </w:rPr>
        <w:t>Projet Data Science M2 - EFREI Data Engineering and AI</w:t>
      </w:r>
    </w:p>
    <w:p>
      <w:pPr>
        <w:jc w:val="center"/>
      </w:pPr>
      <w:r>
        <w:rPr>
          <w:rFonts w:ascii="Arial" w:hAnsi="Arial"/>
          <w:sz w:val="21"/>
        </w:rPr>
        <w:t>Réalisé dans le cadre du Bloc 4 RNCP36739</w:t>
      </w:r>
    </w:p>
    <w:p>
      <w:r>
        <w:br w:type="page"/>
      </w:r>
    </w:p>
    <w:p>
      <w:pPr>
        <w:pStyle w:val="Heading1"/>
      </w:pPr>
      <w:r>
        <w:t>1. Résumé exécutif</w:t>
      </w:r>
    </w:p>
    <w:p>
      <w:r>
        <w:t>Dans ce projet, j'ai construit une solution complète de prédiction du churn client à partir du dataset Customer Churn Prediction Business Dataset. L'objectif était de passer d'un jeu de données brut à un outil décisionnel utilisable par un responsable marketing ou CRM.</w:t>
      </w:r>
    </w:p>
    <w:p>
      <w:r>
        <w:t>La solution finale comprend la préparation des données, la comparaison de plusieurs modèles de machine learning, l'intégration d'un modèle de deep learning, une étude spécifique du déséquilibre des classes, une analyse d'interprétabilité avec SHAP, un dashboard Streamlit et une API FastAPI optionnelle.</w:t>
      </w:r>
    </w:p>
    <w:p>
      <w:pPr>
        <w:pStyle w:val="ListBullet"/>
      </w:pPr>
      <w:r>
        <w:t>Dataset analysé : 10 000 clients et 32 colonnes.</w:t>
      </w:r>
    </w:p>
    <w:p>
      <w:pPr>
        <w:pStyle w:val="ListBullet"/>
      </w:pPr>
      <w:r>
        <w:t>Taux de churn observé : 10.2%.</w:t>
      </w:r>
    </w:p>
    <w:p>
      <w:pPr>
        <w:pStyle w:val="ListBullet"/>
      </w:pPr>
      <w:r>
        <w:t>Ratio de déséquilibre : 8.79:1 en faveur de la classe non-churn.</w:t>
      </w:r>
    </w:p>
    <w:p>
      <w:pPr>
        <w:pStyle w:val="ListBullet"/>
      </w:pPr>
      <w:r>
        <w:t>Modèle final : Random Over-Sampling avec Random Forest.</w:t>
      </w:r>
    </w:p>
    <w:p>
      <w:pPr>
        <w:pStyle w:val="ListBullet"/>
      </w:pPr>
      <w:r>
        <w:t>Performance test : recall 0.7990, F1 0.3956, ROC-AUC 0.8010, PR-AUC 0.2679.</w:t>
      </w:r>
    </w:p>
    <w:p>
      <w:pPr>
        <w:pStyle w:val="Heading1"/>
      </w:pPr>
      <w:r>
        <w:t>2. Couverture du cahier des charges et de la grille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7"/>
              </w:rPr>
              <w:t>Exigence</w:t>
            </w:r>
          </w:p>
        </w:tc>
        <w:tc>
          <w:tcPr>
            <w:tcW w:type="dxa" w:w="3312"/>
            <w:vAlign w:val="center"/>
            <w:shd w:fill="1F4E79"/>
          </w:tcPr>
          <w:p>
            <w:r/>
            <w:r>
              <w:rPr>
                <w:rFonts w:ascii="Arial" w:hAnsi="Arial"/>
                <w:b/>
                <w:color w:val="FFFFFF"/>
                <w:sz w:val="17"/>
              </w:rPr>
              <w:t>Statut</w:t>
            </w:r>
          </w:p>
        </w:tc>
        <w:tc>
          <w:tcPr>
            <w:tcW w:type="dxa" w:w="3312"/>
            <w:vAlign w:val="center"/>
            <w:shd w:fill="1F4E79"/>
          </w:tcPr>
          <w:p>
            <w:r/>
            <w:r>
              <w:rPr>
                <w:rFonts w:ascii="Arial" w:hAnsi="Arial"/>
                <w:b/>
                <w:color w:val="FFFFFF"/>
                <w:sz w:val="17"/>
              </w:rPr>
              <w:t>Réalisation</w:t>
            </w:r>
          </w:p>
        </w:tc>
      </w:tr>
      <w:tr>
        <w:tc>
          <w:tcPr>
            <w:tcW w:type="dxa" w:w="3312"/>
            <w:vAlign w:val="center"/>
          </w:tcPr>
          <w:p>
            <w:r/>
            <w:r>
              <w:rPr>
                <w:rFonts w:ascii="Arial" w:hAnsi="Arial"/>
                <w:b w:val="0"/>
                <w:color w:val="111827"/>
                <w:sz w:val="17"/>
              </w:rPr>
              <w:t>Données chargées et préparées</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Chargement du CSV, typage, séparation de la cible, suppression de customer_id, preprocessing en pipeline.</w:t>
            </w:r>
          </w:p>
        </w:tc>
      </w:tr>
      <w:tr>
        <w:tc>
          <w:tcPr>
            <w:tcW w:type="dxa" w:w="3312"/>
            <w:vAlign w:val="center"/>
          </w:tcPr>
          <w:p>
            <w:r/>
            <w:r>
              <w:rPr>
                <w:rFonts w:ascii="Arial" w:hAnsi="Arial"/>
                <w:b w:val="0"/>
                <w:color w:val="111827"/>
                <w:sz w:val="17"/>
              </w:rPr>
              <w:t>Nettoyage et transformation</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StandardScaler pour le numérique, OneHotEncoder pour les catégories, transformations apprises sur le train uniquement.</w:t>
            </w:r>
          </w:p>
        </w:tc>
      </w:tr>
      <w:tr>
        <w:tc>
          <w:tcPr>
            <w:tcW w:type="dxa" w:w="3312"/>
            <w:vAlign w:val="center"/>
          </w:tcPr>
          <w:p>
            <w:r/>
            <w:r>
              <w:rPr>
                <w:rFonts w:ascii="Arial" w:hAnsi="Arial"/>
                <w:b w:val="0"/>
                <w:color w:val="111827"/>
                <w:sz w:val="17"/>
              </w:rPr>
              <w:t>Modélisation supervisée</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Logistic Regression, Random Forest, Gradient Boosting et MLP.</w:t>
            </w:r>
          </w:p>
        </w:tc>
      </w:tr>
      <w:tr>
        <w:tc>
          <w:tcPr>
            <w:tcW w:type="dxa" w:w="3312"/>
            <w:vAlign w:val="center"/>
          </w:tcPr>
          <w:p>
            <w:r/>
            <w:r>
              <w:rPr>
                <w:rFonts w:ascii="Arial" w:hAnsi="Arial"/>
                <w:b w:val="0"/>
                <w:color w:val="111827"/>
                <w:sz w:val="17"/>
              </w:rPr>
              <w:t>Deep Learning</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MLP avec early stopping et seuil optimisé.</w:t>
            </w:r>
          </w:p>
        </w:tc>
      </w:tr>
      <w:tr>
        <w:tc>
          <w:tcPr>
            <w:tcW w:type="dxa" w:w="3312"/>
            <w:vAlign w:val="center"/>
          </w:tcPr>
          <w:p>
            <w:r/>
            <w:r>
              <w:rPr>
                <w:rFonts w:ascii="Arial" w:hAnsi="Arial"/>
                <w:b w:val="0"/>
                <w:color w:val="111827"/>
                <w:sz w:val="17"/>
              </w:rPr>
              <w:t>Déséquilibre des classes</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Class weight, Random Over-Sampling, SMOTE, Random Under-Sampling, PR-AUC et seuil optimisé.</w:t>
            </w:r>
          </w:p>
        </w:tc>
      </w:tr>
      <w:tr>
        <w:tc>
          <w:tcPr>
            <w:tcW w:type="dxa" w:w="3312"/>
            <w:vAlign w:val="center"/>
          </w:tcPr>
          <w:p>
            <w:r/>
            <w:r>
              <w:rPr>
                <w:rFonts w:ascii="Arial" w:hAnsi="Arial"/>
                <w:b w:val="0"/>
                <w:color w:val="111827"/>
                <w:sz w:val="17"/>
              </w:rPr>
              <w:t>Évaluation comparative</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Accuracy, precision, recall, F1, ROC-AUC, PR-AUC et matrices de confusion.</w:t>
            </w:r>
          </w:p>
        </w:tc>
      </w:tr>
      <w:tr>
        <w:tc>
          <w:tcPr>
            <w:tcW w:type="dxa" w:w="3312"/>
            <w:vAlign w:val="center"/>
          </w:tcPr>
          <w:p>
            <w:r/>
            <w:r>
              <w:rPr>
                <w:rFonts w:ascii="Arial" w:hAnsi="Arial"/>
                <w:b w:val="0"/>
                <w:color w:val="111827"/>
                <w:sz w:val="17"/>
              </w:rPr>
              <w:t>Interprétabilité</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Permutation importance et SHAP global/local sur le modèle final.</w:t>
            </w:r>
          </w:p>
        </w:tc>
      </w:tr>
      <w:tr>
        <w:tc>
          <w:tcPr>
            <w:tcW w:type="dxa" w:w="3312"/>
            <w:vAlign w:val="center"/>
          </w:tcPr>
          <w:p>
            <w:r/>
            <w:r>
              <w:rPr>
                <w:rFonts w:ascii="Arial" w:hAnsi="Arial"/>
                <w:b w:val="0"/>
                <w:color w:val="111827"/>
                <w:sz w:val="17"/>
              </w:rPr>
              <w:t>Dashboard interactif</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Dashboard Streamlit avec pilotage, prédiction, modèles, explicabilité et données.</w:t>
            </w:r>
          </w:p>
        </w:tc>
      </w:tr>
      <w:tr>
        <w:tc>
          <w:tcPr>
            <w:tcW w:type="dxa" w:w="3312"/>
            <w:vAlign w:val="center"/>
          </w:tcPr>
          <w:p>
            <w:r/>
            <w:r>
              <w:rPr>
                <w:rFonts w:ascii="Arial" w:hAnsi="Arial"/>
                <w:b w:val="0"/>
                <w:color w:val="111827"/>
                <w:sz w:val="17"/>
              </w:rPr>
              <w:t>API REST</w:t>
            </w:r>
          </w:p>
        </w:tc>
        <w:tc>
          <w:tcPr>
            <w:tcW w:type="dxa" w:w="3312"/>
            <w:vAlign w:val="center"/>
          </w:tcPr>
          <w:p>
            <w:r/>
            <w:r>
              <w:rPr>
                <w:rFonts w:ascii="Arial" w:hAnsi="Arial"/>
                <w:b w:val="0"/>
                <w:color w:val="111827"/>
                <w:sz w:val="17"/>
              </w:rPr>
              <w:t>Optionnel couvert</w:t>
            </w:r>
          </w:p>
        </w:tc>
        <w:tc>
          <w:tcPr>
            <w:tcW w:type="dxa" w:w="3312"/>
            <w:vAlign w:val="center"/>
          </w:tcPr>
          <w:p>
            <w:r/>
            <w:r>
              <w:rPr>
                <w:rFonts w:ascii="Arial" w:hAnsi="Arial"/>
                <w:b w:val="0"/>
                <w:color w:val="111827"/>
                <w:sz w:val="17"/>
              </w:rPr>
              <w:t>FastAPI avec endpoints de santé, prédiction, batch et informations modèle.</w:t>
            </w:r>
          </w:p>
        </w:tc>
      </w:tr>
      <w:tr>
        <w:tc>
          <w:tcPr>
            <w:tcW w:type="dxa" w:w="3312"/>
            <w:vAlign w:val="center"/>
          </w:tcPr>
          <w:p>
            <w:r/>
            <w:r>
              <w:rPr>
                <w:rFonts w:ascii="Arial" w:hAnsi="Arial"/>
                <w:b w:val="0"/>
                <w:color w:val="111827"/>
                <w:sz w:val="17"/>
              </w:rPr>
              <w:t>Rapport et présentation</w:t>
            </w:r>
          </w:p>
        </w:tc>
        <w:tc>
          <w:tcPr>
            <w:tcW w:type="dxa" w:w="3312"/>
            <w:vAlign w:val="center"/>
          </w:tcPr>
          <w:p>
            <w:r/>
            <w:r>
              <w:rPr>
                <w:rFonts w:ascii="Arial" w:hAnsi="Arial"/>
                <w:b w:val="0"/>
                <w:color w:val="111827"/>
                <w:sz w:val="17"/>
              </w:rPr>
              <w:t>Couvert</w:t>
            </w:r>
          </w:p>
        </w:tc>
        <w:tc>
          <w:tcPr>
            <w:tcW w:type="dxa" w:w="3312"/>
            <w:vAlign w:val="center"/>
          </w:tcPr>
          <w:p>
            <w:r/>
            <w:r>
              <w:rPr>
                <w:rFonts w:ascii="Arial" w:hAnsi="Arial"/>
                <w:b w:val="0"/>
                <w:color w:val="111827"/>
                <w:sz w:val="17"/>
              </w:rPr>
              <w:t>Rapport Word, support PowerPoint et documentation technique.</w:t>
            </w:r>
          </w:p>
        </w:tc>
      </w:tr>
    </w:tbl>
    <w:p/>
    <w:p>
      <w:r>
        <w:t>L'API est indiquée comme optionnelle dans l'énoncé. Elle a été développée comme bonus, mais le dashboard reste volontairement autonome et charge le modèle localement.</w:t>
      </w:r>
    </w:p>
    <w:p>
      <w:pPr>
        <w:pStyle w:val="Heading1"/>
      </w:pPr>
      <w:r>
        <w:t>3. Données et analyse préalable</w:t>
      </w:r>
    </w:p>
    <w:p>
      <w:r>
        <w:t>La variable cible est churn, avec 0 pour un client conservé et 1 pour un client ayant résilié. Les variables décrivent le profil client, le contrat, l'activité produit, les paiements, le support, la satisfaction et l'engagement marketing.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7"/>
              </w:rPr>
              <w:t>Indicateur</w:t>
            </w:r>
          </w:p>
        </w:tc>
        <w:tc>
          <w:tcPr>
            <w:tcW w:type="dxa" w:w="4968"/>
            <w:vAlign w:val="center"/>
            <w:shd w:fill="1F4E79"/>
          </w:tcPr>
          <w:p>
            <w:r/>
            <w:r>
              <w:rPr>
                <w:rFonts w:ascii="Arial" w:hAnsi="Arial"/>
                <w:b/>
                <w:color w:val="FFFFFF"/>
                <w:sz w:val="17"/>
              </w:rPr>
              <w:t>Valeur</w:t>
            </w:r>
          </w:p>
        </w:tc>
      </w:tr>
      <w:tr>
        <w:tc>
          <w:tcPr>
            <w:tcW w:type="dxa" w:w="4968"/>
            <w:vAlign w:val="center"/>
          </w:tcPr>
          <w:p>
            <w:r/>
            <w:r>
              <w:rPr>
                <w:rFonts w:ascii="Arial" w:hAnsi="Arial"/>
                <w:b w:val="0"/>
                <w:color w:val="111827"/>
                <w:sz w:val="17"/>
              </w:rPr>
              <w:t>Nombre total de clients</w:t>
            </w:r>
          </w:p>
        </w:tc>
        <w:tc>
          <w:tcPr>
            <w:tcW w:type="dxa" w:w="4968"/>
            <w:vAlign w:val="center"/>
          </w:tcPr>
          <w:p>
            <w:r/>
            <w:r>
              <w:rPr>
                <w:rFonts w:ascii="Arial" w:hAnsi="Arial"/>
                <w:b w:val="0"/>
                <w:color w:val="111827"/>
                <w:sz w:val="17"/>
              </w:rPr>
              <w:t>10 000</w:t>
            </w:r>
          </w:p>
        </w:tc>
      </w:tr>
      <w:tr>
        <w:tc>
          <w:tcPr>
            <w:tcW w:type="dxa" w:w="4968"/>
            <w:vAlign w:val="center"/>
          </w:tcPr>
          <w:p>
            <w:r/>
            <w:r>
              <w:rPr>
                <w:rFonts w:ascii="Arial" w:hAnsi="Arial"/>
                <w:b w:val="0"/>
                <w:color w:val="111827"/>
                <w:sz w:val="17"/>
              </w:rPr>
              <w:t>Nombre de variables dans le CSV</w:t>
            </w:r>
          </w:p>
        </w:tc>
        <w:tc>
          <w:tcPr>
            <w:tcW w:type="dxa" w:w="4968"/>
            <w:vAlign w:val="center"/>
          </w:tcPr>
          <w:p>
            <w:r/>
            <w:r>
              <w:rPr>
                <w:rFonts w:ascii="Arial" w:hAnsi="Arial"/>
                <w:b w:val="0"/>
                <w:color w:val="111827"/>
                <w:sz w:val="17"/>
              </w:rPr>
              <w:t>32</w:t>
            </w:r>
          </w:p>
        </w:tc>
      </w:tr>
      <w:tr>
        <w:tc>
          <w:tcPr>
            <w:tcW w:type="dxa" w:w="4968"/>
            <w:vAlign w:val="center"/>
          </w:tcPr>
          <w:p>
            <w:r/>
            <w:r>
              <w:rPr>
                <w:rFonts w:ascii="Arial" w:hAnsi="Arial"/>
                <w:b w:val="0"/>
                <w:color w:val="111827"/>
                <w:sz w:val="17"/>
              </w:rPr>
              <w:t>Clients non-churn</w:t>
            </w:r>
          </w:p>
        </w:tc>
        <w:tc>
          <w:tcPr>
            <w:tcW w:type="dxa" w:w="4968"/>
            <w:vAlign w:val="center"/>
          </w:tcPr>
          <w:p>
            <w:r/>
            <w:r>
              <w:rPr>
                <w:rFonts w:ascii="Arial" w:hAnsi="Arial"/>
                <w:b w:val="0"/>
                <w:color w:val="111827"/>
                <w:sz w:val="17"/>
              </w:rPr>
              <w:t>8979</w:t>
            </w:r>
          </w:p>
        </w:tc>
      </w:tr>
      <w:tr>
        <w:tc>
          <w:tcPr>
            <w:tcW w:type="dxa" w:w="4968"/>
            <w:vAlign w:val="center"/>
          </w:tcPr>
          <w:p>
            <w:r/>
            <w:r>
              <w:rPr>
                <w:rFonts w:ascii="Arial" w:hAnsi="Arial"/>
                <w:b w:val="0"/>
                <w:color w:val="111827"/>
                <w:sz w:val="17"/>
              </w:rPr>
              <w:t>Clients churn</w:t>
            </w:r>
          </w:p>
        </w:tc>
        <w:tc>
          <w:tcPr>
            <w:tcW w:type="dxa" w:w="4968"/>
            <w:vAlign w:val="center"/>
          </w:tcPr>
          <w:p>
            <w:r/>
            <w:r>
              <w:rPr>
                <w:rFonts w:ascii="Arial" w:hAnsi="Arial"/>
                <w:b w:val="0"/>
                <w:color w:val="111827"/>
                <w:sz w:val="17"/>
              </w:rPr>
              <w:t>1021</w:t>
            </w:r>
          </w:p>
        </w:tc>
      </w:tr>
      <w:tr>
        <w:tc>
          <w:tcPr>
            <w:tcW w:type="dxa" w:w="4968"/>
            <w:vAlign w:val="center"/>
          </w:tcPr>
          <w:p>
            <w:r/>
            <w:r>
              <w:rPr>
                <w:rFonts w:ascii="Arial" w:hAnsi="Arial"/>
                <w:b w:val="0"/>
                <w:color w:val="111827"/>
                <w:sz w:val="17"/>
              </w:rPr>
              <w:t>Taux de churn</w:t>
            </w:r>
          </w:p>
        </w:tc>
        <w:tc>
          <w:tcPr>
            <w:tcW w:type="dxa" w:w="4968"/>
            <w:vAlign w:val="center"/>
          </w:tcPr>
          <w:p>
            <w:r/>
            <w:r>
              <w:rPr>
                <w:rFonts w:ascii="Arial" w:hAnsi="Arial"/>
                <w:b w:val="0"/>
                <w:color w:val="111827"/>
                <w:sz w:val="17"/>
              </w:rPr>
              <w:t>10.2%</w:t>
            </w:r>
          </w:p>
        </w:tc>
      </w:tr>
      <w:tr>
        <w:tc>
          <w:tcPr>
            <w:tcW w:type="dxa" w:w="4968"/>
            <w:vAlign w:val="center"/>
          </w:tcPr>
          <w:p>
            <w:r/>
            <w:r>
              <w:rPr>
                <w:rFonts w:ascii="Arial" w:hAnsi="Arial"/>
                <w:b w:val="0"/>
                <w:color w:val="111827"/>
                <w:sz w:val="17"/>
              </w:rPr>
              <w:t>Features utilisées par le modèle</w:t>
            </w:r>
          </w:p>
        </w:tc>
        <w:tc>
          <w:tcPr>
            <w:tcW w:type="dxa" w:w="4968"/>
            <w:vAlign w:val="center"/>
          </w:tcPr>
          <w:p>
            <w:r/>
            <w:r>
              <w:rPr>
                <w:rFonts w:ascii="Arial" w:hAnsi="Arial"/>
                <w:b w:val="0"/>
                <w:color w:val="111827"/>
                <w:sz w:val="17"/>
              </w:rPr>
              <w:t>30</w:t>
            </w:r>
          </w:p>
        </w:tc>
      </w:tr>
      <w:tr>
        <w:tc>
          <w:tcPr>
            <w:tcW w:type="dxa" w:w="4968"/>
            <w:vAlign w:val="center"/>
          </w:tcPr>
          <w:p>
            <w:r/>
            <w:r>
              <w:rPr>
                <w:rFonts w:ascii="Arial" w:hAnsi="Arial"/>
                <w:b w:val="0"/>
                <w:color w:val="111827"/>
                <w:sz w:val="17"/>
              </w:rPr>
              <w:t>Variable exclue</w:t>
            </w:r>
          </w:p>
        </w:tc>
        <w:tc>
          <w:tcPr>
            <w:tcW w:type="dxa" w:w="4968"/>
            <w:vAlign w:val="center"/>
          </w:tcPr>
          <w:p>
            <w:r/>
            <w:r>
              <w:rPr>
                <w:rFonts w:ascii="Arial" w:hAnsi="Arial"/>
                <w:b w:val="0"/>
                <w:color w:val="111827"/>
                <w:sz w:val="17"/>
              </w:rPr>
              <w:t>customer_id</w:t>
            </w:r>
          </w:p>
        </w:tc>
      </w:tr>
    </w:tbl>
    <w:p/>
    <w:p>
      <w:r>
        <w:t>Le déséquilibre des classes est significatif. Cette observation justifie l'utilisation de métriques adaptées et de techniques de rééquilibrage.</w:t>
      </w:r>
    </w:p>
    <w:p>
      <w:pPr>
        <w:pStyle w:val="Heading1"/>
      </w:pPr>
      <w:r>
        <w:t>4. Préparation et prévention du data leakage</w:t>
      </w:r>
    </w:p>
    <w:p>
      <w:pPr>
        <w:pStyle w:val="ListBullet"/>
      </w:pPr>
      <w:r>
        <w:t>Séparation train/test stratifiée afin de conserver la proportion de churners.</w:t>
      </w:r>
    </w:p>
    <w:p>
      <w:pPr>
        <w:pStyle w:val="ListBullet"/>
      </w:pPr>
      <w:r>
        <w:t>Préprocessing intégré dans des Pipeline et ColumnTransformer sklearn.</w:t>
      </w:r>
    </w:p>
    <w:p>
      <w:pPr>
        <w:pStyle w:val="ListBullet"/>
      </w:pPr>
      <w:r>
        <w:t>Standardisation des variables numériques avec StandardScaler.</w:t>
      </w:r>
    </w:p>
    <w:p>
      <w:pPr>
        <w:pStyle w:val="ListBullet"/>
      </w:pPr>
      <w:r>
        <w:t>Encodage des variables catégorielles avec OneHotEncoder(handle_unknown='ignore').</w:t>
      </w:r>
    </w:p>
    <w:p>
      <w:pPr>
        <w:pStyle w:val="ListBullet"/>
      </w:pPr>
      <w:r>
        <w:t>Transformations ajustées uniquement sur le train set, puis appliquées au test set.</w:t>
      </w:r>
    </w:p>
    <w:p>
      <w:pPr>
        <w:pStyle w:val="ListBullet"/>
      </w:pPr>
      <w:r>
        <w:t>Suppression de customer_id car il s agit d un identifiant technique non généralisable.</w:t>
      </w:r>
    </w:p>
    <w:p>
      <w:pPr>
        <w:pStyle w:val="Heading1"/>
      </w:pPr>
      <w:r>
        <w:t>5. Modélisation multi-algorithmes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1F4E79"/>
          </w:tcPr>
          <w:p>
            <w:r/>
            <w:r>
              <w:rPr>
                <w:rFonts w:ascii="Arial" w:hAnsi="Arial"/>
                <w:b/>
                <w:color w:val="FFFFFF"/>
                <w:sz w:val="17"/>
              </w:rPr>
              <w:t>Modèle</w:t>
            </w:r>
          </w:p>
        </w:tc>
        <w:tc>
          <w:tcPr>
            <w:tcW w:type="dxa" w:w="1419"/>
            <w:vAlign w:val="center"/>
            <w:shd w:fill="1F4E79"/>
          </w:tcPr>
          <w:p>
            <w:r/>
            <w:r>
              <w:rPr>
                <w:rFonts w:ascii="Arial" w:hAnsi="Arial"/>
                <w:b/>
                <w:color w:val="FFFFFF"/>
                <w:sz w:val="17"/>
              </w:rPr>
              <w:t>Accuracy</w:t>
            </w:r>
          </w:p>
        </w:tc>
        <w:tc>
          <w:tcPr>
            <w:tcW w:type="dxa" w:w="1419"/>
            <w:vAlign w:val="center"/>
            <w:shd w:fill="1F4E79"/>
          </w:tcPr>
          <w:p>
            <w:r/>
            <w:r>
              <w:rPr>
                <w:rFonts w:ascii="Arial" w:hAnsi="Arial"/>
                <w:b/>
                <w:color w:val="FFFFFF"/>
                <w:sz w:val="17"/>
              </w:rPr>
              <w:t>Precision</w:t>
            </w:r>
          </w:p>
        </w:tc>
        <w:tc>
          <w:tcPr>
            <w:tcW w:type="dxa" w:w="1419"/>
            <w:vAlign w:val="center"/>
            <w:shd w:fill="1F4E79"/>
          </w:tcPr>
          <w:p>
            <w:r/>
            <w:r>
              <w:rPr>
                <w:rFonts w:ascii="Arial" w:hAnsi="Arial"/>
                <w:b/>
                <w:color w:val="FFFFFF"/>
                <w:sz w:val="17"/>
              </w:rPr>
              <w:t>Recall</w:t>
            </w:r>
          </w:p>
        </w:tc>
        <w:tc>
          <w:tcPr>
            <w:tcW w:type="dxa" w:w="1419"/>
            <w:vAlign w:val="center"/>
            <w:shd w:fill="1F4E79"/>
          </w:tcPr>
          <w:p>
            <w:r/>
            <w:r>
              <w:rPr>
                <w:rFonts w:ascii="Arial" w:hAnsi="Arial"/>
                <w:b/>
                <w:color w:val="FFFFFF"/>
                <w:sz w:val="17"/>
              </w:rPr>
              <w:t>F1</w:t>
            </w:r>
          </w:p>
        </w:tc>
        <w:tc>
          <w:tcPr>
            <w:tcW w:type="dxa" w:w="1419"/>
            <w:vAlign w:val="center"/>
            <w:shd w:fill="1F4E79"/>
          </w:tcPr>
          <w:p>
            <w:r/>
            <w:r>
              <w:rPr>
                <w:rFonts w:ascii="Arial" w:hAnsi="Arial"/>
                <w:b/>
                <w:color w:val="FFFFFF"/>
                <w:sz w:val="17"/>
              </w:rPr>
              <w:t>ROC-AUC</w:t>
            </w:r>
          </w:p>
        </w:tc>
        <w:tc>
          <w:tcPr>
            <w:tcW w:type="dxa" w:w="1419"/>
            <w:vAlign w:val="center"/>
            <w:shd w:fill="1F4E79"/>
          </w:tcPr>
          <w:p>
            <w:r/>
            <w:r>
              <w:rPr>
                <w:rFonts w:ascii="Arial" w:hAnsi="Arial"/>
                <w:b/>
                <w:color w:val="FFFFFF"/>
                <w:sz w:val="17"/>
              </w:rPr>
              <w:t>Seuil</w:t>
            </w:r>
          </w:p>
        </w:tc>
      </w:tr>
      <w:tr>
        <w:tc>
          <w:tcPr>
            <w:tcW w:type="dxa" w:w="1419"/>
            <w:vAlign w:val="center"/>
          </w:tcPr>
          <w:p>
            <w:r/>
            <w:r>
              <w:rPr>
                <w:rFonts w:ascii="Arial" w:hAnsi="Arial"/>
                <w:b w:val="0"/>
                <w:color w:val="111827"/>
                <w:sz w:val="17"/>
              </w:rPr>
              <w:t>Logistic Regression</w:t>
            </w:r>
          </w:p>
        </w:tc>
        <w:tc>
          <w:tcPr>
            <w:tcW w:type="dxa" w:w="1419"/>
            <w:vAlign w:val="center"/>
          </w:tcPr>
          <w:p>
            <w:r/>
            <w:r>
              <w:rPr>
                <w:rFonts w:ascii="Arial" w:hAnsi="Arial"/>
                <w:b w:val="0"/>
                <w:color w:val="111827"/>
                <w:sz w:val="17"/>
              </w:rPr>
              <w:t>0.7680</w:t>
            </w:r>
          </w:p>
        </w:tc>
        <w:tc>
          <w:tcPr>
            <w:tcW w:type="dxa" w:w="1419"/>
            <w:vAlign w:val="center"/>
          </w:tcPr>
          <w:p>
            <w:r/>
            <w:r>
              <w:rPr>
                <w:rFonts w:ascii="Arial" w:hAnsi="Arial"/>
                <w:b w:val="0"/>
                <w:color w:val="111827"/>
                <w:sz w:val="17"/>
              </w:rPr>
              <w:t>0.2124</w:t>
            </w:r>
          </w:p>
        </w:tc>
        <w:tc>
          <w:tcPr>
            <w:tcW w:type="dxa" w:w="1419"/>
            <w:vAlign w:val="center"/>
          </w:tcPr>
          <w:p>
            <w:r/>
            <w:r>
              <w:rPr>
                <w:rFonts w:ascii="Arial" w:hAnsi="Arial"/>
                <w:b w:val="0"/>
                <w:color w:val="111827"/>
                <w:sz w:val="17"/>
              </w:rPr>
              <w:t>0.4706</w:t>
            </w:r>
          </w:p>
        </w:tc>
        <w:tc>
          <w:tcPr>
            <w:tcW w:type="dxa" w:w="1419"/>
            <w:vAlign w:val="center"/>
          </w:tcPr>
          <w:p>
            <w:r/>
            <w:r>
              <w:rPr>
                <w:rFonts w:ascii="Arial" w:hAnsi="Arial"/>
                <w:b w:val="0"/>
                <w:color w:val="111827"/>
                <w:sz w:val="17"/>
              </w:rPr>
              <w:t>0.2927</w:t>
            </w:r>
          </w:p>
        </w:tc>
        <w:tc>
          <w:tcPr>
            <w:tcW w:type="dxa" w:w="1419"/>
            <w:vAlign w:val="center"/>
          </w:tcPr>
          <w:p>
            <w:r/>
            <w:r>
              <w:rPr>
                <w:rFonts w:ascii="Arial" w:hAnsi="Arial"/>
                <w:b w:val="0"/>
                <w:color w:val="111827"/>
                <w:sz w:val="17"/>
              </w:rPr>
              <w:t>0.7245</w:t>
            </w:r>
          </w:p>
        </w:tc>
        <w:tc>
          <w:tcPr>
            <w:tcW w:type="dxa" w:w="1419"/>
            <w:vAlign w:val="center"/>
          </w:tcPr>
          <w:p>
            <w:r/>
            <w:r>
              <w:rPr>
                <w:rFonts w:ascii="Arial" w:hAnsi="Arial"/>
                <w:b w:val="0"/>
                <w:color w:val="111827"/>
                <w:sz w:val="17"/>
              </w:rPr>
              <w:t>0.600</w:t>
            </w:r>
          </w:p>
        </w:tc>
      </w:tr>
      <w:tr>
        <w:tc>
          <w:tcPr>
            <w:tcW w:type="dxa" w:w="1419"/>
            <w:vAlign w:val="center"/>
          </w:tcPr>
          <w:p>
            <w:r/>
            <w:r>
              <w:rPr>
                <w:rFonts w:ascii="Arial" w:hAnsi="Arial"/>
                <w:b w:val="0"/>
                <w:color w:val="111827"/>
                <w:sz w:val="17"/>
              </w:rPr>
              <w:t>Random Forest</w:t>
            </w:r>
          </w:p>
        </w:tc>
        <w:tc>
          <w:tcPr>
            <w:tcW w:type="dxa" w:w="1419"/>
            <w:vAlign w:val="center"/>
          </w:tcPr>
          <w:p>
            <w:r/>
            <w:r>
              <w:rPr>
                <w:rFonts w:ascii="Arial" w:hAnsi="Arial"/>
                <w:b w:val="0"/>
                <w:color w:val="111827"/>
                <w:sz w:val="17"/>
              </w:rPr>
              <w:t>0.7320</w:t>
            </w:r>
          </w:p>
        </w:tc>
        <w:tc>
          <w:tcPr>
            <w:tcW w:type="dxa" w:w="1419"/>
            <w:vAlign w:val="center"/>
          </w:tcPr>
          <w:p>
            <w:r/>
            <w:r>
              <w:rPr>
                <w:rFonts w:ascii="Arial" w:hAnsi="Arial"/>
                <w:b w:val="0"/>
                <w:color w:val="111827"/>
                <w:sz w:val="17"/>
              </w:rPr>
              <w:t>0.2500</w:t>
            </w:r>
          </w:p>
        </w:tc>
        <w:tc>
          <w:tcPr>
            <w:tcW w:type="dxa" w:w="1419"/>
            <w:vAlign w:val="center"/>
          </w:tcPr>
          <w:p>
            <w:r/>
            <w:r>
              <w:rPr>
                <w:rFonts w:ascii="Arial" w:hAnsi="Arial"/>
                <w:b w:val="0"/>
                <w:color w:val="111827"/>
                <w:sz w:val="17"/>
              </w:rPr>
              <w:t>0.8137</w:t>
            </w:r>
          </w:p>
        </w:tc>
        <w:tc>
          <w:tcPr>
            <w:tcW w:type="dxa" w:w="1419"/>
            <w:vAlign w:val="center"/>
          </w:tcPr>
          <w:p>
            <w:r/>
            <w:r>
              <w:rPr>
                <w:rFonts w:ascii="Arial" w:hAnsi="Arial"/>
                <w:b w:val="0"/>
                <w:color w:val="111827"/>
                <w:sz w:val="17"/>
              </w:rPr>
              <w:t>0.3825</w:t>
            </w:r>
          </w:p>
        </w:tc>
        <w:tc>
          <w:tcPr>
            <w:tcW w:type="dxa" w:w="1419"/>
            <w:vAlign w:val="center"/>
          </w:tcPr>
          <w:p>
            <w:r/>
            <w:r>
              <w:rPr>
                <w:rFonts w:ascii="Arial" w:hAnsi="Arial"/>
                <w:b w:val="0"/>
                <w:color w:val="111827"/>
                <w:sz w:val="17"/>
              </w:rPr>
              <w:t>0.7890</w:t>
            </w:r>
          </w:p>
        </w:tc>
        <w:tc>
          <w:tcPr>
            <w:tcW w:type="dxa" w:w="1419"/>
            <w:vAlign w:val="center"/>
          </w:tcPr>
          <w:p>
            <w:r/>
            <w:r>
              <w:rPr>
                <w:rFonts w:ascii="Arial" w:hAnsi="Arial"/>
                <w:b w:val="0"/>
                <w:color w:val="111827"/>
                <w:sz w:val="17"/>
              </w:rPr>
              <w:t>0.325</w:t>
            </w:r>
          </w:p>
        </w:tc>
      </w:tr>
      <w:tr>
        <w:tc>
          <w:tcPr>
            <w:tcW w:type="dxa" w:w="1419"/>
            <w:vAlign w:val="center"/>
          </w:tcPr>
          <w:p>
            <w:r/>
            <w:r>
              <w:rPr>
                <w:rFonts w:ascii="Arial" w:hAnsi="Arial"/>
                <w:b w:val="0"/>
                <w:color w:val="111827"/>
                <w:sz w:val="17"/>
              </w:rPr>
              <w:t>Gradient Boosting</w:t>
            </w:r>
          </w:p>
        </w:tc>
        <w:tc>
          <w:tcPr>
            <w:tcW w:type="dxa" w:w="1419"/>
            <w:vAlign w:val="center"/>
          </w:tcPr>
          <w:p>
            <w:r/>
            <w:r>
              <w:rPr>
                <w:rFonts w:ascii="Arial" w:hAnsi="Arial"/>
                <w:b w:val="0"/>
                <w:color w:val="111827"/>
                <w:sz w:val="17"/>
              </w:rPr>
              <w:t>0.7180</w:t>
            </w:r>
          </w:p>
        </w:tc>
        <w:tc>
          <w:tcPr>
            <w:tcW w:type="dxa" w:w="1419"/>
            <w:vAlign w:val="center"/>
          </w:tcPr>
          <w:p>
            <w:r/>
            <w:r>
              <w:rPr>
                <w:rFonts w:ascii="Arial" w:hAnsi="Arial"/>
                <w:b w:val="0"/>
                <w:color w:val="111827"/>
                <w:sz w:val="17"/>
              </w:rPr>
              <w:t>0.2450</w:t>
            </w:r>
          </w:p>
        </w:tc>
        <w:tc>
          <w:tcPr>
            <w:tcW w:type="dxa" w:w="1419"/>
            <w:vAlign w:val="center"/>
          </w:tcPr>
          <w:p>
            <w:r/>
            <w:r>
              <w:rPr>
                <w:rFonts w:ascii="Arial" w:hAnsi="Arial"/>
                <w:b w:val="0"/>
                <w:color w:val="111827"/>
                <w:sz w:val="17"/>
              </w:rPr>
              <w:t>0.8480</w:t>
            </w:r>
          </w:p>
        </w:tc>
        <w:tc>
          <w:tcPr>
            <w:tcW w:type="dxa" w:w="1419"/>
            <w:vAlign w:val="center"/>
          </w:tcPr>
          <w:p>
            <w:r/>
            <w:r>
              <w:rPr>
                <w:rFonts w:ascii="Arial" w:hAnsi="Arial"/>
                <w:b w:val="0"/>
                <w:color w:val="111827"/>
                <w:sz w:val="17"/>
              </w:rPr>
              <w:t>0.3802</w:t>
            </w:r>
          </w:p>
        </w:tc>
        <w:tc>
          <w:tcPr>
            <w:tcW w:type="dxa" w:w="1419"/>
            <w:vAlign w:val="center"/>
          </w:tcPr>
          <w:p>
            <w:r/>
            <w:r>
              <w:rPr>
                <w:rFonts w:ascii="Arial" w:hAnsi="Arial"/>
                <w:b w:val="0"/>
                <w:color w:val="111827"/>
                <w:sz w:val="17"/>
              </w:rPr>
              <w:t>0.8058</w:t>
            </w:r>
          </w:p>
        </w:tc>
        <w:tc>
          <w:tcPr>
            <w:tcW w:type="dxa" w:w="1419"/>
            <w:vAlign w:val="center"/>
          </w:tcPr>
          <w:p>
            <w:r/>
            <w:r>
              <w:rPr>
                <w:rFonts w:ascii="Arial" w:hAnsi="Arial"/>
                <w:b w:val="0"/>
                <w:color w:val="111827"/>
                <w:sz w:val="17"/>
              </w:rPr>
              <w:t>0.115</w:t>
            </w:r>
          </w:p>
        </w:tc>
      </w:tr>
      <w:tr>
        <w:tc>
          <w:tcPr>
            <w:tcW w:type="dxa" w:w="1419"/>
            <w:vAlign w:val="center"/>
          </w:tcPr>
          <w:p>
            <w:r/>
            <w:r>
              <w:rPr>
                <w:rFonts w:ascii="Arial" w:hAnsi="Arial"/>
                <w:b w:val="0"/>
                <w:color w:val="111827"/>
                <w:sz w:val="17"/>
              </w:rPr>
              <w:t>MLP</w:t>
            </w:r>
          </w:p>
        </w:tc>
        <w:tc>
          <w:tcPr>
            <w:tcW w:type="dxa" w:w="1419"/>
            <w:vAlign w:val="center"/>
          </w:tcPr>
          <w:p>
            <w:r/>
            <w:r>
              <w:rPr>
                <w:rFonts w:ascii="Arial" w:hAnsi="Arial"/>
                <w:b w:val="0"/>
                <w:color w:val="111827"/>
                <w:sz w:val="17"/>
              </w:rPr>
              <w:t>0.6940</w:t>
            </w:r>
          </w:p>
        </w:tc>
        <w:tc>
          <w:tcPr>
            <w:tcW w:type="dxa" w:w="1419"/>
            <w:vAlign w:val="center"/>
          </w:tcPr>
          <w:p>
            <w:r/>
            <w:r>
              <w:rPr>
                <w:rFonts w:ascii="Arial" w:hAnsi="Arial"/>
                <w:b w:val="0"/>
                <w:color w:val="111827"/>
                <w:sz w:val="17"/>
              </w:rPr>
              <w:t>0.1928</w:t>
            </w:r>
          </w:p>
        </w:tc>
        <w:tc>
          <w:tcPr>
            <w:tcW w:type="dxa" w:w="1419"/>
            <w:vAlign w:val="center"/>
          </w:tcPr>
          <w:p>
            <w:r/>
            <w:r>
              <w:rPr>
                <w:rFonts w:ascii="Arial" w:hAnsi="Arial"/>
                <w:b w:val="0"/>
                <w:color w:val="111827"/>
                <w:sz w:val="17"/>
              </w:rPr>
              <w:t>0.6275</w:t>
            </w:r>
          </w:p>
        </w:tc>
        <w:tc>
          <w:tcPr>
            <w:tcW w:type="dxa" w:w="1419"/>
            <w:vAlign w:val="center"/>
          </w:tcPr>
          <w:p>
            <w:r/>
            <w:r>
              <w:rPr>
                <w:rFonts w:ascii="Arial" w:hAnsi="Arial"/>
                <w:b w:val="0"/>
                <w:color w:val="111827"/>
                <w:sz w:val="17"/>
              </w:rPr>
              <w:t>0.2949</w:t>
            </w:r>
          </w:p>
        </w:tc>
        <w:tc>
          <w:tcPr>
            <w:tcW w:type="dxa" w:w="1419"/>
            <w:vAlign w:val="center"/>
          </w:tcPr>
          <w:p>
            <w:r/>
            <w:r>
              <w:rPr>
                <w:rFonts w:ascii="Arial" w:hAnsi="Arial"/>
                <w:b w:val="0"/>
                <w:color w:val="111827"/>
                <w:sz w:val="17"/>
              </w:rPr>
              <w:t>0.7055</w:t>
            </w:r>
          </w:p>
        </w:tc>
        <w:tc>
          <w:tcPr>
            <w:tcW w:type="dxa" w:w="1419"/>
            <w:vAlign w:val="center"/>
          </w:tcPr>
          <w:p>
            <w:r/>
            <w:r>
              <w:rPr>
                <w:rFonts w:ascii="Arial" w:hAnsi="Arial"/>
                <w:b w:val="0"/>
                <w:color w:val="111827"/>
                <w:sz w:val="17"/>
              </w:rPr>
              <w:t>0.115</w:t>
            </w:r>
          </w:p>
        </w:tc>
      </w:tr>
    </w:tbl>
    <w:p/>
    <w:p>
      <w:r>
        <w:t>Cette première comparaison donne une vision générale des familles de modèles. Les modèles d'ensemble sont adaptés aux données tabulaires, tandis que le MLP permet de comparer le deep learning aux modèles classiques.</w:t>
      </w:r>
    </w:p>
    <w:p>
      <w:pPr>
        <w:pStyle w:val="Heading1"/>
      </w:pPr>
      <w:r>
        <w:t>6. Étude du déséquilibre des classes</w:t>
      </w:r>
    </w:p>
    <w:p>
      <w:r>
        <w:t>La baseline Logistic Regression au seuil 0.5 obtient une accuracy élevée mais un recall très faible. Elle rate donc presque tous les churners, ce qui montre que l'accuracy seule n'est pas adaptée.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7"/>
              </w:rPr>
              <w:t>Baseline Logistic Regression</w:t>
            </w:r>
          </w:p>
        </w:tc>
        <w:tc>
          <w:tcPr>
            <w:tcW w:type="dxa" w:w="4968"/>
            <w:vAlign w:val="center"/>
            <w:shd w:fill="1F4E79"/>
          </w:tcPr>
          <w:p>
            <w:r/>
            <w:r>
              <w:rPr>
                <w:rFonts w:ascii="Arial" w:hAnsi="Arial"/>
                <w:b/>
                <w:color w:val="FFFFFF"/>
                <w:sz w:val="17"/>
              </w:rPr>
              <w:t>Valeur</w:t>
            </w:r>
          </w:p>
        </w:tc>
      </w:tr>
      <w:tr>
        <w:tc>
          <w:tcPr>
            <w:tcW w:type="dxa" w:w="4968"/>
            <w:vAlign w:val="center"/>
          </w:tcPr>
          <w:p>
            <w:r/>
            <w:r>
              <w:rPr>
                <w:rFonts w:ascii="Arial" w:hAnsi="Arial"/>
                <w:b w:val="0"/>
                <w:color w:val="111827"/>
                <w:sz w:val="17"/>
              </w:rPr>
              <w:t>Accuracy au seuil 0.5</w:t>
            </w:r>
          </w:p>
        </w:tc>
        <w:tc>
          <w:tcPr>
            <w:tcW w:type="dxa" w:w="4968"/>
            <w:vAlign w:val="center"/>
          </w:tcPr>
          <w:p>
            <w:r/>
            <w:r>
              <w:rPr>
                <w:rFonts w:ascii="Arial" w:hAnsi="Arial"/>
                <w:b w:val="0"/>
                <w:color w:val="111827"/>
                <w:sz w:val="17"/>
              </w:rPr>
              <w:t>0.8965</w:t>
            </w:r>
          </w:p>
        </w:tc>
      </w:tr>
      <w:tr>
        <w:tc>
          <w:tcPr>
            <w:tcW w:type="dxa" w:w="4968"/>
            <w:vAlign w:val="center"/>
          </w:tcPr>
          <w:p>
            <w:r/>
            <w:r>
              <w:rPr>
                <w:rFonts w:ascii="Arial" w:hAnsi="Arial"/>
                <w:b w:val="0"/>
                <w:color w:val="111827"/>
                <w:sz w:val="17"/>
              </w:rPr>
              <w:t>Recall au seuil 0.5</w:t>
            </w:r>
          </w:p>
        </w:tc>
        <w:tc>
          <w:tcPr>
            <w:tcW w:type="dxa" w:w="4968"/>
            <w:vAlign w:val="center"/>
          </w:tcPr>
          <w:p>
            <w:r/>
            <w:r>
              <w:rPr>
                <w:rFonts w:ascii="Arial" w:hAnsi="Arial"/>
                <w:b w:val="0"/>
                <w:color w:val="111827"/>
                <w:sz w:val="17"/>
              </w:rPr>
              <w:t>0.0098</w:t>
            </w:r>
          </w:p>
        </w:tc>
      </w:tr>
      <w:tr>
        <w:tc>
          <w:tcPr>
            <w:tcW w:type="dxa" w:w="4968"/>
            <w:vAlign w:val="center"/>
          </w:tcPr>
          <w:p>
            <w:r/>
            <w:r>
              <w:rPr>
                <w:rFonts w:ascii="Arial" w:hAnsi="Arial"/>
                <w:b w:val="0"/>
                <w:color w:val="111827"/>
                <w:sz w:val="17"/>
              </w:rPr>
              <w:t>F1 au seuil 0.5</w:t>
            </w:r>
          </w:p>
        </w:tc>
        <w:tc>
          <w:tcPr>
            <w:tcW w:type="dxa" w:w="4968"/>
            <w:vAlign w:val="center"/>
          </w:tcPr>
          <w:p>
            <w:r/>
            <w:r>
              <w:rPr>
                <w:rFonts w:ascii="Arial" w:hAnsi="Arial"/>
                <w:b w:val="0"/>
                <w:color w:val="111827"/>
                <w:sz w:val="17"/>
              </w:rPr>
              <w:t>0.0190</w:t>
            </w:r>
          </w:p>
        </w:tc>
      </w:tr>
      <w:tr>
        <w:tc>
          <w:tcPr>
            <w:tcW w:type="dxa" w:w="4968"/>
            <w:vAlign w:val="center"/>
          </w:tcPr>
          <w:p>
            <w:r/>
            <w:r>
              <w:rPr>
                <w:rFonts w:ascii="Arial" w:hAnsi="Arial"/>
                <w:b w:val="0"/>
                <w:color w:val="111827"/>
                <w:sz w:val="17"/>
              </w:rPr>
              <w:t>PR-AUC</w:t>
            </w:r>
          </w:p>
        </w:tc>
        <w:tc>
          <w:tcPr>
            <w:tcW w:type="dxa" w:w="4968"/>
            <w:vAlign w:val="center"/>
          </w:tcPr>
          <w:p>
            <w:r/>
            <w:r>
              <w:rPr>
                <w:rFonts w:ascii="Arial" w:hAnsi="Arial"/>
                <w:b w:val="0"/>
                <w:color w:val="111827"/>
                <w:sz w:val="17"/>
              </w:rPr>
              <w:t>0.2392</w:t>
            </w:r>
          </w:p>
        </w:tc>
      </w:tr>
      <w:tr>
        <w:tc>
          <w:tcPr>
            <w:tcW w:type="dxa" w:w="4968"/>
            <w:vAlign w:val="center"/>
          </w:tcPr>
          <w:p>
            <w:r/>
            <w:r>
              <w:rPr>
                <w:rFonts w:ascii="Arial" w:hAnsi="Arial"/>
                <w:b w:val="0"/>
                <w:color w:val="111827"/>
                <w:sz w:val="17"/>
              </w:rPr>
              <w:t>Faux positifs</w:t>
            </w:r>
          </w:p>
        </w:tc>
        <w:tc>
          <w:tcPr>
            <w:tcW w:type="dxa" w:w="4968"/>
            <w:vAlign w:val="center"/>
          </w:tcPr>
          <w:p>
            <w:r/>
            <w:r>
              <w:rPr>
                <w:rFonts w:ascii="Arial" w:hAnsi="Arial"/>
                <w:b w:val="0"/>
                <w:color w:val="111827"/>
                <w:sz w:val="17"/>
              </w:rPr>
              <w:t>5</w:t>
            </w:r>
          </w:p>
        </w:tc>
      </w:tr>
      <w:tr>
        <w:tc>
          <w:tcPr>
            <w:tcW w:type="dxa" w:w="4968"/>
            <w:vAlign w:val="center"/>
          </w:tcPr>
          <w:p>
            <w:r/>
            <w:r>
              <w:rPr>
                <w:rFonts w:ascii="Arial" w:hAnsi="Arial"/>
                <w:b w:val="0"/>
                <w:color w:val="111827"/>
                <w:sz w:val="17"/>
              </w:rPr>
              <w:t>Faux négatifs</w:t>
            </w:r>
          </w:p>
        </w:tc>
        <w:tc>
          <w:tcPr>
            <w:tcW w:type="dxa" w:w="4968"/>
            <w:vAlign w:val="center"/>
          </w:tcPr>
          <w:p>
            <w:r/>
            <w:r>
              <w:rPr>
                <w:rFonts w:ascii="Arial" w:hAnsi="Arial"/>
                <w:b w:val="0"/>
                <w:color w:val="111827"/>
                <w:sz w:val="17"/>
              </w:rPr>
              <w:t>202</w:t>
            </w:r>
          </w:p>
        </w:tc>
      </w:tr>
    </w:tbl>
    <w:p/>
    <w:p>
      <w:r>
        <w:t>J'ai comparé plusieurs techniques : pondération des classes, Random Over-Sampling, SMOTE, Random Under-Sampling et ajustement du seuil. La validation croisée utilisée est une Stratified K-Fold afin de préserver les proportions de classes.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1F4E79"/>
          </w:tcPr>
          <w:p>
            <w:r/>
            <w:r>
              <w:rPr>
                <w:rFonts w:ascii="Arial" w:hAnsi="Arial"/>
                <w:b/>
                <w:color w:val="FFFFFF"/>
                <w:sz w:val="17"/>
              </w:rPr>
              <w:t>Stratégie</w:t>
            </w:r>
          </w:p>
        </w:tc>
        <w:tc>
          <w:tcPr>
            <w:tcW w:type="dxa" w:w="1104"/>
            <w:vAlign w:val="center"/>
            <w:shd w:fill="1F4E79"/>
          </w:tcPr>
          <w:p>
            <w:r/>
            <w:r>
              <w:rPr>
                <w:rFonts w:ascii="Arial" w:hAnsi="Arial"/>
                <w:b/>
                <w:color w:val="FFFFFF"/>
                <w:sz w:val="17"/>
              </w:rPr>
              <w:t>Modèle</w:t>
            </w:r>
          </w:p>
        </w:tc>
        <w:tc>
          <w:tcPr>
            <w:tcW w:type="dxa" w:w="1104"/>
            <w:vAlign w:val="center"/>
            <w:shd w:fill="1F4E79"/>
          </w:tcPr>
          <w:p>
            <w:r/>
            <w:r>
              <w:rPr>
                <w:rFonts w:ascii="Arial" w:hAnsi="Arial"/>
                <w:b/>
                <w:color w:val="FFFFFF"/>
                <w:sz w:val="17"/>
              </w:rPr>
              <w:t>Precision</w:t>
            </w:r>
          </w:p>
        </w:tc>
        <w:tc>
          <w:tcPr>
            <w:tcW w:type="dxa" w:w="1104"/>
            <w:vAlign w:val="center"/>
            <w:shd w:fill="1F4E79"/>
          </w:tcPr>
          <w:p>
            <w:r/>
            <w:r>
              <w:rPr>
                <w:rFonts w:ascii="Arial" w:hAnsi="Arial"/>
                <w:b/>
                <w:color w:val="FFFFFF"/>
                <w:sz w:val="17"/>
              </w:rPr>
              <w:t>Recall</w:t>
            </w:r>
          </w:p>
        </w:tc>
        <w:tc>
          <w:tcPr>
            <w:tcW w:type="dxa" w:w="1104"/>
            <w:vAlign w:val="center"/>
            <w:shd w:fill="1F4E79"/>
          </w:tcPr>
          <w:p>
            <w:r/>
            <w:r>
              <w:rPr>
                <w:rFonts w:ascii="Arial" w:hAnsi="Arial"/>
                <w:b/>
                <w:color w:val="FFFFFF"/>
                <w:sz w:val="17"/>
              </w:rPr>
              <w:t>F1</w:t>
            </w:r>
          </w:p>
        </w:tc>
        <w:tc>
          <w:tcPr>
            <w:tcW w:type="dxa" w:w="1104"/>
            <w:vAlign w:val="center"/>
            <w:shd w:fill="1F4E79"/>
          </w:tcPr>
          <w:p>
            <w:r/>
            <w:r>
              <w:rPr>
                <w:rFonts w:ascii="Arial" w:hAnsi="Arial"/>
                <w:b/>
                <w:color w:val="FFFFFF"/>
                <w:sz w:val="17"/>
              </w:rPr>
              <w:t>PR-AUC</w:t>
            </w:r>
          </w:p>
        </w:tc>
        <w:tc>
          <w:tcPr>
            <w:tcW w:type="dxa" w:w="1104"/>
            <w:vAlign w:val="center"/>
            <w:shd w:fill="1F4E79"/>
          </w:tcPr>
          <w:p>
            <w:r/>
            <w:r>
              <w:rPr>
                <w:rFonts w:ascii="Arial" w:hAnsi="Arial"/>
                <w:b/>
                <w:color w:val="FFFFFF"/>
                <w:sz w:val="17"/>
              </w:rPr>
              <w:t>Seuil</w:t>
            </w:r>
          </w:p>
        </w:tc>
        <w:tc>
          <w:tcPr>
            <w:tcW w:type="dxa" w:w="1104"/>
            <w:vAlign w:val="center"/>
            <w:shd w:fill="1F4E79"/>
          </w:tcPr>
          <w:p>
            <w:r/>
            <w:r>
              <w:rPr>
                <w:rFonts w:ascii="Arial" w:hAnsi="Arial"/>
                <w:b/>
                <w:color w:val="FFFFFF"/>
                <w:sz w:val="17"/>
              </w:rPr>
              <w:t>FP</w:t>
            </w:r>
          </w:p>
        </w:tc>
        <w:tc>
          <w:tcPr>
            <w:tcW w:type="dxa" w:w="1104"/>
            <w:vAlign w:val="center"/>
            <w:shd w:fill="1F4E79"/>
          </w:tcPr>
          <w:p>
            <w:r/>
            <w:r>
              <w:rPr>
                <w:rFonts w:ascii="Arial" w:hAnsi="Arial"/>
                <w:b/>
                <w:color w:val="FFFFFF"/>
                <w:sz w:val="17"/>
              </w:rPr>
              <w:t>FN</w:t>
            </w:r>
          </w:p>
        </w:tc>
      </w:tr>
      <w:tr>
        <w:tc>
          <w:tcPr>
            <w:tcW w:type="dxa" w:w="1104"/>
            <w:vAlign w:val="center"/>
          </w:tcPr>
          <w:p>
            <w:r/>
            <w:r>
              <w:rPr>
                <w:rFonts w:ascii="Arial" w:hAnsi="Arial"/>
                <w:b w:val="0"/>
                <w:color w:val="111827"/>
                <w:sz w:val="17"/>
              </w:rPr>
              <w:t>Random Over-Sampling</w:t>
            </w:r>
          </w:p>
        </w:tc>
        <w:tc>
          <w:tcPr>
            <w:tcW w:type="dxa" w:w="1104"/>
            <w:vAlign w:val="center"/>
          </w:tcPr>
          <w:p>
            <w:r/>
            <w:r>
              <w:rPr>
                <w:rFonts w:ascii="Arial" w:hAnsi="Arial"/>
                <w:b w:val="0"/>
                <w:color w:val="111827"/>
                <w:sz w:val="17"/>
              </w:rPr>
              <w:t>Random Forest</w:t>
            </w:r>
          </w:p>
        </w:tc>
        <w:tc>
          <w:tcPr>
            <w:tcW w:type="dxa" w:w="1104"/>
            <w:vAlign w:val="center"/>
          </w:tcPr>
          <w:p>
            <w:r/>
            <w:r>
              <w:rPr>
                <w:rFonts w:ascii="Arial" w:hAnsi="Arial"/>
                <w:b w:val="0"/>
                <w:color w:val="111827"/>
                <w:sz w:val="17"/>
              </w:rPr>
              <w:t>0.2629</w:t>
            </w:r>
          </w:p>
        </w:tc>
        <w:tc>
          <w:tcPr>
            <w:tcW w:type="dxa" w:w="1104"/>
            <w:vAlign w:val="center"/>
          </w:tcPr>
          <w:p>
            <w:r/>
            <w:r>
              <w:rPr>
                <w:rFonts w:ascii="Arial" w:hAnsi="Arial"/>
                <w:b w:val="0"/>
                <w:color w:val="111827"/>
                <w:sz w:val="17"/>
              </w:rPr>
              <w:t>0.7990</w:t>
            </w:r>
          </w:p>
        </w:tc>
        <w:tc>
          <w:tcPr>
            <w:tcW w:type="dxa" w:w="1104"/>
            <w:vAlign w:val="center"/>
          </w:tcPr>
          <w:p>
            <w:r/>
            <w:r>
              <w:rPr>
                <w:rFonts w:ascii="Arial" w:hAnsi="Arial"/>
                <w:b w:val="0"/>
                <w:color w:val="111827"/>
                <w:sz w:val="17"/>
              </w:rPr>
              <w:t>0.3956</w:t>
            </w:r>
          </w:p>
        </w:tc>
        <w:tc>
          <w:tcPr>
            <w:tcW w:type="dxa" w:w="1104"/>
            <w:vAlign w:val="center"/>
          </w:tcPr>
          <w:p>
            <w:r/>
            <w:r>
              <w:rPr>
                <w:rFonts w:ascii="Arial" w:hAnsi="Arial"/>
                <w:b w:val="0"/>
                <w:color w:val="111827"/>
                <w:sz w:val="17"/>
              </w:rPr>
              <w:t>0.2679</w:t>
            </w:r>
          </w:p>
        </w:tc>
        <w:tc>
          <w:tcPr>
            <w:tcW w:type="dxa" w:w="1104"/>
            <w:vAlign w:val="center"/>
          </w:tcPr>
          <w:p>
            <w:r/>
            <w:r>
              <w:rPr>
                <w:rFonts w:ascii="Arial" w:hAnsi="Arial"/>
                <w:b w:val="0"/>
                <w:color w:val="111827"/>
                <w:sz w:val="17"/>
              </w:rPr>
              <w:t>0.390</w:t>
            </w:r>
          </w:p>
        </w:tc>
        <w:tc>
          <w:tcPr>
            <w:tcW w:type="dxa" w:w="1104"/>
            <w:vAlign w:val="center"/>
          </w:tcPr>
          <w:p>
            <w:r/>
            <w:r>
              <w:rPr>
                <w:rFonts w:ascii="Arial" w:hAnsi="Arial"/>
                <w:b w:val="0"/>
                <w:color w:val="111827"/>
                <w:sz w:val="17"/>
              </w:rPr>
              <w:t>457</w:t>
            </w:r>
          </w:p>
        </w:tc>
        <w:tc>
          <w:tcPr>
            <w:tcW w:type="dxa" w:w="1104"/>
            <w:vAlign w:val="center"/>
          </w:tcPr>
          <w:p>
            <w:r/>
            <w:r>
              <w:rPr>
                <w:rFonts w:ascii="Arial" w:hAnsi="Arial"/>
                <w:b w:val="0"/>
                <w:color w:val="111827"/>
                <w:sz w:val="17"/>
              </w:rPr>
              <w:t>41</w:t>
            </w:r>
          </w:p>
        </w:tc>
      </w:tr>
      <w:tr>
        <w:tc>
          <w:tcPr>
            <w:tcW w:type="dxa" w:w="1104"/>
            <w:vAlign w:val="center"/>
          </w:tcPr>
          <w:p>
            <w:r/>
            <w:r>
              <w:rPr>
                <w:rFonts w:ascii="Arial" w:hAnsi="Arial"/>
                <w:b w:val="0"/>
                <w:color w:val="111827"/>
                <w:sz w:val="17"/>
              </w:rPr>
              <w:t>Random Under-Sampling</w:t>
            </w:r>
          </w:p>
        </w:tc>
        <w:tc>
          <w:tcPr>
            <w:tcW w:type="dxa" w:w="1104"/>
            <w:vAlign w:val="center"/>
          </w:tcPr>
          <w:p>
            <w:r/>
            <w:r>
              <w:rPr>
                <w:rFonts w:ascii="Arial" w:hAnsi="Arial"/>
                <w:b w:val="0"/>
                <w:color w:val="111827"/>
                <w:sz w:val="17"/>
              </w:rPr>
              <w:t>Random Forest</w:t>
            </w:r>
          </w:p>
        </w:tc>
        <w:tc>
          <w:tcPr>
            <w:tcW w:type="dxa" w:w="1104"/>
            <w:vAlign w:val="center"/>
          </w:tcPr>
          <w:p>
            <w:r/>
            <w:r>
              <w:rPr>
                <w:rFonts w:ascii="Arial" w:hAnsi="Arial"/>
                <w:b w:val="0"/>
                <w:color w:val="111827"/>
                <w:sz w:val="17"/>
              </w:rPr>
              <w:t>0.2630</w:t>
            </w:r>
          </w:p>
        </w:tc>
        <w:tc>
          <w:tcPr>
            <w:tcW w:type="dxa" w:w="1104"/>
            <w:vAlign w:val="center"/>
          </w:tcPr>
          <w:p>
            <w:r/>
            <w:r>
              <w:rPr>
                <w:rFonts w:ascii="Arial" w:hAnsi="Arial"/>
                <w:b w:val="0"/>
                <w:color w:val="111827"/>
                <w:sz w:val="17"/>
              </w:rPr>
              <w:t>0.7696</w:t>
            </w:r>
          </w:p>
        </w:tc>
        <w:tc>
          <w:tcPr>
            <w:tcW w:type="dxa" w:w="1104"/>
            <w:vAlign w:val="center"/>
          </w:tcPr>
          <w:p>
            <w:r/>
            <w:r>
              <w:rPr>
                <w:rFonts w:ascii="Arial" w:hAnsi="Arial"/>
                <w:b w:val="0"/>
                <w:color w:val="111827"/>
                <w:sz w:val="17"/>
              </w:rPr>
              <w:t>0.3920</w:t>
            </w:r>
          </w:p>
        </w:tc>
        <w:tc>
          <w:tcPr>
            <w:tcW w:type="dxa" w:w="1104"/>
            <w:vAlign w:val="center"/>
          </w:tcPr>
          <w:p>
            <w:r/>
            <w:r>
              <w:rPr>
                <w:rFonts w:ascii="Arial" w:hAnsi="Arial"/>
                <w:b w:val="0"/>
                <w:color w:val="111827"/>
                <w:sz w:val="17"/>
              </w:rPr>
              <w:t>0.3064</w:t>
            </w:r>
          </w:p>
        </w:tc>
        <w:tc>
          <w:tcPr>
            <w:tcW w:type="dxa" w:w="1104"/>
            <w:vAlign w:val="center"/>
          </w:tcPr>
          <w:p>
            <w:r/>
            <w:r>
              <w:rPr>
                <w:rFonts w:ascii="Arial" w:hAnsi="Arial"/>
                <w:b w:val="0"/>
                <w:color w:val="111827"/>
                <w:sz w:val="17"/>
              </w:rPr>
              <w:t>0.550</w:t>
            </w:r>
          </w:p>
        </w:tc>
        <w:tc>
          <w:tcPr>
            <w:tcW w:type="dxa" w:w="1104"/>
            <w:vAlign w:val="center"/>
          </w:tcPr>
          <w:p>
            <w:r/>
            <w:r>
              <w:rPr>
                <w:rFonts w:ascii="Arial" w:hAnsi="Arial"/>
                <w:b w:val="0"/>
                <w:color w:val="111827"/>
                <w:sz w:val="17"/>
              </w:rPr>
              <w:t>440</w:t>
            </w:r>
          </w:p>
        </w:tc>
        <w:tc>
          <w:tcPr>
            <w:tcW w:type="dxa" w:w="1104"/>
            <w:vAlign w:val="center"/>
          </w:tcPr>
          <w:p>
            <w:r/>
            <w:r>
              <w:rPr>
                <w:rFonts w:ascii="Arial" w:hAnsi="Arial"/>
                <w:b w:val="0"/>
                <w:color w:val="111827"/>
                <w:sz w:val="17"/>
              </w:rPr>
              <w:t>47</w:t>
            </w:r>
          </w:p>
        </w:tc>
      </w:tr>
      <w:tr>
        <w:tc>
          <w:tcPr>
            <w:tcW w:type="dxa" w:w="1104"/>
            <w:vAlign w:val="center"/>
          </w:tcPr>
          <w:p>
            <w:r/>
            <w:r>
              <w:rPr>
                <w:rFonts w:ascii="Arial" w:hAnsi="Arial"/>
                <w:b w:val="0"/>
                <w:color w:val="111827"/>
                <w:sz w:val="17"/>
              </w:rPr>
              <w:t>Class Weight</w:t>
            </w:r>
          </w:p>
        </w:tc>
        <w:tc>
          <w:tcPr>
            <w:tcW w:type="dxa" w:w="1104"/>
            <w:vAlign w:val="center"/>
          </w:tcPr>
          <w:p>
            <w:r/>
            <w:r>
              <w:rPr>
                <w:rFonts w:ascii="Arial" w:hAnsi="Arial"/>
                <w:b w:val="0"/>
                <w:color w:val="111827"/>
                <w:sz w:val="17"/>
              </w:rPr>
              <w:t>Random Forest</w:t>
            </w:r>
          </w:p>
        </w:tc>
        <w:tc>
          <w:tcPr>
            <w:tcW w:type="dxa" w:w="1104"/>
            <w:vAlign w:val="center"/>
          </w:tcPr>
          <w:p>
            <w:r/>
            <w:r>
              <w:rPr>
                <w:rFonts w:ascii="Arial" w:hAnsi="Arial"/>
                <w:b w:val="0"/>
                <w:color w:val="111827"/>
                <w:sz w:val="17"/>
              </w:rPr>
              <w:t>0.2478</w:t>
            </w:r>
          </w:p>
        </w:tc>
        <w:tc>
          <w:tcPr>
            <w:tcW w:type="dxa" w:w="1104"/>
            <w:vAlign w:val="center"/>
          </w:tcPr>
          <w:p>
            <w:r/>
            <w:r>
              <w:rPr>
                <w:rFonts w:ascii="Arial" w:hAnsi="Arial"/>
                <w:b w:val="0"/>
                <w:color w:val="111827"/>
                <w:sz w:val="17"/>
              </w:rPr>
              <w:t>0.8186</w:t>
            </w:r>
          </w:p>
        </w:tc>
        <w:tc>
          <w:tcPr>
            <w:tcW w:type="dxa" w:w="1104"/>
            <w:vAlign w:val="center"/>
          </w:tcPr>
          <w:p>
            <w:r/>
            <w:r>
              <w:rPr>
                <w:rFonts w:ascii="Arial" w:hAnsi="Arial"/>
                <w:b w:val="0"/>
                <w:color w:val="111827"/>
                <w:sz w:val="17"/>
              </w:rPr>
              <w:t>0.3804</w:t>
            </w:r>
          </w:p>
        </w:tc>
        <w:tc>
          <w:tcPr>
            <w:tcW w:type="dxa" w:w="1104"/>
            <w:vAlign w:val="center"/>
          </w:tcPr>
          <w:p>
            <w:r/>
            <w:r>
              <w:rPr>
                <w:rFonts w:ascii="Arial" w:hAnsi="Arial"/>
                <w:b w:val="0"/>
                <w:color w:val="111827"/>
                <w:sz w:val="17"/>
              </w:rPr>
              <w:t>0.2640</w:t>
            </w:r>
          </w:p>
        </w:tc>
        <w:tc>
          <w:tcPr>
            <w:tcW w:type="dxa" w:w="1104"/>
            <w:vAlign w:val="center"/>
          </w:tcPr>
          <w:p>
            <w:r/>
            <w:r>
              <w:rPr>
                <w:rFonts w:ascii="Arial" w:hAnsi="Arial"/>
                <w:b w:val="0"/>
                <w:color w:val="111827"/>
                <w:sz w:val="17"/>
              </w:rPr>
              <w:t>0.310</w:t>
            </w:r>
          </w:p>
        </w:tc>
        <w:tc>
          <w:tcPr>
            <w:tcW w:type="dxa" w:w="1104"/>
            <w:vAlign w:val="center"/>
          </w:tcPr>
          <w:p>
            <w:r/>
            <w:r>
              <w:rPr>
                <w:rFonts w:ascii="Arial" w:hAnsi="Arial"/>
                <w:b w:val="0"/>
                <w:color w:val="111827"/>
                <w:sz w:val="17"/>
              </w:rPr>
              <w:t>507</w:t>
            </w:r>
          </w:p>
        </w:tc>
        <w:tc>
          <w:tcPr>
            <w:tcW w:type="dxa" w:w="1104"/>
            <w:vAlign w:val="center"/>
          </w:tcPr>
          <w:p>
            <w:r/>
            <w:r>
              <w:rPr>
                <w:rFonts w:ascii="Arial" w:hAnsi="Arial"/>
                <w:b w:val="0"/>
                <w:color w:val="111827"/>
                <w:sz w:val="17"/>
              </w:rPr>
              <w:t>37</w:t>
            </w:r>
          </w:p>
        </w:tc>
      </w:tr>
      <w:tr>
        <w:tc>
          <w:tcPr>
            <w:tcW w:type="dxa" w:w="1104"/>
            <w:vAlign w:val="center"/>
          </w:tcPr>
          <w:p>
            <w:r/>
            <w:r>
              <w:rPr>
                <w:rFonts w:ascii="Arial" w:hAnsi="Arial"/>
                <w:b w:val="0"/>
                <w:color w:val="111827"/>
                <w:sz w:val="17"/>
              </w:rPr>
              <w:t>Baseline</w:t>
            </w:r>
          </w:p>
        </w:tc>
        <w:tc>
          <w:tcPr>
            <w:tcW w:type="dxa" w:w="1104"/>
            <w:vAlign w:val="center"/>
          </w:tcPr>
          <w:p>
            <w:r/>
            <w:r>
              <w:rPr>
                <w:rFonts w:ascii="Arial" w:hAnsi="Arial"/>
                <w:b w:val="0"/>
                <w:color w:val="111827"/>
                <w:sz w:val="17"/>
              </w:rPr>
              <w:t>Gradient Boosting</w:t>
            </w:r>
          </w:p>
        </w:tc>
        <w:tc>
          <w:tcPr>
            <w:tcW w:type="dxa" w:w="1104"/>
            <w:vAlign w:val="center"/>
          </w:tcPr>
          <w:p>
            <w:r/>
            <w:r>
              <w:rPr>
                <w:rFonts w:ascii="Arial" w:hAnsi="Arial"/>
                <w:b w:val="0"/>
                <w:color w:val="111827"/>
                <w:sz w:val="17"/>
              </w:rPr>
              <w:t>0.2460</w:t>
            </w:r>
          </w:p>
        </w:tc>
        <w:tc>
          <w:tcPr>
            <w:tcW w:type="dxa" w:w="1104"/>
            <w:vAlign w:val="center"/>
          </w:tcPr>
          <w:p>
            <w:r/>
            <w:r>
              <w:rPr>
                <w:rFonts w:ascii="Arial" w:hAnsi="Arial"/>
                <w:b w:val="0"/>
                <w:color w:val="111827"/>
                <w:sz w:val="17"/>
              </w:rPr>
              <w:t>0.8235</w:t>
            </w:r>
          </w:p>
        </w:tc>
        <w:tc>
          <w:tcPr>
            <w:tcW w:type="dxa" w:w="1104"/>
            <w:vAlign w:val="center"/>
          </w:tcPr>
          <w:p>
            <w:r/>
            <w:r>
              <w:rPr>
                <w:rFonts w:ascii="Arial" w:hAnsi="Arial"/>
                <w:b w:val="0"/>
                <w:color w:val="111827"/>
                <w:sz w:val="17"/>
              </w:rPr>
              <w:t>0.3788</w:t>
            </w:r>
          </w:p>
        </w:tc>
        <w:tc>
          <w:tcPr>
            <w:tcW w:type="dxa" w:w="1104"/>
            <w:vAlign w:val="center"/>
          </w:tcPr>
          <w:p>
            <w:r/>
            <w:r>
              <w:rPr>
                <w:rFonts w:ascii="Arial" w:hAnsi="Arial"/>
                <w:b w:val="0"/>
                <w:color w:val="111827"/>
                <w:sz w:val="17"/>
              </w:rPr>
              <w:t>0.3185</w:t>
            </w:r>
          </w:p>
        </w:tc>
        <w:tc>
          <w:tcPr>
            <w:tcW w:type="dxa" w:w="1104"/>
            <w:vAlign w:val="center"/>
          </w:tcPr>
          <w:p>
            <w:r/>
            <w:r>
              <w:rPr>
                <w:rFonts w:ascii="Arial" w:hAnsi="Arial"/>
                <w:b w:val="0"/>
                <w:color w:val="111827"/>
                <w:sz w:val="17"/>
              </w:rPr>
              <w:t>0.135</w:t>
            </w:r>
          </w:p>
        </w:tc>
        <w:tc>
          <w:tcPr>
            <w:tcW w:type="dxa" w:w="1104"/>
            <w:vAlign w:val="center"/>
          </w:tcPr>
          <w:p>
            <w:r/>
            <w:r>
              <w:rPr>
                <w:rFonts w:ascii="Arial" w:hAnsi="Arial"/>
                <w:b w:val="0"/>
                <w:color w:val="111827"/>
                <w:sz w:val="17"/>
              </w:rPr>
              <w:t>515</w:t>
            </w:r>
          </w:p>
        </w:tc>
        <w:tc>
          <w:tcPr>
            <w:tcW w:type="dxa" w:w="1104"/>
            <w:vAlign w:val="center"/>
          </w:tcPr>
          <w:p>
            <w:r/>
            <w:r>
              <w:rPr>
                <w:rFonts w:ascii="Arial" w:hAnsi="Arial"/>
                <w:b w:val="0"/>
                <w:color w:val="111827"/>
                <w:sz w:val="17"/>
              </w:rPr>
              <w:t>36</w:t>
            </w:r>
          </w:p>
        </w:tc>
      </w:tr>
      <w:tr>
        <w:tc>
          <w:tcPr>
            <w:tcW w:type="dxa" w:w="1104"/>
            <w:vAlign w:val="center"/>
          </w:tcPr>
          <w:p>
            <w:r/>
            <w:r>
              <w:rPr>
                <w:rFonts w:ascii="Arial" w:hAnsi="Arial"/>
                <w:b w:val="0"/>
                <w:color w:val="111827"/>
                <w:sz w:val="17"/>
              </w:rPr>
              <w:t>SMOTE</w:t>
            </w:r>
          </w:p>
        </w:tc>
        <w:tc>
          <w:tcPr>
            <w:tcW w:type="dxa" w:w="1104"/>
            <w:vAlign w:val="center"/>
          </w:tcPr>
          <w:p>
            <w:r/>
            <w:r>
              <w:rPr>
                <w:rFonts w:ascii="Arial" w:hAnsi="Arial"/>
                <w:b w:val="0"/>
                <w:color w:val="111827"/>
                <w:sz w:val="17"/>
              </w:rPr>
              <w:t>Random Forest</w:t>
            </w:r>
          </w:p>
        </w:tc>
        <w:tc>
          <w:tcPr>
            <w:tcW w:type="dxa" w:w="1104"/>
            <w:vAlign w:val="center"/>
          </w:tcPr>
          <w:p>
            <w:r/>
            <w:r>
              <w:rPr>
                <w:rFonts w:ascii="Arial" w:hAnsi="Arial"/>
                <w:b w:val="0"/>
                <w:color w:val="111827"/>
                <w:sz w:val="17"/>
              </w:rPr>
              <w:t>0.2458</w:t>
            </w:r>
          </w:p>
        </w:tc>
        <w:tc>
          <w:tcPr>
            <w:tcW w:type="dxa" w:w="1104"/>
            <w:vAlign w:val="center"/>
          </w:tcPr>
          <w:p>
            <w:r/>
            <w:r>
              <w:rPr>
                <w:rFonts w:ascii="Arial" w:hAnsi="Arial"/>
                <w:b w:val="0"/>
                <w:color w:val="111827"/>
                <w:sz w:val="17"/>
              </w:rPr>
              <w:t>0.7843</w:t>
            </w:r>
          </w:p>
        </w:tc>
        <w:tc>
          <w:tcPr>
            <w:tcW w:type="dxa" w:w="1104"/>
            <w:vAlign w:val="center"/>
          </w:tcPr>
          <w:p>
            <w:r/>
            <w:r>
              <w:rPr>
                <w:rFonts w:ascii="Arial" w:hAnsi="Arial"/>
                <w:b w:val="0"/>
                <w:color w:val="111827"/>
                <w:sz w:val="17"/>
              </w:rPr>
              <w:t>0.3743</w:t>
            </w:r>
          </w:p>
        </w:tc>
        <w:tc>
          <w:tcPr>
            <w:tcW w:type="dxa" w:w="1104"/>
            <w:vAlign w:val="center"/>
          </w:tcPr>
          <w:p>
            <w:r/>
            <w:r>
              <w:rPr>
                <w:rFonts w:ascii="Arial" w:hAnsi="Arial"/>
                <w:b w:val="0"/>
                <w:color w:val="111827"/>
                <w:sz w:val="17"/>
              </w:rPr>
              <w:t>0.2630</w:t>
            </w:r>
          </w:p>
        </w:tc>
        <w:tc>
          <w:tcPr>
            <w:tcW w:type="dxa" w:w="1104"/>
            <w:vAlign w:val="center"/>
          </w:tcPr>
          <w:p>
            <w:r/>
            <w:r>
              <w:rPr>
                <w:rFonts w:ascii="Arial" w:hAnsi="Arial"/>
                <w:b w:val="0"/>
                <w:color w:val="111827"/>
                <w:sz w:val="17"/>
              </w:rPr>
              <w:t>0.235</w:t>
            </w:r>
          </w:p>
        </w:tc>
        <w:tc>
          <w:tcPr>
            <w:tcW w:type="dxa" w:w="1104"/>
            <w:vAlign w:val="center"/>
          </w:tcPr>
          <w:p>
            <w:r/>
            <w:r>
              <w:rPr>
                <w:rFonts w:ascii="Arial" w:hAnsi="Arial"/>
                <w:b w:val="0"/>
                <w:color w:val="111827"/>
                <w:sz w:val="17"/>
              </w:rPr>
              <w:t>491</w:t>
            </w:r>
          </w:p>
        </w:tc>
        <w:tc>
          <w:tcPr>
            <w:tcW w:type="dxa" w:w="1104"/>
            <w:vAlign w:val="center"/>
          </w:tcPr>
          <w:p>
            <w:r/>
            <w:r>
              <w:rPr>
                <w:rFonts w:ascii="Arial" w:hAnsi="Arial"/>
                <w:b w:val="0"/>
                <w:color w:val="111827"/>
                <w:sz w:val="17"/>
              </w:rPr>
              <w:t>44</w:t>
            </w:r>
          </w:p>
        </w:tc>
      </w:tr>
    </w:tbl>
    <w:p/>
    <w:p>
      <w:r>
        <w:t>La meilleure configuration selon le F1 optimisé est Random Over-Sampling avec Random Forest. Elle détecte 79.9% des churners sur le jeu de test. Le compromis métier accepté est une hausse des faux positifs pour réduire les faux négatifs.</w:t>
      </w:r>
    </w:p>
    <w:p>
      <w:pPr>
        <w:pStyle w:val="Heading1"/>
      </w:pPr>
      <w:r>
        <w:t>7. Ajustement du seuil de décision</w:t>
      </w:r>
    </w:p>
    <w:p>
      <w:r>
        <w:t>Le seuil 0.5 n'est pas optimal dans un contexte déséquilibré. J'ai testé plusieurs seuils entre 0.05 et 0.95 sur validation et retenu celui qui maximise le F1-score.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7"/>
              </w:rPr>
              <w:t>Élément</w:t>
            </w:r>
          </w:p>
        </w:tc>
        <w:tc>
          <w:tcPr>
            <w:tcW w:type="dxa" w:w="4968"/>
            <w:vAlign w:val="center"/>
            <w:shd w:fill="1F4E79"/>
          </w:tcPr>
          <w:p>
            <w:r/>
            <w:r>
              <w:rPr>
                <w:rFonts w:ascii="Arial" w:hAnsi="Arial"/>
                <w:b/>
                <w:color w:val="FFFFFF"/>
                <w:sz w:val="17"/>
              </w:rPr>
              <w:t>Valeur</w:t>
            </w:r>
          </w:p>
        </w:tc>
      </w:tr>
      <w:tr>
        <w:tc>
          <w:tcPr>
            <w:tcW w:type="dxa" w:w="4968"/>
            <w:vAlign w:val="center"/>
          </w:tcPr>
          <w:p>
            <w:r/>
            <w:r>
              <w:rPr>
                <w:rFonts w:ascii="Arial" w:hAnsi="Arial"/>
                <w:b w:val="0"/>
                <w:color w:val="111827"/>
                <w:sz w:val="17"/>
              </w:rPr>
              <w:t>Seuil final retenu</w:t>
            </w:r>
          </w:p>
        </w:tc>
        <w:tc>
          <w:tcPr>
            <w:tcW w:type="dxa" w:w="4968"/>
            <w:vAlign w:val="center"/>
          </w:tcPr>
          <w:p>
            <w:r/>
            <w:r>
              <w:rPr>
                <w:rFonts w:ascii="Arial" w:hAnsi="Arial"/>
                <w:b w:val="0"/>
                <w:color w:val="111827"/>
                <w:sz w:val="17"/>
              </w:rPr>
              <w:t>0.390</w:t>
            </w:r>
          </w:p>
        </w:tc>
      </w:tr>
      <w:tr>
        <w:tc>
          <w:tcPr>
            <w:tcW w:type="dxa" w:w="4968"/>
            <w:vAlign w:val="center"/>
          </w:tcPr>
          <w:p>
            <w:r/>
            <w:r>
              <w:rPr>
                <w:rFonts w:ascii="Arial" w:hAnsi="Arial"/>
                <w:b w:val="0"/>
                <w:color w:val="111827"/>
                <w:sz w:val="17"/>
              </w:rPr>
              <w:t>Faux négatifs</w:t>
            </w:r>
          </w:p>
        </w:tc>
        <w:tc>
          <w:tcPr>
            <w:tcW w:type="dxa" w:w="4968"/>
            <w:vAlign w:val="center"/>
          </w:tcPr>
          <w:p>
            <w:r/>
            <w:r>
              <w:rPr>
                <w:rFonts w:ascii="Arial" w:hAnsi="Arial"/>
                <w:b w:val="0"/>
                <w:color w:val="111827"/>
                <w:sz w:val="17"/>
              </w:rPr>
              <w:t>41</w:t>
            </w:r>
          </w:p>
        </w:tc>
      </w:tr>
      <w:tr>
        <w:tc>
          <w:tcPr>
            <w:tcW w:type="dxa" w:w="4968"/>
            <w:vAlign w:val="center"/>
          </w:tcPr>
          <w:p>
            <w:r/>
            <w:r>
              <w:rPr>
                <w:rFonts w:ascii="Arial" w:hAnsi="Arial"/>
                <w:b w:val="0"/>
                <w:color w:val="111827"/>
                <w:sz w:val="17"/>
              </w:rPr>
              <w:t>Faux positifs</w:t>
            </w:r>
          </w:p>
        </w:tc>
        <w:tc>
          <w:tcPr>
            <w:tcW w:type="dxa" w:w="4968"/>
            <w:vAlign w:val="center"/>
          </w:tcPr>
          <w:p>
            <w:r/>
            <w:r>
              <w:rPr>
                <w:rFonts w:ascii="Arial" w:hAnsi="Arial"/>
                <w:b w:val="0"/>
                <w:color w:val="111827"/>
                <w:sz w:val="17"/>
              </w:rPr>
              <w:t>457</w:t>
            </w:r>
          </w:p>
        </w:tc>
      </w:tr>
      <w:tr>
        <w:tc>
          <w:tcPr>
            <w:tcW w:type="dxa" w:w="4968"/>
            <w:vAlign w:val="center"/>
          </w:tcPr>
          <w:p>
            <w:r/>
            <w:r>
              <w:rPr>
                <w:rFonts w:ascii="Arial" w:hAnsi="Arial"/>
                <w:b w:val="0"/>
                <w:color w:val="111827"/>
                <w:sz w:val="17"/>
              </w:rPr>
              <w:t>Vrais positifs</w:t>
            </w:r>
          </w:p>
        </w:tc>
        <w:tc>
          <w:tcPr>
            <w:tcW w:type="dxa" w:w="4968"/>
            <w:vAlign w:val="center"/>
          </w:tcPr>
          <w:p>
            <w:r/>
            <w:r>
              <w:rPr>
                <w:rFonts w:ascii="Arial" w:hAnsi="Arial"/>
                <w:b w:val="0"/>
                <w:color w:val="111827"/>
                <w:sz w:val="17"/>
              </w:rPr>
              <w:t>163</w:t>
            </w:r>
          </w:p>
        </w:tc>
      </w:tr>
      <w:tr>
        <w:tc>
          <w:tcPr>
            <w:tcW w:type="dxa" w:w="4968"/>
            <w:vAlign w:val="center"/>
          </w:tcPr>
          <w:p>
            <w:r/>
            <w:r>
              <w:rPr>
                <w:rFonts w:ascii="Arial" w:hAnsi="Arial"/>
                <w:b w:val="0"/>
                <w:color w:val="111827"/>
                <w:sz w:val="17"/>
              </w:rPr>
              <w:t>Vrais négatifs</w:t>
            </w:r>
          </w:p>
        </w:tc>
        <w:tc>
          <w:tcPr>
            <w:tcW w:type="dxa" w:w="4968"/>
            <w:vAlign w:val="center"/>
          </w:tcPr>
          <w:p>
            <w:r/>
            <w:r>
              <w:rPr>
                <w:rFonts w:ascii="Arial" w:hAnsi="Arial"/>
                <w:b w:val="0"/>
                <w:color w:val="111827"/>
                <w:sz w:val="17"/>
              </w:rPr>
              <w:t>1339</w:t>
            </w:r>
          </w:p>
        </w:tc>
      </w:tr>
    </w:tbl>
    <w:p/>
    <w:p>
      <w:r>
        <w:t>Ce seuil améliore la détection des churners. Dans un service de rétention, contacter un client faussement à risque est moins grave que manquer un client réellement à risque.</w:t>
      </w:r>
    </w:p>
    <w:p>
      <w:pPr>
        <w:pStyle w:val="Heading1"/>
      </w:pPr>
      <w:r>
        <w:t>8. Modèle Deep Learning</w:t>
      </w:r>
    </w:p>
    <w:p>
      <w:r>
        <w:t>Un MLP a été ajouté pour intégrer une approche deep learning. L'objectif était de vérifier son intérêt sur ce dataset tabulaire, et non de supposer qu'il serait automatiquement meilleur.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7"/>
              </w:rPr>
              <w:t>Métrique MLP</w:t>
            </w:r>
          </w:p>
        </w:tc>
        <w:tc>
          <w:tcPr>
            <w:tcW w:type="dxa" w:w="4968"/>
            <w:vAlign w:val="center"/>
            <w:shd w:fill="1F4E79"/>
          </w:tcPr>
          <w:p>
            <w:r/>
            <w:r>
              <w:rPr>
                <w:rFonts w:ascii="Arial" w:hAnsi="Arial"/>
                <w:b/>
                <w:color w:val="FFFFFF"/>
                <w:sz w:val="17"/>
              </w:rPr>
              <w:t>Valeur</w:t>
            </w:r>
          </w:p>
        </w:tc>
      </w:tr>
      <w:tr>
        <w:tc>
          <w:tcPr>
            <w:tcW w:type="dxa" w:w="4968"/>
            <w:vAlign w:val="center"/>
          </w:tcPr>
          <w:p>
            <w:r/>
            <w:r>
              <w:rPr>
                <w:rFonts w:ascii="Arial" w:hAnsi="Arial"/>
                <w:b w:val="0"/>
                <w:color w:val="111827"/>
                <w:sz w:val="17"/>
              </w:rPr>
              <w:t>Accuracy</w:t>
            </w:r>
          </w:p>
        </w:tc>
        <w:tc>
          <w:tcPr>
            <w:tcW w:type="dxa" w:w="4968"/>
            <w:vAlign w:val="center"/>
          </w:tcPr>
          <w:p>
            <w:r/>
            <w:r>
              <w:rPr>
                <w:rFonts w:ascii="Arial" w:hAnsi="Arial"/>
                <w:b w:val="0"/>
                <w:color w:val="111827"/>
                <w:sz w:val="17"/>
              </w:rPr>
              <w:t>0.6940</w:t>
            </w:r>
          </w:p>
        </w:tc>
      </w:tr>
      <w:tr>
        <w:tc>
          <w:tcPr>
            <w:tcW w:type="dxa" w:w="4968"/>
            <w:vAlign w:val="center"/>
          </w:tcPr>
          <w:p>
            <w:r/>
            <w:r>
              <w:rPr>
                <w:rFonts w:ascii="Arial" w:hAnsi="Arial"/>
                <w:b w:val="0"/>
                <w:color w:val="111827"/>
                <w:sz w:val="17"/>
              </w:rPr>
              <w:t>Precision</w:t>
            </w:r>
          </w:p>
        </w:tc>
        <w:tc>
          <w:tcPr>
            <w:tcW w:type="dxa" w:w="4968"/>
            <w:vAlign w:val="center"/>
          </w:tcPr>
          <w:p>
            <w:r/>
            <w:r>
              <w:rPr>
                <w:rFonts w:ascii="Arial" w:hAnsi="Arial"/>
                <w:b w:val="0"/>
                <w:color w:val="111827"/>
                <w:sz w:val="17"/>
              </w:rPr>
              <w:t>0.1928</w:t>
            </w:r>
          </w:p>
        </w:tc>
      </w:tr>
      <w:tr>
        <w:tc>
          <w:tcPr>
            <w:tcW w:type="dxa" w:w="4968"/>
            <w:vAlign w:val="center"/>
          </w:tcPr>
          <w:p>
            <w:r/>
            <w:r>
              <w:rPr>
                <w:rFonts w:ascii="Arial" w:hAnsi="Arial"/>
                <w:b w:val="0"/>
                <w:color w:val="111827"/>
                <w:sz w:val="17"/>
              </w:rPr>
              <w:t>Recall</w:t>
            </w:r>
          </w:p>
        </w:tc>
        <w:tc>
          <w:tcPr>
            <w:tcW w:type="dxa" w:w="4968"/>
            <w:vAlign w:val="center"/>
          </w:tcPr>
          <w:p>
            <w:r/>
            <w:r>
              <w:rPr>
                <w:rFonts w:ascii="Arial" w:hAnsi="Arial"/>
                <w:b w:val="0"/>
                <w:color w:val="111827"/>
                <w:sz w:val="17"/>
              </w:rPr>
              <w:t>0.6275</w:t>
            </w:r>
          </w:p>
        </w:tc>
      </w:tr>
      <w:tr>
        <w:tc>
          <w:tcPr>
            <w:tcW w:type="dxa" w:w="4968"/>
            <w:vAlign w:val="center"/>
          </w:tcPr>
          <w:p>
            <w:r/>
            <w:r>
              <w:rPr>
                <w:rFonts w:ascii="Arial" w:hAnsi="Arial"/>
                <w:b w:val="0"/>
                <w:color w:val="111827"/>
                <w:sz w:val="17"/>
              </w:rPr>
              <w:t>F1-score</w:t>
            </w:r>
          </w:p>
        </w:tc>
        <w:tc>
          <w:tcPr>
            <w:tcW w:type="dxa" w:w="4968"/>
            <w:vAlign w:val="center"/>
          </w:tcPr>
          <w:p>
            <w:r/>
            <w:r>
              <w:rPr>
                <w:rFonts w:ascii="Arial" w:hAnsi="Arial"/>
                <w:b w:val="0"/>
                <w:color w:val="111827"/>
                <w:sz w:val="17"/>
              </w:rPr>
              <w:t>0.2949</w:t>
            </w:r>
          </w:p>
        </w:tc>
      </w:tr>
      <w:tr>
        <w:tc>
          <w:tcPr>
            <w:tcW w:type="dxa" w:w="4968"/>
            <w:vAlign w:val="center"/>
          </w:tcPr>
          <w:p>
            <w:r/>
            <w:r>
              <w:rPr>
                <w:rFonts w:ascii="Arial" w:hAnsi="Arial"/>
                <w:b w:val="0"/>
                <w:color w:val="111827"/>
                <w:sz w:val="17"/>
              </w:rPr>
              <w:t>ROC-AUC</w:t>
            </w:r>
          </w:p>
        </w:tc>
        <w:tc>
          <w:tcPr>
            <w:tcW w:type="dxa" w:w="4968"/>
            <w:vAlign w:val="center"/>
          </w:tcPr>
          <w:p>
            <w:r/>
            <w:r>
              <w:rPr>
                <w:rFonts w:ascii="Arial" w:hAnsi="Arial"/>
                <w:b w:val="0"/>
                <w:color w:val="111827"/>
                <w:sz w:val="17"/>
              </w:rPr>
              <w:t>0.7055</w:t>
            </w:r>
          </w:p>
        </w:tc>
      </w:tr>
    </w:tbl>
    <w:p/>
    <w:p>
      <w:r>
        <w:t>Le F1 nul a été évité grâce à l'ajustement du seuil. Le MLP reste inférieur aux modèles d'ensemble sur ce dataset, ce qui confirme que le deep learning n'est pas toujours la meilleure solution sur données tabulaires de taille modérée.</w:t>
      </w:r>
    </w:p>
    <w:p>
      <w:pPr>
        <w:pStyle w:val="Heading1"/>
      </w:pPr>
      <w:r>
        <w:t>9. Interprétabilité avec SHAP</w:t>
      </w:r>
    </w:p>
    <w:p>
      <w:r>
        <w:t>SHAP a été appliqué sur le modèle final afin d'obtenir une interprétation globale et locale. Les valeurs SHAP expliquent la contribution de chaque variable à la prédiction de la classe churn. Une valeur positive pousse la prédiction vers le churn, alors qu'une valeur négative la réduit.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b/>
                <w:color w:val="FFFFFF"/>
                <w:sz w:val="17"/>
              </w:rPr>
              <w:t>Variable</w:t>
            </w:r>
          </w:p>
        </w:tc>
        <w:tc>
          <w:tcPr>
            <w:tcW w:type="dxa" w:w="3312"/>
            <w:vAlign w:val="center"/>
            <w:shd w:fill="1F4E79"/>
          </w:tcPr>
          <w:p>
            <w:r/>
            <w:r>
              <w:rPr>
                <w:rFonts w:ascii="Arial" w:hAnsi="Arial"/>
                <w:b/>
                <w:color w:val="FFFFFF"/>
                <w:sz w:val="17"/>
              </w:rPr>
              <w:t>Mean abs SHAP</w:t>
            </w:r>
          </w:p>
        </w:tc>
        <w:tc>
          <w:tcPr>
            <w:tcW w:type="dxa" w:w="3312"/>
            <w:vAlign w:val="center"/>
            <w:shd w:fill="1F4E79"/>
          </w:tcPr>
          <w:p>
            <w:r/>
            <w:r>
              <w:rPr>
                <w:rFonts w:ascii="Arial" w:hAnsi="Arial"/>
                <w:b/>
                <w:color w:val="FFFFFF"/>
                <w:sz w:val="17"/>
              </w:rPr>
              <w:t>Mean SHAP</w:t>
            </w:r>
          </w:p>
        </w:tc>
      </w:tr>
      <w:tr>
        <w:tc>
          <w:tcPr>
            <w:tcW w:type="dxa" w:w="3312"/>
            <w:vAlign w:val="center"/>
          </w:tcPr>
          <w:p>
            <w:r/>
            <w:r>
              <w:rPr>
                <w:rFonts w:ascii="Arial" w:hAnsi="Arial"/>
                <w:b w:val="0"/>
                <w:color w:val="111827"/>
                <w:sz w:val="17"/>
              </w:rPr>
              <w:t>csat_score</w:t>
            </w:r>
          </w:p>
        </w:tc>
        <w:tc>
          <w:tcPr>
            <w:tcW w:type="dxa" w:w="3312"/>
            <w:vAlign w:val="center"/>
          </w:tcPr>
          <w:p>
            <w:r/>
            <w:r>
              <w:rPr>
                <w:rFonts w:ascii="Arial" w:hAnsi="Arial"/>
                <w:b w:val="0"/>
                <w:color w:val="111827"/>
                <w:sz w:val="17"/>
              </w:rPr>
              <w:t>0.08963</w:t>
            </w:r>
          </w:p>
        </w:tc>
        <w:tc>
          <w:tcPr>
            <w:tcW w:type="dxa" w:w="3312"/>
            <w:vAlign w:val="center"/>
          </w:tcPr>
          <w:p>
            <w:r/>
            <w:r>
              <w:rPr>
                <w:rFonts w:ascii="Arial" w:hAnsi="Arial"/>
                <w:b w:val="0"/>
                <w:color w:val="111827"/>
                <w:sz w:val="17"/>
              </w:rPr>
              <w:t>-0.03240</w:t>
            </w:r>
          </w:p>
        </w:tc>
      </w:tr>
      <w:tr>
        <w:tc>
          <w:tcPr>
            <w:tcW w:type="dxa" w:w="3312"/>
            <w:vAlign w:val="center"/>
          </w:tcPr>
          <w:p>
            <w:r/>
            <w:r>
              <w:rPr>
                <w:rFonts w:ascii="Arial" w:hAnsi="Arial"/>
                <w:b w:val="0"/>
                <w:color w:val="111827"/>
                <w:sz w:val="17"/>
              </w:rPr>
              <w:t>tenure_months</w:t>
            </w:r>
          </w:p>
        </w:tc>
        <w:tc>
          <w:tcPr>
            <w:tcW w:type="dxa" w:w="3312"/>
            <w:vAlign w:val="center"/>
          </w:tcPr>
          <w:p>
            <w:r/>
            <w:r>
              <w:rPr>
                <w:rFonts w:ascii="Arial" w:hAnsi="Arial"/>
                <w:b w:val="0"/>
                <w:color w:val="111827"/>
                <w:sz w:val="17"/>
              </w:rPr>
              <w:t>0.05339</w:t>
            </w:r>
          </w:p>
        </w:tc>
        <w:tc>
          <w:tcPr>
            <w:tcW w:type="dxa" w:w="3312"/>
            <w:vAlign w:val="center"/>
          </w:tcPr>
          <w:p>
            <w:r/>
            <w:r>
              <w:rPr>
                <w:rFonts w:ascii="Arial" w:hAnsi="Arial"/>
                <w:b w:val="0"/>
                <w:color w:val="111827"/>
                <w:sz w:val="17"/>
              </w:rPr>
              <w:t>-0.02442</w:t>
            </w:r>
          </w:p>
        </w:tc>
      </w:tr>
      <w:tr>
        <w:tc>
          <w:tcPr>
            <w:tcW w:type="dxa" w:w="3312"/>
            <w:vAlign w:val="center"/>
          </w:tcPr>
          <w:p>
            <w:r/>
            <w:r>
              <w:rPr>
                <w:rFonts w:ascii="Arial" w:hAnsi="Arial"/>
                <w:b w:val="0"/>
                <w:color w:val="111827"/>
                <w:sz w:val="17"/>
              </w:rPr>
              <w:t>monthly_logins</w:t>
            </w:r>
          </w:p>
        </w:tc>
        <w:tc>
          <w:tcPr>
            <w:tcW w:type="dxa" w:w="3312"/>
            <w:vAlign w:val="center"/>
          </w:tcPr>
          <w:p>
            <w:r/>
            <w:r>
              <w:rPr>
                <w:rFonts w:ascii="Arial" w:hAnsi="Arial"/>
                <w:b w:val="0"/>
                <w:color w:val="111827"/>
                <w:sz w:val="17"/>
              </w:rPr>
              <w:t>0.04370</w:t>
            </w:r>
          </w:p>
        </w:tc>
        <w:tc>
          <w:tcPr>
            <w:tcW w:type="dxa" w:w="3312"/>
            <w:vAlign w:val="center"/>
          </w:tcPr>
          <w:p>
            <w:r/>
            <w:r>
              <w:rPr>
                <w:rFonts w:ascii="Arial" w:hAnsi="Arial"/>
                <w:b w:val="0"/>
                <w:color w:val="111827"/>
                <w:sz w:val="17"/>
              </w:rPr>
              <w:t>-0.01717</w:t>
            </w:r>
          </w:p>
        </w:tc>
      </w:tr>
      <w:tr>
        <w:tc>
          <w:tcPr>
            <w:tcW w:type="dxa" w:w="3312"/>
            <w:vAlign w:val="center"/>
          </w:tcPr>
          <w:p>
            <w:r/>
            <w:r>
              <w:rPr>
                <w:rFonts w:ascii="Arial" w:hAnsi="Arial"/>
                <w:b w:val="0"/>
                <w:color w:val="111827"/>
                <w:sz w:val="17"/>
              </w:rPr>
              <w:t>payment_failures</w:t>
            </w:r>
          </w:p>
        </w:tc>
        <w:tc>
          <w:tcPr>
            <w:tcW w:type="dxa" w:w="3312"/>
            <w:vAlign w:val="center"/>
          </w:tcPr>
          <w:p>
            <w:r/>
            <w:r>
              <w:rPr>
                <w:rFonts w:ascii="Arial" w:hAnsi="Arial"/>
                <w:b w:val="0"/>
                <w:color w:val="111827"/>
                <w:sz w:val="17"/>
              </w:rPr>
              <w:t>0.03957</w:t>
            </w:r>
          </w:p>
        </w:tc>
        <w:tc>
          <w:tcPr>
            <w:tcW w:type="dxa" w:w="3312"/>
            <w:vAlign w:val="center"/>
          </w:tcPr>
          <w:p>
            <w:r/>
            <w:r>
              <w:rPr>
                <w:rFonts w:ascii="Arial" w:hAnsi="Arial"/>
                <w:b w:val="0"/>
                <w:color w:val="111827"/>
                <w:sz w:val="17"/>
              </w:rPr>
              <w:t>-0.01327</w:t>
            </w:r>
          </w:p>
        </w:tc>
      </w:tr>
      <w:tr>
        <w:tc>
          <w:tcPr>
            <w:tcW w:type="dxa" w:w="3312"/>
            <w:vAlign w:val="center"/>
          </w:tcPr>
          <w:p>
            <w:r/>
            <w:r>
              <w:rPr>
                <w:rFonts w:ascii="Arial" w:hAnsi="Arial"/>
                <w:b w:val="0"/>
                <w:color w:val="111827"/>
                <w:sz w:val="17"/>
              </w:rPr>
              <w:t>total_revenue</w:t>
            </w:r>
          </w:p>
        </w:tc>
        <w:tc>
          <w:tcPr>
            <w:tcW w:type="dxa" w:w="3312"/>
            <w:vAlign w:val="center"/>
          </w:tcPr>
          <w:p>
            <w:r/>
            <w:r>
              <w:rPr>
                <w:rFonts w:ascii="Arial" w:hAnsi="Arial"/>
                <w:b w:val="0"/>
                <w:color w:val="111827"/>
                <w:sz w:val="17"/>
              </w:rPr>
              <w:t>0.02959</w:t>
            </w:r>
          </w:p>
        </w:tc>
        <w:tc>
          <w:tcPr>
            <w:tcW w:type="dxa" w:w="3312"/>
            <w:vAlign w:val="center"/>
          </w:tcPr>
          <w:p>
            <w:r/>
            <w:r>
              <w:rPr>
                <w:rFonts w:ascii="Arial" w:hAnsi="Arial"/>
                <w:b w:val="0"/>
                <w:color w:val="111827"/>
                <w:sz w:val="17"/>
              </w:rPr>
              <w:t>-0.01183</w:t>
            </w:r>
          </w:p>
        </w:tc>
      </w:tr>
      <w:tr>
        <w:tc>
          <w:tcPr>
            <w:tcW w:type="dxa" w:w="3312"/>
            <w:vAlign w:val="center"/>
          </w:tcPr>
          <w:p>
            <w:r/>
            <w:r>
              <w:rPr>
                <w:rFonts w:ascii="Arial" w:hAnsi="Arial"/>
                <w:b w:val="0"/>
                <w:color w:val="111827"/>
                <w:sz w:val="17"/>
              </w:rPr>
              <w:t>last_login_days_ago</w:t>
            </w:r>
          </w:p>
        </w:tc>
        <w:tc>
          <w:tcPr>
            <w:tcW w:type="dxa" w:w="3312"/>
            <w:vAlign w:val="center"/>
          </w:tcPr>
          <w:p>
            <w:r/>
            <w:r>
              <w:rPr>
                <w:rFonts w:ascii="Arial" w:hAnsi="Arial"/>
                <w:b w:val="0"/>
                <w:color w:val="111827"/>
                <w:sz w:val="17"/>
              </w:rPr>
              <w:t>0.01011</w:t>
            </w:r>
          </w:p>
        </w:tc>
        <w:tc>
          <w:tcPr>
            <w:tcW w:type="dxa" w:w="3312"/>
            <w:vAlign w:val="center"/>
          </w:tcPr>
          <w:p>
            <w:r/>
            <w:r>
              <w:rPr>
                <w:rFonts w:ascii="Arial" w:hAnsi="Arial"/>
                <w:b w:val="0"/>
                <w:color w:val="111827"/>
                <w:sz w:val="17"/>
              </w:rPr>
              <w:t>-0.00693</w:t>
            </w:r>
          </w:p>
        </w:tc>
      </w:tr>
      <w:tr>
        <w:tc>
          <w:tcPr>
            <w:tcW w:type="dxa" w:w="3312"/>
            <w:vAlign w:val="center"/>
          </w:tcPr>
          <w:p>
            <w:r/>
            <w:r>
              <w:rPr>
                <w:rFonts w:ascii="Arial" w:hAnsi="Arial"/>
                <w:b w:val="0"/>
                <w:color w:val="111827"/>
                <w:sz w:val="17"/>
              </w:rPr>
              <w:t>avg_session_time</w:t>
            </w:r>
          </w:p>
        </w:tc>
        <w:tc>
          <w:tcPr>
            <w:tcW w:type="dxa" w:w="3312"/>
            <w:vAlign w:val="center"/>
          </w:tcPr>
          <w:p>
            <w:r/>
            <w:r>
              <w:rPr>
                <w:rFonts w:ascii="Arial" w:hAnsi="Arial"/>
                <w:b w:val="0"/>
                <w:color w:val="111827"/>
                <w:sz w:val="17"/>
              </w:rPr>
              <w:t>0.00896</w:t>
            </w:r>
          </w:p>
        </w:tc>
        <w:tc>
          <w:tcPr>
            <w:tcW w:type="dxa" w:w="3312"/>
            <w:vAlign w:val="center"/>
          </w:tcPr>
          <w:p>
            <w:r/>
            <w:r>
              <w:rPr>
                <w:rFonts w:ascii="Arial" w:hAnsi="Arial"/>
                <w:b w:val="0"/>
                <w:color w:val="111827"/>
                <w:sz w:val="17"/>
              </w:rPr>
              <w:t>-0.00827</w:t>
            </w:r>
          </w:p>
        </w:tc>
      </w:tr>
      <w:tr>
        <w:tc>
          <w:tcPr>
            <w:tcW w:type="dxa" w:w="3312"/>
            <w:vAlign w:val="center"/>
          </w:tcPr>
          <w:p>
            <w:r/>
            <w:r>
              <w:rPr>
                <w:rFonts w:ascii="Arial" w:hAnsi="Arial"/>
                <w:b w:val="0"/>
                <w:color w:val="111827"/>
                <w:sz w:val="17"/>
              </w:rPr>
              <w:t>avg_resolution_time</w:t>
            </w:r>
          </w:p>
        </w:tc>
        <w:tc>
          <w:tcPr>
            <w:tcW w:type="dxa" w:w="3312"/>
            <w:vAlign w:val="center"/>
          </w:tcPr>
          <w:p>
            <w:r/>
            <w:r>
              <w:rPr>
                <w:rFonts w:ascii="Arial" w:hAnsi="Arial"/>
                <w:b w:val="0"/>
                <w:color w:val="111827"/>
                <w:sz w:val="17"/>
              </w:rPr>
              <w:t>0.00805</w:t>
            </w:r>
          </w:p>
        </w:tc>
        <w:tc>
          <w:tcPr>
            <w:tcW w:type="dxa" w:w="3312"/>
            <w:vAlign w:val="center"/>
          </w:tcPr>
          <w:p>
            <w:r/>
            <w:r>
              <w:rPr>
                <w:rFonts w:ascii="Arial" w:hAnsi="Arial"/>
                <w:b w:val="0"/>
                <w:color w:val="111827"/>
                <w:sz w:val="17"/>
              </w:rPr>
              <w:t>-0.00718</w:t>
            </w:r>
          </w:p>
        </w:tc>
      </w:tr>
      <w:tr>
        <w:tc>
          <w:tcPr>
            <w:tcW w:type="dxa" w:w="3312"/>
            <w:vAlign w:val="center"/>
          </w:tcPr>
          <w:p>
            <w:r/>
            <w:r>
              <w:rPr>
                <w:rFonts w:ascii="Arial" w:hAnsi="Arial"/>
                <w:b w:val="0"/>
                <w:color w:val="111827"/>
                <w:sz w:val="17"/>
              </w:rPr>
              <w:t>nps_score</w:t>
            </w:r>
          </w:p>
        </w:tc>
        <w:tc>
          <w:tcPr>
            <w:tcW w:type="dxa" w:w="3312"/>
            <w:vAlign w:val="center"/>
          </w:tcPr>
          <w:p>
            <w:r/>
            <w:r>
              <w:rPr>
                <w:rFonts w:ascii="Arial" w:hAnsi="Arial"/>
                <w:b w:val="0"/>
                <w:color w:val="111827"/>
                <w:sz w:val="17"/>
              </w:rPr>
              <w:t>0.00742</w:t>
            </w:r>
          </w:p>
        </w:tc>
        <w:tc>
          <w:tcPr>
            <w:tcW w:type="dxa" w:w="3312"/>
            <w:vAlign w:val="center"/>
          </w:tcPr>
          <w:p>
            <w:r/>
            <w:r>
              <w:rPr>
                <w:rFonts w:ascii="Arial" w:hAnsi="Arial"/>
                <w:b w:val="0"/>
                <w:color w:val="111827"/>
                <w:sz w:val="17"/>
              </w:rPr>
              <w:t>-0.00645</w:t>
            </w:r>
          </w:p>
        </w:tc>
      </w:tr>
      <w:tr>
        <w:tc>
          <w:tcPr>
            <w:tcW w:type="dxa" w:w="3312"/>
            <w:vAlign w:val="center"/>
          </w:tcPr>
          <w:p>
            <w:r/>
            <w:r>
              <w:rPr>
                <w:rFonts w:ascii="Arial" w:hAnsi="Arial"/>
                <w:b w:val="0"/>
                <w:color w:val="111827"/>
                <w:sz w:val="17"/>
              </w:rPr>
              <w:t>usage_growth_rate</w:t>
            </w:r>
          </w:p>
        </w:tc>
        <w:tc>
          <w:tcPr>
            <w:tcW w:type="dxa" w:w="3312"/>
            <w:vAlign w:val="center"/>
          </w:tcPr>
          <w:p>
            <w:r/>
            <w:r>
              <w:rPr>
                <w:rFonts w:ascii="Arial" w:hAnsi="Arial"/>
                <w:b w:val="0"/>
                <w:color w:val="111827"/>
                <w:sz w:val="17"/>
              </w:rPr>
              <w:t>0.00737</w:t>
            </w:r>
          </w:p>
        </w:tc>
        <w:tc>
          <w:tcPr>
            <w:tcW w:type="dxa" w:w="3312"/>
            <w:vAlign w:val="center"/>
          </w:tcPr>
          <w:p>
            <w:r/>
            <w:r>
              <w:rPr>
                <w:rFonts w:ascii="Arial" w:hAnsi="Arial"/>
                <w:b w:val="0"/>
                <w:color w:val="111827"/>
                <w:sz w:val="17"/>
              </w:rPr>
              <w:t>-0.00688</w:t>
            </w:r>
          </w:p>
        </w:tc>
      </w:tr>
    </w:tbl>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shap_summary_bar.png"/>
                    <pic:cNvPicPr/>
                  </pic:nvPicPr>
                  <pic:blipFill>
                    <a:blip r:embed="rId9"/>
                    <a:stretch>
                      <a:fillRect/>
                    </a:stretch>
                  </pic:blipFill>
                  <pic:spPr>
                    <a:xfrm>
                      <a:off x="0" y="0"/>
                      <a:ext cx="6126480" cy="4084320"/>
                    </a:xfrm>
                    <a:prstGeom prst="rect"/>
                  </pic:spPr>
                </pic:pic>
              </a:graphicData>
            </a:graphic>
          </wp:inline>
        </w:drawing>
      </w:r>
    </w:p>
    <w:p>
      <w:r>
        <w:t>SHAP permet aussi d'expliquer des clients individuels. Des exemples locaux ont été exportés dans reports/shap_local_examples.csv. Cette partie répond à la demande d'interprétation du modèle et facilite la justification métier des prédictions.</w:t>
      </w:r>
    </w:p>
    <w:p>
      <w:pPr>
        <w:pStyle w:val="Heading1"/>
      </w:pPr>
      <w:r>
        <w:t>10. Dashboard et API</w:t>
      </w:r>
    </w:p>
    <w:p>
      <w:r>
        <w:t>Le dashboard Streamlit a été conçu comme un outil métier. Il contient une page de pilotage, une page de prédiction simplifiée, une comparaison des modèles, une page d'explicabilité SHAP et une exploration du dataset.</w:t>
      </w:r>
    </w:p>
    <w:p>
      <w:pPr>
        <w:pStyle w:val="ListBullet"/>
      </w:pPr>
      <w:r>
        <w:t>Page Pilotage : KPI, churn par segment, churn par contrat et variables influentes.</w:t>
      </w:r>
    </w:p>
    <w:p>
      <w:pPr>
        <w:pStyle w:val="ListBullet"/>
      </w:pPr>
      <w:r>
        <w:t>Page Prédiction : simulation simple avec peu de champs et prédiction en temps réel.</w:t>
      </w:r>
    </w:p>
    <w:p>
      <w:pPr>
        <w:pStyle w:val="ListBullet"/>
      </w:pPr>
      <w:r>
        <w:t>Page Modèles : comparaison quantitative des modèles.</w:t>
      </w:r>
    </w:p>
    <w:p>
      <w:pPr>
        <w:pStyle w:val="ListBullet"/>
      </w:pPr>
      <w:r>
        <w:t>Page Explicabilité : importance globale SHAP et exemples locaux.</w:t>
      </w:r>
    </w:p>
    <w:p>
      <w:pPr>
        <w:pStyle w:val="ListBullet"/>
      </w:pPr>
      <w:r>
        <w:t>Page Données : aperçu du dataset et statistiques descriptives.</w:t>
      </w:r>
    </w:p>
    <w:p>
      <w:r>
        <w:t>L'API FastAPI a été développée comme extension optionnelle avec des endpoints de santé, de prédiction, de prédiction batch et d'information modèle. Le dashboard ne dépend pas de cette API.</w:t>
      </w:r>
    </w:p>
    <w:p>
      <w:pPr>
        <w:pStyle w:val="Heading1"/>
      </w:pPr>
      <w:r>
        <w:t>11. Livrables et fichiers principaux</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b/>
                <w:color w:val="FFFFFF"/>
                <w:sz w:val="17"/>
              </w:rPr>
              <w:t>Fichier</w:t>
            </w:r>
          </w:p>
        </w:tc>
        <w:tc>
          <w:tcPr>
            <w:tcW w:type="dxa" w:w="4968"/>
            <w:vAlign w:val="center"/>
            <w:shd w:fill="1F4E79"/>
          </w:tcPr>
          <w:p>
            <w:r/>
            <w:r>
              <w:rPr>
                <w:rFonts w:ascii="Arial" w:hAnsi="Arial"/>
                <w:b/>
                <w:color w:val="FFFFFF"/>
                <w:sz w:val="17"/>
              </w:rPr>
              <w:t>Rôle</w:t>
            </w:r>
          </w:p>
        </w:tc>
      </w:tr>
      <w:tr>
        <w:tc>
          <w:tcPr>
            <w:tcW w:type="dxa" w:w="4968"/>
            <w:vAlign w:val="center"/>
          </w:tcPr>
          <w:p>
            <w:r/>
            <w:r>
              <w:rPr>
                <w:rFonts w:ascii="Arial" w:hAnsi="Arial"/>
                <w:b w:val="0"/>
                <w:color w:val="111827"/>
                <w:sz w:val="17"/>
              </w:rPr>
              <w:t>app/dashboard.py</w:t>
            </w:r>
          </w:p>
        </w:tc>
        <w:tc>
          <w:tcPr>
            <w:tcW w:type="dxa" w:w="4968"/>
            <w:vAlign w:val="center"/>
          </w:tcPr>
          <w:p>
            <w:r/>
            <w:r>
              <w:rPr>
                <w:rFonts w:ascii="Arial" w:hAnsi="Arial"/>
                <w:b w:val="0"/>
                <w:color w:val="111827"/>
                <w:sz w:val="17"/>
              </w:rPr>
              <w:t>Dashboard Streamlit décisionnel avec page SHAP.</w:t>
            </w:r>
          </w:p>
        </w:tc>
      </w:tr>
      <w:tr>
        <w:tc>
          <w:tcPr>
            <w:tcW w:type="dxa" w:w="4968"/>
            <w:vAlign w:val="center"/>
          </w:tcPr>
          <w:p>
            <w:r/>
            <w:r>
              <w:rPr>
                <w:rFonts w:ascii="Arial" w:hAnsi="Arial"/>
                <w:b w:val="0"/>
                <w:color w:val="111827"/>
                <w:sz w:val="17"/>
              </w:rPr>
              <w:t>app/api.py et app/routes.py</w:t>
            </w:r>
          </w:p>
        </w:tc>
        <w:tc>
          <w:tcPr>
            <w:tcW w:type="dxa" w:w="4968"/>
            <w:vAlign w:val="center"/>
          </w:tcPr>
          <w:p>
            <w:r/>
            <w:r>
              <w:rPr>
                <w:rFonts w:ascii="Arial" w:hAnsi="Arial"/>
                <w:b w:val="0"/>
                <w:color w:val="111827"/>
                <w:sz w:val="17"/>
              </w:rPr>
              <w:t>API REST optionnelle.</w:t>
            </w:r>
          </w:p>
        </w:tc>
      </w:tr>
      <w:tr>
        <w:tc>
          <w:tcPr>
            <w:tcW w:type="dxa" w:w="4968"/>
            <w:vAlign w:val="center"/>
          </w:tcPr>
          <w:p>
            <w:r/>
            <w:r>
              <w:rPr>
                <w:rFonts w:ascii="Arial" w:hAnsi="Arial"/>
                <w:b w:val="0"/>
                <w:color w:val="111827"/>
                <w:sz w:val="17"/>
              </w:rPr>
              <w:t>train_all_models.py</w:t>
            </w:r>
          </w:p>
        </w:tc>
        <w:tc>
          <w:tcPr>
            <w:tcW w:type="dxa" w:w="4968"/>
            <w:vAlign w:val="center"/>
          </w:tcPr>
          <w:p>
            <w:r/>
            <w:r>
              <w:rPr>
                <w:rFonts w:ascii="Arial" w:hAnsi="Arial"/>
                <w:b w:val="0"/>
                <w:color w:val="111827"/>
                <w:sz w:val="17"/>
              </w:rPr>
              <w:t>Entraînement initial des quatre modèles.</w:t>
            </w:r>
          </w:p>
        </w:tc>
      </w:tr>
      <w:tr>
        <w:tc>
          <w:tcPr>
            <w:tcW w:type="dxa" w:w="4968"/>
            <w:vAlign w:val="center"/>
          </w:tcPr>
          <w:p>
            <w:r/>
            <w:r>
              <w:rPr>
                <w:rFonts w:ascii="Arial" w:hAnsi="Arial"/>
                <w:b w:val="0"/>
                <w:color w:val="111827"/>
                <w:sz w:val="17"/>
              </w:rPr>
              <w:t>imbalance_study.py</w:t>
            </w:r>
          </w:p>
        </w:tc>
        <w:tc>
          <w:tcPr>
            <w:tcW w:type="dxa" w:w="4968"/>
            <w:vAlign w:val="center"/>
          </w:tcPr>
          <w:p>
            <w:r/>
            <w:r>
              <w:rPr>
                <w:rFonts w:ascii="Arial" w:hAnsi="Arial"/>
                <w:b w:val="0"/>
                <w:color w:val="111827"/>
                <w:sz w:val="17"/>
              </w:rPr>
              <w:t>Étude comparative du déséquilibre des classes.</w:t>
            </w:r>
          </w:p>
        </w:tc>
      </w:tr>
      <w:tr>
        <w:tc>
          <w:tcPr>
            <w:tcW w:type="dxa" w:w="4968"/>
            <w:vAlign w:val="center"/>
          </w:tcPr>
          <w:p>
            <w:r/>
            <w:r>
              <w:rPr>
                <w:rFonts w:ascii="Arial" w:hAnsi="Arial"/>
                <w:b w:val="0"/>
                <w:color w:val="111827"/>
                <w:sz w:val="17"/>
              </w:rPr>
              <w:t>apply_imbalance_final_model.py</w:t>
            </w:r>
          </w:p>
        </w:tc>
        <w:tc>
          <w:tcPr>
            <w:tcW w:type="dxa" w:w="4968"/>
            <w:vAlign w:val="center"/>
          </w:tcPr>
          <w:p>
            <w:r/>
            <w:r>
              <w:rPr>
                <w:rFonts w:ascii="Arial" w:hAnsi="Arial"/>
                <w:b w:val="0"/>
                <w:color w:val="111827"/>
                <w:sz w:val="17"/>
              </w:rPr>
              <w:t>Application du meilleur modèle rééquilibré.</w:t>
            </w:r>
          </w:p>
        </w:tc>
      </w:tr>
      <w:tr>
        <w:tc>
          <w:tcPr>
            <w:tcW w:type="dxa" w:w="4968"/>
            <w:vAlign w:val="center"/>
          </w:tcPr>
          <w:p>
            <w:r/>
            <w:r>
              <w:rPr>
                <w:rFonts w:ascii="Arial" w:hAnsi="Arial"/>
                <w:b w:val="0"/>
                <w:color w:val="111827"/>
                <w:sz w:val="17"/>
              </w:rPr>
              <w:t>shap_analysis.py</w:t>
            </w:r>
          </w:p>
        </w:tc>
        <w:tc>
          <w:tcPr>
            <w:tcW w:type="dxa" w:w="4968"/>
            <w:vAlign w:val="center"/>
          </w:tcPr>
          <w:p>
            <w:r/>
            <w:r>
              <w:rPr>
                <w:rFonts w:ascii="Arial" w:hAnsi="Arial"/>
                <w:b w:val="0"/>
                <w:color w:val="111827"/>
                <w:sz w:val="17"/>
              </w:rPr>
              <w:t>Calcul des explications SHAP globales et locales.</w:t>
            </w:r>
          </w:p>
        </w:tc>
      </w:tr>
      <w:tr>
        <w:tc>
          <w:tcPr>
            <w:tcW w:type="dxa" w:w="4968"/>
            <w:vAlign w:val="center"/>
          </w:tcPr>
          <w:p>
            <w:r/>
            <w:r>
              <w:rPr>
                <w:rFonts w:ascii="Arial" w:hAnsi="Arial"/>
                <w:b w:val="0"/>
                <w:color w:val="111827"/>
                <w:sz w:val="17"/>
              </w:rPr>
              <w:t>models/model_metadata.json</w:t>
            </w:r>
          </w:p>
        </w:tc>
        <w:tc>
          <w:tcPr>
            <w:tcW w:type="dxa" w:w="4968"/>
            <w:vAlign w:val="center"/>
          </w:tcPr>
          <w:p>
            <w:r/>
            <w:r>
              <w:rPr>
                <w:rFonts w:ascii="Arial" w:hAnsi="Arial"/>
                <w:b w:val="0"/>
                <w:color w:val="111827"/>
                <w:sz w:val="17"/>
              </w:rPr>
              <w:t>Métadonnées du modèle final.</w:t>
            </w:r>
          </w:p>
        </w:tc>
      </w:tr>
      <w:tr>
        <w:tc>
          <w:tcPr>
            <w:tcW w:type="dxa" w:w="4968"/>
            <w:vAlign w:val="center"/>
          </w:tcPr>
          <w:p>
            <w:r/>
            <w:r>
              <w:rPr>
                <w:rFonts w:ascii="Arial" w:hAnsi="Arial"/>
                <w:b w:val="0"/>
                <w:color w:val="111827"/>
                <w:sz w:val="17"/>
              </w:rPr>
              <w:t>reports/shap_global_importance.csv</w:t>
            </w:r>
          </w:p>
        </w:tc>
        <w:tc>
          <w:tcPr>
            <w:tcW w:type="dxa" w:w="4968"/>
            <w:vAlign w:val="center"/>
          </w:tcPr>
          <w:p>
            <w:r/>
            <w:r>
              <w:rPr>
                <w:rFonts w:ascii="Arial" w:hAnsi="Arial"/>
                <w:b w:val="0"/>
                <w:color w:val="111827"/>
                <w:sz w:val="17"/>
              </w:rPr>
              <w:t>Importance globale SHAP.</w:t>
            </w:r>
          </w:p>
        </w:tc>
      </w:tr>
      <w:tr>
        <w:tc>
          <w:tcPr>
            <w:tcW w:type="dxa" w:w="4968"/>
            <w:vAlign w:val="center"/>
          </w:tcPr>
          <w:p>
            <w:r/>
            <w:r>
              <w:rPr>
                <w:rFonts w:ascii="Arial" w:hAnsi="Arial"/>
                <w:b w:val="0"/>
                <w:color w:val="111827"/>
                <w:sz w:val="17"/>
              </w:rPr>
              <w:t>reports/shap_local_examples.csv</w:t>
            </w:r>
          </w:p>
        </w:tc>
        <w:tc>
          <w:tcPr>
            <w:tcW w:type="dxa" w:w="4968"/>
            <w:vAlign w:val="center"/>
          </w:tcPr>
          <w:p>
            <w:r/>
            <w:r>
              <w:rPr>
                <w:rFonts w:ascii="Arial" w:hAnsi="Arial"/>
                <w:b w:val="0"/>
                <w:color w:val="111827"/>
                <w:sz w:val="17"/>
              </w:rPr>
              <w:t>Exemples locaux SHAP.</w:t>
            </w:r>
          </w:p>
        </w:tc>
      </w:tr>
      <w:tr>
        <w:tc>
          <w:tcPr>
            <w:tcW w:type="dxa" w:w="4968"/>
            <w:vAlign w:val="center"/>
          </w:tcPr>
          <w:p>
            <w:r/>
            <w:r>
              <w:rPr>
                <w:rFonts w:ascii="Arial" w:hAnsi="Arial"/>
                <w:b w:val="0"/>
                <w:color w:val="111827"/>
                <w:sz w:val="17"/>
              </w:rPr>
              <w:t>reports/presentation_churn_retention.pptx</w:t>
            </w:r>
          </w:p>
        </w:tc>
        <w:tc>
          <w:tcPr>
            <w:tcW w:type="dxa" w:w="4968"/>
            <w:vAlign w:val="center"/>
          </w:tcPr>
          <w:p>
            <w:r/>
            <w:r>
              <w:rPr>
                <w:rFonts w:ascii="Arial" w:hAnsi="Arial"/>
                <w:b w:val="0"/>
                <w:color w:val="111827"/>
                <w:sz w:val="17"/>
              </w:rPr>
              <w:t>Support de présentation.</w:t>
            </w:r>
          </w:p>
        </w:tc>
      </w:tr>
    </w:tbl>
    <w:p/>
    <w:p>
      <w:pPr>
        <w:pStyle w:val="Heading1"/>
      </w:pPr>
      <w:r>
        <w:t>12. Conclusion</w:t>
      </w:r>
    </w:p>
    <w:p>
      <w:r>
        <w:t>Le projet répond aux objectifs principaux de l'énoncé et de la grille : données préparées, modèles testés, deep learning, gestion du déséquilibre, métriques adaptées, interprétabilité SHAP, dashboard interactif, API optionnelle, rapport et présentation.</w:t>
      </w:r>
    </w:p>
    <w:p>
      <w:r>
        <w:t>Le choix final privilégie la détection des clients à risque plutôt que l'accuracy brute. Cette décision est cohérente avec le contexte métier : il vaut mieux contacter certains clients faussement à risque que rater des clients qui vont réellement résilier.</w:t>
      </w:r>
    </w:p>
    <w:p>
      <w:r>
        <w:t>Les améliorations possibles seraient le suivi de dérive du modèle, un déploiement cloud complet et un versioning Git plus formalisé si le projet doit être maintenu dans la durée.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