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Système intelligent de rétention client</w:t>
      </w:r>
    </w:p>
    <w:p>
      <w:pPr>
        <w:jc w:val="center"/>
      </w:pPr>
      <w:r>
        <w:t>Projet Data Science M2 - Prédiction du churn, comparaison multi-modèles, dashboard et API optionnelle</w:t>
      </w:r>
    </w:p>
    <w:p>
      <w:pPr>
        <w:jc w:val="center"/>
      </w:pPr>
      <w:r>
        <w:t>EFREI - Data Engineering &amp; AI | Rapport généré le 04/05/2026</w:t>
      </w:r>
    </w:p>
    <w:p>
      <w:r>
        <w:br w:type="page"/>
      </w:r>
    </w:p>
    <w:p>
      <w:pPr>
        <w:pStyle w:val="Heading1"/>
      </w:pPr>
      <w:r>
        <w:t>1. Résumé exécutif</w:t>
      </w:r>
    </w:p>
    <w:p>
      <w:r>
        <w:t>Le projet construit une solution complète de rétention client autour d'une tâche de classification binaire : prédire le churn. La solution inclut un pipeline de préparation des données, une comparaison de quatre modèles supervisés dont un MLP, une analyse d'interprétabilité, un dashboard Streamlit décisionnel et une API FastAPI optionnelle.</w:t>
      </w:r>
    </w:p>
    <w:p>
      <w:pPr>
        <w:pStyle w:val="ListBullet"/>
      </w:pPr>
      <w:r>
        <w:t>Dataset utilisé : 10,000 clients et 32 colonnes, dont la cible churn.</w:t>
      </w:r>
    </w:p>
    <w:p>
      <w:pPr>
        <w:pStyle w:val="ListBullet"/>
      </w:pPr>
      <w:r>
        <w:t>Taux de churn observé : 10.2%.</w:t>
      </w:r>
    </w:p>
    <w:p>
      <w:pPr>
        <w:pStyle w:val="ListBullet"/>
      </w:pPr>
      <w:r>
        <w:t>Ratio de déséquilibre : 8.79:1 en faveur de la classe non-churn.</w:t>
      </w:r>
    </w:p>
    <w:p>
      <w:pPr>
        <w:pStyle w:val="ListBullet"/>
      </w:pPr>
      <w:r>
        <w:t>Modèle final sélectionné : Random Over-Sampling + Random Forest.</w:t>
      </w:r>
    </w:p>
    <w:p>
      <w:pPr>
        <w:pStyle w:val="ListBullet"/>
      </w:pPr>
      <w:r>
        <w:t>Performance test : Recall 0.7990, F1 0.3956, ROC-AUC 0.8010, PR-AUC 0.2679.</w:t>
      </w:r>
    </w:p>
    <w:p>
      <w:pPr>
        <w:pStyle w:val="ListBullet"/>
      </w:pPr>
      <w:r>
        <w:t>Le seuil de décision est optimisé sur validation pour éviter un F1 nul et réduire les faux négatifs.</w:t>
      </w:r>
    </w:p>
    <w:p>
      <w:pPr>
        <w:pStyle w:val="Heading1"/>
      </w:pPr>
      <w:r>
        <w:t>2. Données et problématique</w:t>
      </w:r>
    </w:p>
    <w:p>
      <w:r>
        <w:t>La variable cible est churn (0 = client conservé, 1 = client résilié). Les colonnes décrivent des dimensions démographiques, contractuelles, financières, d'engagement produit, de support client et de satisfaction.</w:t>
      </w:r>
    </w:p>
    <w:tbl>
      <w:tblPr>
        <w:tblStyle w:val="TableGrid"/>
        <w:tblW w:type="auto" w:w="0"/>
        <w:tblLook w:firstColumn="1" w:firstRow="1" w:lastColumn="0" w:lastRow="0" w:noHBand="0" w:noVBand="1" w:val="04A0"/>
      </w:tblPr>
      <w:tblGrid>
        <w:gridCol w:w="4896"/>
        <w:gridCol w:w="4896"/>
      </w:tblGrid>
      <w:tr>
        <w:tc>
          <w:tcPr>
            <w:tcW w:type="dxa" w:w="4896"/>
          </w:tcPr>
          <w:p>
            <w:r>
              <w:rPr>
                <w:rFonts w:ascii="Arial" w:hAnsi="Arial"/>
                <w:sz w:val="18"/>
              </w:rPr>
              <w:t>Indicateur</w:t>
            </w:r>
          </w:p>
        </w:tc>
        <w:tc>
          <w:tcPr>
            <w:tcW w:type="dxa" w:w="4896"/>
          </w:tcPr>
          <w:p>
            <w:r>
              <w:rPr>
                <w:rFonts w:ascii="Arial" w:hAnsi="Arial"/>
                <w:sz w:val="18"/>
              </w:rPr>
              <w:t>Valeur</w:t>
            </w:r>
          </w:p>
        </w:tc>
      </w:tr>
      <w:tr>
        <w:tc>
          <w:tcPr>
            <w:tcW w:type="dxa" w:w="4896"/>
          </w:tcPr>
          <w:p>
            <w:r>
              <w:rPr>
                <w:rFonts w:ascii="Arial" w:hAnsi="Arial"/>
                <w:sz w:val="18"/>
              </w:rPr>
              <w:t>Nombre de clients</w:t>
            </w:r>
          </w:p>
        </w:tc>
        <w:tc>
          <w:tcPr>
            <w:tcW w:type="dxa" w:w="4896"/>
          </w:tcPr>
          <w:p>
            <w:r>
              <w:rPr>
                <w:rFonts w:ascii="Arial" w:hAnsi="Arial"/>
                <w:sz w:val="18"/>
              </w:rPr>
              <w:t>10,000</w:t>
            </w:r>
          </w:p>
        </w:tc>
      </w:tr>
      <w:tr>
        <w:tc>
          <w:tcPr>
            <w:tcW w:type="dxa" w:w="4896"/>
          </w:tcPr>
          <w:p>
            <w:r>
              <w:rPr>
                <w:rFonts w:ascii="Arial" w:hAnsi="Arial"/>
                <w:sz w:val="18"/>
              </w:rPr>
              <w:t>Nombre de churners</w:t>
            </w:r>
          </w:p>
        </w:tc>
        <w:tc>
          <w:tcPr>
            <w:tcW w:type="dxa" w:w="4896"/>
          </w:tcPr>
          <w:p>
            <w:r>
              <w:rPr>
                <w:rFonts w:ascii="Arial" w:hAnsi="Arial"/>
                <w:sz w:val="18"/>
              </w:rPr>
              <w:t>1,021</w:t>
            </w:r>
          </w:p>
        </w:tc>
      </w:tr>
      <w:tr>
        <w:tc>
          <w:tcPr>
            <w:tcW w:type="dxa" w:w="4896"/>
          </w:tcPr>
          <w:p>
            <w:r>
              <w:rPr>
                <w:rFonts w:ascii="Arial" w:hAnsi="Arial"/>
                <w:sz w:val="18"/>
              </w:rPr>
              <w:t>Taux de churn</w:t>
            </w:r>
          </w:p>
        </w:tc>
        <w:tc>
          <w:tcPr>
            <w:tcW w:type="dxa" w:w="4896"/>
          </w:tcPr>
          <w:p>
            <w:r>
              <w:rPr>
                <w:rFonts w:ascii="Arial" w:hAnsi="Arial"/>
                <w:sz w:val="18"/>
              </w:rPr>
              <w:t>10.2%</w:t>
            </w:r>
          </w:p>
        </w:tc>
      </w:tr>
      <w:tr>
        <w:tc>
          <w:tcPr>
            <w:tcW w:type="dxa" w:w="4896"/>
          </w:tcPr>
          <w:p>
            <w:r>
              <w:rPr>
                <w:rFonts w:ascii="Arial" w:hAnsi="Arial"/>
                <w:sz w:val="18"/>
              </w:rPr>
              <w:t>Features utilisées par les modèles</w:t>
            </w:r>
          </w:p>
        </w:tc>
        <w:tc>
          <w:tcPr>
            <w:tcW w:type="dxa" w:w="4896"/>
          </w:tcPr>
          <w:p>
            <w:r>
              <w:rPr>
                <w:rFonts w:ascii="Arial" w:hAnsi="Arial"/>
                <w:sz w:val="18"/>
              </w:rPr>
              <w:t>30</w:t>
            </w:r>
          </w:p>
        </w:tc>
      </w:tr>
      <w:tr>
        <w:tc>
          <w:tcPr>
            <w:tcW w:type="dxa" w:w="4896"/>
          </w:tcPr>
          <w:p>
            <w:r>
              <w:rPr>
                <w:rFonts w:ascii="Arial" w:hAnsi="Arial"/>
                <w:sz w:val="18"/>
              </w:rPr>
              <w:t>Colonnes exclues</w:t>
            </w:r>
          </w:p>
        </w:tc>
        <w:tc>
          <w:tcPr>
            <w:tcW w:type="dxa" w:w="4896"/>
          </w:tcPr>
          <w:p>
            <w:r>
              <w:rPr>
                <w:rFonts w:ascii="Arial" w:hAnsi="Arial"/>
                <w:sz w:val="18"/>
              </w:rPr>
              <w:t>customer_id</w:t>
            </w:r>
          </w:p>
        </w:tc>
      </w:tr>
    </w:tbl>
    <w:p/>
    <w:p>
      <w:pPr>
        <w:pStyle w:val="Heading1"/>
      </w:pPr>
      <w:r>
        <w:t>3. Préparation des données</w:t>
      </w:r>
    </w:p>
    <w:p>
      <w:pPr>
        <w:pStyle w:val="ListBullet"/>
      </w:pPr>
      <w:r>
        <w:t>Séparation train/test stratifiée : 80% entraînement, 20% test.</w:t>
      </w:r>
    </w:p>
    <w:p>
      <w:pPr>
        <w:pStyle w:val="ListBullet"/>
      </w:pPr>
      <w:r>
        <w:t>Une sous-validation stratifiée est utilisée pour ajuster les seuils de décision.</w:t>
      </w:r>
    </w:p>
    <w:p>
      <w:pPr>
        <w:pStyle w:val="ListBullet"/>
      </w:pPr>
      <w:r>
        <w:t>Le preprocessing est intégré dans des sklearn Pipeline et ColumnTransformer.</w:t>
      </w:r>
    </w:p>
    <w:p>
      <w:pPr>
        <w:pStyle w:val="ListBullet"/>
      </w:pPr>
      <w:r>
        <w:t>StandardScaler est appliqué aux variables numériques.</w:t>
      </w:r>
    </w:p>
    <w:p>
      <w:pPr>
        <w:pStyle w:val="ListBullet"/>
      </w:pPr>
      <w:r>
        <w:t>OneHotEncoder(handle_unknown='ignore') est appliqué aux variables catégorielles.</w:t>
      </w:r>
    </w:p>
    <w:p>
      <w:pPr>
        <w:pStyle w:val="ListBullet"/>
      </w:pPr>
      <w:r>
        <w:t>Les transformations sont ajustées uniquement sur le train set, ce qui limite le data leakage.</w:t>
      </w:r>
    </w:p>
    <w:p>
      <w:pPr>
        <w:pStyle w:val="ListBullet"/>
      </w:pPr>
      <w:r>
        <w:t>customer_id est exclu car il s'agit d'un identifiant technique sans valeur prédictive métier généralisable.</w:t>
      </w:r>
    </w:p>
    <w:p>
      <w:pPr>
        <w:pStyle w:val="Heading1"/>
      </w:pPr>
      <w:r>
        <w:t>4. Gestion explicite du déséquilibre des classes</w:t>
      </w:r>
    </w:p>
    <w:p>
      <w:r>
        <w:t>Le dataset présente un déséquilibre significatif : la classe non-churn est très majoritaire. Dans ce contexte, l'accuracy seule est trompeuse. Par exemple, la baseline Logistic Regression au seuil 0.5 obtient une accuracy élevée tout en détectant presque aucun churner.</w:t>
      </w:r>
    </w:p>
    <w:tbl>
      <w:tblPr>
        <w:tblStyle w:val="TableGrid"/>
        <w:tblW w:type="auto" w:w="0"/>
        <w:tblLook w:firstColumn="1" w:firstRow="1" w:lastColumn="0" w:lastRow="0" w:noHBand="0" w:noVBand="1" w:val="04A0"/>
      </w:tblPr>
      <w:tblGrid>
        <w:gridCol w:w="4896"/>
        <w:gridCol w:w="4896"/>
      </w:tblGrid>
      <w:tr>
        <w:tc>
          <w:tcPr>
            <w:tcW w:type="dxa" w:w="4896"/>
          </w:tcPr>
          <w:p>
            <w:r>
              <w:rPr>
                <w:rFonts w:ascii="Arial" w:hAnsi="Arial"/>
                <w:sz w:val="18"/>
              </w:rPr>
              <w:t>Analyse préalable</w:t>
            </w:r>
          </w:p>
        </w:tc>
        <w:tc>
          <w:tcPr>
            <w:tcW w:type="dxa" w:w="4896"/>
          </w:tcPr>
          <w:p>
            <w:r>
              <w:rPr>
                <w:rFonts w:ascii="Arial" w:hAnsi="Arial"/>
                <w:sz w:val="18"/>
              </w:rPr>
              <w:t>Valeur</w:t>
            </w:r>
          </w:p>
        </w:tc>
      </w:tr>
      <w:tr>
        <w:tc>
          <w:tcPr>
            <w:tcW w:type="dxa" w:w="4896"/>
          </w:tcPr>
          <w:p>
            <w:r>
              <w:rPr>
                <w:rFonts w:ascii="Arial" w:hAnsi="Arial"/>
                <w:sz w:val="18"/>
              </w:rPr>
              <w:t>Classe 0 (non churn)</w:t>
            </w:r>
          </w:p>
        </w:tc>
        <w:tc>
          <w:tcPr>
            <w:tcW w:type="dxa" w:w="4896"/>
          </w:tcPr>
          <w:p>
            <w:r>
              <w:rPr>
                <w:rFonts w:ascii="Arial" w:hAnsi="Arial"/>
                <w:sz w:val="18"/>
              </w:rPr>
              <w:t>8979</w:t>
            </w:r>
          </w:p>
        </w:tc>
      </w:tr>
      <w:tr>
        <w:tc>
          <w:tcPr>
            <w:tcW w:type="dxa" w:w="4896"/>
          </w:tcPr>
          <w:p>
            <w:r>
              <w:rPr>
                <w:rFonts w:ascii="Arial" w:hAnsi="Arial"/>
                <w:sz w:val="18"/>
              </w:rPr>
              <w:t>Classe 1 (churn)</w:t>
            </w:r>
          </w:p>
        </w:tc>
        <w:tc>
          <w:tcPr>
            <w:tcW w:type="dxa" w:w="4896"/>
          </w:tcPr>
          <w:p>
            <w:r>
              <w:rPr>
                <w:rFonts w:ascii="Arial" w:hAnsi="Arial"/>
                <w:sz w:val="18"/>
              </w:rPr>
              <w:t>1021</w:t>
            </w:r>
          </w:p>
        </w:tc>
      </w:tr>
      <w:tr>
        <w:tc>
          <w:tcPr>
            <w:tcW w:type="dxa" w:w="4896"/>
          </w:tcPr>
          <w:p>
            <w:r>
              <w:rPr>
                <w:rFonts w:ascii="Arial" w:hAnsi="Arial"/>
                <w:sz w:val="18"/>
              </w:rPr>
              <w:t>Ratio majorité/minorité</w:t>
            </w:r>
          </w:p>
        </w:tc>
        <w:tc>
          <w:tcPr>
            <w:tcW w:type="dxa" w:w="4896"/>
          </w:tcPr>
          <w:p>
            <w:r>
              <w:rPr>
                <w:rFonts w:ascii="Arial" w:hAnsi="Arial"/>
                <w:sz w:val="18"/>
              </w:rPr>
              <w:t>8.79:1</w:t>
            </w:r>
          </w:p>
        </w:tc>
      </w:tr>
      <w:tr>
        <w:tc>
          <w:tcPr>
            <w:tcW w:type="dxa" w:w="4896"/>
          </w:tcPr>
          <w:p>
            <w:r>
              <w:rPr>
                <w:rFonts w:ascii="Arial" w:hAnsi="Arial"/>
                <w:sz w:val="18"/>
              </w:rPr>
              <w:t>Baseline accuracy</w:t>
            </w:r>
          </w:p>
        </w:tc>
        <w:tc>
          <w:tcPr>
            <w:tcW w:type="dxa" w:w="4896"/>
          </w:tcPr>
          <w:p>
            <w:r>
              <w:rPr>
                <w:rFonts w:ascii="Arial" w:hAnsi="Arial"/>
                <w:sz w:val="18"/>
              </w:rPr>
              <w:t>0.8965</w:t>
            </w:r>
          </w:p>
        </w:tc>
      </w:tr>
      <w:tr>
        <w:tc>
          <w:tcPr>
            <w:tcW w:type="dxa" w:w="4896"/>
          </w:tcPr>
          <w:p>
            <w:r>
              <w:rPr>
                <w:rFonts w:ascii="Arial" w:hAnsi="Arial"/>
                <w:sz w:val="18"/>
              </w:rPr>
              <w:t>Baseline recall</w:t>
            </w:r>
          </w:p>
        </w:tc>
        <w:tc>
          <w:tcPr>
            <w:tcW w:type="dxa" w:w="4896"/>
          </w:tcPr>
          <w:p>
            <w:r>
              <w:rPr>
                <w:rFonts w:ascii="Arial" w:hAnsi="Arial"/>
                <w:sz w:val="18"/>
              </w:rPr>
              <w:t>0.0098</w:t>
            </w:r>
          </w:p>
        </w:tc>
      </w:tr>
      <w:tr>
        <w:tc>
          <w:tcPr>
            <w:tcW w:type="dxa" w:w="4896"/>
          </w:tcPr>
          <w:p>
            <w:r>
              <w:rPr>
                <w:rFonts w:ascii="Arial" w:hAnsi="Arial"/>
                <w:sz w:val="18"/>
              </w:rPr>
              <w:t>Baseline F1</w:t>
            </w:r>
          </w:p>
        </w:tc>
        <w:tc>
          <w:tcPr>
            <w:tcW w:type="dxa" w:w="4896"/>
          </w:tcPr>
          <w:p>
            <w:r>
              <w:rPr>
                <w:rFonts w:ascii="Arial" w:hAnsi="Arial"/>
                <w:sz w:val="18"/>
              </w:rPr>
              <w:t>0.0190</w:t>
            </w:r>
          </w:p>
        </w:tc>
      </w:tr>
      <w:tr>
        <w:tc>
          <w:tcPr>
            <w:tcW w:type="dxa" w:w="4896"/>
          </w:tcPr>
          <w:p>
            <w:r>
              <w:rPr>
                <w:rFonts w:ascii="Arial" w:hAnsi="Arial"/>
                <w:sz w:val="18"/>
              </w:rPr>
              <w:t>Baseline PR-AUC</w:t>
            </w:r>
          </w:p>
        </w:tc>
        <w:tc>
          <w:tcPr>
            <w:tcW w:type="dxa" w:w="4896"/>
          </w:tcPr>
          <w:p>
            <w:r>
              <w:rPr>
                <w:rFonts w:ascii="Arial" w:hAnsi="Arial"/>
                <w:sz w:val="18"/>
              </w:rPr>
              <w:t>0.2392</w:t>
            </w:r>
          </w:p>
        </w:tc>
      </w:tr>
      <w:tr>
        <w:tc>
          <w:tcPr>
            <w:tcW w:type="dxa" w:w="4896"/>
          </w:tcPr>
          <w:p>
            <w:r>
              <w:rPr>
                <w:rFonts w:ascii="Arial" w:hAnsi="Arial"/>
                <w:sz w:val="18"/>
              </w:rPr>
              <w:t>Baseline faux négatifs</w:t>
            </w:r>
          </w:p>
        </w:tc>
        <w:tc>
          <w:tcPr>
            <w:tcW w:type="dxa" w:w="4896"/>
          </w:tcPr>
          <w:p>
            <w:r>
              <w:rPr>
                <w:rFonts w:ascii="Arial" w:hAnsi="Arial"/>
                <w:sz w:val="18"/>
              </w:rPr>
              <w:t>202</w:t>
            </w:r>
          </w:p>
        </w:tc>
      </w:tr>
    </w:tbl>
    <w:p/>
    <w:p>
      <w:r>
        <w:t>Les métriques retenues sont Recall, F1-score, ROC-AUC et PR-AUC. Le Recall est prioritaire car un faux négatif correspond à un client à risque non détecté. La PR-AUC est ajoutée car elle est plus informative que l'accuracy lorsque la classe positive est minoritaire.</w:t>
      </w:r>
    </w:p>
    <w:p>
      <w:r>
        <w:t>Les méthodes testées sont : pondération des classes, Random Over-Sampling, SMOTE, Random Under-Sampling et ajustement du seuil de décision. La validation croisée utilisée est une Stratified K-Fold afin de conserver les proportions de classes dans chaque fold.</w:t>
      </w:r>
    </w:p>
    <w:tbl>
      <w:tblPr>
        <w:tblStyle w:val="TableGrid"/>
        <w:tblW w:type="auto" w:w="0"/>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tcPr>
          <w:p>
            <w:r>
              <w:rPr>
                <w:rFonts w:ascii="Arial" w:hAnsi="Arial"/>
                <w:sz w:val="18"/>
              </w:rPr>
              <w:t>Stratégie</w:t>
            </w:r>
          </w:p>
        </w:tc>
        <w:tc>
          <w:tcPr>
            <w:tcW w:type="dxa" w:w="1088"/>
          </w:tcPr>
          <w:p>
            <w:r>
              <w:rPr>
                <w:rFonts w:ascii="Arial" w:hAnsi="Arial"/>
                <w:sz w:val="18"/>
              </w:rPr>
              <w:t>Modèle</w:t>
            </w:r>
          </w:p>
        </w:tc>
        <w:tc>
          <w:tcPr>
            <w:tcW w:type="dxa" w:w="1088"/>
          </w:tcPr>
          <w:p>
            <w:r>
              <w:rPr>
                <w:rFonts w:ascii="Arial" w:hAnsi="Arial"/>
                <w:sz w:val="18"/>
              </w:rPr>
              <w:t>Precision</w:t>
            </w:r>
          </w:p>
        </w:tc>
        <w:tc>
          <w:tcPr>
            <w:tcW w:type="dxa" w:w="1088"/>
          </w:tcPr>
          <w:p>
            <w:r>
              <w:rPr>
                <w:rFonts w:ascii="Arial" w:hAnsi="Arial"/>
                <w:sz w:val="18"/>
              </w:rPr>
              <w:t>Recall</w:t>
            </w:r>
          </w:p>
        </w:tc>
        <w:tc>
          <w:tcPr>
            <w:tcW w:type="dxa" w:w="1088"/>
          </w:tcPr>
          <w:p>
            <w:r>
              <w:rPr>
                <w:rFonts w:ascii="Arial" w:hAnsi="Arial"/>
                <w:sz w:val="18"/>
              </w:rPr>
              <w:t>F1</w:t>
            </w:r>
          </w:p>
        </w:tc>
        <w:tc>
          <w:tcPr>
            <w:tcW w:type="dxa" w:w="1088"/>
          </w:tcPr>
          <w:p>
            <w:r>
              <w:rPr>
                <w:rFonts w:ascii="Arial" w:hAnsi="Arial"/>
                <w:sz w:val="18"/>
              </w:rPr>
              <w:t>PR-AUC</w:t>
            </w:r>
          </w:p>
        </w:tc>
        <w:tc>
          <w:tcPr>
            <w:tcW w:type="dxa" w:w="1088"/>
          </w:tcPr>
          <w:p>
            <w:r>
              <w:rPr>
                <w:rFonts w:ascii="Arial" w:hAnsi="Arial"/>
                <w:sz w:val="18"/>
              </w:rPr>
              <w:t>Seuil</w:t>
            </w:r>
          </w:p>
        </w:tc>
        <w:tc>
          <w:tcPr>
            <w:tcW w:type="dxa" w:w="1088"/>
          </w:tcPr>
          <w:p>
            <w:r>
              <w:rPr>
                <w:rFonts w:ascii="Arial" w:hAnsi="Arial"/>
                <w:sz w:val="18"/>
              </w:rPr>
              <w:t>FP</w:t>
            </w:r>
          </w:p>
        </w:tc>
        <w:tc>
          <w:tcPr>
            <w:tcW w:type="dxa" w:w="1088"/>
          </w:tcPr>
          <w:p>
            <w:r>
              <w:rPr>
                <w:rFonts w:ascii="Arial" w:hAnsi="Arial"/>
                <w:sz w:val="18"/>
              </w:rPr>
              <w:t>FN</w:t>
            </w:r>
          </w:p>
        </w:tc>
      </w:tr>
      <w:tr>
        <w:tc>
          <w:tcPr>
            <w:tcW w:type="dxa" w:w="1088"/>
          </w:tcPr>
          <w:p>
            <w:r>
              <w:rPr>
                <w:rFonts w:ascii="Arial" w:hAnsi="Arial"/>
                <w:sz w:val="18"/>
              </w:rPr>
              <w:t>Random Over-Sampling</w:t>
            </w:r>
          </w:p>
        </w:tc>
        <w:tc>
          <w:tcPr>
            <w:tcW w:type="dxa" w:w="1088"/>
          </w:tcPr>
          <w:p>
            <w:r>
              <w:rPr>
                <w:rFonts w:ascii="Arial" w:hAnsi="Arial"/>
                <w:sz w:val="18"/>
              </w:rPr>
              <w:t>Random Forest</w:t>
            </w:r>
          </w:p>
        </w:tc>
        <w:tc>
          <w:tcPr>
            <w:tcW w:type="dxa" w:w="1088"/>
          </w:tcPr>
          <w:p>
            <w:r>
              <w:rPr>
                <w:rFonts w:ascii="Arial" w:hAnsi="Arial"/>
                <w:sz w:val="18"/>
              </w:rPr>
              <w:t>0.2629</w:t>
            </w:r>
          </w:p>
        </w:tc>
        <w:tc>
          <w:tcPr>
            <w:tcW w:type="dxa" w:w="1088"/>
          </w:tcPr>
          <w:p>
            <w:r>
              <w:rPr>
                <w:rFonts w:ascii="Arial" w:hAnsi="Arial"/>
                <w:sz w:val="18"/>
              </w:rPr>
              <w:t>0.7990</w:t>
            </w:r>
          </w:p>
        </w:tc>
        <w:tc>
          <w:tcPr>
            <w:tcW w:type="dxa" w:w="1088"/>
          </w:tcPr>
          <w:p>
            <w:r>
              <w:rPr>
                <w:rFonts w:ascii="Arial" w:hAnsi="Arial"/>
                <w:sz w:val="18"/>
              </w:rPr>
              <w:t>0.3956</w:t>
            </w:r>
          </w:p>
        </w:tc>
        <w:tc>
          <w:tcPr>
            <w:tcW w:type="dxa" w:w="1088"/>
          </w:tcPr>
          <w:p>
            <w:r>
              <w:rPr>
                <w:rFonts w:ascii="Arial" w:hAnsi="Arial"/>
                <w:sz w:val="18"/>
              </w:rPr>
              <w:t>0.2679</w:t>
            </w:r>
          </w:p>
        </w:tc>
        <w:tc>
          <w:tcPr>
            <w:tcW w:type="dxa" w:w="1088"/>
          </w:tcPr>
          <w:p>
            <w:r>
              <w:rPr>
                <w:rFonts w:ascii="Arial" w:hAnsi="Arial"/>
                <w:sz w:val="18"/>
              </w:rPr>
              <w:t>0.390</w:t>
            </w:r>
          </w:p>
        </w:tc>
        <w:tc>
          <w:tcPr>
            <w:tcW w:type="dxa" w:w="1088"/>
          </w:tcPr>
          <w:p>
            <w:r>
              <w:rPr>
                <w:rFonts w:ascii="Arial" w:hAnsi="Arial"/>
                <w:sz w:val="18"/>
              </w:rPr>
              <w:t>457</w:t>
            </w:r>
          </w:p>
        </w:tc>
        <w:tc>
          <w:tcPr>
            <w:tcW w:type="dxa" w:w="1088"/>
          </w:tcPr>
          <w:p>
            <w:r>
              <w:rPr>
                <w:rFonts w:ascii="Arial" w:hAnsi="Arial"/>
                <w:sz w:val="18"/>
              </w:rPr>
              <w:t>41</w:t>
            </w:r>
          </w:p>
        </w:tc>
      </w:tr>
      <w:tr>
        <w:tc>
          <w:tcPr>
            <w:tcW w:type="dxa" w:w="1088"/>
          </w:tcPr>
          <w:p>
            <w:r>
              <w:rPr>
                <w:rFonts w:ascii="Arial" w:hAnsi="Arial"/>
                <w:sz w:val="18"/>
              </w:rPr>
              <w:t>Random Under-Sampling</w:t>
            </w:r>
          </w:p>
        </w:tc>
        <w:tc>
          <w:tcPr>
            <w:tcW w:type="dxa" w:w="1088"/>
          </w:tcPr>
          <w:p>
            <w:r>
              <w:rPr>
                <w:rFonts w:ascii="Arial" w:hAnsi="Arial"/>
                <w:sz w:val="18"/>
              </w:rPr>
              <w:t>Random Forest</w:t>
            </w:r>
          </w:p>
        </w:tc>
        <w:tc>
          <w:tcPr>
            <w:tcW w:type="dxa" w:w="1088"/>
          </w:tcPr>
          <w:p>
            <w:r>
              <w:rPr>
                <w:rFonts w:ascii="Arial" w:hAnsi="Arial"/>
                <w:sz w:val="18"/>
              </w:rPr>
              <w:t>0.2630</w:t>
            </w:r>
          </w:p>
        </w:tc>
        <w:tc>
          <w:tcPr>
            <w:tcW w:type="dxa" w:w="1088"/>
          </w:tcPr>
          <w:p>
            <w:r>
              <w:rPr>
                <w:rFonts w:ascii="Arial" w:hAnsi="Arial"/>
                <w:sz w:val="18"/>
              </w:rPr>
              <w:t>0.7696</w:t>
            </w:r>
          </w:p>
        </w:tc>
        <w:tc>
          <w:tcPr>
            <w:tcW w:type="dxa" w:w="1088"/>
          </w:tcPr>
          <w:p>
            <w:r>
              <w:rPr>
                <w:rFonts w:ascii="Arial" w:hAnsi="Arial"/>
                <w:sz w:val="18"/>
              </w:rPr>
              <w:t>0.3920</w:t>
            </w:r>
          </w:p>
        </w:tc>
        <w:tc>
          <w:tcPr>
            <w:tcW w:type="dxa" w:w="1088"/>
          </w:tcPr>
          <w:p>
            <w:r>
              <w:rPr>
                <w:rFonts w:ascii="Arial" w:hAnsi="Arial"/>
                <w:sz w:val="18"/>
              </w:rPr>
              <w:t>0.3064</w:t>
            </w:r>
          </w:p>
        </w:tc>
        <w:tc>
          <w:tcPr>
            <w:tcW w:type="dxa" w:w="1088"/>
          </w:tcPr>
          <w:p>
            <w:r>
              <w:rPr>
                <w:rFonts w:ascii="Arial" w:hAnsi="Arial"/>
                <w:sz w:val="18"/>
              </w:rPr>
              <w:t>0.550</w:t>
            </w:r>
          </w:p>
        </w:tc>
        <w:tc>
          <w:tcPr>
            <w:tcW w:type="dxa" w:w="1088"/>
          </w:tcPr>
          <w:p>
            <w:r>
              <w:rPr>
                <w:rFonts w:ascii="Arial" w:hAnsi="Arial"/>
                <w:sz w:val="18"/>
              </w:rPr>
              <w:t>440</w:t>
            </w:r>
          </w:p>
        </w:tc>
        <w:tc>
          <w:tcPr>
            <w:tcW w:type="dxa" w:w="1088"/>
          </w:tcPr>
          <w:p>
            <w:r>
              <w:rPr>
                <w:rFonts w:ascii="Arial" w:hAnsi="Arial"/>
                <w:sz w:val="18"/>
              </w:rPr>
              <w:t>47</w:t>
            </w:r>
          </w:p>
        </w:tc>
      </w:tr>
      <w:tr>
        <w:tc>
          <w:tcPr>
            <w:tcW w:type="dxa" w:w="1088"/>
          </w:tcPr>
          <w:p>
            <w:r>
              <w:rPr>
                <w:rFonts w:ascii="Arial" w:hAnsi="Arial"/>
                <w:sz w:val="18"/>
              </w:rPr>
              <w:t>Class Weight</w:t>
            </w:r>
          </w:p>
        </w:tc>
        <w:tc>
          <w:tcPr>
            <w:tcW w:type="dxa" w:w="1088"/>
          </w:tcPr>
          <w:p>
            <w:r>
              <w:rPr>
                <w:rFonts w:ascii="Arial" w:hAnsi="Arial"/>
                <w:sz w:val="18"/>
              </w:rPr>
              <w:t>Random Forest</w:t>
            </w:r>
          </w:p>
        </w:tc>
        <w:tc>
          <w:tcPr>
            <w:tcW w:type="dxa" w:w="1088"/>
          </w:tcPr>
          <w:p>
            <w:r>
              <w:rPr>
                <w:rFonts w:ascii="Arial" w:hAnsi="Arial"/>
                <w:sz w:val="18"/>
              </w:rPr>
              <w:t>0.2478</w:t>
            </w:r>
          </w:p>
        </w:tc>
        <w:tc>
          <w:tcPr>
            <w:tcW w:type="dxa" w:w="1088"/>
          </w:tcPr>
          <w:p>
            <w:r>
              <w:rPr>
                <w:rFonts w:ascii="Arial" w:hAnsi="Arial"/>
                <w:sz w:val="18"/>
              </w:rPr>
              <w:t>0.8186</w:t>
            </w:r>
          </w:p>
        </w:tc>
        <w:tc>
          <w:tcPr>
            <w:tcW w:type="dxa" w:w="1088"/>
          </w:tcPr>
          <w:p>
            <w:r>
              <w:rPr>
                <w:rFonts w:ascii="Arial" w:hAnsi="Arial"/>
                <w:sz w:val="18"/>
              </w:rPr>
              <w:t>0.3804</w:t>
            </w:r>
          </w:p>
        </w:tc>
        <w:tc>
          <w:tcPr>
            <w:tcW w:type="dxa" w:w="1088"/>
          </w:tcPr>
          <w:p>
            <w:r>
              <w:rPr>
                <w:rFonts w:ascii="Arial" w:hAnsi="Arial"/>
                <w:sz w:val="18"/>
              </w:rPr>
              <w:t>0.2640</w:t>
            </w:r>
          </w:p>
        </w:tc>
        <w:tc>
          <w:tcPr>
            <w:tcW w:type="dxa" w:w="1088"/>
          </w:tcPr>
          <w:p>
            <w:r>
              <w:rPr>
                <w:rFonts w:ascii="Arial" w:hAnsi="Arial"/>
                <w:sz w:val="18"/>
              </w:rPr>
              <w:t>0.310</w:t>
            </w:r>
          </w:p>
        </w:tc>
        <w:tc>
          <w:tcPr>
            <w:tcW w:type="dxa" w:w="1088"/>
          </w:tcPr>
          <w:p>
            <w:r>
              <w:rPr>
                <w:rFonts w:ascii="Arial" w:hAnsi="Arial"/>
                <w:sz w:val="18"/>
              </w:rPr>
              <w:t>507</w:t>
            </w:r>
          </w:p>
        </w:tc>
        <w:tc>
          <w:tcPr>
            <w:tcW w:type="dxa" w:w="1088"/>
          </w:tcPr>
          <w:p>
            <w:r>
              <w:rPr>
                <w:rFonts w:ascii="Arial" w:hAnsi="Arial"/>
                <w:sz w:val="18"/>
              </w:rPr>
              <w:t>37</w:t>
            </w:r>
          </w:p>
        </w:tc>
      </w:tr>
      <w:tr>
        <w:tc>
          <w:tcPr>
            <w:tcW w:type="dxa" w:w="1088"/>
          </w:tcPr>
          <w:p>
            <w:r>
              <w:rPr>
                <w:rFonts w:ascii="Arial" w:hAnsi="Arial"/>
                <w:sz w:val="18"/>
              </w:rPr>
              <w:t>Baseline</w:t>
            </w:r>
          </w:p>
        </w:tc>
        <w:tc>
          <w:tcPr>
            <w:tcW w:type="dxa" w:w="1088"/>
          </w:tcPr>
          <w:p>
            <w:r>
              <w:rPr>
                <w:rFonts w:ascii="Arial" w:hAnsi="Arial"/>
                <w:sz w:val="18"/>
              </w:rPr>
              <w:t>Gradient Boosting</w:t>
            </w:r>
          </w:p>
        </w:tc>
        <w:tc>
          <w:tcPr>
            <w:tcW w:type="dxa" w:w="1088"/>
          </w:tcPr>
          <w:p>
            <w:r>
              <w:rPr>
                <w:rFonts w:ascii="Arial" w:hAnsi="Arial"/>
                <w:sz w:val="18"/>
              </w:rPr>
              <w:t>0.2460</w:t>
            </w:r>
          </w:p>
        </w:tc>
        <w:tc>
          <w:tcPr>
            <w:tcW w:type="dxa" w:w="1088"/>
          </w:tcPr>
          <w:p>
            <w:r>
              <w:rPr>
                <w:rFonts w:ascii="Arial" w:hAnsi="Arial"/>
                <w:sz w:val="18"/>
              </w:rPr>
              <w:t>0.8235</w:t>
            </w:r>
          </w:p>
        </w:tc>
        <w:tc>
          <w:tcPr>
            <w:tcW w:type="dxa" w:w="1088"/>
          </w:tcPr>
          <w:p>
            <w:r>
              <w:rPr>
                <w:rFonts w:ascii="Arial" w:hAnsi="Arial"/>
                <w:sz w:val="18"/>
              </w:rPr>
              <w:t>0.3788</w:t>
            </w:r>
          </w:p>
        </w:tc>
        <w:tc>
          <w:tcPr>
            <w:tcW w:type="dxa" w:w="1088"/>
          </w:tcPr>
          <w:p>
            <w:r>
              <w:rPr>
                <w:rFonts w:ascii="Arial" w:hAnsi="Arial"/>
                <w:sz w:val="18"/>
              </w:rPr>
              <w:t>0.3185</w:t>
            </w:r>
          </w:p>
        </w:tc>
        <w:tc>
          <w:tcPr>
            <w:tcW w:type="dxa" w:w="1088"/>
          </w:tcPr>
          <w:p>
            <w:r>
              <w:rPr>
                <w:rFonts w:ascii="Arial" w:hAnsi="Arial"/>
                <w:sz w:val="18"/>
              </w:rPr>
              <w:t>0.135</w:t>
            </w:r>
          </w:p>
        </w:tc>
        <w:tc>
          <w:tcPr>
            <w:tcW w:type="dxa" w:w="1088"/>
          </w:tcPr>
          <w:p>
            <w:r>
              <w:rPr>
                <w:rFonts w:ascii="Arial" w:hAnsi="Arial"/>
                <w:sz w:val="18"/>
              </w:rPr>
              <w:t>515</w:t>
            </w:r>
          </w:p>
        </w:tc>
        <w:tc>
          <w:tcPr>
            <w:tcW w:type="dxa" w:w="1088"/>
          </w:tcPr>
          <w:p>
            <w:r>
              <w:rPr>
                <w:rFonts w:ascii="Arial" w:hAnsi="Arial"/>
                <w:sz w:val="18"/>
              </w:rPr>
              <w:t>36</w:t>
            </w:r>
          </w:p>
        </w:tc>
      </w:tr>
      <w:tr>
        <w:tc>
          <w:tcPr>
            <w:tcW w:type="dxa" w:w="1088"/>
          </w:tcPr>
          <w:p>
            <w:r>
              <w:rPr>
                <w:rFonts w:ascii="Arial" w:hAnsi="Arial"/>
                <w:sz w:val="18"/>
              </w:rPr>
              <w:t>SMOTE</w:t>
            </w:r>
          </w:p>
        </w:tc>
        <w:tc>
          <w:tcPr>
            <w:tcW w:type="dxa" w:w="1088"/>
          </w:tcPr>
          <w:p>
            <w:r>
              <w:rPr>
                <w:rFonts w:ascii="Arial" w:hAnsi="Arial"/>
                <w:sz w:val="18"/>
              </w:rPr>
              <w:t>Random Forest</w:t>
            </w:r>
          </w:p>
        </w:tc>
        <w:tc>
          <w:tcPr>
            <w:tcW w:type="dxa" w:w="1088"/>
          </w:tcPr>
          <w:p>
            <w:r>
              <w:rPr>
                <w:rFonts w:ascii="Arial" w:hAnsi="Arial"/>
                <w:sz w:val="18"/>
              </w:rPr>
              <w:t>0.2458</w:t>
            </w:r>
          </w:p>
        </w:tc>
        <w:tc>
          <w:tcPr>
            <w:tcW w:type="dxa" w:w="1088"/>
          </w:tcPr>
          <w:p>
            <w:r>
              <w:rPr>
                <w:rFonts w:ascii="Arial" w:hAnsi="Arial"/>
                <w:sz w:val="18"/>
              </w:rPr>
              <w:t>0.7843</w:t>
            </w:r>
          </w:p>
        </w:tc>
        <w:tc>
          <w:tcPr>
            <w:tcW w:type="dxa" w:w="1088"/>
          </w:tcPr>
          <w:p>
            <w:r>
              <w:rPr>
                <w:rFonts w:ascii="Arial" w:hAnsi="Arial"/>
                <w:sz w:val="18"/>
              </w:rPr>
              <w:t>0.3743</w:t>
            </w:r>
          </w:p>
        </w:tc>
        <w:tc>
          <w:tcPr>
            <w:tcW w:type="dxa" w:w="1088"/>
          </w:tcPr>
          <w:p>
            <w:r>
              <w:rPr>
                <w:rFonts w:ascii="Arial" w:hAnsi="Arial"/>
                <w:sz w:val="18"/>
              </w:rPr>
              <w:t>0.2630</w:t>
            </w:r>
          </w:p>
        </w:tc>
        <w:tc>
          <w:tcPr>
            <w:tcW w:type="dxa" w:w="1088"/>
          </w:tcPr>
          <w:p>
            <w:r>
              <w:rPr>
                <w:rFonts w:ascii="Arial" w:hAnsi="Arial"/>
                <w:sz w:val="18"/>
              </w:rPr>
              <w:t>0.235</w:t>
            </w:r>
          </w:p>
        </w:tc>
        <w:tc>
          <w:tcPr>
            <w:tcW w:type="dxa" w:w="1088"/>
          </w:tcPr>
          <w:p>
            <w:r>
              <w:rPr>
                <w:rFonts w:ascii="Arial" w:hAnsi="Arial"/>
                <w:sz w:val="18"/>
              </w:rPr>
              <w:t>491</w:t>
            </w:r>
          </w:p>
        </w:tc>
        <w:tc>
          <w:tcPr>
            <w:tcW w:type="dxa" w:w="1088"/>
          </w:tcPr>
          <w:p>
            <w:r>
              <w:rPr>
                <w:rFonts w:ascii="Arial" w:hAnsi="Arial"/>
                <w:sz w:val="18"/>
              </w:rPr>
              <w:t>44</w:t>
            </w:r>
          </w:p>
        </w:tc>
      </w:tr>
    </w:tbl>
    <w:p/>
    <w:p>
      <w:r>
        <w:t>L'approche finale retenue est Random Over-Sampling + Random Forest. Elle maximise le F1 parmi les stratégies testées tout en conservant un recall élevé. Le compromis métier accepté est une hausse des faux positifs pour réduire les faux négatifs, car contacter un client faussement à risque coûte moins cher que perdre un client réellement churner.</w:t>
      </w:r>
    </w:p>
    <w:p>
      <w:pPr>
        <w:pStyle w:val="Heading1"/>
      </w:pPr>
      <w:r>
        <w:t>5. Modélisation multi-algorithmes</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rPr>
                <w:rFonts w:ascii="Arial" w:hAnsi="Arial"/>
                <w:sz w:val="18"/>
              </w:rPr>
              <w:t>Modèle</w:t>
            </w:r>
          </w:p>
        </w:tc>
        <w:tc>
          <w:tcPr>
            <w:tcW w:type="dxa" w:w="1399"/>
          </w:tcPr>
          <w:p>
            <w:r>
              <w:rPr>
                <w:rFonts w:ascii="Arial" w:hAnsi="Arial"/>
                <w:sz w:val="18"/>
              </w:rPr>
              <w:t>Accuracy</w:t>
            </w:r>
          </w:p>
        </w:tc>
        <w:tc>
          <w:tcPr>
            <w:tcW w:type="dxa" w:w="1399"/>
          </w:tcPr>
          <w:p>
            <w:r>
              <w:rPr>
                <w:rFonts w:ascii="Arial" w:hAnsi="Arial"/>
                <w:sz w:val="18"/>
              </w:rPr>
              <w:t>Precision</w:t>
            </w:r>
          </w:p>
        </w:tc>
        <w:tc>
          <w:tcPr>
            <w:tcW w:type="dxa" w:w="1399"/>
          </w:tcPr>
          <w:p>
            <w:r>
              <w:rPr>
                <w:rFonts w:ascii="Arial" w:hAnsi="Arial"/>
                <w:sz w:val="18"/>
              </w:rPr>
              <w:t>Recall</w:t>
            </w:r>
          </w:p>
        </w:tc>
        <w:tc>
          <w:tcPr>
            <w:tcW w:type="dxa" w:w="1399"/>
          </w:tcPr>
          <w:p>
            <w:r>
              <w:rPr>
                <w:rFonts w:ascii="Arial" w:hAnsi="Arial"/>
                <w:sz w:val="18"/>
              </w:rPr>
              <w:t>F1</w:t>
            </w:r>
          </w:p>
        </w:tc>
        <w:tc>
          <w:tcPr>
            <w:tcW w:type="dxa" w:w="1399"/>
          </w:tcPr>
          <w:p>
            <w:r>
              <w:rPr>
                <w:rFonts w:ascii="Arial" w:hAnsi="Arial"/>
                <w:sz w:val="18"/>
              </w:rPr>
              <w:t>ROC-AUC</w:t>
            </w:r>
          </w:p>
        </w:tc>
        <w:tc>
          <w:tcPr>
            <w:tcW w:type="dxa" w:w="1399"/>
          </w:tcPr>
          <w:p>
            <w:r>
              <w:rPr>
                <w:rFonts w:ascii="Arial" w:hAnsi="Arial"/>
                <w:sz w:val="18"/>
              </w:rPr>
              <w:t>Seuil</w:t>
            </w:r>
          </w:p>
        </w:tc>
      </w:tr>
      <w:tr>
        <w:tc>
          <w:tcPr>
            <w:tcW w:type="dxa" w:w="1399"/>
          </w:tcPr>
          <w:p>
            <w:r>
              <w:rPr>
                <w:rFonts w:ascii="Arial" w:hAnsi="Arial"/>
                <w:sz w:val="18"/>
              </w:rPr>
              <w:t>Logistic Regression</w:t>
            </w:r>
          </w:p>
        </w:tc>
        <w:tc>
          <w:tcPr>
            <w:tcW w:type="dxa" w:w="1399"/>
          </w:tcPr>
          <w:p>
            <w:r>
              <w:rPr>
                <w:rFonts w:ascii="Arial" w:hAnsi="Arial"/>
                <w:sz w:val="18"/>
              </w:rPr>
              <w:t>0.7680</w:t>
            </w:r>
          </w:p>
        </w:tc>
        <w:tc>
          <w:tcPr>
            <w:tcW w:type="dxa" w:w="1399"/>
          </w:tcPr>
          <w:p>
            <w:r>
              <w:rPr>
                <w:rFonts w:ascii="Arial" w:hAnsi="Arial"/>
                <w:sz w:val="18"/>
              </w:rPr>
              <w:t>0.2124</w:t>
            </w:r>
          </w:p>
        </w:tc>
        <w:tc>
          <w:tcPr>
            <w:tcW w:type="dxa" w:w="1399"/>
          </w:tcPr>
          <w:p>
            <w:r>
              <w:rPr>
                <w:rFonts w:ascii="Arial" w:hAnsi="Arial"/>
                <w:sz w:val="18"/>
              </w:rPr>
              <w:t>0.4706</w:t>
            </w:r>
          </w:p>
        </w:tc>
        <w:tc>
          <w:tcPr>
            <w:tcW w:type="dxa" w:w="1399"/>
          </w:tcPr>
          <w:p>
            <w:r>
              <w:rPr>
                <w:rFonts w:ascii="Arial" w:hAnsi="Arial"/>
                <w:sz w:val="18"/>
              </w:rPr>
              <w:t>0.2927</w:t>
            </w:r>
          </w:p>
        </w:tc>
        <w:tc>
          <w:tcPr>
            <w:tcW w:type="dxa" w:w="1399"/>
          </w:tcPr>
          <w:p>
            <w:r>
              <w:rPr>
                <w:rFonts w:ascii="Arial" w:hAnsi="Arial"/>
                <w:sz w:val="18"/>
              </w:rPr>
              <w:t>0.7245</w:t>
            </w:r>
          </w:p>
        </w:tc>
        <w:tc>
          <w:tcPr>
            <w:tcW w:type="dxa" w:w="1399"/>
          </w:tcPr>
          <w:p>
            <w:r>
              <w:rPr>
                <w:rFonts w:ascii="Arial" w:hAnsi="Arial"/>
                <w:sz w:val="18"/>
              </w:rPr>
              <w:t>0.600</w:t>
            </w:r>
          </w:p>
        </w:tc>
      </w:tr>
      <w:tr>
        <w:tc>
          <w:tcPr>
            <w:tcW w:type="dxa" w:w="1399"/>
          </w:tcPr>
          <w:p>
            <w:r>
              <w:rPr>
                <w:rFonts w:ascii="Arial" w:hAnsi="Arial"/>
                <w:sz w:val="18"/>
              </w:rPr>
              <w:t>Random Forest</w:t>
            </w:r>
          </w:p>
        </w:tc>
        <w:tc>
          <w:tcPr>
            <w:tcW w:type="dxa" w:w="1399"/>
          </w:tcPr>
          <w:p>
            <w:r>
              <w:rPr>
                <w:rFonts w:ascii="Arial" w:hAnsi="Arial"/>
                <w:sz w:val="18"/>
              </w:rPr>
              <w:t>0.7320</w:t>
            </w:r>
          </w:p>
        </w:tc>
        <w:tc>
          <w:tcPr>
            <w:tcW w:type="dxa" w:w="1399"/>
          </w:tcPr>
          <w:p>
            <w:r>
              <w:rPr>
                <w:rFonts w:ascii="Arial" w:hAnsi="Arial"/>
                <w:sz w:val="18"/>
              </w:rPr>
              <w:t>0.2500</w:t>
            </w:r>
          </w:p>
        </w:tc>
        <w:tc>
          <w:tcPr>
            <w:tcW w:type="dxa" w:w="1399"/>
          </w:tcPr>
          <w:p>
            <w:r>
              <w:rPr>
                <w:rFonts w:ascii="Arial" w:hAnsi="Arial"/>
                <w:sz w:val="18"/>
              </w:rPr>
              <w:t>0.8137</w:t>
            </w:r>
          </w:p>
        </w:tc>
        <w:tc>
          <w:tcPr>
            <w:tcW w:type="dxa" w:w="1399"/>
          </w:tcPr>
          <w:p>
            <w:r>
              <w:rPr>
                <w:rFonts w:ascii="Arial" w:hAnsi="Arial"/>
                <w:sz w:val="18"/>
              </w:rPr>
              <w:t>0.3825</w:t>
            </w:r>
          </w:p>
        </w:tc>
        <w:tc>
          <w:tcPr>
            <w:tcW w:type="dxa" w:w="1399"/>
          </w:tcPr>
          <w:p>
            <w:r>
              <w:rPr>
                <w:rFonts w:ascii="Arial" w:hAnsi="Arial"/>
                <w:sz w:val="18"/>
              </w:rPr>
              <w:t>0.7890</w:t>
            </w:r>
          </w:p>
        </w:tc>
        <w:tc>
          <w:tcPr>
            <w:tcW w:type="dxa" w:w="1399"/>
          </w:tcPr>
          <w:p>
            <w:r>
              <w:rPr>
                <w:rFonts w:ascii="Arial" w:hAnsi="Arial"/>
                <w:sz w:val="18"/>
              </w:rPr>
              <w:t>0.325</w:t>
            </w:r>
          </w:p>
        </w:tc>
      </w:tr>
      <w:tr>
        <w:tc>
          <w:tcPr>
            <w:tcW w:type="dxa" w:w="1399"/>
          </w:tcPr>
          <w:p>
            <w:r>
              <w:rPr>
                <w:rFonts w:ascii="Arial" w:hAnsi="Arial"/>
                <w:sz w:val="18"/>
              </w:rPr>
              <w:t>Gradient Boosting</w:t>
            </w:r>
          </w:p>
        </w:tc>
        <w:tc>
          <w:tcPr>
            <w:tcW w:type="dxa" w:w="1399"/>
          </w:tcPr>
          <w:p>
            <w:r>
              <w:rPr>
                <w:rFonts w:ascii="Arial" w:hAnsi="Arial"/>
                <w:sz w:val="18"/>
              </w:rPr>
              <w:t>0.7180</w:t>
            </w:r>
          </w:p>
        </w:tc>
        <w:tc>
          <w:tcPr>
            <w:tcW w:type="dxa" w:w="1399"/>
          </w:tcPr>
          <w:p>
            <w:r>
              <w:rPr>
                <w:rFonts w:ascii="Arial" w:hAnsi="Arial"/>
                <w:sz w:val="18"/>
              </w:rPr>
              <w:t>0.2450</w:t>
            </w:r>
          </w:p>
        </w:tc>
        <w:tc>
          <w:tcPr>
            <w:tcW w:type="dxa" w:w="1399"/>
          </w:tcPr>
          <w:p>
            <w:r>
              <w:rPr>
                <w:rFonts w:ascii="Arial" w:hAnsi="Arial"/>
                <w:sz w:val="18"/>
              </w:rPr>
              <w:t>0.8480</w:t>
            </w:r>
          </w:p>
        </w:tc>
        <w:tc>
          <w:tcPr>
            <w:tcW w:type="dxa" w:w="1399"/>
          </w:tcPr>
          <w:p>
            <w:r>
              <w:rPr>
                <w:rFonts w:ascii="Arial" w:hAnsi="Arial"/>
                <w:sz w:val="18"/>
              </w:rPr>
              <w:t>0.3802</w:t>
            </w:r>
          </w:p>
        </w:tc>
        <w:tc>
          <w:tcPr>
            <w:tcW w:type="dxa" w:w="1399"/>
          </w:tcPr>
          <w:p>
            <w:r>
              <w:rPr>
                <w:rFonts w:ascii="Arial" w:hAnsi="Arial"/>
                <w:sz w:val="18"/>
              </w:rPr>
              <w:t>0.8058</w:t>
            </w:r>
          </w:p>
        </w:tc>
        <w:tc>
          <w:tcPr>
            <w:tcW w:type="dxa" w:w="1399"/>
          </w:tcPr>
          <w:p>
            <w:r>
              <w:rPr>
                <w:rFonts w:ascii="Arial" w:hAnsi="Arial"/>
                <w:sz w:val="18"/>
              </w:rPr>
              <w:t>0.115</w:t>
            </w:r>
          </w:p>
        </w:tc>
      </w:tr>
      <w:tr>
        <w:tc>
          <w:tcPr>
            <w:tcW w:type="dxa" w:w="1399"/>
          </w:tcPr>
          <w:p>
            <w:r>
              <w:rPr>
                <w:rFonts w:ascii="Arial" w:hAnsi="Arial"/>
                <w:sz w:val="18"/>
              </w:rPr>
              <w:t>MLP</w:t>
            </w:r>
          </w:p>
        </w:tc>
        <w:tc>
          <w:tcPr>
            <w:tcW w:type="dxa" w:w="1399"/>
          </w:tcPr>
          <w:p>
            <w:r>
              <w:rPr>
                <w:rFonts w:ascii="Arial" w:hAnsi="Arial"/>
                <w:sz w:val="18"/>
              </w:rPr>
              <w:t>0.6940</w:t>
            </w:r>
          </w:p>
        </w:tc>
        <w:tc>
          <w:tcPr>
            <w:tcW w:type="dxa" w:w="1399"/>
          </w:tcPr>
          <w:p>
            <w:r>
              <w:rPr>
                <w:rFonts w:ascii="Arial" w:hAnsi="Arial"/>
                <w:sz w:val="18"/>
              </w:rPr>
              <w:t>0.1928</w:t>
            </w:r>
          </w:p>
        </w:tc>
        <w:tc>
          <w:tcPr>
            <w:tcW w:type="dxa" w:w="1399"/>
          </w:tcPr>
          <w:p>
            <w:r>
              <w:rPr>
                <w:rFonts w:ascii="Arial" w:hAnsi="Arial"/>
                <w:sz w:val="18"/>
              </w:rPr>
              <w:t>0.6275</w:t>
            </w:r>
          </w:p>
        </w:tc>
        <w:tc>
          <w:tcPr>
            <w:tcW w:type="dxa" w:w="1399"/>
          </w:tcPr>
          <w:p>
            <w:r>
              <w:rPr>
                <w:rFonts w:ascii="Arial" w:hAnsi="Arial"/>
                <w:sz w:val="18"/>
              </w:rPr>
              <w:t>0.2949</w:t>
            </w:r>
          </w:p>
        </w:tc>
        <w:tc>
          <w:tcPr>
            <w:tcW w:type="dxa" w:w="1399"/>
          </w:tcPr>
          <w:p>
            <w:r>
              <w:rPr>
                <w:rFonts w:ascii="Arial" w:hAnsi="Arial"/>
                <w:sz w:val="18"/>
              </w:rPr>
              <w:t>0.7055</w:t>
            </w:r>
          </w:p>
        </w:tc>
        <w:tc>
          <w:tcPr>
            <w:tcW w:type="dxa" w:w="1399"/>
          </w:tcPr>
          <w:p>
            <w:r>
              <w:rPr>
                <w:rFonts w:ascii="Arial" w:hAnsi="Arial"/>
                <w:sz w:val="18"/>
              </w:rPr>
              <w:t>0.115</w:t>
            </w:r>
          </w:p>
        </w:tc>
      </w:tr>
    </w:tbl>
    <w:p/>
    <w:p>
      <w:r>
        <w:t>La comparaison montre que les modèles d'ensemble sont les plus adaptés à ce dataset tabulaire. Le modèle Deep Learning MLP est conservé dans l'analyse pour satisfaire l'exigence pédagogique et démontrer que le Deep Learning n'est pas automatiquement supérieur sur des données structurées.</w:t>
      </w:r>
    </w:p>
    <w:p>
      <w:pPr>
        <w:pStyle w:val="Heading1"/>
      </w:pPr>
      <w:r>
        <w:t>6. Deep Learning et correction du F1 nul</w:t>
      </w:r>
    </w:p>
    <w:p>
      <w:r>
        <w:t>Le problème F1=0 provenait d'un seuil de décision inadapté au déséquilibre des classes : le modèle pouvait produire des probabilités mais ne classer aucun client en churn au seuil 0.5. La correction consiste à optimiser le seuil sur validation et à évaluer ensuite sur test.</w:t>
      </w:r>
    </w:p>
    <w:p>
      <w:pPr>
        <w:pStyle w:val="ListBullet"/>
      </w:pPr>
      <w:r>
        <w:t>MLP après correction : F1 0.2949, recall 0.6275, ROC-AUC 0.7055.</w:t>
      </w:r>
    </w:p>
    <w:p>
      <w:pPr>
        <w:pStyle w:val="ListBullet"/>
      </w:pPr>
      <w:r>
        <w:t>Le F1 n'est plus nul, ce qui rend la comparaison exploitable.</w:t>
      </w:r>
    </w:p>
    <w:p>
      <w:pPr>
        <w:pStyle w:val="ListBullet"/>
      </w:pPr>
      <w:r>
        <w:t>Le MLP reste inférieur aux meilleurs modèles d'ensemble, ce qui est cohérent pour un dataset tabulaire de taille modérée.</w:t>
      </w:r>
    </w:p>
    <w:p>
      <w:pPr>
        <w:pStyle w:val="Heading1"/>
      </w:pPr>
      <w:r>
        <w:t>7. Interprétabilité</w:t>
      </w:r>
    </w:p>
    <w:p>
      <w:r>
        <w:t>L'explicabilité repose sur la permutation importance du modèle final. Cette méthode mesure la baisse de performance lorsque chaque variable est mélangée, ce qui donne une importance agnostique au modèle et plus robuste qu'une simple importance native.</w:t>
      </w:r>
    </w:p>
    <w:tbl>
      <w:tblPr>
        <w:tblStyle w:val="TableGrid"/>
        <w:tblW w:type="auto" w:w="0"/>
        <w:tblLook w:firstColumn="1" w:firstRow="1" w:lastColumn="0" w:lastRow="0" w:noHBand="0" w:noVBand="1" w:val="04A0"/>
      </w:tblPr>
      <w:tblGrid>
        <w:gridCol w:w="3264"/>
        <w:gridCol w:w="3264"/>
        <w:gridCol w:w="3264"/>
      </w:tblGrid>
      <w:tr>
        <w:tc>
          <w:tcPr>
            <w:tcW w:type="dxa" w:w="3264"/>
          </w:tcPr>
          <w:p>
            <w:r>
              <w:rPr>
                <w:rFonts w:ascii="Arial" w:hAnsi="Arial"/>
                <w:sz w:val="18"/>
              </w:rPr>
              <w:t>Feature</w:t>
            </w:r>
          </w:p>
        </w:tc>
        <w:tc>
          <w:tcPr>
            <w:tcW w:type="dxa" w:w="3264"/>
          </w:tcPr>
          <w:p>
            <w:r>
              <w:rPr>
                <w:rFonts w:ascii="Arial" w:hAnsi="Arial"/>
                <w:sz w:val="18"/>
              </w:rPr>
              <w:t>Importance</w:t>
            </w:r>
          </w:p>
        </w:tc>
        <w:tc>
          <w:tcPr>
            <w:tcW w:type="dxa" w:w="3264"/>
          </w:tcPr>
          <w:p>
            <w:r>
              <w:rPr>
                <w:rFonts w:ascii="Arial" w:hAnsi="Arial"/>
                <w:sz w:val="18"/>
              </w:rPr>
              <w:t>Ecart-type</w:t>
            </w:r>
          </w:p>
        </w:tc>
      </w:tr>
      <w:tr>
        <w:tc>
          <w:tcPr>
            <w:tcW w:type="dxa" w:w="3264"/>
          </w:tcPr>
          <w:p>
            <w:r>
              <w:rPr>
                <w:rFonts w:ascii="Arial" w:hAnsi="Arial"/>
                <w:sz w:val="18"/>
              </w:rPr>
              <w:t>csat_score</w:t>
            </w:r>
          </w:p>
        </w:tc>
        <w:tc>
          <w:tcPr>
            <w:tcW w:type="dxa" w:w="3264"/>
          </w:tcPr>
          <w:p>
            <w:r>
              <w:rPr>
                <w:rFonts w:ascii="Arial" w:hAnsi="Arial"/>
                <w:sz w:val="18"/>
              </w:rPr>
              <w:t>0.06344</w:t>
            </w:r>
          </w:p>
        </w:tc>
        <w:tc>
          <w:tcPr>
            <w:tcW w:type="dxa" w:w="3264"/>
          </w:tcPr>
          <w:p>
            <w:r>
              <w:rPr>
                <w:rFonts w:ascii="Arial" w:hAnsi="Arial"/>
                <w:sz w:val="18"/>
              </w:rPr>
              <w:t>0.00530</w:t>
            </w:r>
          </w:p>
        </w:tc>
      </w:tr>
      <w:tr>
        <w:tc>
          <w:tcPr>
            <w:tcW w:type="dxa" w:w="3264"/>
          </w:tcPr>
          <w:p>
            <w:r>
              <w:rPr>
                <w:rFonts w:ascii="Arial" w:hAnsi="Arial"/>
                <w:sz w:val="18"/>
              </w:rPr>
              <w:t>tenure_months</w:t>
            </w:r>
          </w:p>
        </w:tc>
        <w:tc>
          <w:tcPr>
            <w:tcW w:type="dxa" w:w="3264"/>
          </w:tcPr>
          <w:p>
            <w:r>
              <w:rPr>
                <w:rFonts w:ascii="Arial" w:hAnsi="Arial"/>
                <w:sz w:val="18"/>
              </w:rPr>
              <w:t>0.04975</w:t>
            </w:r>
          </w:p>
        </w:tc>
        <w:tc>
          <w:tcPr>
            <w:tcW w:type="dxa" w:w="3264"/>
          </w:tcPr>
          <w:p>
            <w:r>
              <w:rPr>
                <w:rFonts w:ascii="Arial" w:hAnsi="Arial"/>
                <w:sz w:val="18"/>
              </w:rPr>
              <w:t>0.00879</w:t>
            </w:r>
          </w:p>
        </w:tc>
      </w:tr>
      <w:tr>
        <w:tc>
          <w:tcPr>
            <w:tcW w:type="dxa" w:w="3264"/>
          </w:tcPr>
          <w:p>
            <w:r>
              <w:rPr>
                <w:rFonts w:ascii="Arial" w:hAnsi="Arial"/>
                <w:sz w:val="18"/>
              </w:rPr>
              <w:t>monthly_logins</w:t>
            </w:r>
          </w:p>
        </w:tc>
        <w:tc>
          <w:tcPr>
            <w:tcW w:type="dxa" w:w="3264"/>
          </w:tcPr>
          <w:p>
            <w:r>
              <w:rPr>
                <w:rFonts w:ascii="Arial" w:hAnsi="Arial"/>
                <w:sz w:val="18"/>
              </w:rPr>
              <w:t>0.02482</w:t>
            </w:r>
          </w:p>
        </w:tc>
        <w:tc>
          <w:tcPr>
            <w:tcW w:type="dxa" w:w="3264"/>
          </w:tcPr>
          <w:p>
            <w:r>
              <w:rPr>
                <w:rFonts w:ascii="Arial" w:hAnsi="Arial"/>
                <w:sz w:val="18"/>
              </w:rPr>
              <w:t>0.00626</w:t>
            </w:r>
          </w:p>
        </w:tc>
      </w:tr>
      <w:tr>
        <w:tc>
          <w:tcPr>
            <w:tcW w:type="dxa" w:w="3264"/>
          </w:tcPr>
          <w:p>
            <w:r>
              <w:rPr>
                <w:rFonts w:ascii="Arial" w:hAnsi="Arial"/>
                <w:sz w:val="18"/>
              </w:rPr>
              <w:t>total_revenue</w:t>
            </w:r>
          </w:p>
        </w:tc>
        <w:tc>
          <w:tcPr>
            <w:tcW w:type="dxa" w:w="3264"/>
          </w:tcPr>
          <w:p>
            <w:r>
              <w:rPr>
                <w:rFonts w:ascii="Arial" w:hAnsi="Arial"/>
                <w:sz w:val="18"/>
              </w:rPr>
              <w:t>0.01679</w:t>
            </w:r>
          </w:p>
        </w:tc>
        <w:tc>
          <w:tcPr>
            <w:tcW w:type="dxa" w:w="3264"/>
          </w:tcPr>
          <w:p>
            <w:r>
              <w:rPr>
                <w:rFonts w:ascii="Arial" w:hAnsi="Arial"/>
                <w:sz w:val="18"/>
              </w:rPr>
              <w:t>0.00526</w:t>
            </w:r>
          </w:p>
        </w:tc>
      </w:tr>
      <w:tr>
        <w:tc>
          <w:tcPr>
            <w:tcW w:type="dxa" w:w="3264"/>
          </w:tcPr>
          <w:p>
            <w:r>
              <w:rPr>
                <w:rFonts w:ascii="Arial" w:hAnsi="Arial"/>
                <w:sz w:val="18"/>
              </w:rPr>
              <w:t>payment_failures</w:t>
            </w:r>
          </w:p>
        </w:tc>
        <w:tc>
          <w:tcPr>
            <w:tcW w:type="dxa" w:w="3264"/>
          </w:tcPr>
          <w:p>
            <w:r>
              <w:rPr>
                <w:rFonts w:ascii="Arial" w:hAnsi="Arial"/>
                <w:sz w:val="18"/>
              </w:rPr>
              <w:t>0.01484</w:t>
            </w:r>
          </w:p>
        </w:tc>
        <w:tc>
          <w:tcPr>
            <w:tcW w:type="dxa" w:w="3264"/>
          </w:tcPr>
          <w:p>
            <w:r>
              <w:rPr>
                <w:rFonts w:ascii="Arial" w:hAnsi="Arial"/>
                <w:sz w:val="18"/>
              </w:rPr>
              <w:t>0.00466</w:t>
            </w:r>
          </w:p>
        </w:tc>
      </w:tr>
      <w:tr>
        <w:tc>
          <w:tcPr>
            <w:tcW w:type="dxa" w:w="3264"/>
          </w:tcPr>
          <w:p>
            <w:r>
              <w:rPr>
                <w:rFonts w:ascii="Arial" w:hAnsi="Arial"/>
                <w:sz w:val="18"/>
              </w:rPr>
              <w:t>avg_session_time</w:t>
            </w:r>
          </w:p>
        </w:tc>
        <w:tc>
          <w:tcPr>
            <w:tcW w:type="dxa" w:w="3264"/>
          </w:tcPr>
          <w:p>
            <w:r>
              <w:rPr>
                <w:rFonts w:ascii="Arial" w:hAnsi="Arial"/>
                <w:sz w:val="18"/>
              </w:rPr>
              <w:t>0.00676</w:t>
            </w:r>
          </w:p>
        </w:tc>
        <w:tc>
          <w:tcPr>
            <w:tcW w:type="dxa" w:w="3264"/>
          </w:tcPr>
          <w:p>
            <w:r>
              <w:rPr>
                <w:rFonts w:ascii="Arial" w:hAnsi="Arial"/>
                <w:sz w:val="18"/>
              </w:rPr>
              <w:t>0.00409</w:t>
            </w:r>
          </w:p>
        </w:tc>
      </w:tr>
      <w:tr>
        <w:tc>
          <w:tcPr>
            <w:tcW w:type="dxa" w:w="3264"/>
          </w:tcPr>
          <w:p>
            <w:r>
              <w:rPr>
                <w:rFonts w:ascii="Arial" w:hAnsi="Arial"/>
                <w:sz w:val="18"/>
              </w:rPr>
              <w:t>age</w:t>
            </w:r>
          </w:p>
        </w:tc>
        <w:tc>
          <w:tcPr>
            <w:tcW w:type="dxa" w:w="3264"/>
          </w:tcPr>
          <w:p>
            <w:r>
              <w:rPr>
                <w:rFonts w:ascii="Arial" w:hAnsi="Arial"/>
                <w:sz w:val="18"/>
              </w:rPr>
              <w:t>0.00563</w:t>
            </w:r>
          </w:p>
        </w:tc>
        <w:tc>
          <w:tcPr>
            <w:tcW w:type="dxa" w:w="3264"/>
          </w:tcPr>
          <w:p>
            <w:r>
              <w:rPr>
                <w:rFonts w:ascii="Arial" w:hAnsi="Arial"/>
                <w:sz w:val="18"/>
              </w:rPr>
              <w:t>0.00391</w:t>
            </w:r>
          </w:p>
        </w:tc>
      </w:tr>
      <w:tr>
        <w:tc>
          <w:tcPr>
            <w:tcW w:type="dxa" w:w="3264"/>
          </w:tcPr>
          <w:p>
            <w:r>
              <w:rPr>
                <w:rFonts w:ascii="Arial" w:hAnsi="Arial"/>
                <w:sz w:val="18"/>
              </w:rPr>
              <w:t>signup_channel</w:t>
            </w:r>
          </w:p>
        </w:tc>
        <w:tc>
          <w:tcPr>
            <w:tcW w:type="dxa" w:w="3264"/>
          </w:tcPr>
          <w:p>
            <w:r>
              <w:rPr>
                <w:rFonts w:ascii="Arial" w:hAnsi="Arial"/>
                <w:sz w:val="18"/>
              </w:rPr>
              <w:t>0.00553</w:t>
            </w:r>
          </w:p>
        </w:tc>
        <w:tc>
          <w:tcPr>
            <w:tcW w:type="dxa" w:w="3264"/>
          </w:tcPr>
          <w:p>
            <w:r>
              <w:rPr>
                <w:rFonts w:ascii="Arial" w:hAnsi="Arial"/>
                <w:sz w:val="18"/>
              </w:rPr>
              <w:t>0.00263</w:t>
            </w:r>
          </w:p>
        </w:tc>
      </w:tr>
      <w:tr>
        <w:tc>
          <w:tcPr>
            <w:tcW w:type="dxa" w:w="3264"/>
          </w:tcPr>
          <w:p>
            <w:r>
              <w:rPr>
                <w:rFonts w:ascii="Arial" w:hAnsi="Arial"/>
                <w:sz w:val="18"/>
              </w:rPr>
              <w:t>email_open_rate</w:t>
            </w:r>
          </w:p>
        </w:tc>
        <w:tc>
          <w:tcPr>
            <w:tcW w:type="dxa" w:w="3264"/>
          </w:tcPr>
          <w:p>
            <w:r>
              <w:rPr>
                <w:rFonts w:ascii="Arial" w:hAnsi="Arial"/>
                <w:sz w:val="18"/>
              </w:rPr>
              <w:t>0.00330</w:t>
            </w:r>
          </w:p>
        </w:tc>
        <w:tc>
          <w:tcPr>
            <w:tcW w:type="dxa" w:w="3264"/>
          </w:tcPr>
          <w:p>
            <w:r>
              <w:rPr>
                <w:rFonts w:ascii="Arial" w:hAnsi="Arial"/>
                <w:sz w:val="18"/>
              </w:rPr>
              <w:t>0.00395</w:t>
            </w:r>
          </w:p>
        </w:tc>
      </w:tr>
      <w:tr>
        <w:tc>
          <w:tcPr>
            <w:tcW w:type="dxa" w:w="3264"/>
          </w:tcPr>
          <w:p>
            <w:r>
              <w:rPr>
                <w:rFonts w:ascii="Arial" w:hAnsi="Arial"/>
                <w:sz w:val="18"/>
              </w:rPr>
              <w:t>gender</w:t>
            </w:r>
          </w:p>
        </w:tc>
        <w:tc>
          <w:tcPr>
            <w:tcW w:type="dxa" w:w="3264"/>
          </w:tcPr>
          <w:p>
            <w:r>
              <w:rPr>
                <w:rFonts w:ascii="Arial" w:hAnsi="Arial"/>
                <w:sz w:val="18"/>
              </w:rPr>
              <w:t>0.00139</w:t>
            </w:r>
          </w:p>
        </w:tc>
        <w:tc>
          <w:tcPr>
            <w:tcW w:type="dxa" w:w="3264"/>
          </w:tcPr>
          <w:p>
            <w:r>
              <w:rPr>
                <w:rFonts w:ascii="Arial" w:hAnsi="Arial"/>
                <w:sz w:val="18"/>
              </w:rPr>
              <w:t>0.00176</w:t>
            </w:r>
          </w:p>
        </w:tc>
      </w:tr>
    </w:tbl>
    <w:p/>
    <w:p>
      <w:r>
        <w:t>SHAP est documenté comme extension avancée. Dans le rendu actuel, la permutation importance constitue l'explication globale principale, directement alignée avec le modèle final.</w:t>
      </w:r>
    </w:p>
    <w:p>
      <w:pPr>
        <w:pStyle w:val="Heading1"/>
      </w:pPr>
      <w:r>
        <w:t>8. Dashboard décisionnel</w:t>
      </w:r>
    </w:p>
    <w:p>
      <w:pPr>
        <w:pStyle w:val="ListBullet"/>
      </w:pPr>
      <w:r>
        <w:t>Le dashboard Streamlit affiche les KPI de churn, le revenu mensuel à risque et les segments à risque.</w:t>
      </w:r>
    </w:p>
    <w:p>
      <w:pPr>
        <w:pStyle w:val="ListBullet"/>
      </w:pPr>
      <w:r>
        <w:t>La page Prediction utilise directement le pipeline entraîné, sans formule simulée.</w:t>
      </w:r>
    </w:p>
    <w:p>
      <w:pPr>
        <w:pStyle w:val="ListBullet"/>
      </w:pPr>
      <w:r>
        <w:t>La page Modeles compare les quatre modèles et affiche le seuil de décision retenu.</w:t>
      </w:r>
    </w:p>
    <w:p>
      <w:pPr>
        <w:pStyle w:val="ListBullet"/>
      </w:pPr>
      <w:r>
        <w:t>Le dashboard ne dépend pas de l'API, conformément au choix projet ; l'API reste optionnelle.</w:t>
      </w:r>
    </w:p>
    <w:p>
      <w:pPr>
        <w:pStyle w:val="Heading1"/>
      </w:pPr>
      <w:r>
        <w:t>9. API optionnelle</w:t>
      </w:r>
    </w:p>
    <w:p>
      <w:r>
        <w:t>Une API FastAPI est disponible comme brique d'industrialisation optionnelle. Elle expose notamment /health, /predict, /batch_predict, /model/info et des routes de comparaison. Elle n'est pas nécessaire au fonctionnement du dashboard.</w:t>
      </w:r>
    </w:p>
    <w:p>
      <w:pPr>
        <w:pStyle w:val="Heading1"/>
      </w:pPr>
      <w:r>
        <w:t>10. Limites et recommandations</w:t>
      </w:r>
    </w:p>
    <w:p>
      <w:pPr>
        <w:pStyle w:val="ListBullet"/>
      </w:pPr>
      <w:r>
        <w:t>Surveiller le recall de la classe churn, car les faux négatifs ont un coût métier élevé.</w:t>
      </w:r>
    </w:p>
    <w:p>
      <w:pPr>
        <w:pStyle w:val="ListBullet"/>
      </w:pPr>
      <w:r>
        <w:t>Tester des stratégies métier de seuil selon le budget de campagne de rétention.</w:t>
      </w:r>
    </w:p>
    <w:p>
      <w:pPr>
        <w:pStyle w:val="ListBullet"/>
      </w:pPr>
      <w:r>
        <w:t>Ajouter SHAP complet en amélioration pour expliquer chaque prédiction individuelle.</w:t>
      </w:r>
    </w:p>
    <w:p>
      <w:pPr>
        <w:pStyle w:val="ListBullet"/>
      </w:pPr>
      <w:r>
        <w:t>Mettre en place un suivi de drift et un réentraînement périodique.</w:t>
      </w:r>
    </w:p>
    <w:p>
      <w:pPr>
        <w:pStyle w:val="Heading1"/>
      </w:pPr>
      <w:r>
        <w:t>11. Conclusion</w:t>
      </w:r>
    </w:p>
    <w:p>
      <w:r>
        <w:t>Le projet répond à l'objectif principal : transformer un dataset client en système prédictif multi-modèles exploitable par un utilisateur métier. Les corrections apportées rendent les résultats cohérents avec les données actuelles, corrigent le F1 nul du MLP et remplacent la simulation dashboard par une vraie inférence du modèle final.</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1182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