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087"/>
          <w:sz w:val="40"/>
        </w:rPr>
        <w:t>Bitácora Automatizada de Solicitudes de Clientes</w:t>
      </w:r>
    </w:p>
    <w:p>
      <w:pPr>
        <w:jc w:val="center"/>
      </w:pPr>
      <w:r>
        <w:rPr>
          <w:color w:val="595959"/>
          <w:sz w:val="24"/>
        </w:rPr>
        <w:t>Prevención de Fraude — Informe de funcionamiento del proceso</w:t>
      </w:r>
    </w:p>
    <w:p>
      <w:pPr>
        <w:jc w:val="center"/>
      </w:pPr>
      <w:r>
        <w:rPr>
          <w:color w:val="595959"/>
          <w:sz w:val="22"/>
        </w:rPr>
        <w:t>Julio 2026</w:t>
      </w:r>
    </w:p>
    <w:p/>
    <w:p>
      <w:pPr>
        <w:pStyle w:val="Heading1"/>
      </w:pPr>
      <w:r>
        <w:t>1. Resumen ejecutivo</w:t>
      </w:r>
    </w:p>
    <w:p>
      <w:r>
        <w:rPr>
          <w:b w:val="0"/>
        </w:rPr>
        <w:t>Se desarrolló un proceso automatizado (robot) que registra, sin intervención manual, todas las solicitudes de clientes que llegan al buzón compartido de Prevención de Fraude (avisos de compra, clientes viajeros, errores 59/63, VCAS, reportes de cuenta), detecta cuándo y quién las respondió, y calcula el tiempo de respuesta de cada caso.</w:t>
      </w:r>
    </w:p>
    <w:p>
      <w:r>
        <w:rPr>
          <w:b w:val="0"/>
        </w:rPr>
        <w:t>El resultado es una bitácora centralizada y auditable que antes no existía o dependía de registro manual: cada solicitud queda trazada de inicio a fin, con el correo original y la respuesta guardados como evidencia, y con indicadores de gestión listos para reportar (volúmenes por tipo de solicitud, tiempos de atención, casos pendientes de respuesta).</w:t>
      </w:r>
    </w:p>
    <w:p>
      <w:pPr>
        <w:pStyle w:val="Heading1"/>
      </w:pPr>
      <w:r>
        <w:t>2. El problema que resuelve</w:t>
      </w:r>
    </w:p>
    <w:p>
      <w:pPr>
        <w:pStyle w:val="ListBullet"/>
      </w:pPr>
      <w:r>
        <w:t>Las solicitudes llegan por correo a un buzón compartido que atienden varios analistas; no existía un registro único de qué se pidió, quién lo atendió ni en cuánto tiempo.</w:t>
      </w:r>
    </w:p>
    <w:p>
      <w:pPr>
        <w:pStyle w:val="ListBullet"/>
      </w:pPr>
      <w:r>
        <w:t>El equipo archiva los correos gestionados en distintas carpetas del buzón, por lo que reconstruir la historia de un caso requería buscar manualmente en varias ubicaciones.</w:t>
      </w:r>
    </w:p>
    <w:p>
      <w:pPr>
        <w:pStyle w:val="ListBullet"/>
      </w:pPr>
      <w:r>
        <w:t>Al responder siempre desde el mismo buzón institucional, el remitente visible es “Prevención de Fraude” y no la persona que realmente atendió el caso.</w:t>
      </w:r>
    </w:p>
    <w:p>
      <w:pPr>
        <w:pStyle w:val="ListBullet"/>
      </w:pPr>
      <w:r>
        <w:t>No había forma práctica de medir tiempos de respuesta ni de identificar solicitudes que quedaron sin atender.</w:t>
      </w:r>
    </w:p>
    <w:p>
      <w:pPr>
        <w:pStyle w:val="Heading1"/>
      </w:pPr>
      <w:r>
        <w:t>3. Cómo funciona el proceso</w:t>
      </w:r>
    </w:p>
    <w:p>
      <w:r>
        <w:rPr>
          <w:b w:val="0"/>
        </w:rPr>
        <w:t>El robot se ejecuta diariamente en la computadora del área, se conecta al Outlook ya abierto y trabaja en cuatro pasos:</w:t>
      </w:r>
    </w:p>
    <w:p>
      <w:pPr>
        <w:pStyle w:val="ListNumber"/>
      </w:pPr>
      <w:r>
        <w:rPr>
          <w:b/>
        </w:rPr>
        <w:t>Escaneo del buzón:</w:t>
      </w:r>
      <w:r>
        <w:t xml:space="preserve"> el robot revisa las carpetas configuradas del buzón (Bandeja de entrada y sus subcarpetas, Banca Privada y Elementos enviados) en una ventana de los últimos días. No importa en qué carpeta haya archivado el equipo un correo: igual lo encuentra.</w:t>
      </w:r>
    </w:p>
    <w:p>
      <w:pPr>
        <w:pStyle w:val="ListNumber"/>
      </w:pPr>
      <w:r>
        <w:rPr>
          <w:b/>
        </w:rPr>
        <w:t>Identificación de solicitudes:</w:t>
      </w:r>
      <w:r>
        <w:t xml:space="preserve"> reconoce una solicitud porque el asunto del correo sigue la estructura acordada (Segmento – Tipo de Solicitud – DNI – Nombre del Cliente) y menciona uno de los tipos definidos. Los correos que no corresponden a solicitudes se ignoran.</w:t>
      </w:r>
    </w:p>
    <w:p>
      <w:pPr>
        <w:pStyle w:val="ListNumber"/>
      </w:pPr>
      <w:r>
        <w:rPr>
          <w:b/>
        </w:rPr>
        <w:t>Registro único:</w:t>
      </w:r>
      <w:r>
        <w:t xml:space="preserve"> cada solicitud se guarda una sola vez aunque el robot pase varias veces por el mismo correo, gracias al identificador de conversación que Outlook asigna a cada hilo. El correo original se respalda como archivo de evidencia (.msg).</w:t>
      </w:r>
    </w:p>
    <w:p>
      <w:pPr>
        <w:pStyle w:val="ListNumber"/>
      </w:pPr>
      <w:r>
        <w:rPr>
          <w:b/>
        </w:rPr>
        <w:t>Detección de la respuesta:</w:t>
      </w:r>
      <w:r>
        <w:t xml:space="preserve"> cuando un analista responde la solicitud, el robot lo detecta en el mismo hilo de conversación, verifica que la respuesta va dirigida a quien pidió (para no confundir comentarios internos del equipo con la respuesta real), registra quién respondió, extrae la firma del analista del texto del correo y calcula el tiempo transcurrido desde la solicitud.</w:t>
      </w:r>
    </w:p>
    <w:p>
      <w:r>
        <w:rPr>
          <w:b w:val="0"/>
        </w:rPr>
        <w:t>Al final de cada corrida, el robot regenera automáticamente un archivo Excel con toda la bitácora, listo para consulta o reporte, y un segundo Excel con los correos que llegaron sin el formato correcto para que el equipo los revise.</w:t>
      </w:r>
    </w:p>
    <w:p>
      <w:pPr>
        <w:pStyle w:val="Heading1"/>
      </w:pPr>
      <w:r>
        <w:t>4. Formato del asunto y tipos de solicitud</w:t>
      </w:r>
    </w:p>
    <w:p>
      <w:r>
        <w:rPr>
          <w:b w:val="0"/>
        </w:rPr>
        <w:t>Para que una solicitud se registre completa, el asunto del correo debe seguir esta estructura:</w:t>
      </w:r>
    </w:p>
    <w:p>
      <w:pPr>
        <w:jc w:val="center"/>
      </w:pPr>
      <w:r>
        <w:rPr>
          <w:b/>
          <w:sz w:val="24"/>
        </w:rPr>
        <w:t>Segmento  –  Tipo de Solicitud  –  DNI  –  Nombre del Cliente</w:t>
      </w:r>
    </w:p>
    <w:p>
      <w:r>
        <w:rPr>
          <w:b w:val="0"/>
        </w:rPr>
        <w:t>Ejemplo: “Premium – Cliente Viajero – 45678912 – Juan Pérez Silva”</w:t>
      </w:r>
    </w:p>
    <w:p>
      <w:r>
        <w:rPr>
          <w:b w:val="0"/>
        </w:rPr>
        <w:t>Tipos de solicitud que el robot reconoce actualmente:</w:t>
      </w:r>
    </w:p>
    <w:tbl>
      <w:tblPr>
        <w:tblStyle w:val="TableGrid"/>
        <w:tblW w:type="auto" w:w="0"/>
        <w:jc w:val="center"/>
        <w:tblLook w:firstColumn="1" w:firstRow="1" w:lastColumn="0" w:lastRow="0" w:noHBand="0" w:noVBand="1" w:val="04A0"/>
      </w:tblPr>
      <w:tblGrid>
        <w:gridCol w:w="4703"/>
        <w:gridCol w:w="4703"/>
      </w:tblGrid>
      <w:tr>
        <w:tc>
          <w:tcPr>
            <w:tcW w:type="dxa" w:w="3118"/>
            <w:shd w:val="clear" w:fill="005087"/>
          </w:tcPr>
          <w:p>
            <w:r>
              <w:rPr>
                <w:rFonts w:ascii="Arial" w:hAnsi="Arial"/>
                <w:b/>
                <w:color w:val="FFFFFF"/>
                <w:sz w:val="20"/>
              </w:rPr>
              <w:t>Tipo de solicitud</w:t>
            </w:r>
          </w:p>
        </w:tc>
        <w:tc>
          <w:tcPr>
            <w:tcW w:type="dxa" w:w="5953"/>
            <w:shd w:val="clear" w:fill="005087"/>
          </w:tcPr>
          <w:p>
            <w:r>
              <w:rPr>
                <w:rFonts w:ascii="Arial" w:hAnsi="Arial"/>
                <w:b/>
                <w:color w:val="FFFFFF"/>
                <w:sz w:val="20"/>
              </w:rPr>
              <w:t>Descripción breve</w:t>
            </w:r>
          </w:p>
        </w:tc>
      </w:tr>
      <w:tr>
        <w:tc>
          <w:tcPr>
            <w:tcW w:type="dxa" w:w="3118"/>
          </w:tcPr>
          <w:p>
            <w:r>
              <w:rPr>
                <w:rFonts w:ascii="Arial" w:hAnsi="Arial"/>
                <w:sz w:val="20"/>
              </w:rPr>
              <w:t>Aviso de Compra</w:t>
            </w:r>
          </w:p>
        </w:tc>
        <w:tc>
          <w:tcPr>
            <w:tcW w:type="dxa" w:w="5953"/>
          </w:tcPr>
          <w:p>
            <w:r>
              <w:rPr>
                <w:rFonts w:ascii="Arial" w:hAnsi="Arial"/>
                <w:sz w:val="20"/>
              </w:rPr>
              <w:t>Cliente avisa una compra para evitar bloqueos preventivos</w:t>
            </w:r>
          </w:p>
        </w:tc>
      </w:tr>
      <w:tr>
        <w:tc>
          <w:tcPr>
            <w:tcW w:type="dxa" w:w="3118"/>
            <w:shd w:val="clear" w:fill="F2F6FA"/>
          </w:tcPr>
          <w:p>
            <w:r>
              <w:rPr>
                <w:rFonts w:ascii="Arial" w:hAnsi="Arial"/>
                <w:sz w:val="20"/>
              </w:rPr>
              <w:t>Cliente Viajero</w:t>
            </w:r>
          </w:p>
        </w:tc>
        <w:tc>
          <w:tcPr>
            <w:tcW w:type="dxa" w:w="5953"/>
            <w:shd w:val="clear" w:fill="F2F6FA"/>
          </w:tcPr>
          <w:p>
            <w:r>
              <w:rPr>
                <w:rFonts w:ascii="Arial" w:hAnsi="Arial"/>
                <w:sz w:val="20"/>
              </w:rPr>
              <w:t>Registro o modificación de aviso de viaje</w:t>
            </w:r>
          </w:p>
        </w:tc>
      </w:tr>
      <w:tr>
        <w:tc>
          <w:tcPr>
            <w:tcW w:type="dxa" w:w="3118"/>
          </w:tcPr>
          <w:p>
            <w:r>
              <w:rPr>
                <w:rFonts w:ascii="Arial" w:hAnsi="Arial"/>
                <w:sz w:val="20"/>
              </w:rPr>
              <w:t>VCAS</w:t>
            </w:r>
          </w:p>
        </w:tc>
        <w:tc>
          <w:tcPr>
            <w:tcW w:type="dxa" w:w="5953"/>
          </w:tcPr>
          <w:p>
            <w:r>
              <w:rPr>
                <w:rFonts w:ascii="Arial" w:hAnsi="Arial"/>
                <w:sz w:val="20"/>
              </w:rPr>
              <w:t>Gestiones asociadas a la autenticación de compras por internet</w:t>
            </w:r>
          </w:p>
        </w:tc>
      </w:tr>
      <w:tr>
        <w:tc>
          <w:tcPr>
            <w:tcW w:type="dxa" w:w="3118"/>
            <w:shd w:val="clear" w:fill="F2F6FA"/>
          </w:tcPr>
          <w:p>
            <w:r>
              <w:rPr>
                <w:rFonts w:ascii="Arial" w:hAnsi="Arial"/>
                <w:sz w:val="20"/>
              </w:rPr>
              <w:t>Error 59 / Error 63</w:t>
            </w:r>
          </w:p>
        </w:tc>
        <w:tc>
          <w:tcPr>
            <w:tcW w:type="dxa" w:w="5953"/>
            <w:shd w:val="clear" w:fill="F2F6FA"/>
          </w:tcPr>
          <w:p>
            <w:r>
              <w:rPr>
                <w:rFonts w:ascii="Arial" w:hAnsi="Arial"/>
                <w:sz w:val="20"/>
              </w:rPr>
              <w:t>Gestión de declinaciones por sospecha de fraude</w:t>
            </w:r>
          </w:p>
        </w:tc>
      </w:tr>
      <w:tr>
        <w:tc>
          <w:tcPr>
            <w:tcW w:type="dxa" w:w="3118"/>
          </w:tcPr>
          <w:p>
            <w:r>
              <w:rPr>
                <w:rFonts w:ascii="Arial" w:hAnsi="Arial"/>
                <w:sz w:val="20"/>
              </w:rPr>
              <w:t>Reporte de cuenta</w:t>
            </w:r>
          </w:p>
        </w:tc>
        <w:tc>
          <w:tcPr>
            <w:tcW w:type="dxa" w:w="5953"/>
          </w:tcPr>
          <w:p>
            <w:r>
              <w:rPr>
                <w:rFonts w:ascii="Arial" w:hAnsi="Arial"/>
                <w:sz w:val="20"/>
              </w:rPr>
              <w:t>Reporte de cuenta por posible compromiso</w:t>
            </w:r>
          </w:p>
        </w:tc>
      </w:tr>
    </w:tbl>
    <w:p/>
    <w:p>
      <w:r>
        <w:rPr>
          <w:b w:val="0"/>
        </w:rPr>
        <w:t>Si el asunto menciona un tipo válido pero está incompleto (por ejemplo, sin DNI), la solicitud no se pierde: queda en una lista de pendientes de formato con el detalle de qué campos faltaron, y la bitácora registra cuántos campos faltaron en cada caso, lo que permite medir la calidad con la que las áreas remitentes están usando el formato.</w:t>
      </w:r>
    </w:p>
    <w:p>
      <w:pPr>
        <w:pStyle w:val="Heading1"/>
      </w:pPr>
      <w:r>
        <w:t>5. Información que registra cada caso</w:t>
      </w:r>
    </w:p>
    <w:tbl>
      <w:tblPr>
        <w:tblStyle w:val="TableGrid"/>
        <w:tblW w:type="auto" w:w="0"/>
        <w:jc w:val="center"/>
        <w:tblLook w:firstColumn="1" w:firstRow="1" w:lastColumn="0" w:lastRow="0" w:noHBand="0" w:noVBand="1" w:val="04A0"/>
      </w:tblPr>
      <w:tblGrid>
        <w:gridCol w:w="4703"/>
        <w:gridCol w:w="4703"/>
      </w:tblGrid>
      <w:tr>
        <w:tc>
          <w:tcPr>
            <w:tcW w:type="dxa" w:w="2268"/>
            <w:shd w:val="clear" w:fill="005087"/>
          </w:tcPr>
          <w:p>
            <w:r>
              <w:rPr>
                <w:rFonts w:ascii="Arial" w:hAnsi="Arial"/>
                <w:b/>
                <w:color w:val="FFFFFF"/>
                <w:sz w:val="20"/>
              </w:rPr>
              <w:t>Grupo</w:t>
            </w:r>
          </w:p>
        </w:tc>
        <w:tc>
          <w:tcPr>
            <w:tcW w:type="dxa" w:w="6803"/>
            <w:shd w:val="clear" w:fill="005087"/>
          </w:tcPr>
          <w:p>
            <w:r>
              <w:rPr>
                <w:rFonts w:ascii="Arial" w:hAnsi="Arial"/>
                <w:b/>
                <w:color w:val="FFFFFF"/>
                <w:sz w:val="20"/>
              </w:rPr>
              <w:t>Datos registrados</w:t>
            </w:r>
          </w:p>
        </w:tc>
      </w:tr>
      <w:tr>
        <w:tc>
          <w:tcPr>
            <w:tcW w:type="dxa" w:w="2268"/>
          </w:tcPr>
          <w:p>
            <w:r>
              <w:rPr>
                <w:rFonts w:ascii="Arial" w:hAnsi="Arial"/>
                <w:sz w:val="20"/>
              </w:rPr>
              <w:t>De la solicitud</w:t>
            </w:r>
          </w:p>
        </w:tc>
        <w:tc>
          <w:tcPr>
            <w:tcW w:type="dxa" w:w="6803"/>
          </w:tcPr>
          <w:p>
            <w:r>
              <w:rPr>
                <w:rFonts w:ascii="Arial" w:hAnsi="Arial"/>
                <w:sz w:val="20"/>
              </w:rPr>
              <w:t>Fecha y hora de llegada, remitente y su correo, asunto completo, segmento, tipo de solicitud, DNI y nombre del cliente</w:t>
            </w:r>
          </w:p>
        </w:tc>
      </w:tr>
      <w:tr>
        <w:tc>
          <w:tcPr>
            <w:tcW w:type="dxa" w:w="2268"/>
            <w:shd w:val="clear" w:fill="F2F6FA"/>
          </w:tcPr>
          <w:p>
            <w:r>
              <w:rPr>
                <w:rFonts w:ascii="Arial" w:hAnsi="Arial"/>
                <w:sz w:val="20"/>
              </w:rPr>
              <w:t>De la respuesta</w:t>
            </w:r>
          </w:p>
        </w:tc>
        <w:tc>
          <w:tcPr>
            <w:tcW w:type="dxa" w:w="6803"/>
            <w:shd w:val="clear" w:fill="F2F6FA"/>
          </w:tcPr>
          <w:p>
            <w:r>
              <w:rPr>
                <w:rFonts w:ascii="Arial" w:hAnsi="Arial"/>
                <w:sz w:val="20"/>
              </w:rPr>
              <w:t>Fecha y hora de respuesta, quién respondió (cuenta y correo), firma del analista detectada en el cuerpo del correo</w:t>
            </w:r>
          </w:p>
        </w:tc>
      </w:tr>
      <w:tr>
        <w:tc>
          <w:tcPr>
            <w:tcW w:type="dxa" w:w="2268"/>
          </w:tcPr>
          <w:p>
            <w:r>
              <w:rPr>
                <w:rFonts w:ascii="Arial" w:hAnsi="Arial"/>
                <w:sz w:val="20"/>
              </w:rPr>
              <w:t>De gestión</w:t>
            </w:r>
          </w:p>
        </w:tc>
        <w:tc>
          <w:tcPr>
            <w:tcW w:type="dxa" w:w="6803"/>
          </w:tcPr>
          <w:p>
            <w:r>
              <w:rPr>
                <w:rFonts w:ascii="Arial" w:hAnsi="Arial"/>
                <w:sz w:val="20"/>
              </w:rPr>
              <w:t>Número correlativo del caso, estado (Pendiente / Completado), tiempo de respuesta en horas y minutos, cantidad de campos faltantes en el asunto</w:t>
            </w:r>
          </w:p>
        </w:tc>
      </w:tr>
      <w:tr>
        <w:tc>
          <w:tcPr>
            <w:tcW w:type="dxa" w:w="2268"/>
            <w:shd w:val="clear" w:fill="F2F6FA"/>
          </w:tcPr>
          <w:p>
            <w:r>
              <w:rPr>
                <w:rFonts w:ascii="Arial" w:hAnsi="Arial"/>
                <w:sz w:val="20"/>
              </w:rPr>
              <w:t>De auditoría</w:t>
            </w:r>
          </w:p>
        </w:tc>
        <w:tc>
          <w:tcPr>
            <w:tcW w:type="dxa" w:w="6803"/>
            <w:shd w:val="clear" w:fill="F2F6FA"/>
          </w:tcPr>
          <w:p>
            <w:r>
              <w:rPr>
                <w:rFonts w:ascii="Arial" w:hAnsi="Arial"/>
                <w:sz w:val="20"/>
              </w:rPr>
              <w:t>Copia .msg del correo de solicitud y del correo de respuesta, identificador único del hilo de conversación</w:t>
            </w:r>
          </w:p>
        </w:tc>
      </w:tr>
    </w:tbl>
    <w:p/>
    <w:p>
      <w:pPr>
        <w:pStyle w:val="Heading1"/>
      </w:pPr>
      <w:r>
        <w:t>6. Controles y salvaguardas</w:t>
      </w:r>
    </w:p>
    <w:p>
      <w:pPr>
        <w:pStyle w:val="ListBullet"/>
      </w:pPr>
      <w:r>
        <w:rPr>
          <w:b/>
        </w:rPr>
        <w:t>No altera el buzón:</w:t>
      </w:r>
      <w:r>
        <w:t xml:space="preserve"> el robot solo lee; no marca correos como leídos, no los mueve ni los elimina. El trabajo diario del equipo en el buzón no se ve afectado.</w:t>
      </w:r>
    </w:p>
    <w:p>
      <w:pPr>
        <w:pStyle w:val="ListBullet"/>
      </w:pPr>
      <w:r>
        <w:rPr>
          <w:b/>
        </w:rPr>
        <w:t>Sin duplicados:</w:t>
      </w:r>
      <w:r>
        <w:t xml:space="preserve"> cada solicitud se registra una sola vez aunque el robot se ejecute varias veces o el correo aparezca en más de una carpeta.</w:t>
      </w:r>
    </w:p>
    <w:p>
      <w:pPr>
        <w:pStyle w:val="ListBullet"/>
      </w:pPr>
      <w:r>
        <w:rPr>
          <w:b/>
        </w:rPr>
        <w:t>Fuente de verdad protegida:</w:t>
      </w:r>
      <w:r>
        <w:t xml:space="preserve"> la información se guarda primero en una base de datos local que es la fuente de verdad; el Excel es solo una vista que se regenera en cada corrida. Si el Excel se daña o se borra, no se pierde nada.</w:t>
      </w:r>
    </w:p>
    <w:p>
      <w:pPr>
        <w:pStyle w:val="ListBullet"/>
      </w:pPr>
      <w:r>
        <w:rPr>
          <w:b/>
        </w:rPr>
        <w:t>Respuesta verificada:</w:t>
      </w:r>
      <w:r>
        <w:t xml:space="preserve"> solo se toma como respuesta el correo del hilo dirigido a la persona que hizo la solicitud; los comentarios internos del equipo en el mismo hilo no se confunden con la atención del caso.</w:t>
      </w:r>
    </w:p>
    <w:p>
      <w:pPr>
        <w:pStyle w:val="ListBullet"/>
      </w:pPr>
      <w:r>
        <w:rPr>
          <w:b/>
        </w:rPr>
        <w:t>Evidencia:</w:t>
      </w:r>
      <w:r>
        <w:t xml:space="preserve"> los correos originales quedan respaldados como archivos .msg, lo que permite sustentar cualquier caso ante una revisión o auditoría.</w:t>
      </w:r>
    </w:p>
    <w:p>
      <w:pPr>
        <w:pStyle w:val="Heading1"/>
      </w:pPr>
      <w:r>
        <w:t>7. Indicadores que habilita</w:t>
      </w:r>
    </w:p>
    <w:p>
      <w:pPr>
        <w:pStyle w:val="ListBullet"/>
      </w:pPr>
      <w:r>
        <w:t>Volumen de solicitudes por día, tipo, segmento y área remitente (banco o contact center).</w:t>
      </w:r>
    </w:p>
    <w:p>
      <w:pPr>
        <w:pStyle w:val="ListBullet"/>
      </w:pPr>
      <w:r>
        <w:t>Tiempo de respuesta por caso y promedio por tipo de solicitud.</w:t>
      </w:r>
    </w:p>
    <w:p>
      <w:pPr>
        <w:pStyle w:val="ListBullet"/>
      </w:pPr>
      <w:r>
        <w:t>Casos pendientes de respuesta en cualquier momento (estado “Pendiente”).</w:t>
      </w:r>
    </w:p>
    <w:p>
      <w:pPr>
        <w:pStyle w:val="ListBullet"/>
      </w:pPr>
      <w:r>
        <w:t>Distribución de la atención entre analistas, gracias a la firma detectada en cada respuesta.</w:t>
      </w:r>
    </w:p>
    <w:p>
      <w:pPr>
        <w:pStyle w:val="ListBullet"/>
      </w:pPr>
      <w:r>
        <w:t>Calidad del uso del formato por parte de las áreas que remiten solicitudes.</w:t>
      </w:r>
    </w:p>
    <w:p>
      <w:pPr>
        <w:pStyle w:val="Heading1"/>
      </w:pPr>
      <w:r>
        <w:t>8. Componentes de la solución</w:t>
      </w:r>
    </w:p>
    <w:tbl>
      <w:tblPr>
        <w:tblStyle w:val="TableGrid"/>
        <w:tblW w:type="auto" w:w="0"/>
        <w:jc w:val="center"/>
        <w:tblLook w:firstColumn="1" w:firstRow="1" w:lastColumn="0" w:lastRow="0" w:noHBand="0" w:noVBand="1" w:val="04A0"/>
      </w:tblPr>
      <w:tblGrid>
        <w:gridCol w:w="4703"/>
        <w:gridCol w:w="4703"/>
      </w:tblGrid>
      <w:tr>
        <w:tc>
          <w:tcPr>
            <w:tcW w:type="dxa" w:w="2551"/>
            <w:shd w:val="clear" w:fill="005087"/>
          </w:tcPr>
          <w:p>
            <w:r>
              <w:rPr>
                <w:rFonts w:ascii="Arial" w:hAnsi="Arial"/>
                <w:b/>
                <w:color w:val="FFFFFF"/>
                <w:sz w:val="20"/>
              </w:rPr>
              <w:t>Componente</w:t>
            </w:r>
          </w:p>
        </w:tc>
        <w:tc>
          <w:tcPr>
            <w:tcW w:type="dxa" w:w="6520"/>
            <w:shd w:val="clear" w:fill="005087"/>
          </w:tcPr>
          <w:p>
            <w:r>
              <w:rPr>
                <w:rFonts w:ascii="Arial" w:hAnsi="Arial"/>
                <w:b/>
                <w:color w:val="FFFFFF"/>
                <w:sz w:val="20"/>
              </w:rPr>
              <w:t>Función</w:t>
            </w:r>
          </w:p>
        </w:tc>
      </w:tr>
      <w:tr>
        <w:tc>
          <w:tcPr>
            <w:tcW w:type="dxa" w:w="2551"/>
          </w:tcPr>
          <w:p>
            <w:r>
              <w:rPr>
                <w:rFonts w:ascii="Arial" w:hAnsi="Arial"/>
                <w:sz w:val="20"/>
              </w:rPr>
              <w:t>Robot diario</w:t>
            </w:r>
          </w:p>
        </w:tc>
        <w:tc>
          <w:tcPr>
            <w:tcW w:type="dxa" w:w="6520"/>
          </w:tcPr>
          <w:p>
            <w:r>
              <w:rPr>
                <w:rFonts w:ascii="Arial" w:hAnsi="Arial"/>
                <w:sz w:val="20"/>
              </w:rPr>
              <w:t>Se ejecuta cada día y procesa los correos de los últimos 7 días (configurable). Es la operación normal del proceso.</w:t>
            </w:r>
          </w:p>
        </w:tc>
      </w:tr>
      <w:tr>
        <w:tc>
          <w:tcPr>
            <w:tcW w:type="dxa" w:w="2551"/>
            <w:shd w:val="clear" w:fill="F2F6FA"/>
          </w:tcPr>
          <w:p>
            <w:r>
              <w:rPr>
                <w:rFonts w:ascii="Arial" w:hAnsi="Arial"/>
                <w:sz w:val="20"/>
              </w:rPr>
              <w:t>Carga histórica</w:t>
            </w:r>
          </w:p>
        </w:tc>
        <w:tc>
          <w:tcPr>
            <w:tcW w:type="dxa" w:w="6520"/>
            <w:shd w:val="clear" w:fill="F2F6FA"/>
          </w:tcPr>
          <w:p>
            <w:r>
              <w:rPr>
                <w:rFonts w:ascii="Arial" w:hAnsi="Arial"/>
                <w:sz w:val="20"/>
              </w:rPr>
              <w:t>Se ejecuta una sola vez al inicio para reconstruir la bitácora desde una fecha elegida (por defecto, enero 2026).</w:t>
            </w:r>
          </w:p>
        </w:tc>
      </w:tr>
      <w:tr>
        <w:tc>
          <w:tcPr>
            <w:tcW w:type="dxa" w:w="2551"/>
          </w:tcPr>
          <w:p>
            <w:r>
              <w:rPr>
                <w:rFonts w:ascii="Arial" w:hAnsi="Arial"/>
                <w:sz w:val="20"/>
              </w:rPr>
              <w:t>Base de datos local</w:t>
            </w:r>
          </w:p>
        </w:tc>
        <w:tc>
          <w:tcPr>
            <w:tcW w:type="dxa" w:w="6520"/>
          </w:tcPr>
          <w:p>
            <w:r>
              <w:rPr>
                <w:rFonts w:ascii="Arial" w:hAnsi="Arial"/>
                <w:sz w:val="20"/>
              </w:rPr>
              <w:t>Almacena el registro maestro de todas las solicitudes (fuente de verdad).</w:t>
            </w:r>
          </w:p>
        </w:tc>
      </w:tr>
      <w:tr>
        <w:tc>
          <w:tcPr>
            <w:tcW w:type="dxa" w:w="2551"/>
            <w:shd w:val="clear" w:fill="F2F6FA"/>
          </w:tcPr>
          <w:p>
            <w:r>
              <w:rPr>
                <w:rFonts w:ascii="Arial" w:hAnsi="Arial"/>
                <w:sz w:val="20"/>
              </w:rPr>
              <w:t>Excel de bitácora</w:t>
            </w:r>
          </w:p>
        </w:tc>
        <w:tc>
          <w:tcPr>
            <w:tcW w:type="dxa" w:w="6520"/>
            <w:shd w:val="clear" w:fill="F2F6FA"/>
          </w:tcPr>
          <w:p>
            <w:r>
              <w:rPr>
                <w:rFonts w:ascii="Arial" w:hAnsi="Arial"/>
                <w:sz w:val="20"/>
              </w:rPr>
              <w:t>Vista para consulta y reporte, regenerada en cada corrida.</w:t>
            </w:r>
          </w:p>
        </w:tc>
      </w:tr>
      <w:tr>
        <w:tc>
          <w:tcPr>
            <w:tcW w:type="dxa" w:w="2551"/>
          </w:tcPr>
          <w:p>
            <w:r>
              <w:rPr>
                <w:rFonts w:ascii="Arial" w:hAnsi="Arial"/>
                <w:sz w:val="20"/>
              </w:rPr>
              <w:t>Excel de pendientes</w:t>
            </w:r>
          </w:p>
        </w:tc>
        <w:tc>
          <w:tcPr>
            <w:tcW w:type="dxa" w:w="6520"/>
          </w:tcPr>
          <w:p>
            <w:r>
              <w:rPr>
                <w:rFonts w:ascii="Arial" w:hAnsi="Arial"/>
                <w:sz w:val="20"/>
              </w:rPr>
              <w:t>Correos que llegaron sin el formato correcto, para revisión del equipo.</w:t>
            </w:r>
          </w:p>
        </w:tc>
      </w:tr>
      <w:tr>
        <w:tc>
          <w:tcPr>
            <w:tcW w:type="dxa" w:w="2551"/>
            <w:shd w:val="clear" w:fill="F2F6FA"/>
          </w:tcPr>
          <w:p>
            <w:r>
              <w:rPr>
                <w:rFonts w:ascii="Arial" w:hAnsi="Arial"/>
                <w:sz w:val="20"/>
              </w:rPr>
              <w:t>Respaldos .msg</w:t>
            </w:r>
          </w:p>
        </w:tc>
        <w:tc>
          <w:tcPr>
            <w:tcW w:type="dxa" w:w="6520"/>
            <w:shd w:val="clear" w:fill="F2F6FA"/>
          </w:tcPr>
          <w:p>
            <w:r>
              <w:rPr>
                <w:rFonts w:ascii="Arial" w:hAnsi="Arial"/>
                <w:sz w:val="20"/>
              </w:rPr>
              <w:t>Copia de cada correo de solicitud y de respuesta, como evidencia.</w:t>
            </w:r>
          </w:p>
        </w:tc>
      </w:tr>
    </w:tbl>
    <w:p/>
    <w:p>
      <w:r>
        <w:rPr>
          <w:b w:val="0"/>
        </w:rPr>
        <w:t>La solución corre en el equipo del área con las herramientas ya disponibles (Outlook y Python); no requiere accesos nuevos, servidores ni licencias adicionales.</w:t>
      </w:r>
    </w:p>
    <w:p>
      <w:pPr>
        <w:pStyle w:val="Heading1"/>
      </w:pPr>
      <w:r>
        <w:t>9. Estado actual y próximos pasos</w:t>
      </w:r>
    </w:p>
    <w:p>
      <w:pPr>
        <w:pStyle w:val="ListBullet"/>
      </w:pPr>
      <w:r>
        <w:rPr>
          <w:b/>
        </w:rPr>
        <w:t>Estado:</w:t>
      </w:r>
      <w:r>
        <w:t xml:space="preserve"> el proceso está desarrollado y en pruebas con correos reales del buzón; se está validando la detección de firmas y respuestas con ventanas cortas de fechas antes de la carga histórica completa.</w:t>
      </w:r>
    </w:p>
    <w:p>
      <w:pPr>
        <w:pStyle w:val="ListBullet"/>
      </w:pPr>
      <w:r>
        <w:rPr>
          <w:b/>
        </w:rPr>
        <w:t>Próximo paso acordado:</w:t>
      </w:r>
      <w:r>
        <w:t xml:space="preserve"> estandarizar el mensaje de respuesta para los casos que quedan en seguimiento, de modo que el robot pueda distinguirlos y medirlos con precisión.</w:t>
      </w:r>
    </w:p>
    <w:p>
      <w:pPr>
        <w:pStyle w:val="ListBullet"/>
      </w:pPr>
      <w:r>
        <w:rPr>
          <w:b/>
        </w:rPr>
        <w:t>Mejora continua:</w:t>
      </w:r>
      <w:r>
        <w:t xml:space="preserve"> afinar el catálogo de tipos de solicitud y las variantes de cargo en las firmas conforme aparezcan casos reales no contemplados.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005087"/>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cs="Arial"/>
      <w:b/>
      <w:bCs/>
      <w:color w:val="0050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