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C98D" w14:textId="77777777" w:rsidR="00FE08C3" w:rsidRPr="00FE08C3" w:rsidRDefault="00FE08C3" w:rsidP="00FE08C3">
      <w:pPr>
        <w:keepLines/>
        <w:tabs>
          <w:tab w:val="left" w:pos="4536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</w:p>
    <w:tbl>
      <w:tblPr>
        <w:tblW w:w="0" w:type="auto"/>
        <w:jc w:val="center"/>
        <w:shd w:val="clear" w:color="auto" w:fill="FFFFFF"/>
        <w:tblLook w:val="0000" w:firstRow="0" w:lastRow="0" w:firstColumn="0" w:lastColumn="0" w:noHBand="0" w:noVBand="0"/>
      </w:tblPr>
      <w:tblGrid>
        <w:gridCol w:w="5680"/>
        <w:gridCol w:w="642"/>
        <w:gridCol w:w="776"/>
        <w:gridCol w:w="704"/>
        <w:gridCol w:w="642"/>
        <w:gridCol w:w="1040"/>
        <w:gridCol w:w="858"/>
        <w:gridCol w:w="858"/>
      </w:tblGrid>
      <w:tr w:rsidR="00FE08C3" w:rsidRPr="00FE08C3" w14:paraId="156B7B86" w14:textId="77777777" w:rsidTr="00A07949">
        <w:trPr>
          <w:cantSplit/>
          <w:trHeight w:val="166"/>
          <w:jc w:val="center"/>
        </w:trPr>
        <w:tc>
          <w:tcPr>
            <w:tcW w:w="5680" w:type="dxa"/>
            <w:shd w:val="clear" w:color="auto" w:fill="1F3864"/>
            <w:vAlign w:val="center"/>
          </w:tcPr>
          <w:p w14:paraId="3D3C142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color w:val="FFFFFF"/>
                <w:sz w:val="24"/>
                <w:szCs w:val="20"/>
                <w:u w:color="000000"/>
                <w:lang w:val="en-US" w:eastAsia="en-AU"/>
              </w:rPr>
              <w:t>OWASP Top Ten</w:t>
            </w:r>
          </w:p>
        </w:tc>
        <w:tc>
          <w:tcPr>
            <w:tcW w:w="0" w:type="auto"/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D94E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</w:pPr>
            <w:r w:rsidRPr="00FE08C3"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  <w:t>2003</w:t>
            </w:r>
          </w:p>
        </w:tc>
        <w:tc>
          <w:tcPr>
            <w:tcW w:w="0" w:type="auto"/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240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</w:pPr>
            <w:r w:rsidRPr="00FE08C3"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  <w:t>2004</w:t>
            </w:r>
          </w:p>
        </w:tc>
        <w:tc>
          <w:tcPr>
            <w:tcW w:w="0" w:type="auto"/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1C26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</w:pPr>
            <w:r w:rsidRPr="00FE08C3"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  <w:t>2007</w:t>
            </w:r>
          </w:p>
        </w:tc>
        <w:tc>
          <w:tcPr>
            <w:tcW w:w="0" w:type="auto"/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92D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</w:pPr>
            <w:r w:rsidRPr="00FE08C3"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  <w:t>2010</w:t>
            </w:r>
          </w:p>
        </w:tc>
        <w:tc>
          <w:tcPr>
            <w:tcW w:w="1040" w:type="dxa"/>
            <w:shd w:val="clear" w:color="auto" w:fill="000080"/>
            <w:vAlign w:val="center"/>
          </w:tcPr>
          <w:p w14:paraId="0A82A61E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</w:pPr>
            <w:r w:rsidRPr="00FE08C3"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  <w:t>2013</w:t>
            </w:r>
          </w:p>
        </w:tc>
        <w:tc>
          <w:tcPr>
            <w:tcW w:w="858" w:type="dxa"/>
            <w:shd w:val="clear" w:color="auto" w:fill="000080"/>
          </w:tcPr>
          <w:p w14:paraId="512B761C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</w:pPr>
            <w:r w:rsidRPr="00FE08C3"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  <w:t>2017</w:t>
            </w:r>
          </w:p>
          <w:p w14:paraId="0B5EE64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</w:pPr>
            <w:r w:rsidRPr="00FE08C3"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  <w:t xml:space="preserve">RC1 </w:t>
            </w:r>
          </w:p>
        </w:tc>
        <w:tc>
          <w:tcPr>
            <w:tcW w:w="0" w:type="auto"/>
            <w:shd w:val="clear" w:color="auto" w:fill="000080"/>
            <w:vAlign w:val="center"/>
          </w:tcPr>
          <w:p w14:paraId="52B48D3A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</w:pPr>
            <w:r w:rsidRPr="00FE08C3"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  <w:t>2017</w:t>
            </w:r>
          </w:p>
          <w:p w14:paraId="739AD1B1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</w:pPr>
            <w:r w:rsidRPr="00FE08C3">
              <w:rPr>
                <w:rFonts w:ascii="Arial Bold" w:eastAsia="ヒラギノ角ゴ Pro W3" w:hAnsi="Arial Bold" w:cs="Times New Roman"/>
                <w:color w:val="FEFFFE"/>
                <w:sz w:val="26"/>
                <w:szCs w:val="20"/>
                <w:u w:color="FFFFFF"/>
                <w:lang w:val="en-US" w:eastAsia="en-AU"/>
              </w:rPr>
              <w:t>RC2</w:t>
            </w:r>
          </w:p>
        </w:tc>
      </w:tr>
      <w:tr w:rsidR="00FE08C3" w:rsidRPr="00FE08C3" w14:paraId="7159E554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576E7FD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Helvetica" w:eastAsia="ヒラギノ角ゴ Pro W3" w:hAnsi="Helvetica" w:cs="Times New Roman"/>
                <w:szCs w:val="2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Unvalidated Input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7C3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9E9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926E6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6452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1040" w:type="dxa"/>
            <w:shd w:val="clear" w:color="auto" w:fill="FF0000"/>
          </w:tcPr>
          <w:p w14:paraId="61A7F64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039F1CF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</w:tcPr>
          <w:p w14:paraId="0A2610A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538FA288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20BFC1BA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Helvetica" w:eastAsia="ヒラギノ角ゴ Pro W3" w:hAnsi="Helvetica" w:cs="Times New Roman"/>
                <w:szCs w:val="2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7B9EF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4FCF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3C03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2658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1040" w:type="dxa"/>
            <w:shd w:val="clear" w:color="auto" w:fill="FF0000"/>
          </w:tcPr>
          <w:p w14:paraId="3FDBBD2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6BF39FE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</w:tcPr>
          <w:p w14:paraId="7C4A905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41B98C9A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485B2847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Wingdings" w:eastAsia="ヒラギノ角ゴ Pro W3" w:hAnsi="Wingdings" w:cs="Times New Roman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02B5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5CE91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7169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8FB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1040" w:type="dxa"/>
            <w:shd w:val="clear" w:color="auto" w:fill="FF0000"/>
          </w:tcPr>
          <w:p w14:paraId="70D7B07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1D9942D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</w:tcPr>
          <w:p w14:paraId="1BA5C66A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4CA52144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0653BD5A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Helvetica" w:eastAsia="ヒラギノ角ゴ Pro W3" w:hAnsi="Helvetica" w:cs="Times New Roman"/>
                <w:szCs w:val="2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CB2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B6D8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432DF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438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1040" w:type="dxa"/>
            <w:shd w:val="clear" w:color="auto" w:fill="A3D979"/>
          </w:tcPr>
          <w:p w14:paraId="7E6BFD9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858" w:type="dxa"/>
            <w:shd w:val="clear" w:color="auto" w:fill="A3D979"/>
          </w:tcPr>
          <w:p w14:paraId="0FED733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0" w:type="auto"/>
            <w:shd w:val="clear" w:color="auto" w:fill="A3D979"/>
          </w:tcPr>
          <w:p w14:paraId="236AA0BC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FE08C3" w:rsidRPr="00FE08C3" w14:paraId="1758D0DE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75FA06CA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Helvetica" w:eastAsia="ヒラギノ角ゴ Pro W3" w:hAnsi="Helvetica" w:cs="Times New Roman"/>
                <w:szCs w:val="2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37277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AF51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9D74A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4FA7E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1040" w:type="dxa"/>
            <w:shd w:val="clear" w:color="auto" w:fill="A3D979"/>
          </w:tcPr>
          <w:p w14:paraId="4ADA67A0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858" w:type="dxa"/>
            <w:shd w:val="clear" w:color="auto" w:fill="A3D979"/>
          </w:tcPr>
          <w:p w14:paraId="37C63347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0" w:type="auto"/>
            <w:shd w:val="clear" w:color="auto" w:fill="A3D979"/>
          </w:tcPr>
          <w:p w14:paraId="49A9EF9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</w:tr>
      <w:tr w:rsidR="00FE08C3" w:rsidRPr="00FE08C3" w14:paraId="03391BEE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45518EC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Helvetica" w:eastAsia="ヒラギノ角ゴ Pro W3" w:hAnsi="Helvetica" w:cs="Times New Roman"/>
                <w:szCs w:val="2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Broken Authentication and Session Management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FD9C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2DE4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5C646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430BC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1040" w:type="dxa"/>
            <w:shd w:val="clear" w:color="auto" w:fill="A3D979"/>
          </w:tcPr>
          <w:p w14:paraId="3B1E9D2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858" w:type="dxa"/>
            <w:shd w:val="clear" w:color="auto" w:fill="A3D979"/>
          </w:tcPr>
          <w:p w14:paraId="20808B0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0" w:type="auto"/>
            <w:shd w:val="clear" w:color="auto" w:fill="A3D979"/>
          </w:tcPr>
          <w:p w14:paraId="7E61A66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</w:tr>
      <w:tr w:rsidR="00FE08C3" w:rsidRPr="00FE08C3" w14:paraId="3877EE4C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40F12598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Wingdings" w:eastAsia="ヒラギノ角ゴ Pro W3" w:hAnsi="Wingdings" w:cs="Times New Roman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C1188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9307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0" w:type="auto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A60DE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2D8A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1040" w:type="dxa"/>
            <w:shd w:val="clear" w:color="auto" w:fill="A3D979"/>
          </w:tcPr>
          <w:p w14:paraId="2EAE346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858" w:type="dxa"/>
            <w:shd w:val="clear" w:color="auto" w:fill="FFFA83"/>
          </w:tcPr>
          <w:p w14:paraId="6C1CC34E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0" w:type="auto"/>
            <w:shd w:val="clear" w:color="auto" w:fill="FFFA83"/>
          </w:tcPr>
          <w:p w14:paraId="267D858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</w:tr>
      <w:tr w:rsidR="00FE08C3" w:rsidRPr="00FE08C3" w14:paraId="07646F5C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6BFDAF2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Wingdings" w:eastAsia="ヒラギノ角ゴ Pro W3" w:hAnsi="Wingdings" w:cs="Times New Roman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3BD1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C57A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1993C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06A51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1040" w:type="dxa"/>
            <w:shd w:val="clear" w:color="auto" w:fill="A3D979"/>
          </w:tcPr>
          <w:p w14:paraId="24FB6A5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858" w:type="dxa"/>
            <w:shd w:val="clear" w:color="auto" w:fill="A3D979"/>
          </w:tcPr>
          <w:p w14:paraId="5C2C297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0" w:type="auto"/>
            <w:shd w:val="clear" w:color="auto" w:fill="FF0000"/>
          </w:tcPr>
          <w:p w14:paraId="253F45C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4159C8CD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3310D94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Helvetica" w:eastAsia="ヒラギノ角ゴ Pro W3" w:hAnsi="Helvetica" w:cs="Times New Roman"/>
                <w:szCs w:val="2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BCC10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4AC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22470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CBC98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1040" w:type="dxa"/>
            <w:shd w:val="clear" w:color="auto" w:fill="A3D979"/>
          </w:tcPr>
          <w:p w14:paraId="0ADC003E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858" w:type="dxa"/>
            <w:shd w:val="clear" w:color="auto" w:fill="A3D979"/>
          </w:tcPr>
          <w:p w14:paraId="3502090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0" w:type="auto"/>
            <w:shd w:val="clear" w:color="auto" w:fill="A3D979"/>
          </w:tcPr>
          <w:p w14:paraId="2A20A4AA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</w:tr>
      <w:tr w:rsidR="00FE08C3" w:rsidRPr="00FE08C3" w14:paraId="1DF8FAFE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2C793F6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Helvetica" w:eastAsia="ヒラギノ角ゴ Pro W3" w:hAnsi="Helvetica" w:cs="Times New Roman"/>
                <w:szCs w:val="2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257F1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8641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0" w:type="auto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F2CF4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C4F1A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1040" w:type="dxa"/>
            <w:shd w:val="clear" w:color="auto" w:fill="A3D979"/>
          </w:tcPr>
          <w:p w14:paraId="3DF376B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858" w:type="dxa"/>
            <w:shd w:val="clear" w:color="auto" w:fill="A3D979"/>
          </w:tcPr>
          <w:p w14:paraId="401DC490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0" w:type="auto"/>
            <w:shd w:val="clear" w:color="auto" w:fill="A3D979"/>
          </w:tcPr>
          <w:p w14:paraId="510A94B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FE08C3" w:rsidRPr="00FE08C3" w14:paraId="6C4055E3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73C19E10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9CA11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9CA8F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CCEBB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39C4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1040" w:type="dxa"/>
            <w:shd w:val="clear" w:color="auto" w:fill="FF0000"/>
          </w:tcPr>
          <w:p w14:paraId="21AFEA9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74C6D08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0" w:type="auto"/>
            <w:shd w:val="clear" w:color="auto" w:fill="FF0000"/>
          </w:tcPr>
          <w:p w14:paraId="0A39F388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4E460E4B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7B2BC91E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Wingdings" w:eastAsia="ヒラギノ角ゴ Pro W3" w:hAnsi="Wingdings" w:cs="Times New Roman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F7437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469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3A656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1F0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1040" w:type="dxa"/>
            <w:shd w:val="clear" w:color="auto" w:fill="A3D979"/>
          </w:tcPr>
          <w:p w14:paraId="773F93E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858" w:type="dxa"/>
            <w:shd w:val="clear" w:color="auto" w:fill="FF0000"/>
          </w:tcPr>
          <w:p w14:paraId="5D19C848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</w:tcPr>
          <w:p w14:paraId="412547F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15CF3D68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709F24F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Helvetica" w:eastAsia="ヒラギノ角ゴ Pro W3" w:hAnsi="Helvetica" w:cs="Times New Roman"/>
                <w:szCs w:val="2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B04A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851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836E0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EF9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1040" w:type="dxa"/>
            <w:shd w:val="clear" w:color="auto" w:fill="FF0000"/>
          </w:tcPr>
          <w:p w14:paraId="3C3D40E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14EEED7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</w:tcPr>
          <w:p w14:paraId="2D183C5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755303D6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4A737EE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Wingdings" w:eastAsia="ヒラギノ角ゴ Pro W3" w:hAnsi="Wingdings" w:cs="Times New Roman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8E9C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DE437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8F927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B51F1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1040" w:type="dxa"/>
            <w:shd w:val="clear" w:color="auto" w:fill="FF0000"/>
          </w:tcPr>
          <w:p w14:paraId="48835F4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72EBAAC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</w:tcPr>
          <w:p w14:paraId="560412D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4E857C7F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0CC72B1F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Helvetica" w:eastAsia="ヒラギノ角ゴ Pro W3" w:hAnsi="Helvetica" w:cs="Times New Roman"/>
                <w:szCs w:val="2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Sensitive Data Exposure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DF9D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5BB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2E35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E7FF8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1040" w:type="dxa"/>
            <w:shd w:val="clear" w:color="auto" w:fill="FFFA83"/>
          </w:tcPr>
          <w:p w14:paraId="6DE0295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858" w:type="dxa"/>
            <w:shd w:val="clear" w:color="auto" w:fill="A3D979"/>
          </w:tcPr>
          <w:p w14:paraId="4B9E6C5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0" w:type="auto"/>
            <w:shd w:val="clear" w:color="auto" w:fill="A3D979"/>
          </w:tcPr>
          <w:p w14:paraId="17AFCE2E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</w:tr>
      <w:tr w:rsidR="00FE08C3" w:rsidRPr="00FE08C3" w14:paraId="58258AD3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72060068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Wingdings" w:eastAsia="ヒラギノ角ゴ Pro W3" w:hAnsi="Wingdings" w:cs="Times New Roman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A81A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DB94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0" w:type="auto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94370" w14:textId="77777777" w:rsidR="00FE08C3" w:rsidRPr="00FE08C3" w:rsidRDefault="00FE08C3" w:rsidP="00FE08C3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D027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1040" w:type="dxa"/>
            <w:shd w:val="clear" w:color="auto" w:fill="FF0000"/>
          </w:tcPr>
          <w:p w14:paraId="0213925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43E15BDC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</w:tcPr>
          <w:p w14:paraId="378DDB5F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35E74724" w14:textId="77777777" w:rsidTr="00A07949">
        <w:trPr>
          <w:cantSplit/>
          <w:trHeight w:val="280"/>
          <w:jc w:val="center"/>
        </w:trPr>
        <w:tc>
          <w:tcPr>
            <w:tcW w:w="5680" w:type="dxa"/>
            <w:shd w:val="clear" w:color="auto" w:fill="auto"/>
          </w:tcPr>
          <w:p w14:paraId="334BAD2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Helvetica" w:eastAsia="ヒラギノ角ゴ Pro W3" w:hAnsi="Helvetica" w:cs="Times New Roman"/>
                <w:szCs w:val="2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0" w:type="auto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E653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EDE9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B2B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5C30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1040" w:type="dxa"/>
            <w:shd w:val="clear" w:color="auto" w:fill="FF0000"/>
          </w:tcPr>
          <w:p w14:paraId="27766B2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04F9056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</w:tcPr>
          <w:p w14:paraId="60519C5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007BD72F" w14:textId="77777777" w:rsidTr="00A07949">
        <w:trPr>
          <w:cantSplit/>
          <w:trHeight w:val="290"/>
          <w:jc w:val="center"/>
        </w:trPr>
        <w:tc>
          <w:tcPr>
            <w:tcW w:w="5680" w:type="dxa"/>
            <w:shd w:val="clear" w:color="auto" w:fill="auto"/>
          </w:tcPr>
          <w:p w14:paraId="04A0F6E4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Wingdings" w:eastAsia="ヒラギノ角ゴ Pro W3" w:hAnsi="Wingdings" w:cs="Times New Roman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Using Known Vulnerable Components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C2EE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FC528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B71B0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4FA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1040" w:type="dxa"/>
            <w:shd w:val="clear" w:color="auto" w:fill="FFFA83"/>
          </w:tcPr>
          <w:p w14:paraId="7D041511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</w:t>
            </w:r>
            <w:proofErr w:type="gramStart"/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18][</w:t>
            </w:r>
            <w:proofErr w:type="gramEnd"/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19]</w:t>
            </w:r>
          </w:p>
        </w:tc>
        <w:tc>
          <w:tcPr>
            <w:tcW w:w="858" w:type="dxa"/>
            <w:shd w:val="clear" w:color="auto" w:fill="A3D979"/>
          </w:tcPr>
          <w:p w14:paraId="20A91CBF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0" w:type="auto"/>
            <w:shd w:val="clear" w:color="auto" w:fill="A3D979"/>
          </w:tcPr>
          <w:p w14:paraId="12C090B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</w:tr>
      <w:tr w:rsidR="00FE08C3" w:rsidRPr="00FE08C3" w14:paraId="711C0D88" w14:textId="77777777" w:rsidTr="00A07949">
        <w:trPr>
          <w:cantSplit/>
          <w:trHeight w:val="290"/>
          <w:jc w:val="center"/>
        </w:trPr>
        <w:tc>
          <w:tcPr>
            <w:tcW w:w="5680" w:type="dxa"/>
            <w:shd w:val="clear" w:color="auto" w:fill="auto"/>
          </w:tcPr>
          <w:p w14:paraId="29FAC35F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5EE2E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F117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D237C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1ECD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1040" w:type="dxa"/>
            <w:shd w:val="clear" w:color="auto" w:fill="FF0000"/>
          </w:tcPr>
          <w:p w14:paraId="2135A36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A3D979"/>
          </w:tcPr>
          <w:p w14:paraId="21CA3C8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0" w:type="auto"/>
            <w:shd w:val="clear" w:color="auto" w:fill="FF0000"/>
          </w:tcPr>
          <w:p w14:paraId="6680AA8F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FE08C3" w:rsidRPr="00FE08C3" w14:paraId="4CBAFC14" w14:textId="77777777" w:rsidTr="00A07949">
        <w:trPr>
          <w:cantSplit/>
          <w:trHeight w:val="290"/>
          <w:jc w:val="center"/>
        </w:trPr>
        <w:tc>
          <w:tcPr>
            <w:tcW w:w="5680" w:type="dxa"/>
            <w:shd w:val="clear" w:color="auto" w:fill="auto"/>
          </w:tcPr>
          <w:p w14:paraId="5C40159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Insecure Deserialization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0D0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4E6B0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A310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66E56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1040" w:type="dxa"/>
            <w:shd w:val="clear" w:color="auto" w:fill="FF0000"/>
          </w:tcPr>
          <w:p w14:paraId="1783A4B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3052172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A3D979"/>
          </w:tcPr>
          <w:p w14:paraId="584E3E5B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</w:tr>
      <w:tr w:rsidR="00FE08C3" w:rsidRPr="00FE08C3" w14:paraId="72679FB7" w14:textId="77777777" w:rsidTr="00A07949">
        <w:trPr>
          <w:cantSplit/>
          <w:trHeight w:val="290"/>
          <w:jc w:val="center"/>
        </w:trPr>
        <w:tc>
          <w:tcPr>
            <w:tcW w:w="5680" w:type="dxa"/>
            <w:shd w:val="clear" w:color="auto" w:fill="auto"/>
          </w:tcPr>
          <w:p w14:paraId="3C656EFF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FD6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77A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FA7E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8C372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1040" w:type="dxa"/>
            <w:shd w:val="clear" w:color="auto" w:fill="FF0000"/>
          </w:tcPr>
          <w:p w14:paraId="258EE2A7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7599EC45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A3D979"/>
          </w:tcPr>
          <w:p w14:paraId="2D09F77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  <w:tr w:rsidR="00FE08C3" w:rsidRPr="00FE08C3" w14:paraId="01899386" w14:textId="77777777" w:rsidTr="00A07949">
        <w:trPr>
          <w:cantSplit/>
          <w:trHeight w:val="290"/>
          <w:jc w:val="center"/>
        </w:trPr>
        <w:tc>
          <w:tcPr>
            <w:tcW w:w="5680" w:type="dxa"/>
            <w:shd w:val="clear" w:color="auto" w:fill="auto"/>
          </w:tcPr>
          <w:p w14:paraId="0C67299E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Arial" w:eastAsia="ヒラギノ角ゴ Pro W3" w:hAnsi="Arial" w:cs="Times New Roman"/>
                <w:sz w:val="24"/>
                <w:szCs w:val="20"/>
                <w:u w:color="000000"/>
                <w:lang w:val="en-US" w:eastAsia="en-AU"/>
              </w:rPr>
              <w:t>Insufficient Logging &amp; Monitoring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448DE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C6EDF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65587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E0D3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1040" w:type="dxa"/>
            <w:shd w:val="clear" w:color="auto" w:fill="FF0000"/>
          </w:tcPr>
          <w:p w14:paraId="794CF51C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858" w:type="dxa"/>
            <w:shd w:val="clear" w:color="auto" w:fill="FF0000"/>
          </w:tcPr>
          <w:p w14:paraId="18643A0C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0" w:type="auto"/>
            <w:shd w:val="clear" w:color="auto" w:fill="A3D979"/>
          </w:tcPr>
          <w:p w14:paraId="58139009" w14:textId="77777777" w:rsidR="00FE08C3" w:rsidRPr="00FE08C3" w:rsidRDefault="00FE08C3" w:rsidP="00FE08C3">
            <w:pPr>
              <w:keepLines/>
              <w:tabs>
                <w:tab w:val="left" w:pos="-32416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40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</w:tbl>
    <w:p w14:paraId="15ED1E86" w14:textId="77777777" w:rsidR="00FE08C3" w:rsidRPr="00FE08C3" w:rsidRDefault="00FE08C3" w:rsidP="00FE08C3">
      <w:pPr>
        <w:keepLines/>
        <w:tabs>
          <w:tab w:val="left" w:pos="4536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</w:p>
    <w:p w14:paraId="44B8BFEA" w14:textId="77777777" w:rsidR="00FE08C3" w:rsidRPr="00FE08C3" w:rsidRDefault="00FE08C3" w:rsidP="00FE08C3">
      <w:pPr>
        <w:keepLines/>
        <w:tabs>
          <w:tab w:val="left" w:pos="4536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</w:p>
    <w:p w14:paraId="7EA7530D" w14:textId="77777777" w:rsidR="00FE08C3" w:rsidRPr="00FE08C3" w:rsidRDefault="00FE08C3" w:rsidP="00FE08C3">
      <w:pPr>
        <w:keepLines/>
        <w:tabs>
          <w:tab w:val="left" w:pos="4536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</w:p>
    <w:p w14:paraId="742A168D" w14:textId="77777777" w:rsidR="00FE08C3" w:rsidRPr="00FE08C3" w:rsidRDefault="00FE08C3" w:rsidP="00FE08C3">
      <w:pPr>
        <w:keepLines/>
        <w:tabs>
          <w:tab w:val="left" w:pos="4536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</w:p>
    <w:p w14:paraId="0DB010BE" w14:textId="77777777" w:rsidR="00FE08C3" w:rsidRPr="00FE08C3" w:rsidRDefault="00FE08C3" w:rsidP="00FE08C3">
      <w:pPr>
        <w:keepLines/>
        <w:tabs>
          <w:tab w:val="left" w:pos="6237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>[1] Renamed “Broken Access Control” from T10 2003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  <w:t>[11] Split “Broken Access Control” from T10 2004</w:t>
      </w:r>
    </w:p>
    <w:p w14:paraId="367F03B1" w14:textId="77777777" w:rsidR="00FE08C3" w:rsidRPr="00FE08C3" w:rsidRDefault="00FE08C3" w:rsidP="00FE08C3">
      <w:pPr>
        <w:keepLines/>
        <w:tabs>
          <w:tab w:val="left" w:pos="6237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>[2] Split “Broken Access Control” from T10 2003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  <w:t>[12] Renamed “Insecure Configuration Management” from T10 2004</w:t>
      </w:r>
    </w:p>
    <w:p w14:paraId="41BD7FC2" w14:textId="77777777" w:rsidR="00FE08C3" w:rsidRPr="00FE08C3" w:rsidRDefault="00FE08C3" w:rsidP="00FE08C3">
      <w:pPr>
        <w:keepLines/>
        <w:tabs>
          <w:tab w:val="left" w:pos="6237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 xml:space="preserve">[3] Renamed “Command Injection Flaws” from T10 2003 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  <w:t>[13] Split “Broken Access Control” from T10 2004</w:t>
      </w:r>
    </w:p>
    <w:p w14:paraId="1DDB02E1" w14:textId="77777777" w:rsidR="00FE08C3" w:rsidRPr="00FE08C3" w:rsidRDefault="00FE08C3" w:rsidP="00FE08C3">
      <w:pPr>
        <w:keepLines/>
        <w:tabs>
          <w:tab w:val="left" w:pos="6237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 xml:space="preserve">[4] Renamed “Error Handling Problems” from T10 2003 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  <w:t>[14] Renamed “Improper Error Handling” from T10 2004</w:t>
      </w:r>
    </w:p>
    <w:p w14:paraId="760A3D90" w14:textId="77777777" w:rsidR="00FE08C3" w:rsidRPr="00FE08C3" w:rsidRDefault="00FE08C3" w:rsidP="00FE08C3">
      <w:pPr>
        <w:keepLines/>
        <w:tabs>
          <w:tab w:val="left" w:pos="6237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>[5] Renamed “Insecure Use of Cryptography” from T10 2003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  <w:t>[15] Renamed “Insecure Storage” from T10 2004</w:t>
      </w:r>
    </w:p>
    <w:p w14:paraId="01E8B6A0" w14:textId="77777777" w:rsidR="00FE08C3" w:rsidRPr="00FE08C3" w:rsidRDefault="00FE08C3" w:rsidP="00FE08C3">
      <w:pPr>
        <w:keepLines/>
        <w:tabs>
          <w:tab w:val="left" w:pos="6237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>[6] Renamed “Web and Application Server ” from T10 2003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</w:r>
      <w:r w:rsidRPr="00FE08C3">
        <w:rPr>
          <w:rFonts w:ascii="Arial" w:eastAsia="Times New Roman" w:hAnsi="Arial" w:cs="Arial"/>
          <w:sz w:val="16"/>
          <w:szCs w:val="16"/>
          <w:lang w:val="en-US" w:eastAsia="en-AU" w:bidi="x-none"/>
        </w:rPr>
        <w:t>[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>16] Renamed “Failure to Restrict URL Access” from T10 2010</w:t>
      </w:r>
    </w:p>
    <w:p w14:paraId="57B2CE99" w14:textId="77777777" w:rsidR="00FE08C3" w:rsidRPr="00FE08C3" w:rsidRDefault="00FE08C3" w:rsidP="00FE08C3">
      <w:pPr>
        <w:keepLines/>
        <w:tabs>
          <w:tab w:val="left" w:pos="6237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>[7] Split “Insecure Configuration Management” from T10 2004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  <w:t>[17] Renamed “Insecure Cryptographic Storage” from T10 2010</w:t>
      </w:r>
    </w:p>
    <w:p w14:paraId="01AC9F73" w14:textId="77777777" w:rsidR="00FE08C3" w:rsidRPr="00FE08C3" w:rsidRDefault="00FE08C3" w:rsidP="00FE08C3">
      <w:pPr>
        <w:keepLines/>
        <w:tabs>
          <w:tab w:val="left" w:pos="6237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>[8] Reconsidered during T10 2010 Release Candidate (RC)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  <w:t>[18] Split “Insecure Cryptographic Storage” from T10 2010</w:t>
      </w:r>
    </w:p>
    <w:p w14:paraId="566DBD6B" w14:textId="77777777" w:rsidR="00FE08C3" w:rsidRPr="00FE08C3" w:rsidRDefault="00FE08C3" w:rsidP="00FE08C3">
      <w:pPr>
        <w:keepLines/>
        <w:tabs>
          <w:tab w:val="left" w:pos="6237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>[9] Renamed “Unvalidated Parameters” from T10 2003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  <w:t>[19] Split “Security Misconfiguration” from T10 2010</w:t>
      </w:r>
    </w:p>
    <w:p w14:paraId="4B088604" w14:textId="77777777" w:rsidR="00FE08C3" w:rsidRPr="00FE08C3" w:rsidRDefault="00FE08C3" w:rsidP="00FE08C3">
      <w:pPr>
        <w:keepLines/>
        <w:tabs>
          <w:tab w:val="left" w:pos="6237"/>
        </w:tabs>
        <w:spacing w:before="83" w:after="0" w:line="240" w:lineRule="auto"/>
        <w:ind w:left="125" w:right="62"/>
        <w:rPr>
          <w:rFonts w:ascii="Arial" w:eastAsia="Times New Roman" w:hAnsi="Arial" w:cs="Arial"/>
          <w:sz w:val="16"/>
          <w:szCs w:val="16"/>
          <w:lang w:val="en-AU" w:eastAsia="en-AU" w:bidi="x-none"/>
        </w:rPr>
      </w:pP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>[10] Renamed “Injection Flaws” from T10 2007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</w:r>
      <w:r w:rsidRPr="00FE08C3">
        <w:rPr>
          <w:rFonts w:ascii="Arial" w:eastAsia="Times New Roman" w:hAnsi="Arial" w:cs="Arial"/>
          <w:sz w:val="16"/>
          <w:szCs w:val="16"/>
          <w:lang w:val="en-US" w:eastAsia="en-AU" w:bidi="x-none"/>
        </w:rPr>
        <w:t>[20] Split “Broken Access Control” from T10 2013</w:t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</w:r>
      <w:r w:rsidRPr="00FE08C3">
        <w:rPr>
          <w:rFonts w:ascii="Arial" w:eastAsia="Times New Roman" w:hAnsi="Arial" w:cs="Arial"/>
          <w:sz w:val="16"/>
          <w:szCs w:val="16"/>
          <w:lang w:val="en-AU" w:eastAsia="en-AU" w:bidi="x-none"/>
        </w:rPr>
        <w:tab/>
      </w:r>
    </w:p>
    <w:p w14:paraId="4FA2317E" w14:textId="77777777" w:rsidR="007702B4" w:rsidRDefault="00FE08C3">
      <w:bookmarkStart w:id="0" w:name="_GoBack"/>
      <w:bookmarkEnd w:id="0"/>
    </w:p>
    <w:sectPr w:rsidR="007702B4" w:rsidSect="00FE08C3">
      <w:headerReference w:type="even" r:id="rId5"/>
      <w:headerReference w:type="default" r:id="rId6"/>
      <w:footerReference w:type="even" r:id="rId7"/>
      <w:footerReference w:type="default" r:id="rId8"/>
      <w:pgSz w:w="11906" w:h="16838" w:code="9"/>
      <w:pgMar w:top="1134" w:right="284" w:bottom="1134" w:left="284" w:header="113" w:footer="11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 Bold">
    <w:altName w:val="Tahoma"/>
    <w:panose1 w:val="020B080403050404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97D4C" w14:textId="77777777" w:rsidR="00257B3A" w:rsidRDefault="00FE08C3">
    <w:pPr>
      <w:pStyle w:val="FreeFormA"/>
      <w:keepLines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008"/>
      </w:tabs>
      <w:spacing w:before="83"/>
      <w:ind w:left="126" w:right="64"/>
      <w:rPr>
        <w:rFonts w:ascii="Arial" w:hAnsi="Arial"/>
        <w:u w:color="000000"/>
      </w:rPr>
    </w:pPr>
    <w:r>
      <w:rPr>
        <w:rFonts w:ascii="Arial" w:hAnsi="Arial"/>
        <w:u w:color="000000"/>
      </w:rPr>
      <w:t xml:space="preserve">Prepared by </w:t>
    </w:r>
    <w:hyperlink r:id="rId1" w:history="1">
      <w:r>
        <w:rPr>
          <w:rFonts w:ascii="Arial" w:hAnsi="Arial"/>
          <w:color w:val="001483"/>
          <w:u w:val="single" w:color="000000"/>
        </w:rPr>
        <w:t>christian.heinrich@owasp.org</w:t>
      </w:r>
    </w:hyperlink>
  </w:p>
  <w:p w14:paraId="5388BA61" w14:textId="77777777" w:rsidR="00257B3A" w:rsidRDefault="00FE08C3">
    <w:pPr>
      <w:pStyle w:val="FreeFormA"/>
      <w:keepLines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008"/>
      </w:tabs>
      <w:spacing w:before="83"/>
      <w:ind w:left="126" w:right="64"/>
      <w:rPr>
        <w:rFonts w:ascii="Times New Roman" w:eastAsia="Times New Roman" w:hAnsi="Times New Roman"/>
        <w:color w:val="auto"/>
        <w:sz w:val="20"/>
        <w:lang w:val="en-AU" w:eastAsia="en-AU" w:bidi="x-none"/>
      </w:rPr>
    </w:pPr>
    <w:r>
      <w:rPr>
        <w:rFonts w:ascii="Arial" w:hAnsi="Arial"/>
        <w:u w:color="000000"/>
      </w:rPr>
      <w:t xml:space="preserve">License </w:t>
    </w:r>
    <w:hyperlink r:id="rId2" w:history="1">
      <w:r>
        <w:rPr>
          <w:rFonts w:ascii="Arial" w:hAnsi="Arial"/>
          <w:u w:val="single" w:color="000000"/>
        </w:rPr>
        <w:t>http://cr</w:t>
      </w:r>
      <w:r>
        <w:rPr>
          <w:rFonts w:ascii="Arial" w:hAnsi="Arial"/>
          <w:u w:val="single" w:color="000000"/>
        </w:rPr>
        <w:t>eativecommons.org/licenses/by-nc-nd/2.5/au/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2B15" w14:textId="77777777" w:rsidR="00257B3A" w:rsidRDefault="00FE08C3">
    <w:pPr>
      <w:pStyle w:val="FreeFormA"/>
      <w:keepLines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008"/>
      </w:tabs>
      <w:ind w:left="126" w:right="64"/>
      <w:rPr>
        <w:rFonts w:ascii="Times New Roman" w:eastAsia="Times New Roman" w:hAnsi="Times New Roman"/>
        <w:color w:val="auto"/>
        <w:sz w:val="20"/>
        <w:lang w:val="en-AU" w:eastAsia="en-AU" w:bidi="x-none"/>
      </w:rPr>
    </w:pPr>
    <w:r>
      <w:rPr>
        <w:rFonts w:ascii="Arial" w:hAnsi="Arial"/>
        <w:sz w:val="18"/>
        <w:u w:color="000000"/>
      </w:rPr>
      <w:t xml:space="preserve">Prepared by: </w:t>
    </w:r>
    <w:r w:rsidRPr="00A0437B">
      <w:rPr>
        <w:rFonts w:ascii="Courier New" w:hAnsi="Courier New" w:cs="Courier New"/>
        <w:b/>
        <w:sz w:val="18"/>
      </w:rPr>
      <w:t>Christian.Heinrich@cmlh.id.au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A379F" w14:textId="77777777" w:rsidR="00257B3A" w:rsidRDefault="00FE08C3">
    <w:pPr>
      <w:pStyle w:val="FreeFormA"/>
      <w:keepLines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3944"/>
      </w:tabs>
      <w:ind w:left="63" w:right="128"/>
      <w:jc w:val="center"/>
      <w:rPr>
        <w:rFonts w:ascii="Times New Roman" w:eastAsia="Times New Roman" w:hAnsi="Times New Roman"/>
        <w:color w:val="auto"/>
        <w:sz w:val="20"/>
        <w:lang w:val="en-AU" w:eastAsia="en-AU" w:bidi="x-none"/>
      </w:rPr>
    </w:pPr>
    <w:r>
      <w:rPr>
        <w:rFonts w:ascii="Tahoma Bold" w:hAnsi="Tahoma Bold"/>
        <w:sz w:val="48"/>
        <w:u w:color="000000"/>
      </w:rPr>
      <w:t>Compar</w:t>
    </w:r>
    <w:r>
      <w:rPr>
        <w:rFonts w:ascii="Tahoma Bold" w:hAnsi="Tahoma Bold"/>
        <w:sz w:val="48"/>
        <w:u w:color="000000"/>
      </w:rPr>
      <w:t>ison of 2004, 2007 and 2010 Releases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9532D" w14:textId="77777777" w:rsidR="00FF1C7A" w:rsidRDefault="00FE08C3" w:rsidP="00FF1C7A">
    <w:pPr>
      <w:pStyle w:val="FreeFormA"/>
      <w:keepLines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3944"/>
      </w:tabs>
      <w:ind w:left="63" w:right="128"/>
      <w:jc w:val="center"/>
      <w:rPr>
        <w:rFonts w:ascii="Times New Roman" w:eastAsia="Times New Roman" w:hAnsi="Times New Roman"/>
        <w:color w:val="auto"/>
        <w:sz w:val="20"/>
        <w:lang w:val="en-AU" w:eastAsia="en-AU" w:bidi="x-none"/>
      </w:rPr>
    </w:pPr>
    <w:r>
      <w:rPr>
        <w:rFonts w:ascii="Tahoma Bold" w:hAnsi="Tahoma Bold"/>
        <w:sz w:val="48"/>
        <w:u w:color="000000"/>
      </w:rPr>
      <w:t>Comparison of OWASP Top 10 Releases</w:t>
    </w:r>
  </w:p>
  <w:p w14:paraId="3108D67E" w14:textId="77777777" w:rsidR="00222AAE" w:rsidRPr="00FF1C7A" w:rsidRDefault="00FE08C3" w:rsidP="00FF1C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C3"/>
    <w:rsid w:val="00632362"/>
    <w:rsid w:val="009654C4"/>
    <w:rsid w:val="00FE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C3DF"/>
  <w15:chartTrackingRefBased/>
  <w15:docId w15:val="{EA78C337-4A4B-4760-BE8A-EFA3C391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autoRedefine/>
    <w:rsid w:val="00FE08C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AU"/>
    </w:rPr>
  </w:style>
  <w:style w:type="paragraph" w:styleId="Header">
    <w:name w:val="header"/>
    <w:basedOn w:val="Normal"/>
    <w:link w:val="HeaderChar"/>
    <w:rsid w:val="00FE08C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E08C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nd/2.5/au/" TargetMode="External"/><Relationship Id="rId1" Type="http://schemas.openxmlformats.org/officeDocument/2006/relationships/hyperlink" Target="mailto:christian.heinrich@owas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054E1-C785-4F05-BCAE-2CAF375A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1</cp:revision>
  <dcterms:created xsi:type="dcterms:W3CDTF">2018-11-02T03:22:00Z</dcterms:created>
  <dcterms:modified xsi:type="dcterms:W3CDTF">2018-11-02T03:28:00Z</dcterms:modified>
</cp:coreProperties>
</file>