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Layout w:type="fixed"/>
        <w:tblLook w:val="0000" w:firstRow="0" w:lastRow="0" w:firstColumn="0" w:lastColumn="0" w:noHBand="0" w:noVBand="0"/>
      </w:tblPr>
      <w:tblGrid>
        <w:gridCol w:w="7933"/>
        <w:gridCol w:w="785"/>
        <w:gridCol w:w="724"/>
        <w:gridCol w:w="684"/>
        <w:gridCol w:w="583"/>
        <w:gridCol w:w="997"/>
        <w:gridCol w:w="763"/>
        <w:gridCol w:w="782"/>
      </w:tblGrid>
      <w:tr w:rsidR="00F537EF" w:rsidRPr="00C16EDD" w14:paraId="61502710" w14:textId="77777777" w:rsidTr="00060375">
        <w:trPr>
          <w:cantSplit/>
          <w:trHeight w:val="166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000000"/>
                <w:lang w:val="en-US" w:eastAsia="en-AU"/>
              </w:rPr>
              <w:t>OWASP Top Ten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B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</w:tcPr>
          <w:p w14:paraId="6150270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2021</w:t>
            </w:r>
          </w:p>
        </w:tc>
      </w:tr>
      <w:tr w:rsidR="0054179D" w:rsidRPr="00C16EDD" w14:paraId="630AA210" w14:textId="77777777" w:rsidTr="000548E3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8ACA1" w14:textId="1E1A5CC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</w:t>
            </w: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E637A86" w14:textId="1568AE8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39603EF2" w14:textId="2ACB2B98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3C5BA2B4" w14:textId="69C383D1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27DB699" w14:textId="28606469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BD2D1F0" w14:textId="2A01D391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1CCD387" w14:textId="5A1D45C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9DBDF19" w14:textId="2A9E69A4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</w:tr>
      <w:tr w:rsidR="0054179D" w:rsidRPr="00C16EDD" w14:paraId="60D9C001" w14:textId="77777777" w:rsidTr="00EB2FE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91334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B827328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6888107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5DCAB10F" w14:textId="77777777" w:rsidR="0054179D" w:rsidRPr="00C16EDD" w:rsidRDefault="0054179D" w:rsidP="00EB2FE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3F787E5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0A252C85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F299300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8F9590B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54179D" w:rsidRPr="00C16EDD" w14:paraId="7910ED6F" w14:textId="77777777" w:rsidTr="00EB2FE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E90A4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AAFCC53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53E89CE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B399520" w14:textId="77777777" w:rsidR="0054179D" w:rsidRPr="00C16EDD" w:rsidRDefault="0054179D" w:rsidP="00EB2FE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B1ADF0A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0EB6A90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263C764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8E52032" w14:textId="77777777" w:rsidR="0054179D" w:rsidRPr="00C16EDD" w:rsidRDefault="0054179D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</w:tr>
      <w:tr w:rsidR="0078294C" w:rsidRPr="00C16EDD" w14:paraId="3248D55A" w14:textId="77777777" w:rsidTr="00EB2FE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E731D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A12E1EB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171F206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B5EC179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D310B02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803394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47852A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4CC7248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</w:tr>
      <w:tr w:rsidR="0078294C" w:rsidRPr="00C16EDD" w14:paraId="26E1958A" w14:textId="77777777" w:rsidTr="00EB2FE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01D4D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AC0D462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2A0A365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A933D4" w14:textId="77777777" w:rsidR="0078294C" w:rsidRPr="00C16EDD" w:rsidRDefault="0078294C" w:rsidP="00EB2FE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1363990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84B1237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306BE11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B67635" w14:textId="77777777" w:rsidR="0078294C" w:rsidRPr="00C16EDD" w:rsidRDefault="0078294C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5D97C6C" w14:textId="77777777" w:rsidTr="00EB2FE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A16C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6F5760A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BE3440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8E75430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95A695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24603F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B8D1A9E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5F42EF0C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F23BB0C" w14:textId="77777777" w:rsidTr="00EB2FE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BA05D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C03D684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A4971C7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E9EA175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6A4C7E5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4A954D1F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CBC6930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31C48DA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6D4F54" w:rsidRPr="00C16EDD" w14:paraId="09C7EA12" w14:textId="77777777" w:rsidTr="00EB2FE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65D1C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  <w:t>Identification and Authentication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1AEA835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477B31A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1F1EA89E" w14:textId="77777777" w:rsidR="006D4F54" w:rsidRPr="00C16EDD" w:rsidRDefault="006D4F54" w:rsidP="00EB2FE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6377A68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95FCCC9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B400F29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392976C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6D4F54" w:rsidRPr="00C16EDD" w14:paraId="13B40CF3" w14:textId="77777777" w:rsidTr="00EB2FE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E2626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69A6961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CC98588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A147D56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F19184C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C5DD19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1BFD87B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7E0BCB3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6D4F54" w:rsidRPr="00C16EDD" w14:paraId="52D9253D" w14:textId="77777777" w:rsidTr="00EB2FE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E48EC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9107168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6DB7D4B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629046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94581BB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A8EB488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FB097D3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4BD725C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6D4F54" w:rsidRPr="00C16EDD" w14:paraId="4EFFC6BE" w14:textId="77777777" w:rsidTr="00EB2FE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1D509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1C681FB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7752724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46B6952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B44615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F15E8E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BC56000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E00C7DB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</w:tr>
      <w:tr w:rsidR="006D4F54" w:rsidRPr="00060375" w14:paraId="3FB75F36" w14:textId="77777777" w:rsidTr="00EB2FE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22A2" w14:textId="77777777" w:rsidR="006D4F54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Code Quality Issues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4FE6EA0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FE6DECB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6FDF687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E75848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32A7B0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57C322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E5D208" w14:textId="77777777" w:rsidR="006D4F54" w:rsidRPr="00060375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44152A2C" w14:textId="77777777" w:rsidTr="00EB2FE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C8071" w14:textId="77777777" w:rsidR="006D4F54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868697C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8A38C65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54DCA11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44DE40A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B3222D4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D6F1EFE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3B04D967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6F8B9AB1" w14:textId="77777777" w:rsidTr="00EB2FE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FA715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Memory Management Errors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CB9CD4F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F063321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BE45440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80FE3B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A5F553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C14D77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3C59FAE" w14:textId="77777777" w:rsidR="006D4F54" w:rsidRPr="00C16EDD" w:rsidRDefault="006D4F54" w:rsidP="00EB2FE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54179D" w:rsidRPr="00C16EDD" w14:paraId="6150271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4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22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D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2B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23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4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2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6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2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3D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3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8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3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4F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4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4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4A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4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4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58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5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3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3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6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E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C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7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7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5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0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E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8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9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0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9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9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9B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A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A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BB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B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</w:tbl>
    <w:p w14:paraId="615027F2" w14:textId="77777777" w:rsidR="00F537EF" w:rsidRDefault="00F537EF"/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6975"/>
        <w:gridCol w:w="6973"/>
      </w:tblGrid>
      <w:tr w:rsidR="0060397D" w14:paraId="615027F5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3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[1] Renamed “Broken Access Control”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4" w14:textId="1B4D5A62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60397D" w14:paraId="615027F8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6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7" w14:textId="641FB6FA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60397D" w14:paraId="615027FB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9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A" w14:textId="42C346AD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60397D" w14:paraId="615027FE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C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7FD" w14:textId="49FB2A52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60397D" w14:paraId="61502801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7FF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0" w14:textId="2E38C6A3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60397D" w14:paraId="61502804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2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3" w14:textId="1A035EA0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60397D" w14:paraId="61502807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5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6" w14:textId="09F4E580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60397D" w14:paraId="6150280A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8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9" w14:textId="616B7869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</w:tr>
      <w:tr w:rsidR="0060397D" w14:paraId="6150280D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B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C" w14:textId="1175013C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</w:tr>
      <w:tr w:rsidR="0060397D" w14:paraId="61502810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0E" w14:textId="77777777" w:rsidR="0060397D" w:rsidRDefault="0060397D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0F" w14:textId="47209CE9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</w:tr>
      <w:tr w:rsidR="0060397D" w14:paraId="61502813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11" w14:textId="77777777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2" w14:textId="6B59DCCA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</w:tr>
      <w:tr w:rsidR="0060397D" w14:paraId="61502816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14" w14:textId="77777777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5" w14:textId="33C31038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</w:tr>
      <w:tr w:rsidR="0060397D" w14:paraId="61502819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17" w14:textId="4A12B0FF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8" w14:textId="57694D99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[26] Split "Next</w:t>
            </w:r>
            <w:r w:rsidR="008C3432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 xml:space="preserve"> Steps" from 2021</w:t>
            </w:r>
          </w:p>
        </w:tc>
      </w:tr>
      <w:tr w:rsidR="0060397D" w14:paraId="6150281C" w14:textId="77777777" w:rsidTr="0060397D"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14:paraId="6150281A" w14:textId="77777777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</w:tcPr>
          <w:p w14:paraId="6150281B" w14:textId="28DAB207" w:rsidR="0060397D" w:rsidRDefault="0060397D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</w:tbl>
    <w:p w14:paraId="6150281D" w14:textId="77777777" w:rsidR="00F537EF" w:rsidRDefault="00F537EF"/>
    <w:sectPr w:rsidR="00F537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52B2B" w14:textId="77777777" w:rsidR="00400D70" w:rsidRDefault="00400D70">
      <w:pPr>
        <w:spacing w:after="0" w:line="240" w:lineRule="auto"/>
      </w:pPr>
      <w:r>
        <w:separator/>
      </w:r>
    </w:p>
  </w:endnote>
  <w:endnote w:type="continuationSeparator" w:id="0">
    <w:p w14:paraId="16E6AE1C" w14:textId="77777777" w:rsidR="00400D70" w:rsidRDefault="00400D70">
      <w:pPr>
        <w:spacing w:after="0" w:line="240" w:lineRule="auto"/>
      </w:pPr>
      <w:r>
        <w:continuationSeparator/>
      </w:r>
    </w:p>
  </w:endnote>
  <w:endnote w:type="continuationNotice" w:id="1">
    <w:p w14:paraId="0DF27FF2" w14:textId="77777777" w:rsidR="00400D70" w:rsidRDefault="00400D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1" w14:textId="77777777" w:rsidR="00F537EF" w:rsidRDefault="00F53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2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8242" behindDoc="1" locked="0" layoutInCell="0" allowOverlap="1" wp14:anchorId="6150282D" wp14:editId="6150282E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6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3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6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8243" behindDoc="1" locked="0" layoutInCell="0" allowOverlap="1" wp14:anchorId="61502832" wp14:editId="61502833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7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7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8FB5" w14:textId="77777777" w:rsidR="00400D70" w:rsidRDefault="00400D70">
      <w:pPr>
        <w:spacing w:after="0" w:line="240" w:lineRule="auto"/>
      </w:pPr>
      <w:r>
        <w:separator/>
      </w:r>
    </w:p>
  </w:footnote>
  <w:footnote w:type="continuationSeparator" w:id="0">
    <w:p w14:paraId="2AFAC8F0" w14:textId="77777777" w:rsidR="00400D70" w:rsidRDefault="00400D70">
      <w:pPr>
        <w:spacing w:after="0" w:line="240" w:lineRule="auto"/>
      </w:pPr>
      <w:r>
        <w:continuationSeparator/>
      </w:r>
    </w:p>
  </w:footnote>
  <w:footnote w:type="continuationNotice" w:id="1">
    <w:p w14:paraId="554DEB03" w14:textId="77777777" w:rsidR="00400D70" w:rsidRDefault="00400D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E" w14:textId="77777777" w:rsidR="00F537EF" w:rsidRDefault="00B848BD">
    <w:pPr>
      <w:pStyle w:val="Header"/>
    </w:pPr>
    <w:r>
      <w:pict w14:anchorId="61502828">
        <v:shapetype id="_x0000_m103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 w14:anchorId="61502829">
        <v:shape id="PowerPlusWaterMarkObject719058954" o:spid="_x0000_s1027" type="#_x0000_m1030" style="position:absolute;margin-left:0;margin-top:0;width:228.4pt;height:175.9pt;z-index:-251658233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5"/>
          <v:handles>
            <v:h position="@0,center"/>
          </v:handles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F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8240" behindDoc="0" locked="0" layoutInCell="0" allowOverlap="1" wp14:anchorId="6150282A" wp14:editId="6150282B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2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8BD">
      <w:pict w14:anchorId="6150282C">
        <v:shapetype id="_x0000_m1029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B848BD">
      <w:pict w14:anchorId="6150282C">
        <v:shape id="PowerPlusWaterMarkObject719058955" o:spid="_x0000_s1026" type="#_x0000_m1029" style="position:absolute;margin-left:0;margin-top:0;width:228.4pt;height:175.9pt;z-index:-251658232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5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0" w14:textId="77777777" w:rsidR="00F537EF" w:rsidRDefault="00F53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4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8241" behindDoc="0" locked="0" layoutInCell="0" allowOverlap="1" wp14:anchorId="6150282F" wp14:editId="61502830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4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8BD">
      <w:pict w14:anchorId="61502831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B848BD">
      <w:pict w14:anchorId="61502831">
        <v:shape id="_x0000_s1025" type="#_x0000_m1028" style="position:absolute;margin-left:0;margin-top:0;width:227.95pt;height:134.35pt;z-index:251658249;mso-wrap-style:none;mso-position-horizontal:center;mso-position-horizontal-relative:margin;mso-position-vertical:center;mso-position-vertical-relative:margin;v-text-anchor:middle" o:spt="100" o:allowincell="f" adj="10800,,0" path="m@9,l@10,em@11,21600l@12,21600e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3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5" w14:textId="77777777" w:rsidR="00F537EF" w:rsidRDefault="00F53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EF"/>
    <w:rsid w:val="00007025"/>
    <w:rsid w:val="00053703"/>
    <w:rsid w:val="00060375"/>
    <w:rsid w:val="001C6472"/>
    <w:rsid w:val="00246ABB"/>
    <w:rsid w:val="00400D70"/>
    <w:rsid w:val="0054179D"/>
    <w:rsid w:val="00597AD2"/>
    <w:rsid w:val="0060397D"/>
    <w:rsid w:val="006D4F54"/>
    <w:rsid w:val="0078294C"/>
    <w:rsid w:val="007979D1"/>
    <w:rsid w:val="008C3432"/>
    <w:rsid w:val="009C072B"/>
    <w:rsid w:val="00B8271C"/>
    <w:rsid w:val="00B848BD"/>
    <w:rsid w:val="00B872F4"/>
    <w:rsid w:val="00C16EDD"/>
    <w:rsid w:val="00C91ADF"/>
    <w:rsid w:val="00D61253"/>
    <w:rsid w:val="00E518C9"/>
    <w:rsid w:val="00F5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02708"/>
  <w15:docId w15:val="{416D6103-F3BC-448D-B33D-49EC6D9F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A46716"/>
  </w:style>
  <w:style w:type="character" w:customStyle="1" w:styleId="FooterChar">
    <w:name w:val="Footer Char"/>
    <w:basedOn w:val="DefaultParagraphFont"/>
    <w:link w:val="Footer"/>
    <w:uiPriority w:val="99"/>
    <w:qFormat/>
    <w:rsid w:val="00A4671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4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Peter Funnell</cp:lastModifiedBy>
  <cp:revision>47</cp:revision>
  <cp:lastPrinted>2022-02-07T03:16:00Z</cp:lastPrinted>
  <dcterms:created xsi:type="dcterms:W3CDTF">2018-11-02T02:39:00Z</dcterms:created>
  <dcterms:modified xsi:type="dcterms:W3CDTF">2022-02-08T05:36:00Z</dcterms:modified>
  <dc:language>en-AU</dc:language>
</cp:coreProperties>
</file>