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40"/>
          <w:szCs w:val="40"/>
        </w:rPr>
        <w:t xml:space="preserve">رد على طلب تقديم المعلومات (RFI)</w:t>
      </w:r>
    </w:p>
    <w:p>
      <w:pPr>
        <w:spacing w:after="120"/>
        <w:jc w:val="center"/>
      </w:pPr>
      <w:r>
        <w:rPr>
          <w:rFonts w:ascii="Arial" w:cs="Arial" w:eastAsia="Arial" w:hAnsi="Arial"/>
          <w:color w:val="E8622A"/>
          <w:sz w:val="28"/>
          <w:szCs w:val="28"/>
        </w:rPr>
        <w:t xml:space="preserve">موديول إدارة الأملاك والتأجير — نظام مشارق لإدارة العقارات</w:t>
      </w:r>
    </w:p>
    <w:p>
      <w:pPr>
        <w:bidi/>
        <w:spacing w:after="120"/>
        <w:jc w:val="right"/>
      </w:pPr>
      <w:r>
        <w:rPr>
          <w:rFonts w:ascii="Arial" w:cs="Arial" w:eastAsia="Arial" w:hAnsi="Arial"/>
          <w:b w:val="false"/>
          <w:bCs w:val="false"/>
          <w:sz w:val="22"/>
          <w:szCs w:val="22"/>
        </w:rPr>
        <w:t xml:space="preserve">الجهة المستهدفة: شركة مطوف — حجاج دول جنوب شرق آسيا (مشارق)</w:t>
      </w:r>
    </w:p>
    <w:p>
      <w:pPr>
        <w:bidi/>
        <w:spacing w:after="120"/>
        <w:jc w:val="right"/>
      </w:pPr>
      <w:r>
        <w:rPr>
          <w:rFonts w:ascii="Arial" w:cs="Arial" w:eastAsia="Arial" w:hAnsi="Arial"/>
          <w:b w:val="false"/>
          <w:bCs w:val="false"/>
          <w:sz w:val="22"/>
          <w:szCs w:val="22"/>
        </w:rPr>
        <w:t xml:space="preserve">رقم الطلب: 47001</w:t>
      </w:r>
    </w:p>
    <w:p>
      <w:pPr>
        <w:bidi/>
        <w:spacing w:after="300"/>
        <w:jc w:val="right"/>
      </w:pPr>
      <w:r>
        <w:rPr>
          <w:rFonts w:ascii="Arial" w:cs="Arial" w:eastAsia="Arial" w:hAnsi="Arial"/>
          <w:b w:val="false"/>
          <w:bCs w:val="false"/>
          <w:sz w:val="22"/>
          <w:szCs w:val="22"/>
        </w:rPr>
        <w:t xml:space="preserve">تاريخ الإعداد: ١٩‏/٥‏/٢٠٢٦</w:t>
      </w:r>
    </w:p>
    <w:p>
      <w:pPr>
        <w:pStyle w:val="Heading1"/>
        <w:bidi/>
        <w:jc w:val="right"/>
      </w:pPr>
      <w:r>
        <w:rPr>
          <w:rFonts w:ascii="Arial" w:cs="Arial" w:eastAsia="Arial" w:hAnsi="Arial"/>
          <w:b/>
          <w:bCs/>
          <w:sz w:val="32"/>
          <w:szCs w:val="32"/>
        </w:rPr>
        <w:t xml:space="preserve">1. مقدمة تنفيذية</w:t>
      </w:r>
    </w:p>
    <w:p>
      <w:pPr>
        <w:bidi/>
        <w:spacing w:after="120"/>
        <w:jc w:val="right"/>
      </w:pPr>
      <w:r>
        <w:rPr>
          <w:rFonts w:ascii="Arial" w:cs="Arial" w:eastAsia="Arial" w:hAnsi="Arial"/>
          <w:b w:val="false"/>
          <w:bCs w:val="false"/>
          <w:sz w:val="24"/>
          <w:szCs w:val="24"/>
        </w:rPr>
        <w:t xml:space="preserve">يقدّم هذا المستند وصفاً عملياً لحل إدارة الأملاك والتأجير المطوّر ضمن منظومة مشارق، استجابةً لطلب تقديم المعلومات (RFI) الخاص بمشروع دمج موديول إدارة الأملاك ضمن نظام ERP. يتضمن المستند لقطات شاشة من النظام الفعلي مع شرح الوظيفة ودورها في دورة الأعمال.</w:t>
      </w:r>
    </w:p>
    <w:p>
      <w:pPr>
        <w:bidi/>
        <w:spacing w:after="240"/>
        <w:jc w:val="right"/>
      </w:pPr>
      <w:r>
        <w:rPr>
          <w:rFonts w:ascii="Arial" w:cs="Arial" w:eastAsia="Arial" w:hAnsi="Arial"/>
          <w:b w:val="false"/>
          <w:bCs w:val="false"/>
          <w:sz w:val="24"/>
          <w:szCs w:val="24"/>
        </w:rPr>
        <w:t xml:space="preserve">يغطي الحل المتطلبات الواردة في نطاق الدراسة: إدارة العقارات والوحدات، المستأجرين، عقود الإيجار، الفوترة والتحصيل، الصيانة، والتقارير ولوحات المعلومات — مع دعم تعدد الأدوار والصلاحيات والتكامل مع الوحدات المالية.</w:t>
      </w:r>
    </w:p>
    <w:p>
      <w:pPr>
        <w:pStyle w:val="Heading1"/>
        <w:bidi/>
        <w:jc w:val="right"/>
      </w:pPr>
      <w:r>
        <w:rPr>
          <w:rFonts w:ascii="Arial" w:cs="Arial" w:eastAsia="Arial" w:hAnsi="Arial"/>
          <w:b/>
          <w:bCs/>
          <w:sz w:val="32"/>
          <w:szCs w:val="32"/>
        </w:rPr>
        <w:t xml:space="preserve">2. ملاءمة الحل لنطاق RFI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Pr>
          <w:p>
            <w:pPr>
              <w:bidi/>
              <w:spacing w:after="120"/>
              <w:jc w:val="right"/>
            </w:pPr>
            <w:r>
              <w:rPr>
                <w:rFonts w:ascii="Arial" w:cs="Arial" w:eastAsia="Arial" w:hAnsi="Arial"/>
                <w:b/>
                <w:bCs/>
                <w:sz w:val="24"/>
                <w:szCs w:val="24"/>
              </w:rPr>
              <w:t xml:space="preserve">نطاق RFI</w:t>
            </w:r>
          </w:p>
        </w:tc>
        <w:tc>
          <w:tcPr>
            <w:tcW w:type="pct" w:w="65%"/>
          </w:tcPr>
          <w:p>
            <w:pPr>
              <w:bidi/>
              <w:spacing w:after="120"/>
              <w:jc w:val="right"/>
            </w:pPr>
            <w:r>
              <w:rPr>
                <w:rFonts w:ascii="Arial" w:cs="Arial" w:eastAsia="Arial" w:hAnsi="Arial"/>
                <w:b/>
                <w:bCs/>
                <w:sz w:val="24"/>
                <w:szCs w:val="24"/>
              </w:rPr>
              <w:t xml:space="preserve">تغطية النظام</w:t>
            </w:r>
          </w:p>
        </w:tc>
      </w:tr>
      <w:tr>
        <w:tc>
          <w:p>
            <w:pPr>
              <w:bidi/>
              <w:spacing w:after="120"/>
              <w:jc w:val="right"/>
            </w:pPr>
            <w:r>
              <w:rPr>
                <w:rFonts w:ascii="Arial" w:cs="Arial" w:eastAsia="Arial" w:hAnsi="Arial"/>
                <w:b w:val="false"/>
                <w:bCs w:val="false"/>
                <w:sz w:val="24"/>
                <w:szCs w:val="24"/>
              </w:rPr>
              <w:t xml:space="preserve">إدارة العقارات</w:t>
            </w:r>
          </w:p>
        </w:tc>
        <w:tc>
          <w:p>
            <w:pPr>
              <w:bidi/>
              <w:spacing w:after="120"/>
              <w:jc w:val="right"/>
            </w:pPr>
            <w:r>
              <w:rPr>
                <w:rFonts w:ascii="Arial" w:cs="Arial" w:eastAsia="Arial" w:hAnsi="Arial"/>
                <w:b w:val="false"/>
                <w:bCs w:val="false"/>
                <w:sz w:val="24"/>
                <w:szCs w:val="24"/>
              </w:rPr>
              <w:t xml:space="preserve">العقارات، الوحدات، حالة الإشغال</w:t>
            </w:r>
          </w:p>
        </w:tc>
      </w:tr>
      <w:tr>
        <w:tc>
          <w:p>
            <w:pPr>
              <w:bidi/>
              <w:spacing w:after="120"/>
              <w:jc w:val="right"/>
            </w:pPr>
            <w:r>
              <w:rPr>
                <w:rFonts w:ascii="Arial" w:cs="Arial" w:eastAsia="Arial" w:hAnsi="Arial"/>
                <w:b w:val="false"/>
                <w:bCs w:val="false"/>
                <w:sz w:val="24"/>
                <w:szCs w:val="24"/>
              </w:rPr>
              <w:t xml:space="preserve">إدارة المستأجرين</w:t>
            </w:r>
          </w:p>
        </w:tc>
        <w:tc>
          <w:p>
            <w:pPr>
              <w:bidi/>
              <w:spacing w:after="120"/>
              <w:jc w:val="right"/>
            </w:pPr>
            <w:r>
              <w:rPr>
                <w:rFonts w:ascii="Arial" w:cs="Arial" w:eastAsia="Arial" w:hAnsi="Arial"/>
                <w:b w:val="false"/>
                <w:bCs w:val="false"/>
                <w:sz w:val="24"/>
                <w:szCs w:val="24"/>
              </w:rPr>
              <w:t xml:space="preserve">سجل المستأجرين والربط بالعقود</w:t>
            </w:r>
          </w:p>
        </w:tc>
      </w:tr>
      <w:tr>
        <w:tc>
          <w:p>
            <w:pPr>
              <w:bidi/>
              <w:spacing w:after="120"/>
              <w:jc w:val="right"/>
            </w:pPr>
            <w:r>
              <w:rPr>
                <w:rFonts w:ascii="Arial" w:cs="Arial" w:eastAsia="Arial" w:hAnsi="Arial"/>
                <w:b w:val="false"/>
                <w:bCs w:val="false"/>
                <w:sz w:val="24"/>
                <w:szCs w:val="24"/>
              </w:rPr>
              <w:t xml:space="preserve">عقود الإيجار</w:t>
            </w:r>
          </w:p>
        </w:tc>
        <w:tc>
          <w:p>
            <w:pPr>
              <w:bidi/>
              <w:spacing w:after="120"/>
              <w:jc w:val="right"/>
            </w:pPr>
            <w:r>
              <w:rPr>
                <w:rFonts w:ascii="Arial" w:cs="Arial" w:eastAsia="Arial" w:hAnsi="Arial"/>
                <w:b w:val="false"/>
                <w:bCs w:val="false"/>
                <w:sz w:val="24"/>
                <w:szCs w:val="24"/>
              </w:rPr>
              <w:t xml:space="preserve">لوحة العقود، السجل، التجديد والملحقات</w:t>
            </w:r>
          </w:p>
        </w:tc>
      </w:tr>
      <w:tr>
        <w:tc>
          <w:p>
            <w:pPr>
              <w:bidi/>
              <w:spacing w:after="120"/>
              <w:jc w:val="right"/>
            </w:pPr>
            <w:r>
              <w:rPr>
                <w:rFonts w:ascii="Arial" w:cs="Arial" w:eastAsia="Arial" w:hAnsi="Arial"/>
                <w:b w:val="false"/>
                <w:bCs w:val="false"/>
                <w:sz w:val="24"/>
                <w:szCs w:val="24"/>
              </w:rPr>
              <w:t xml:space="preserve">الفوترة والتحصيل</w:t>
            </w:r>
          </w:p>
        </w:tc>
        <w:tc>
          <w:p>
            <w:pPr>
              <w:bidi/>
              <w:spacing w:after="120"/>
              <w:jc w:val="right"/>
            </w:pPr>
            <w:r>
              <w:rPr>
                <w:rFonts w:ascii="Arial" w:cs="Arial" w:eastAsia="Arial" w:hAnsi="Arial"/>
                <w:b w:val="false"/>
                <w:bCs w:val="false"/>
                <w:sz w:val="24"/>
                <w:szCs w:val="24"/>
              </w:rPr>
              <w:t xml:space="preserve">الإيرادات، المتأخرات، إشعارات الدفع</w:t>
            </w:r>
          </w:p>
        </w:tc>
      </w:tr>
      <w:tr>
        <w:tc>
          <w:p>
            <w:pPr>
              <w:bidi/>
              <w:spacing w:after="120"/>
              <w:jc w:val="right"/>
            </w:pPr>
            <w:r>
              <w:rPr>
                <w:rFonts w:ascii="Arial" w:cs="Arial" w:eastAsia="Arial" w:hAnsi="Arial"/>
                <w:b w:val="false"/>
                <w:bCs w:val="false"/>
                <w:sz w:val="24"/>
                <w:szCs w:val="24"/>
              </w:rPr>
              <w:t xml:space="preserve">إدارة الصيانة</w:t>
            </w:r>
          </w:p>
        </w:tc>
        <w:tc>
          <w:p>
            <w:pPr>
              <w:bidi/>
              <w:spacing w:after="120"/>
              <w:jc w:val="right"/>
            </w:pPr>
            <w:r>
              <w:rPr>
                <w:rFonts w:ascii="Arial" w:cs="Arial" w:eastAsia="Arial" w:hAnsi="Arial"/>
                <w:b w:val="false"/>
                <w:bCs w:val="false"/>
                <w:sz w:val="24"/>
                <w:szCs w:val="24"/>
              </w:rPr>
              <w:t xml:space="preserve">طلبات الصيانة والمتابعة</w:t>
            </w:r>
          </w:p>
        </w:tc>
      </w:tr>
      <w:tr>
        <w:tc>
          <w:p>
            <w:pPr>
              <w:bidi/>
              <w:spacing w:after="120"/>
              <w:jc w:val="right"/>
            </w:pPr>
            <w:r>
              <w:rPr>
                <w:rFonts w:ascii="Arial" w:cs="Arial" w:eastAsia="Arial" w:hAnsi="Arial"/>
                <w:b w:val="false"/>
                <w:bCs w:val="false"/>
                <w:sz w:val="24"/>
                <w:szCs w:val="24"/>
              </w:rPr>
              <w:t xml:space="preserve">التقارير</w:t>
            </w:r>
          </w:p>
        </w:tc>
        <w:tc>
          <w:p>
            <w:pPr>
              <w:bidi/>
              <w:spacing w:after="120"/>
              <w:jc w:val="right"/>
            </w:pPr>
            <w:r>
              <w:rPr>
                <w:rFonts w:ascii="Arial" w:cs="Arial" w:eastAsia="Arial" w:hAnsi="Arial"/>
                <w:b w:val="false"/>
                <w:bCs w:val="false"/>
                <w:sz w:val="24"/>
                <w:szCs w:val="24"/>
              </w:rPr>
              <w:t xml:space="preserve">مركز التقارير وتحليلات الإشغال</w:t>
            </w:r>
          </w:p>
        </w:tc>
      </w:tr>
      <w:tr>
        <w:tc>
          <w:p>
            <w:pPr>
              <w:bidi/>
              <w:spacing w:after="120"/>
              <w:jc w:val="right"/>
            </w:pPr>
            <w:r>
              <w:rPr>
                <w:rFonts w:ascii="Arial" w:cs="Arial" w:eastAsia="Arial" w:hAnsi="Arial"/>
                <w:b w:val="false"/>
                <w:bCs w:val="false"/>
                <w:sz w:val="24"/>
                <w:szCs w:val="24"/>
              </w:rPr>
              <w:t xml:space="preserve">الأمن والصلاحيات</w:t>
            </w:r>
          </w:p>
        </w:tc>
        <w:tc>
          <w:p>
            <w:pPr>
              <w:bidi/>
              <w:spacing w:after="120"/>
              <w:jc w:val="right"/>
            </w:pPr>
            <w:r>
              <w:rPr>
                <w:rFonts w:ascii="Arial" w:cs="Arial" w:eastAsia="Arial" w:hAnsi="Arial"/>
                <w:b w:val="false"/>
                <w:bCs w:val="false"/>
                <w:sz w:val="24"/>
                <w:szCs w:val="24"/>
              </w:rPr>
              <w:t xml:space="preserve">إدارة المستخدمين والأدوار</w:t>
            </w:r>
          </w:p>
        </w:tc>
      </w:tr>
    </w:tbl>
    <w:p>
      <w:pPr>
        <w:bidi/>
        <w:spacing w:after="200"/>
        <w:jc w:val="right"/>
      </w:pPr>
      <w:r>
        <w:rPr>
          <w:rFonts w:ascii="Arial" w:cs="Arial" w:eastAsia="Arial" w:hAnsi="Arial"/>
          <w:b w:val="false"/>
          <w:bCs w:val="false"/>
          <w:sz w:val="24"/>
          <w:szCs w:val="24"/>
        </w:rPr>
        <w:t xml:space="preserve"/>
      </w:r>
    </w:p>
    <w:p>
      <w:pPr>
        <w:pStyle w:val="Heading1"/>
        <w:bidi/>
        <w:jc w:val="right"/>
      </w:pPr>
      <w:r>
        <w:rPr>
          <w:rFonts w:ascii="Arial" w:cs="Arial" w:eastAsia="Arial" w:hAnsi="Arial"/>
          <w:b/>
          <w:bCs/>
          <w:sz w:val="32"/>
          <w:szCs w:val="32"/>
        </w:rPr>
        <w:t xml:space="preserve">3. جولة في النظام — الشاشات الرئيسية</w:t>
      </w:r>
    </w:p>
    <w:p>
      <w:pPr>
        <w:bidi/>
        <w:spacing w:after="200"/>
        <w:jc w:val="right"/>
      </w:pPr>
      <w:r>
        <w:rPr>
          <w:rFonts w:ascii="Arial" w:cs="Arial" w:eastAsia="Arial" w:hAnsi="Arial"/>
          <w:b w:val="false"/>
          <w:bCs w:val="false"/>
          <w:sz w:val="24"/>
          <w:szCs w:val="24"/>
        </w:rPr>
        <w:t xml:space="preserve">فيما يلي أهم الشاشات التشغيلية مع شرح مختصر ودور كل شاشة في دورة الأعمال.</w:t>
      </w:r>
    </w:p>
    <w:p>
      <w:pPr>
        <w:pStyle w:val="Heading2"/>
        <w:bidi/>
        <w:spacing w:after="120" w:before="300"/>
        <w:jc w:val="right"/>
      </w:pPr>
      <w:r>
        <w:rPr>
          <w:rFonts w:ascii="Arial" w:cs="Arial" w:eastAsia="Arial" w:hAnsi="Arial"/>
          <w:b/>
          <w:bCs/>
          <w:color w:val="1A5276"/>
          <w:sz w:val="28"/>
          <w:szCs w:val="28"/>
        </w:rPr>
        <w:t xml:space="preserve">3.1 شاشة تسجيل الدخول</w:t>
      </w:r>
    </w:p>
    <w:p>
      <w:pPr>
        <w:bidi/>
        <w:spacing w:after="120"/>
        <w:jc w:val="right"/>
      </w:pPr>
      <w:r>
        <w:rPr>
          <w:rFonts w:ascii="Arial" w:cs="Arial" w:eastAsia="Arial" w:hAnsi="Arial"/>
          <w:b w:val="false"/>
          <w:bCs w:val="false"/>
          <w:color w:val="666666"/>
          <w:sz w:val="20"/>
          <w:szCs w:val="20"/>
        </w:rPr>
        <w:t xml:space="preserve">مرجع RFI: أولاً: معلومات الحل — نقطة الدخول الآمنة للنظام</w:t>
      </w:r>
    </w:p>
    <w:p>
      <w:pPr>
        <w:bidi/>
        <w:spacing w:after="120"/>
        <w:jc w:val="right"/>
      </w:pPr>
      <w:r>
        <w:rPr>
          <w:rFonts w:ascii="Arial" w:cs="Arial" w:eastAsia="Arial" w:hAnsi="Arial"/>
          <w:b w:val="false"/>
          <w:bCs w:val="false"/>
          <w:sz w:val="22"/>
          <w:szCs w:val="22"/>
        </w:rPr>
        <w:t xml:space="preserve">الوصف: بوابة الدخول الموحدة لجميع أدوار المستخدمين (إدارة، محاسبة، مالك، مستأجر، فني صيانة). تدعم المصادقة الآمنة وإعادة توجيه المستخدم حسب صلاحياته إلى مساحة العمل المناسبة.</w:t>
      </w:r>
    </w:p>
    <w:p>
      <w:pPr>
        <w:bidi/>
        <w:spacing w:after="160"/>
        <w:jc w:val="right"/>
      </w:pPr>
      <w:r>
        <w:rPr>
          <w:rFonts w:ascii="Arial" w:cs="Arial" w:eastAsia="Arial" w:hAnsi="Arial"/>
          <w:b w:val="false"/>
          <w:bCs w:val="false"/>
          <w:sz w:val="22"/>
          <w:szCs w:val="22"/>
        </w:rPr>
        <w:t xml:space="preserve">الدور في الأعمال: تضمن حماية البيانات التشغيلية والمالية، وتفصل صلاحيات الوصول وفق الدور الوظيفي — أساس متطلبات أمن المعلومات في طلب RFI.</w:t>
      </w:r>
    </w:p>
    <w:p>
      <w:pPr>
        <w:spacing w:after="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33750"/>
                    </a:xfrm>
                    <a:prstGeom prst="rect">
                      <a:avLst/>
                    </a:prstGeom>
                  </pic:spPr>
                </pic:pic>
              </a:graphicData>
            </a:graphic>
          </wp:inline>
        </w:drawing>
      </w:r>
    </w:p>
    <w:p>
      <w:pPr>
        <w:pStyle w:val="Heading2"/>
        <w:bidi/>
        <w:spacing w:after="120" w:before="300"/>
        <w:jc w:val="right"/>
      </w:pPr>
      <w:r>
        <w:rPr>
          <w:rFonts w:ascii="Arial" w:cs="Arial" w:eastAsia="Arial" w:hAnsi="Arial"/>
          <w:b/>
          <w:bCs/>
          <w:color w:val="1A5276"/>
          <w:sz w:val="28"/>
          <w:szCs w:val="28"/>
        </w:rPr>
        <w:t xml:space="preserve">3.2 لوحة المعلومات التشغيلية</w:t>
      </w:r>
    </w:p>
    <w:p>
      <w:pPr>
        <w:bidi/>
        <w:spacing w:after="120"/>
        <w:jc w:val="right"/>
      </w:pPr>
      <w:r>
        <w:rPr>
          <w:rFonts w:ascii="Arial" w:cs="Arial" w:eastAsia="Arial" w:hAnsi="Arial"/>
          <w:b w:val="false"/>
          <w:bCs w:val="false"/>
          <w:color w:val="666666"/>
          <w:sz w:val="20"/>
          <w:szCs w:val="20"/>
        </w:rPr>
        <w:t xml:space="preserve">مرجع RFI: سادساً: التقارير ولوحات المعلومات</w:t>
      </w:r>
    </w:p>
    <w:p>
      <w:pPr>
        <w:bidi/>
        <w:spacing w:after="120"/>
        <w:jc w:val="right"/>
      </w:pPr>
      <w:r>
        <w:rPr>
          <w:rFonts w:ascii="Arial" w:cs="Arial" w:eastAsia="Arial" w:hAnsi="Arial"/>
          <w:b w:val="false"/>
          <w:bCs w:val="false"/>
          <w:sz w:val="22"/>
          <w:szCs w:val="22"/>
        </w:rPr>
        <w:t xml:space="preserve">الوصف: لوحة تحكم مركزية تعرض مؤشرات الإشغال، العقود النشطة، طلبات الصيانة المفتوحة، والتنبيهات التشغيلية في لمحة واحدة.</w:t>
      </w:r>
    </w:p>
    <w:p>
      <w:pPr>
        <w:bidi/>
        <w:spacing w:after="160"/>
        <w:jc w:val="right"/>
      </w:pPr>
      <w:r>
        <w:rPr>
          <w:rFonts w:ascii="Arial" w:cs="Arial" w:eastAsia="Arial" w:hAnsi="Arial"/>
          <w:b w:val="false"/>
          <w:bCs w:val="false"/>
          <w:sz w:val="22"/>
          <w:szCs w:val="22"/>
        </w:rPr>
        <w:t xml:space="preserve">الدور في الأعمال: تمكّن الإدارة العليا من متابعة الأداء اليومي واتخاذ قرارات سريعة دون الحاجة لاستخراج تقارير يدوية.</w:t>
      </w:r>
    </w:p>
    <w:p>
      <w:pPr>
        <w:spacing w:after="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33750"/>
                    </a:xfrm>
                    <a:prstGeom prst="rect">
                      <a:avLst/>
                    </a:prstGeom>
                  </pic:spPr>
                </pic:pic>
              </a:graphicData>
            </a:graphic>
          </wp:inline>
        </w:drawing>
      </w:r>
    </w:p>
    <w:p>
      <w:pPr>
        <w:pStyle w:val="Heading2"/>
        <w:bidi/>
        <w:spacing w:after="120" w:before="300"/>
        <w:jc w:val="right"/>
      </w:pPr>
      <w:r>
        <w:rPr>
          <w:rFonts w:ascii="Arial" w:cs="Arial" w:eastAsia="Arial" w:hAnsi="Arial"/>
          <w:b/>
          <w:bCs/>
          <w:color w:val="1A5276"/>
          <w:sz w:val="28"/>
          <w:szCs w:val="28"/>
        </w:rPr>
        <w:t xml:space="preserve">3.3 إدارة العقارات والمشاريع</w:t>
      </w:r>
    </w:p>
    <w:p>
      <w:pPr>
        <w:bidi/>
        <w:spacing w:after="120"/>
        <w:jc w:val="right"/>
      </w:pPr>
      <w:r>
        <w:rPr>
          <w:rFonts w:ascii="Arial" w:cs="Arial" w:eastAsia="Arial" w:hAnsi="Arial"/>
          <w:b w:val="false"/>
          <w:bCs w:val="false"/>
          <w:color w:val="666666"/>
          <w:sz w:val="20"/>
          <w:szCs w:val="20"/>
        </w:rPr>
        <w:t xml:space="preserve">مرجع RFI: أولاً: إدارة العقارات</w:t>
      </w:r>
    </w:p>
    <w:p>
      <w:pPr>
        <w:bidi/>
        <w:spacing w:after="120"/>
        <w:jc w:val="right"/>
      </w:pPr>
      <w:r>
        <w:rPr>
          <w:rFonts w:ascii="Arial" w:cs="Arial" w:eastAsia="Arial" w:hAnsi="Arial"/>
          <w:b w:val="false"/>
          <w:bCs w:val="false"/>
          <w:sz w:val="22"/>
          <w:szCs w:val="22"/>
        </w:rPr>
        <w:t xml:space="preserve">الوصف: سجل مركزي للمشاريع العقارية والمباني: بيانات الموقع، النوع، المالك، عدد الطوابق والوحدات، والحالة التشغيلية.</w:t>
      </w:r>
    </w:p>
    <w:p>
      <w:pPr>
        <w:bidi/>
        <w:spacing w:after="160"/>
        <w:jc w:val="right"/>
      </w:pPr>
      <w:r>
        <w:rPr>
          <w:rFonts w:ascii="Arial" w:cs="Arial" w:eastAsia="Arial" w:hAnsi="Arial"/>
          <w:b w:val="false"/>
          <w:bCs w:val="false"/>
          <w:sz w:val="22"/>
          <w:szCs w:val="22"/>
        </w:rPr>
        <w:t xml:space="preserve">الدور في الأعمال: أساس هيكل المحفظة العقارية — كل وحدة وعقد ومستأجر يرتبط بعقار محدد لضمان تتبع دقيق للأصول.</w:t>
      </w:r>
    </w:p>
    <w:p>
      <w:pPr>
        <w:spacing w:after="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33750"/>
                    </a:xfrm>
                    <a:prstGeom prst="rect">
                      <a:avLst/>
                    </a:prstGeom>
                  </pic:spPr>
                </pic:pic>
              </a:graphicData>
            </a:graphic>
          </wp:inline>
        </w:drawing>
      </w:r>
    </w:p>
    <w:p>
      <w:pPr>
        <w:pStyle w:val="Heading2"/>
        <w:bidi/>
        <w:spacing w:after="120" w:before="300"/>
        <w:jc w:val="right"/>
      </w:pPr>
      <w:r>
        <w:rPr>
          <w:rFonts w:ascii="Arial" w:cs="Arial" w:eastAsia="Arial" w:hAnsi="Arial"/>
          <w:b/>
          <w:bCs/>
          <w:color w:val="1A5276"/>
          <w:sz w:val="28"/>
          <w:szCs w:val="28"/>
        </w:rPr>
        <w:t xml:space="preserve">3.4 إدارة الوحدات وحالة الإشغال</w:t>
      </w:r>
    </w:p>
    <w:p>
      <w:pPr>
        <w:bidi/>
        <w:spacing w:after="120"/>
        <w:jc w:val="right"/>
      </w:pPr>
      <w:r>
        <w:rPr>
          <w:rFonts w:ascii="Arial" w:cs="Arial" w:eastAsia="Arial" w:hAnsi="Arial"/>
          <w:b w:val="false"/>
          <w:bCs w:val="false"/>
          <w:color w:val="666666"/>
          <w:sz w:val="20"/>
          <w:szCs w:val="20"/>
        </w:rPr>
        <w:t xml:space="preserve">مرجع RFI: أولاً: إدارة العقارات — تصنيف الوحدات وحالة الإشغال</w:t>
      </w:r>
    </w:p>
    <w:p>
      <w:pPr>
        <w:bidi/>
        <w:spacing w:after="120"/>
        <w:jc w:val="right"/>
      </w:pPr>
      <w:r>
        <w:rPr>
          <w:rFonts w:ascii="Arial" w:cs="Arial" w:eastAsia="Arial" w:hAnsi="Arial"/>
          <w:b w:val="false"/>
          <w:bCs w:val="false"/>
          <w:sz w:val="22"/>
          <w:szCs w:val="22"/>
        </w:rPr>
        <w:t xml:space="preserve">الوصف: إدارة تفصيلية للوحدات ضمن كل عقار: التصنيف (سكني/تجاري)، المساحة، الحالة (شاغرة/مؤجرة/صيانة)، وربطها بالطوابق.</w:t>
      </w:r>
    </w:p>
    <w:p>
      <w:pPr>
        <w:bidi/>
        <w:spacing w:after="160"/>
        <w:jc w:val="right"/>
      </w:pPr>
      <w:r>
        <w:rPr>
          <w:rFonts w:ascii="Arial" w:cs="Arial" w:eastAsia="Arial" w:hAnsi="Arial"/>
          <w:b w:val="false"/>
          <w:bCs w:val="false"/>
          <w:sz w:val="22"/>
          <w:szCs w:val="22"/>
        </w:rPr>
        <w:t xml:space="preserve">الدور في الأعمال: يدعم تخطيط الإشغال، تسعير الوحدات الشاغرة، ومتابعة نسب الإشغال — محور تقارير الإشغال في RFI.</w:t>
      </w:r>
    </w:p>
    <w:p>
      <w:pPr>
        <w:spacing w:after="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33750"/>
                    </a:xfrm>
                    <a:prstGeom prst="rect">
                      <a:avLst/>
                    </a:prstGeom>
                  </pic:spPr>
                </pic:pic>
              </a:graphicData>
            </a:graphic>
          </wp:inline>
        </w:drawing>
      </w:r>
    </w:p>
    <w:p>
      <w:pPr>
        <w:pStyle w:val="Heading2"/>
        <w:bidi/>
        <w:spacing w:after="120" w:before="300"/>
        <w:jc w:val="right"/>
      </w:pPr>
      <w:r>
        <w:rPr>
          <w:rFonts w:ascii="Arial" w:cs="Arial" w:eastAsia="Arial" w:hAnsi="Arial"/>
          <w:b/>
          <w:bCs/>
          <w:color w:val="1A5276"/>
          <w:sz w:val="28"/>
          <w:szCs w:val="28"/>
        </w:rPr>
        <w:t xml:space="preserve">3.5 إدارة المستأجرين</w:t>
      </w:r>
    </w:p>
    <w:p>
      <w:pPr>
        <w:bidi/>
        <w:spacing w:after="120"/>
        <w:jc w:val="right"/>
      </w:pPr>
      <w:r>
        <w:rPr>
          <w:rFonts w:ascii="Arial" w:cs="Arial" w:eastAsia="Arial" w:hAnsi="Arial"/>
          <w:b w:val="false"/>
          <w:bCs w:val="false"/>
          <w:color w:val="666666"/>
          <w:sz w:val="20"/>
          <w:szCs w:val="20"/>
        </w:rPr>
        <w:t xml:space="preserve">مرجع RFI: ثانياً: إدارة المستأجرين</w:t>
      </w:r>
    </w:p>
    <w:p>
      <w:pPr>
        <w:bidi/>
        <w:spacing w:after="120"/>
        <w:jc w:val="right"/>
      </w:pPr>
      <w:r>
        <w:rPr>
          <w:rFonts w:ascii="Arial" w:cs="Arial" w:eastAsia="Arial" w:hAnsi="Arial"/>
          <w:b w:val="false"/>
          <w:bCs w:val="false"/>
          <w:sz w:val="22"/>
          <w:szCs w:val="22"/>
        </w:rPr>
        <w:t xml:space="preserve">الوصف: قاعدة بيانات المستأجرين: الهوية، بيانات التواصل، الضمانات، المرفقات، وربط كل مستأجر بالوحدة والعقد النشط.</w:t>
      </w:r>
    </w:p>
    <w:p>
      <w:pPr>
        <w:bidi/>
        <w:spacing w:after="160"/>
        <w:jc w:val="right"/>
      </w:pPr>
      <w:r>
        <w:rPr>
          <w:rFonts w:ascii="Arial" w:cs="Arial" w:eastAsia="Arial" w:hAnsi="Arial"/>
          <w:b w:val="false"/>
          <w:bCs w:val="false"/>
          <w:sz w:val="22"/>
          <w:szCs w:val="22"/>
        </w:rPr>
        <w:t xml:space="preserve">الدور في الأعمال: يُمكّن فرق التأجير والتحصيل من إدارة علاقة المستأجر كاملةً وربطها مباشرةً بالعقود والمدفوعات.</w:t>
      </w:r>
    </w:p>
    <w:p>
      <w:pPr>
        <w:spacing w:after="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33750"/>
                    </a:xfrm>
                    <a:prstGeom prst="rect">
                      <a:avLst/>
                    </a:prstGeom>
                  </pic:spPr>
                </pic:pic>
              </a:graphicData>
            </a:graphic>
          </wp:inline>
        </w:drawing>
      </w:r>
    </w:p>
    <w:p>
      <w:pPr>
        <w:pStyle w:val="Heading2"/>
        <w:bidi/>
        <w:spacing w:after="120" w:before="300"/>
        <w:jc w:val="right"/>
      </w:pPr>
      <w:r>
        <w:rPr>
          <w:rFonts w:ascii="Arial" w:cs="Arial" w:eastAsia="Arial" w:hAnsi="Arial"/>
          <w:b/>
          <w:bCs/>
          <w:color w:val="1A5276"/>
          <w:sz w:val="28"/>
          <w:szCs w:val="28"/>
        </w:rPr>
        <w:t xml:space="preserve">3.6 لوحة عقود الإيجار</w:t>
      </w:r>
    </w:p>
    <w:p>
      <w:pPr>
        <w:bidi/>
        <w:spacing w:after="120"/>
        <w:jc w:val="right"/>
      </w:pPr>
      <w:r>
        <w:rPr>
          <w:rFonts w:ascii="Arial" w:cs="Arial" w:eastAsia="Arial" w:hAnsi="Arial"/>
          <w:b w:val="false"/>
          <w:bCs w:val="false"/>
          <w:color w:val="666666"/>
          <w:sz w:val="20"/>
          <w:szCs w:val="20"/>
        </w:rPr>
        <w:t xml:space="preserve">مرجع RFI: ثالثاً: إدارة عقود الإيجار</w:t>
      </w:r>
    </w:p>
    <w:p>
      <w:pPr>
        <w:bidi/>
        <w:spacing w:after="120"/>
        <w:jc w:val="right"/>
      </w:pPr>
      <w:r>
        <w:rPr>
          <w:rFonts w:ascii="Arial" w:cs="Arial" w:eastAsia="Arial" w:hAnsi="Arial"/>
          <w:b w:val="false"/>
          <w:bCs w:val="false"/>
          <w:sz w:val="22"/>
          <w:szCs w:val="22"/>
        </w:rPr>
        <w:t xml:space="preserve">الوصف: نظرة مجمّعة على العقود: النشطة، القريبة من الانتهاء، بانتظار الموافقة، والإحصائيات المرتبطة بالإيرادات.</w:t>
      </w:r>
    </w:p>
    <w:p>
      <w:pPr>
        <w:bidi/>
        <w:spacing w:after="160"/>
        <w:jc w:val="right"/>
      </w:pPr>
      <w:r>
        <w:rPr>
          <w:rFonts w:ascii="Arial" w:cs="Arial" w:eastAsia="Arial" w:hAnsi="Arial"/>
          <w:b w:val="false"/>
          <w:bCs w:val="false"/>
          <w:sz w:val="22"/>
          <w:szCs w:val="22"/>
        </w:rPr>
        <w:t xml:space="preserve">الدور في الأعمال: تسهّل متابعة دورة حياة العقد من الإنشاء حتى التجديد أو الإنهاء، بما يشمل العقود متعددة السنوات.</w:t>
      </w:r>
    </w:p>
    <w:p>
      <w:pPr>
        <w:spacing w:after="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33750"/>
                    </a:xfrm>
                    <a:prstGeom prst="rect">
                      <a:avLst/>
                    </a:prstGeom>
                  </pic:spPr>
                </pic:pic>
              </a:graphicData>
            </a:graphic>
          </wp:inline>
        </w:drawing>
      </w:r>
    </w:p>
    <w:p>
      <w:pPr>
        <w:pStyle w:val="Heading2"/>
        <w:bidi/>
        <w:spacing w:after="120" w:before="300"/>
        <w:jc w:val="right"/>
      </w:pPr>
      <w:r>
        <w:rPr>
          <w:rFonts w:ascii="Arial" w:cs="Arial" w:eastAsia="Arial" w:hAnsi="Arial"/>
          <w:b/>
          <w:bCs/>
          <w:color w:val="1A5276"/>
          <w:sz w:val="28"/>
          <w:szCs w:val="28"/>
        </w:rPr>
        <w:t xml:space="preserve">3.7 سجل عقود الإيجار</w:t>
      </w:r>
    </w:p>
    <w:p>
      <w:pPr>
        <w:bidi/>
        <w:spacing w:after="120"/>
        <w:jc w:val="right"/>
      </w:pPr>
      <w:r>
        <w:rPr>
          <w:rFonts w:ascii="Arial" w:cs="Arial" w:eastAsia="Arial" w:hAnsi="Arial"/>
          <w:b w:val="false"/>
          <w:bCs w:val="false"/>
          <w:color w:val="666666"/>
          <w:sz w:val="20"/>
          <w:szCs w:val="20"/>
        </w:rPr>
        <w:t xml:space="preserve">مرجع RFI: ثالثاً: إدارة عقود الإيجار — الشروط والملحقات</w:t>
      </w:r>
    </w:p>
    <w:p>
      <w:pPr>
        <w:bidi/>
        <w:spacing w:after="120"/>
        <w:jc w:val="right"/>
      </w:pPr>
      <w:r>
        <w:rPr>
          <w:rFonts w:ascii="Arial" w:cs="Arial" w:eastAsia="Arial" w:hAnsi="Arial"/>
          <w:b w:val="false"/>
          <w:bCs w:val="false"/>
          <w:sz w:val="22"/>
          <w:szCs w:val="22"/>
        </w:rPr>
        <w:t xml:space="preserve">الوصف: قائمة شاملة بعقود الإيجار مع البحث والتصفية: المستأجر، الوحدة، تواريخ البداية والنهاية، قيمة الإيجار، والزيادات السنوية.</w:t>
      </w:r>
    </w:p>
    <w:p>
      <w:pPr>
        <w:bidi/>
        <w:spacing w:after="160"/>
        <w:jc w:val="right"/>
      </w:pPr>
      <w:r>
        <w:rPr>
          <w:rFonts w:ascii="Arial" w:cs="Arial" w:eastAsia="Arial" w:hAnsi="Arial"/>
          <w:b w:val="false"/>
          <w:bCs w:val="false"/>
          <w:sz w:val="22"/>
          <w:szCs w:val="22"/>
        </w:rPr>
        <w:t xml:space="preserve">الدور في الأعمال: مرجع قانوني وتشغيلي لجميع الالتزامات التعاقدية ويدعم التجديد والإنهاء وإدارة الملحقات.</w:t>
      </w:r>
    </w:p>
    <w:p>
      <w:pPr>
        <w:spacing w:after="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33750"/>
                    </a:xfrm>
                    <a:prstGeom prst="rect">
                      <a:avLst/>
                    </a:prstGeom>
                  </pic:spPr>
                </pic:pic>
              </a:graphicData>
            </a:graphic>
          </wp:inline>
        </w:drawing>
      </w:r>
    </w:p>
    <w:p>
      <w:pPr>
        <w:pStyle w:val="Heading2"/>
        <w:bidi/>
        <w:spacing w:after="120" w:before="300"/>
        <w:jc w:val="right"/>
      </w:pPr>
      <w:r>
        <w:rPr>
          <w:rFonts w:ascii="Arial" w:cs="Arial" w:eastAsia="Arial" w:hAnsi="Arial"/>
          <w:b/>
          <w:bCs/>
          <w:color w:val="1A5276"/>
          <w:sz w:val="28"/>
          <w:szCs w:val="28"/>
        </w:rPr>
        <w:t xml:space="preserve">3.8 الإيرادات والفوترة</w:t>
      </w:r>
    </w:p>
    <w:p>
      <w:pPr>
        <w:bidi/>
        <w:spacing w:after="120"/>
        <w:jc w:val="right"/>
      </w:pPr>
      <w:r>
        <w:rPr>
          <w:rFonts w:ascii="Arial" w:cs="Arial" w:eastAsia="Arial" w:hAnsi="Arial"/>
          <w:b w:val="false"/>
          <w:bCs w:val="false"/>
          <w:color w:val="666666"/>
          <w:sz w:val="20"/>
          <w:szCs w:val="20"/>
        </w:rPr>
        <w:t xml:space="preserve">مرجع RFI: رابعاً: الفوترة والتحصيل</w:t>
      </w:r>
    </w:p>
    <w:p>
      <w:pPr>
        <w:bidi/>
        <w:spacing w:after="120"/>
        <w:jc w:val="right"/>
      </w:pPr>
      <w:r>
        <w:rPr>
          <w:rFonts w:ascii="Arial" w:cs="Arial" w:eastAsia="Arial" w:hAnsi="Arial"/>
          <w:b w:val="false"/>
          <w:bCs w:val="false"/>
          <w:sz w:val="22"/>
          <w:szCs w:val="22"/>
        </w:rPr>
        <w:t xml:space="preserve">الوصف: متابعة إيرادات الإيجار والمدفوعات المستلمة، مع ربطها بالعقود والفترات المحاسبية.</w:t>
      </w:r>
    </w:p>
    <w:p>
      <w:pPr>
        <w:bidi/>
        <w:spacing w:after="160"/>
        <w:jc w:val="right"/>
      </w:pPr>
      <w:r>
        <w:rPr>
          <w:rFonts w:ascii="Arial" w:cs="Arial" w:eastAsia="Arial" w:hAnsi="Arial"/>
          <w:b w:val="false"/>
          <w:bCs w:val="false"/>
          <w:sz w:val="22"/>
          <w:szCs w:val="22"/>
        </w:rPr>
        <w:t xml:space="preserve">الدور في الأعمال: يغطي إنشاء الفواتير الدورية ومتابعة التحصيل والذمم المدينة — من متطلبات RFI الأساسية.</w:t>
      </w:r>
    </w:p>
    <w:p>
      <w:pPr>
        <w:spacing w:after="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33750"/>
                    </a:xfrm>
                    <a:prstGeom prst="rect">
                      <a:avLst/>
                    </a:prstGeom>
                  </pic:spPr>
                </pic:pic>
              </a:graphicData>
            </a:graphic>
          </wp:inline>
        </w:drawing>
      </w:r>
    </w:p>
    <w:p>
      <w:pPr>
        <w:pStyle w:val="Heading2"/>
        <w:bidi/>
        <w:spacing w:after="120" w:before="300"/>
        <w:jc w:val="right"/>
      </w:pPr>
      <w:r>
        <w:rPr>
          <w:rFonts w:ascii="Arial" w:cs="Arial" w:eastAsia="Arial" w:hAnsi="Arial"/>
          <w:b/>
          <w:bCs/>
          <w:color w:val="1A5276"/>
          <w:sz w:val="28"/>
          <w:szCs w:val="28"/>
        </w:rPr>
        <w:t xml:space="preserve">3.9 المتأخرات وإشعارات الدفع</w:t>
      </w:r>
    </w:p>
    <w:p>
      <w:pPr>
        <w:bidi/>
        <w:spacing w:after="120"/>
        <w:jc w:val="right"/>
      </w:pPr>
      <w:r>
        <w:rPr>
          <w:rFonts w:ascii="Arial" w:cs="Arial" w:eastAsia="Arial" w:hAnsi="Arial"/>
          <w:b w:val="false"/>
          <w:bCs w:val="false"/>
          <w:color w:val="666666"/>
          <w:sz w:val="20"/>
          <w:szCs w:val="20"/>
        </w:rPr>
        <w:t xml:space="preserve">مرجع RFI: رابعاً: الفوترة والتحصيل — المتأخرات</w:t>
      </w:r>
    </w:p>
    <w:p>
      <w:pPr>
        <w:bidi/>
        <w:spacing w:after="120"/>
        <w:jc w:val="right"/>
      </w:pPr>
      <w:r>
        <w:rPr>
          <w:rFonts w:ascii="Arial" w:cs="Arial" w:eastAsia="Arial" w:hAnsi="Arial"/>
          <w:b w:val="false"/>
          <w:bCs w:val="false"/>
          <w:sz w:val="22"/>
          <w:szCs w:val="22"/>
        </w:rPr>
        <w:t xml:space="preserve">الوصف: تتبع الدفعات المتأخرة حسب العقد والمستأجر، مع إمكانية المتابعة والتنبيه.</w:t>
      </w:r>
    </w:p>
    <w:p>
      <w:pPr>
        <w:bidi/>
        <w:spacing w:after="160"/>
        <w:jc w:val="right"/>
      </w:pPr>
      <w:r>
        <w:rPr>
          <w:rFonts w:ascii="Arial" w:cs="Arial" w:eastAsia="Arial" w:hAnsi="Arial"/>
          <w:b w:val="false"/>
          <w:bCs w:val="false"/>
          <w:sz w:val="22"/>
          <w:szCs w:val="22"/>
        </w:rPr>
        <w:t xml:space="preserve">الدور في الأعمال: يقلّل مخاطر التعثر المالي ويدعم إصدار إشعارات الدفع ومتابعة التحصيل بشكل منهجي.</w:t>
      </w:r>
    </w:p>
    <w:p>
      <w:pPr>
        <w:spacing w:after="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33750"/>
                    </a:xfrm>
                    <a:prstGeom prst="rect">
                      <a:avLst/>
                    </a:prstGeom>
                  </pic:spPr>
                </pic:pic>
              </a:graphicData>
            </a:graphic>
          </wp:inline>
        </w:drawing>
      </w:r>
    </w:p>
    <w:p>
      <w:pPr>
        <w:pStyle w:val="Heading2"/>
        <w:bidi/>
        <w:spacing w:after="120" w:before="300"/>
        <w:jc w:val="right"/>
      </w:pPr>
      <w:r>
        <w:rPr>
          <w:rFonts w:ascii="Arial" w:cs="Arial" w:eastAsia="Arial" w:hAnsi="Arial"/>
          <w:b/>
          <w:bCs/>
          <w:color w:val="1A5276"/>
          <w:sz w:val="28"/>
          <w:szCs w:val="28"/>
        </w:rPr>
        <w:t xml:space="preserve">3.10 إدارة طلبات الصيانة</w:t>
      </w:r>
    </w:p>
    <w:p>
      <w:pPr>
        <w:bidi/>
        <w:spacing w:after="120"/>
        <w:jc w:val="right"/>
      </w:pPr>
      <w:r>
        <w:rPr>
          <w:rFonts w:ascii="Arial" w:cs="Arial" w:eastAsia="Arial" w:hAnsi="Arial"/>
          <w:b w:val="false"/>
          <w:bCs w:val="false"/>
          <w:color w:val="666666"/>
          <w:sz w:val="20"/>
          <w:szCs w:val="20"/>
        </w:rPr>
        <w:t xml:space="preserve">مرجع RFI: خامساً: إدارة الصيانة</w:t>
      </w:r>
    </w:p>
    <w:p>
      <w:pPr>
        <w:bidi/>
        <w:spacing w:after="120"/>
        <w:jc w:val="right"/>
      </w:pPr>
      <w:r>
        <w:rPr>
          <w:rFonts w:ascii="Arial" w:cs="Arial" w:eastAsia="Arial" w:hAnsi="Arial"/>
          <w:b w:val="false"/>
          <w:bCs w:val="false"/>
          <w:sz w:val="22"/>
          <w:szCs w:val="22"/>
        </w:rPr>
        <w:t xml:space="preserve">الوصف: تسجيل ومتابعة طلبات الصيانة الدورية والطارئة، تعيين المسؤولين، وحالات التنفيذ.</w:t>
      </w:r>
    </w:p>
    <w:p>
      <w:pPr>
        <w:bidi/>
        <w:spacing w:after="160"/>
        <w:jc w:val="right"/>
      </w:pPr>
      <w:r>
        <w:rPr>
          <w:rFonts w:ascii="Arial" w:cs="Arial" w:eastAsia="Arial" w:hAnsi="Arial"/>
          <w:b w:val="false"/>
          <w:bCs w:val="false"/>
          <w:sz w:val="22"/>
          <w:szCs w:val="22"/>
        </w:rPr>
        <w:t xml:space="preserve">الدور في الأعمال: يربط جودة الخدمة بتكاليف الصيانة ورضا المستأجر — مع تتبع كامل لدورة الطلب.</w:t>
      </w:r>
    </w:p>
    <w:p>
      <w:pPr>
        <w:spacing w:after="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33750"/>
                    </a:xfrm>
                    <a:prstGeom prst="rect">
                      <a:avLst/>
                    </a:prstGeom>
                  </pic:spPr>
                </pic:pic>
              </a:graphicData>
            </a:graphic>
          </wp:inline>
        </w:drawing>
      </w:r>
    </w:p>
    <w:p>
      <w:pPr>
        <w:pStyle w:val="Heading2"/>
        <w:bidi/>
        <w:spacing w:after="120" w:before="300"/>
        <w:jc w:val="right"/>
      </w:pPr>
      <w:r>
        <w:rPr>
          <w:rFonts w:ascii="Arial" w:cs="Arial" w:eastAsia="Arial" w:hAnsi="Arial"/>
          <w:b/>
          <w:bCs/>
          <w:color w:val="1A5276"/>
          <w:sz w:val="28"/>
          <w:szCs w:val="28"/>
        </w:rPr>
        <w:t xml:space="preserve">3.11 مركز التقارير</w:t>
      </w:r>
    </w:p>
    <w:p>
      <w:pPr>
        <w:bidi/>
        <w:spacing w:after="120"/>
        <w:jc w:val="right"/>
      </w:pPr>
      <w:r>
        <w:rPr>
          <w:rFonts w:ascii="Arial" w:cs="Arial" w:eastAsia="Arial" w:hAnsi="Arial"/>
          <w:b w:val="false"/>
          <w:bCs w:val="false"/>
          <w:color w:val="666666"/>
          <w:sz w:val="20"/>
          <w:szCs w:val="20"/>
        </w:rPr>
        <w:t xml:space="preserve">مرجع RFI: سادساً: التقارير ولوحات المعلومات</w:t>
      </w:r>
    </w:p>
    <w:p>
      <w:pPr>
        <w:bidi/>
        <w:spacing w:after="120"/>
        <w:jc w:val="right"/>
      </w:pPr>
      <w:r>
        <w:rPr>
          <w:rFonts w:ascii="Arial" w:cs="Arial" w:eastAsia="Arial" w:hAnsi="Arial"/>
          <w:b w:val="false"/>
          <w:bCs w:val="false"/>
          <w:sz w:val="22"/>
          <w:szCs w:val="22"/>
        </w:rPr>
        <w:t xml:space="preserve">الوصف: بوابة موحدة للتقارير التشغيلية والمالية: الإشغال، العقود، الصيانة، والميزانية.</w:t>
      </w:r>
    </w:p>
    <w:p>
      <w:pPr>
        <w:bidi/>
        <w:spacing w:after="160"/>
        <w:jc w:val="right"/>
      </w:pPr>
      <w:r>
        <w:rPr>
          <w:rFonts w:ascii="Arial" w:cs="Arial" w:eastAsia="Arial" w:hAnsi="Arial"/>
          <w:b w:val="false"/>
          <w:bCs w:val="false"/>
          <w:sz w:val="22"/>
          <w:szCs w:val="22"/>
        </w:rPr>
        <w:t xml:space="preserve">الدور في الأعمال: يوفّر رؤية إدارية شاملة وقابلة للتصدير لدعم القرارات والامتثال للمتطلبات التقاريرية.</w:t>
      </w:r>
    </w:p>
    <w:p>
      <w:pPr>
        <w:spacing w:after="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333750"/>
                    </a:xfrm>
                    <a:prstGeom prst="rect">
                      <a:avLst/>
                    </a:prstGeom>
                  </pic:spPr>
                </pic:pic>
              </a:graphicData>
            </a:graphic>
          </wp:inline>
        </w:drawing>
      </w:r>
    </w:p>
    <w:p>
      <w:pPr>
        <w:pStyle w:val="Heading2"/>
        <w:bidi/>
        <w:spacing w:after="120" w:before="300"/>
        <w:jc w:val="right"/>
      </w:pPr>
      <w:r>
        <w:rPr>
          <w:rFonts w:ascii="Arial" w:cs="Arial" w:eastAsia="Arial" w:hAnsi="Arial"/>
          <w:b/>
          <w:bCs/>
          <w:color w:val="1A5276"/>
          <w:sz w:val="28"/>
          <w:szCs w:val="28"/>
        </w:rPr>
        <w:t xml:space="preserve">3.12 تحليلات الإشغال</w:t>
      </w:r>
    </w:p>
    <w:p>
      <w:pPr>
        <w:bidi/>
        <w:spacing w:after="120"/>
        <w:jc w:val="right"/>
      </w:pPr>
      <w:r>
        <w:rPr>
          <w:rFonts w:ascii="Arial" w:cs="Arial" w:eastAsia="Arial" w:hAnsi="Arial"/>
          <w:b w:val="false"/>
          <w:bCs w:val="false"/>
          <w:color w:val="666666"/>
          <w:sz w:val="20"/>
          <w:szCs w:val="20"/>
        </w:rPr>
        <w:t xml:space="preserve">مرجع RFI: سادساً: تقارير الإشغال</w:t>
      </w:r>
    </w:p>
    <w:p>
      <w:pPr>
        <w:bidi/>
        <w:spacing w:after="120"/>
        <w:jc w:val="right"/>
      </w:pPr>
      <w:r>
        <w:rPr>
          <w:rFonts w:ascii="Arial" w:cs="Arial" w:eastAsia="Arial" w:hAnsi="Arial"/>
          <w:b w:val="false"/>
          <w:bCs w:val="false"/>
          <w:sz w:val="22"/>
          <w:szCs w:val="22"/>
        </w:rPr>
        <w:t xml:space="preserve">الوصف: تقارير ورسوم بيانية لنسب الإشغال حسب العقار والفترة الزمنية.</w:t>
      </w:r>
    </w:p>
    <w:p>
      <w:pPr>
        <w:bidi/>
        <w:spacing w:after="160"/>
        <w:jc w:val="right"/>
      </w:pPr>
      <w:r>
        <w:rPr>
          <w:rFonts w:ascii="Arial" w:cs="Arial" w:eastAsia="Arial" w:hAnsi="Arial"/>
          <w:b w:val="false"/>
          <w:bCs w:val="false"/>
          <w:sz w:val="22"/>
          <w:szCs w:val="22"/>
        </w:rPr>
        <w:t xml:space="preserve">الدور في الأعمال: أداة تخطيط استراتيجي لتحسين العائد من الأصول الشاغرة وقياس أداء المحفظة.</w:t>
      </w:r>
    </w:p>
    <w:p>
      <w:pPr>
        <w:spacing w:after="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333750"/>
                    </a:xfrm>
                    <a:prstGeom prst="rect">
                      <a:avLst/>
                    </a:prstGeom>
                  </pic:spPr>
                </pic:pic>
              </a:graphicData>
            </a:graphic>
          </wp:inline>
        </w:drawing>
      </w:r>
    </w:p>
    <w:p>
      <w:pPr>
        <w:pStyle w:val="Heading2"/>
        <w:bidi/>
        <w:spacing w:after="120" w:before="300"/>
        <w:jc w:val="right"/>
      </w:pPr>
      <w:r>
        <w:rPr>
          <w:rFonts w:ascii="Arial" w:cs="Arial" w:eastAsia="Arial" w:hAnsi="Arial"/>
          <w:b/>
          <w:bCs/>
          <w:color w:val="1A5276"/>
          <w:sz w:val="28"/>
          <w:szCs w:val="28"/>
        </w:rPr>
        <w:t xml:space="preserve">3.13 إدارة المستخدمين والصلاحيات</w:t>
      </w:r>
    </w:p>
    <w:p>
      <w:pPr>
        <w:bidi/>
        <w:spacing w:after="120"/>
        <w:jc w:val="right"/>
      </w:pPr>
      <w:r>
        <w:rPr>
          <w:rFonts w:ascii="Arial" w:cs="Arial" w:eastAsia="Arial" w:hAnsi="Arial"/>
          <w:b w:val="false"/>
          <w:bCs w:val="false"/>
          <w:color w:val="666666"/>
          <w:sz w:val="20"/>
          <w:szCs w:val="20"/>
        </w:rPr>
        <w:t xml:space="preserve">مرجع RFI: ثانياً: الجوانب الفنية — إدارة المستخدمين والصلاحيات</w:t>
      </w:r>
    </w:p>
    <w:p>
      <w:pPr>
        <w:bidi/>
        <w:spacing w:after="120"/>
        <w:jc w:val="right"/>
      </w:pPr>
      <w:r>
        <w:rPr>
          <w:rFonts w:ascii="Arial" w:cs="Arial" w:eastAsia="Arial" w:hAnsi="Arial"/>
          <w:b w:val="false"/>
          <w:bCs w:val="false"/>
          <w:sz w:val="22"/>
          <w:szCs w:val="22"/>
        </w:rPr>
        <w:t xml:space="preserve">الوصف: إنشاء المستخدمين، تعيين الأدوار، وربطهم بالعقارات أو الكيانات القانونية حسب نطاق العمل.</w:t>
      </w:r>
    </w:p>
    <w:p>
      <w:pPr>
        <w:bidi/>
        <w:spacing w:after="160"/>
        <w:jc w:val="right"/>
      </w:pPr>
      <w:r>
        <w:rPr>
          <w:rFonts w:ascii="Arial" w:cs="Arial" w:eastAsia="Arial" w:hAnsi="Arial"/>
          <w:b w:val="false"/>
          <w:bCs w:val="false"/>
          <w:sz w:val="22"/>
          <w:szCs w:val="22"/>
        </w:rPr>
        <w:t xml:space="preserve">الدور في الأعمال: يحقق مبدأ الحد الأدنى من الصلاحيات ويدعم تعدد الكيانات والشركات ضمن منصة واحدة.</w:t>
      </w:r>
    </w:p>
    <w:p>
      <w:pPr>
        <w:spacing w:after="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333750"/>
                    </a:xfrm>
                    <a:prstGeom prst="rect">
                      <a:avLst/>
                    </a:prstGeom>
                  </pic:spPr>
                </pic:pic>
              </a:graphicData>
            </a:graphic>
          </wp:inline>
        </w:drawing>
      </w:r>
    </w:p>
    <w:p>
      <w:pPr>
        <w:pStyle w:val="Heading1"/>
        <w:pageBreakBefore/>
        <w:bidi/>
        <w:jc w:val="right"/>
      </w:pPr>
      <w:r>
        <w:rPr>
          <w:rFonts w:ascii="Arial" w:cs="Arial" w:eastAsia="Arial" w:hAnsi="Arial"/>
          <w:b/>
          <w:bCs/>
          <w:sz w:val="32"/>
          <w:szCs w:val="32"/>
        </w:rPr>
        <w:t xml:space="preserve">4. المزايا التقنية والتشغيلية</w:t>
      </w:r>
    </w:p>
    <w:p>
      <w:pPr>
        <w:bidi/>
        <w:spacing w:after="120"/>
        <w:jc w:val="right"/>
      </w:pPr>
      <w:r>
        <w:rPr>
          <w:rFonts w:ascii="Arial" w:cs="Arial" w:eastAsia="Arial" w:hAnsi="Arial"/>
          <w:b w:val="false"/>
          <w:bCs w:val="false"/>
          <w:sz w:val="22"/>
          <w:szCs w:val="22"/>
        </w:rPr>
        <w:t xml:space="preserve">• بنية ويب حديثة (Angular + Spring Boot) قابلة للتوسع والتكامل مع ERP.</w:t>
      </w:r>
    </w:p>
    <w:p>
      <w:pPr>
        <w:bidi/>
        <w:spacing w:after="120"/>
        <w:jc w:val="right"/>
      </w:pPr>
      <w:r>
        <w:rPr>
          <w:rFonts w:ascii="Arial" w:cs="Arial" w:eastAsia="Arial" w:hAnsi="Arial"/>
          <w:b w:val="false"/>
          <w:bCs w:val="false"/>
          <w:sz w:val="22"/>
          <w:szCs w:val="22"/>
        </w:rPr>
        <w:t xml:space="preserve">• دعم اللغة العربية والإنجليزية وواجهة RTL.</w:t>
      </w:r>
    </w:p>
    <w:p>
      <w:pPr>
        <w:bidi/>
        <w:spacing w:after="120"/>
        <w:jc w:val="right"/>
      </w:pPr>
      <w:r>
        <w:rPr>
          <w:rFonts w:ascii="Arial" w:cs="Arial" w:eastAsia="Arial" w:hAnsi="Arial"/>
          <w:b w:val="false"/>
          <w:bCs w:val="false"/>
          <w:sz w:val="22"/>
          <w:szCs w:val="22"/>
        </w:rPr>
        <w:t xml:space="preserve">• أدوار متعددة: مدير عام، محاسب، مالك، مستأجر، فني صيانة، وشركات مقاولين.</w:t>
      </w:r>
    </w:p>
    <w:p>
      <w:pPr>
        <w:bidi/>
        <w:spacing w:after="120"/>
        <w:jc w:val="right"/>
      </w:pPr>
      <w:r>
        <w:rPr>
          <w:rFonts w:ascii="Arial" w:cs="Arial" w:eastAsia="Arial" w:hAnsi="Arial"/>
          <w:b w:val="false"/>
          <w:bCs w:val="false"/>
          <w:sz w:val="22"/>
          <w:szCs w:val="22"/>
        </w:rPr>
        <w:t xml:space="preserve">• صلاحيات دقيقة على مستوى الشاشة والوحدة والعقار.</w:t>
      </w:r>
    </w:p>
    <w:p>
      <w:pPr>
        <w:bidi/>
        <w:spacing w:after="120"/>
        <w:jc w:val="right"/>
      </w:pPr>
      <w:r>
        <w:rPr>
          <w:rFonts w:ascii="Arial" w:cs="Arial" w:eastAsia="Arial" w:hAnsi="Arial"/>
          <w:b w:val="false"/>
          <w:bCs w:val="false"/>
          <w:sz w:val="22"/>
          <w:szCs w:val="22"/>
        </w:rPr>
        <w:t xml:space="preserve">• سجل تدقيق (Audit Log) وتعدد الكيانات القانونية.</w:t>
      </w:r>
    </w:p>
    <w:p>
      <w:pPr>
        <w:bidi/>
        <w:spacing w:after="240"/>
        <w:jc w:val="right"/>
      </w:pPr>
      <w:r>
        <w:rPr>
          <w:rFonts w:ascii="Arial" w:cs="Arial" w:eastAsia="Arial" w:hAnsi="Arial"/>
          <w:b w:val="false"/>
          <w:bCs w:val="false"/>
          <w:sz w:val="22"/>
          <w:szCs w:val="22"/>
        </w:rPr>
        <w:t xml:space="preserve">• جاهزية للتكامل مع الأنظمة المالية والتقارير عبر واجهات API.</w:t>
      </w:r>
    </w:p>
    <w:p>
      <w:pPr>
        <w:pStyle w:val="Heading1"/>
        <w:bidi/>
        <w:jc w:val="right"/>
      </w:pPr>
      <w:r>
        <w:rPr>
          <w:rFonts w:ascii="Arial" w:cs="Arial" w:eastAsia="Arial" w:hAnsi="Arial"/>
          <w:b/>
          <w:bCs/>
          <w:sz w:val="32"/>
          <w:szCs w:val="32"/>
        </w:rPr>
        <w:t xml:space="preserve">5. الخلاصة</w:t>
      </w:r>
    </w:p>
    <w:p>
      <w:pPr>
        <w:bidi/>
        <w:spacing w:after="120"/>
        <w:jc w:val="right"/>
      </w:pPr>
      <w:r>
        <w:rPr>
          <w:rFonts w:ascii="Arial" w:cs="Arial" w:eastAsia="Arial" w:hAnsi="Arial"/>
          <w:b w:val="false"/>
          <w:bCs w:val="false"/>
          <w:sz w:val="24"/>
          <w:szCs w:val="24"/>
        </w:rPr>
        <w:t xml:space="preserve">يوفّر نظام مشارق لإدارة الأملاك منصة متكاملة تغطي دورة حياة الأصل العقاري من التسجيل حتى التحصيل والصيانة والتقارير. نحن مستعدون لعقد جلسة توضيحية وورشة عمل فنية وفق الجدول الزمني المذكور في طلب RFI (3–7 يونيو 2026).</w:t>
      </w:r>
    </w:p>
    <w:p>
      <w:pPr>
        <w:bidi/>
        <w:spacing w:after="400"/>
        <w:jc w:val="right"/>
      </w:pPr>
      <w:r>
        <w:rPr>
          <w:rFonts w:ascii="Arial" w:cs="Arial" w:eastAsia="Arial" w:hAnsi="Arial"/>
          <w:b w:val="false"/>
          <w:bCs w:val="false"/>
          <w:sz w:val="22"/>
          <w:szCs w:val="22"/>
        </w:rPr>
        <w:t xml:space="preserve">للاستفسارات والتواصل: يرجى الرجوع إلى فريق المشروع.</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مشارق — إدارة الأملاك والتأجير | RFI 47001 | صفحة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4d3627cb402fb813aac5e7df82b045861522d82.png"/><Relationship Id="rId9" Type="http://schemas.openxmlformats.org/officeDocument/2006/relationships/image" Target="media/ef89d60b44ad455e885c53d115ab060c328574e4.png"/><Relationship Id="rId10" Type="http://schemas.openxmlformats.org/officeDocument/2006/relationships/image" Target="media/fc2f752f72efc25a63731637a30968de9f31c360.png"/><Relationship Id="rId11" Type="http://schemas.openxmlformats.org/officeDocument/2006/relationships/image" Target="media/2a161aca219b09cadcfae10197c89c1535689e7b.png"/><Relationship Id="rId12" Type="http://schemas.openxmlformats.org/officeDocument/2006/relationships/image" Target="media/12ed1f2c3dff2adf0eef8d55d53b76ce472f2909.png"/><Relationship Id="rId13" Type="http://schemas.openxmlformats.org/officeDocument/2006/relationships/image" Target="media/170d41c9989df342be2bf6aec718754f87abbbb5.png"/><Relationship Id="rId14" Type="http://schemas.openxmlformats.org/officeDocument/2006/relationships/image" Target="media/b5f40e7c396cbeee5bbecb5761294de5c085f595.png"/><Relationship Id="rId15" Type="http://schemas.openxmlformats.org/officeDocument/2006/relationships/image" Target="media/50554e7e1e4390590f76fcd17fc1809689ba1f00.png"/><Relationship Id="rId16" Type="http://schemas.openxmlformats.org/officeDocument/2006/relationships/image" Target="media/00d738e0e1d7a2c4d84a71f1469b71ce83879c3d.png"/><Relationship Id="rId17" Type="http://schemas.openxmlformats.org/officeDocument/2006/relationships/image" Target="media/d20e4bf4bf84c7ce9f66b9c2986b0e16015c5c9a.png"/><Relationship Id="rId18" Type="http://schemas.openxmlformats.org/officeDocument/2006/relationships/image" Target="media/72dac671e7d880a7e30e6c5d6c4b326d59101dae.png"/><Relationship Id="rId19" Type="http://schemas.openxmlformats.org/officeDocument/2006/relationships/image" Target="media/a5a19a174d586582d80fa55ba5ae406ea26621c9.png"/><Relationship Id="rId20" Type="http://schemas.openxmlformats.org/officeDocument/2006/relationships/image" Target="media/34e90c7a9a5beaef386bea9c9c2991a0fa736b3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2026-05-19T19:56:36.397Z</dcterms:created>
  <dcterms:modified xsi:type="dcterms:W3CDTF">2026-05-19T19:56:36.397Z</dcterms:modified>
</cp:coreProperties>
</file>

<file path=docProps/custom.xml><?xml version="1.0" encoding="utf-8"?>
<Properties xmlns="http://schemas.openxmlformats.org/officeDocument/2006/custom-properties" xmlns:vt="http://schemas.openxmlformats.org/officeDocument/2006/docPropsVTypes"/>
</file>