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9E232" w14:textId="77777777" w:rsidR="00D37D47" w:rsidRPr="00D37D47" w:rsidRDefault="00D37D47" w:rsidP="00D37D47">
      <w:pPr>
        <w:rPr>
          <w:b/>
          <w:bCs/>
          <w:sz w:val="24"/>
          <w:szCs w:val="24"/>
          <w:u w:val="single"/>
          <w:lang w:val="en-NG"/>
        </w:rPr>
      </w:pPr>
      <w:r w:rsidRPr="00D37D47">
        <w:rPr>
          <w:b/>
          <w:bCs/>
          <w:sz w:val="24"/>
          <w:szCs w:val="24"/>
          <w:u w:val="single"/>
          <w:lang w:val="en-NG"/>
        </w:rPr>
        <w:t>ScotRail 2025 Performance Audit: A Data-Driven Analysis of Delay Attribution</w:t>
      </w:r>
    </w:p>
    <w:p w14:paraId="33874D84" w14:textId="77777777" w:rsidR="00D37D47" w:rsidRPr="00D37D47" w:rsidRDefault="00D37D47" w:rsidP="00D37D47">
      <w:pPr>
        <w:rPr>
          <w:b/>
          <w:bCs/>
          <w:lang w:val="en-NG"/>
        </w:rPr>
      </w:pPr>
      <w:r w:rsidRPr="00D37D47">
        <w:rPr>
          <w:b/>
          <w:bCs/>
          <w:lang w:val="en-NG"/>
        </w:rPr>
        <w:t>Project Objective</w:t>
      </w:r>
    </w:p>
    <w:p w14:paraId="16235BE9" w14:textId="2255777D" w:rsidR="00D37D47" w:rsidRPr="00D37D47" w:rsidRDefault="00D37D47" w:rsidP="00D37D47">
      <w:pPr>
        <w:rPr>
          <w:sz w:val="20"/>
          <w:szCs w:val="20"/>
          <w:lang w:val="en-NG"/>
        </w:rPr>
      </w:pPr>
      <w:r w:rsidRPr="00D37D47">
        <w:rPr>
          <w:sz w:val="20"/>
          <w:szCs w:val="20"/>
          <w:lang w:val="en-NG"/>
        </w:rPr>
        <w:t xml:space="preserve">The goal of this project was to clean and </w:t>
      </w:r>
      <w:r w:rsidRPr="00D37D47">
        <w:rPr>
          <w:sz w:val="20"/>
          <w:szCs w:val="20"/>
          <w:lang w:val="en-NG"/>
        </w:rPr>
        <w:t>analyse</w:t>
      </w:r>
      <w:r w:rsidRPr="00D37D47">
        <w:rPr>
          <w:sz w:val="20"/>
          <w:szCs w:val="20"/>
          <w:lang w:val="en-NG"/>
        </w:rPr>
        <w:t xml:space="preserve"> ScotRail 2025 performance data to identify the causes of rail delays and determine organizational accountability. Using data from the Office of Rail and Road (ORR), raw periodic statistics were transformed into a structured format to uncover performance trends and primary drivers of delay minutes.</w:t>
      </w:r>
    </w:p>
    <w:p w14:paraId="65B306D2" w14:textId="77777777" w:rsidR="00D37D47" w:rsidRDefault="00D37D47" w:rsidP="00D37D47">
      <w:pPr>
        <w:rPr>
          <w:b/>
          <w:bCs/>
          <w:sz w:val="20"/>
          <w:szCs w:val="20"/>
          <w:lang w:val="en-NG"/>
        </w:rPr>
      </w:pPr>
    </w:p>
    <w:p w14:paraId="7669D708" w14:textId="77777777" w:rsidR="00D37D47" w:rsidRPr="00D37D47" w:rsidRDefault="00D37D47" w:rsidP="00D37D47">
      <w:pPr>
        <w:rPr>
          <w:b/>
          <w:bCs/>
          <w:sz w:val="20"/>
          <w:szCs w:val="20"/>
          <w:lang w:val="en-NG"/>
        </w:rPr>
      </w:pPr>
    </w:p>
    <w:p w14:paraId="6589AADF" w14:textId="615DC748" w:rsidR="00D37D47" w:rsidRPr="00D37D47" w:rsidRDefault="00D37D47" w:rsidP="00D37D47">
      <w:pPr>
        <w:rPr>
          <w:b/>
          <w:bCs/>
          <w:lang w:val="en-NG"/>
        </w:rPr>
      </w:pPr>
      <w:r w:rsidRPr="00D37D47">
        <w:rPr>
          <w:b/>
          <w:bCs/>
          <w:lang w:val="en-NG"/>
        </w:rPr>
        <w:t>The Dataset</w:t>
      </w:r>
    </w:p>
    <w:p w14:paraId="0C9DF47F" w14:textId="0ABDF0F3" w:rsidR="00D37D47" w:rsidRPr="00D37D47" w:rsidRDefault="00D37D47" w:rsidP="00D37D47">
      <w:pPr>
        <w:rPr>
          <w:sz w:val="20"/>
          <w:szCs w:val="20"/>
          <w:lang w:val="en-NG"/>
        </w:rPr>
      </w:pPr>
      <w:r w:rsidRPr="00D37D47">
        <w:rPr>
          <w:sz w:val="20"/>
          <w:szCs w:val="20"/>
          <w:lang w:val="en-NG"/>
        </w:rPr>
        <w:t>The analysis utilized Table 3184</w:t>
      </w:r>
      <w:r w:rsidRPr="00D37D47">
        <w:rPr>
          <w:sz w:val="20"/>
          <w:szCs w:val="20"/>
          <w:lang w:val="en-NG"/>
        </w:rPr>
        <w:t xml:space="preserve"> (</w:t>
      </w:r>
      <w:hyperlink r:id="rId5" w:history="1">
        <w:r w:rsidRPr="00D37D47">
          <w:rPr>
            <w:rStyle w:val="Hyperlink"/>
            <w:sz w:val="20"/>
            <w:szCs w:val="20"/>
            <w:lang w:val="en-NG"/>
          </w:rPr>
          <w:t>https://dataportal.orr.gov.uk/stati</w:t>
        </w:r>
        <w:r w:rsidRPr="00D37D47">
          <w:rPr>
            <w:rStyle w:val="Hyperlink"/>
            <w:sz w:val="20"/>
            <w:szCs w:val="20"/>
            <w:lang w:val="en-NG"/>
          </w:rPr>
          <w:t>s</w:t>
        </w:r>
        <w:r w:rsidRPr="00D37D47">
          <w:rPr>
            <w:rStyle w:val="Hyperlink"/>
            <w:sz w:val="20"/>
            <w:szCs w:val="20"/>
            <w:lang w:val="en-NG"/>
          </w:rPr>
          <w:t>tics/performance/passenger-rail-performance/table-3184-delay-minutes-by-operator-and-cause-periodic/</w:t>
        </w:r>
      </w:hyperlink>
      <w:r w:rsidRPr="00D37D47">
        <w:rPr>
          <w:sz w:val="20"/>
          <w:szCs w:val="20"/>
          <w:lang w:val="en-NG"/>
        </w:rPr>
        <w:t>)</w:t>
      </w:r>
      <w:r w:rsidRPr="00D37D47">
        <w:rPr>
          <w:sz w:val="20"/>
          <w:szCs w:val="20"/>
          <w:lang w:val="en-NG"/>
        </w:rPr>
        <w:t>, which provides periodic delay minutes by operator and cause. The raw data was initially in a "wide" format, with multiple columns representing various delay categories, necessitating reshaping for effective analysis.</w:t>
      </w:r>
    </w:p>
    <w:p w14:paraId="7F89B7D1" w14:textId="77777777" w:rsidR="00D37D47" w:rsidRDefault="00D37D47" w:rsidP="00D37D47">
      <w:pPr>
        <w:rPr>
          <w:b/>
          <w:bCs/>
          <w:sz w:val="20"/>
          <w:szCs w:val="20"/>
          <w:lang w:val="en-NG"/>
        </w:rPr>
      </w:pPr>
    </w:p>
    <w:p w14:paraId="0FD722FA" w14:textId="77777777" w:rsidR="00D37D47" w:rsidRPr="00D37D47" w:rsidRDefault="00D37D47" w:rsidP="00D37D47">
      <w:pPr>
        <w:rPr>
          <w:b/>
          <w:bCs/>
          <w:sz w:val="20"/>
          <w:szCs w:val="20"/>
          <w:lang w:val="en-NG"/>
        </w:rPr>
      </w:pPr>
    </w:p>
    <w:p w14:paraId="22B96F33" w14:textId="33D14D28" w:rsidR="00D37D47" w:rsidRPr="00D37D47" w:rsidRDefault="00D37D47" w:rsidP="00D37D47">
      <w:pPr>
        <w:rPr>
          <w:b/>
          <w:bCs/>
          <w:lang w:val="en-NG"/>
        </w:rPr>
      </w:pPr>
      <w:r w:rsidRPr="00D37D47">
        <w:rPr>
          <w:b/>
          <w:bCs/>
          <w:lang w:val="en-NG"/>
        </w:rPr>
        <w:t>Technical Workflow</w:t>
      </w:r>
    </w:p>
    <w:p w14:paraId="75509166" w14:textId="1F1D8D7A" w:rsidR="00D37D47" w:rsidRPr="00D37D47" w:rsidRDefault="00D37D47" w:rsidP="00D37D47">
      <w:pPr>
        <w:numPr>
          <w:ilvl w:val="0"/>
          <w:numId w:val="1"/>
        </w:numPr>
        <w:rPr>
          <w:sz w:val="20"/>
          <w:szCs w:val="20"/>
          <w:lang w:val="en-NG"/>
        </w:rPr>
      </w:pPr>
      <w:r w:rsidRPr="00D37D47">
        <w:rPr>
          <w:b/>
          <w:bCs/>
          <w:sz w:val="20"/>
          <w:szCs w:val="20"/>
          <w:lang w:val="en-NG"/>
        </w:rPr>
        <w:t>Data Cleaning &amp; Standardization:</w:t>
      </w:r>
      <w:r w:rsidRPr="00D37D47">
        <w:rPr>
          <w:sz w:val="20"/>
          <w:szCs w:val="20"/>
          <w:lang w:val="en-NG"/>
        </w:rPr>
        <w:t xml:space="preserve"> The dataset was filtered to isolate ScotRail’s 2024–2025 financial year data. Column headers were standardized by converting them to lowercase and removing parentheses.</w:t>
      </w:r>
    </w:p>
    <w:p w14:paraId="6BF2859F" w14:textId="40FE6A43" w:rsidR="00D37D47" w:rsidRPr="00D37D47" w:rsidRDefault="00D37D47" w:rsidP="00D37D47">
      <w:pPr>
        <w:numPr>
          <w:ilvl w:val="0"/>
          <w:numId w:val="1"/>
        </w:numPr>
        <w:rPr>
          <w:sz w:val="20"/>
          <w:szCs w:val="20"/>
          <w:lang w:val="en-NG"/>
        </w:rPr>
      </w:pPr>
      <w:r w:rsidRPr="00D37D47">
        <w:rPr>
          <w:b/>
          <w:bCs/>
          <w:sz w:val="20"/>
          <w:szCs w:val="20"/>
          <w:lang w:val="en-NG"/>
        </w:rPr>
        <w:t>Feature Engineering:</w:t>
      </w:r>
      <w:r w:rsidRPr="00D37D47">
        <w:rPr>
          <w:sz w:val="20"/>
          <w:szCs w:val="20"/>
          <w:lang w:val="en-NG"/>
        </w:rPr>
        <w:t xml:space="preserve"> Numeric values for the "Period" (e.g., Period 04) and the "Financial Year" string were extracted from raw time-period text to enable chronological sorting.</w:t>
      </w:r>
    </w:p>
    <w:p w14:paraId="770A0EDA" w14:textId="3D6072E9" w:rsidR="00D37D47" w:rsidRPr="00D37D47" w:rsidRDefault="00D37D47" w:rsidP="00D37D47">
      <w:pPr>
        <w:numPr>
          <w:ilvl w:val="0"/>
          <w:numId w:val="1"/>
        </w:numPr>
        <w:rPr>
          <w:sz w:val="20"/>
          <w:szCs w:val="20"/>
          <w:lang w:val="en-NG"/>
        </w:rPr>
      </w:pPr>
      <w:r w:rsidRPr="00D37D47">
        <w:rPr>
          <w:b/>
          <w:bCs/>
          <w:sz w:val="20"/>
          <w:szCs w:val="20"/>
          <w:lang w:val="en-NG"/>
        </w:rPr>
        <w:t>Data Reshaping (Unpivoting):</w:t>
      </w:r>
      <w:r w:rsidRPr="00D37D47">
        <w:rPr>
          <w:sz w:val="20"/>
          <w:szCs w:val="20"/>
          <w:lang w:val="en-NG"/>
        </w:rPr>
        <w:t xml:space="preserve"> The melt function was used to transform the data from a wide format into a long format. This created a single </w:t>
      </w:r>
      <w:proofErr w:type="spellStart"/>
      <w:r w:rsidRPr="00D37D47">
        <w:rPr>
          <w:sz w:val="20"/>
          <w:szCs w:val="20"/>
          <w:lang w:val="en-NG"/>
        </w:rPr>
        <w:t>delay_cause</w:t>
      </w:r>
      <w:proofErr w:type="spellEnd"/>
      <w:r w:rsidRPr="00D37D47">
        <w:rPr>
          <w:sz w:val="20"/>
          <w:szCs w:val="20"/>
          <w:lang w:val="en-NG"/>
        </w:rPr>
        <w:t xml:space="preserve"> column and a </w:t>
      </w:r>
      <w:r w:rsidR="0095058A" w:rsidRPr="00D37D47">
        <w:rPr>
          <w:sz w:val="20"/>
          <w:szCs w:val="20"/>
          <w:lang w:val="en-NG"/>
        </w:rPr>
        <w:t>minute’s</w:t>
      </w:r>
      <w:r w:rsidRPr="00D37D47">
        <w:rPr>
          <w:sz w:val="20"/>
          <w:szCs w:val="20"/>
          <w:lang w:val="en-NG"/>
        </w:rPr>
        <w:t xml:space="preserve"> column, making the data compatible with categorical plotting libraries like Seaborn.</w:t>
      </w:r>
    </w:p>
    <w:p w14:paraId="57E8B808" w14:textId="77777777" w:rsidR="00D37D47" w:rsidRPr="00D37D47" w:rsidRDefault="00D37D47" w:rsidP="00D37D47">
      <w:pPr>
        <w:numPr>
          <w:ilvl w:val="0"/>
          <w:numId w:val="1"/>
        </w:numPr>
        <w:rPr>
          <w:sz w:val="20"/>
          <w:szCs w:val="20"/>
          <w:lang w:val="en-NG"/>
        </w:rPr>
      </w:pPr>
      <w:r w:rsidRPr="00D37D47">
        <w:rPr>
          <w:b/>
          <w:bCs/>
          <w:sz w:val="20"/>
          <w:szCs w:val="20"/>
          <w:lang w:val="en-NG"/>
        </w:rPr>
        <w:t>Responsibility Mapping:</w:t>
      </w:r>
      <w:r w:rsidRPr="00D37D47">
        <w:rPr>
          <w:sz w:val="20"/>
          <w:szCs w:val="20"/>
          <w:lang w:val="en-NG"/>
        </w:rPr>
        <w:t xml:space="preserve"> A custom Python function categorized specific delay causes into three high-level buckets: </w:t>
      </w:r>
      <w:r w:rsidRPr="00D37D47">
        <w:rPr>
          <w:b/>
          <w:bCs/>
          <w:sz w:val="20"/>
          <w:szCs w:val="20"/>
          <w:lang w:val="en-NG"/>
        </w:rPr>
        <w:t>Network Rail (Infrastructure)</w:t>
      </w:r>
      <w:r w:rsidRPr="00D37D47">
        <w:rPr>
          <w:sz w:val="20"/>
          <w:szCs w:val="20"/>
          <w:lang w:val="en-NG"/>
        </w:rPr>
        <w:t xml:space="preserve">, </w:t>
      </w:r>
      <w:r w:rsidRPr="00D37D47">
        <w:rPr>
          <w:b/>
          <w:bCs/>
          <w:sz w:val="20"/>
          <w:szCs w:val="20"/>
          <w:lang w:val="en-NG"/>
        </w:rPr>
        <w:t>ScotRail (Operational)</w:t>
      </w:r>
      <w:r w:rsidRPr="00D37D47">
        <w:rPr>
          <w:sz w:val="20"/>
          <w:szCs w:val="20"/>
          <w:lang w:val="en-NG"/>
        </w:rPr>
        <w:t xml:space="preserve">, and </w:t>
      </w:r>
      <w:r w:rsidRPr="00D37D47">
        <w:rPr>
          <w:b/>
          <w:bCs/>
          <w:sz w:val="20"/>
          <w:szCs w:val="20"/>
          <w:lang w:val="en-NG"/>
        </w:rPr>
        <w:t>External / Other Operators</w:t>
      </w:r>
      <w:r w:rsidRPr="00D37D47">
        <w:rPr>
          <w:sz w:val="20"/>
          <w:szCs w:val="20"/>
          <w:lang w:val="en-NG"/>
        </w:rPr>
        <w:t>.</w:t>
      </w:r>
    </w:p>
    <w:p w14:paraId="15E8E80C" w14:textId="0EFB50CD" w:rsidR="00D37D47" w:rsidRDefault="00D37D47" w:rsidP="00D37D47">
      <w:pPr>
        <w:rPr>
          <w:sz w:val="20"/>
          <w:szCs w:val="20"/>
          <w:lang w:val="en-NG"/>
        </w:rPr>
      </w:pPr>
    </w:p>
    <w:p w14:paraId="0EC81DD9" w14:textId="77777777" w:rsidR="00D37D47" w:rsidRPr="00D37D47" w:rsidRDefault="00D37D47" w:rsidP="00D37D47">
      <w:pPr>
        <w:rPr>
          <w:sz w:val="20"/>
          <w:szCs w:val="20"/>
          <w:lang w:val="en-NG"/>
        </w:rPr>
      </w:pPr>
    </w:p>
    <w:p w14:paraId="231ABF5F" w14:textId="77777777" w:rsidR="00D37D47" w:rsidRPr="00D37D47" w:rsidRDefault="00D37D47" w:rsidP="00D37D47">
      <w:pPr>
        <w:rPr>
          <w:b/>
          <w:bCs/>
          <w:lang w:val="en-NG"/>
        </w:rPr>
      </w:pPr>
      <w:r w:rsidRPr="00D37D47">
        <w:rPr>
          <w:b/>
          <w:bCs/>
          <w:lang w:val="en-NG"/>
        </w:rPr>
        <w:t>Key Insights</w:t>
      </w:r>
    </w:p>
    <w:p w14:paraId="44F9B441" w14:textId="3B47EA16" w:rsidR="00D37D47" w:rsidRPr="00D37D47" w:rsidRDefault="00D37D47" w:rsidP="00D37D47">
      <w:pPr>
        <w:numPr>
          <w:ilvl w:val="0"/>
          <w:numId w:val="2"/>
        </w:numPr>
        <w:rPr>
          <w:sz w:val="20"/>
          <w:szCs w:val="20"/>
          <w:lang w:val="en-NG"/>
        </w:rPr>
      </w:pPr>
      <w:r w:rsidRPr="00D37D47">
        <w:rPr>
          <w:b/>
          <w:bCs/>
          <w:sz w:val="20"/>
          <w:szCs w:val="20"/>
          <w:lang w:val="en-NG"/>
        </w:rPr>
        <w:t>Primary Delay Drivers:</w:t>
      </w:r>
      <w:r w:rsidRPr="00D37D47">
        <w:rPr>
          <w:sz w:val="20"/>
          <w:szCs w:val="20"/>
          <w:lang w:val="en-NG"/>
        </w:rPr>
        <w:t xml:space="preserve"> The leading cause of delays was </w:t>
      </w:r>
      <w:r w:rsidRPr="00D37D47">
        <w:rPr>
          <w:b/>
          <w:bCs/>
          <w:sz w:val="20"/>
          <w:szCs w:val="20"/>
          <w:lang w:val="en-NG"/>
        </w:rPr>
        <w:t>Network Management Other</w:t>
      </w:r>
      <w:r w:rsidRPr="00D37D47">
        <w:rPr>
          <w:sz w:val="20"/>
          <w:szCs w:val="20"/>
          <w:lang w:val="en-NG"/>
        </w:rPr>
        <w:t xml:space="preserve">, </w:t>
      </w:r>
      <w:proofErr w:type="spellStart"/>
      <w:r w:rsidRPr="00D37D47">
        <w:rPr>
          <w:sz w:val="20"/>
          <w:szCs w:val="20"/>
          <w:lang w:val="en-NG"/>
        </w:rPr>
        <w:t>totaling</w:t>
      </w:r>
      <w:proofErr w:type="spellEnd"/>
      <w:r w:rsidRPr="00D37D47">
        <w:rPr>
          <w:sz w:val="20"/>
          <w:szCs w:val="20"/>
          <w:lang w:val="en-NG"/>
        </w:rPr>
        <w:t xml:space="preserve"> </w:t>
      </w:r>
      <w:r w:rsidRPr="00D37D47">
        <w:rPr>
          <w:b/>
          <w:bCs/>
          <w:sz w:val="20"/>
          <w:szCs w:val="20"/>
          <w:lang w:val="en-NG"/>
        </w:rPr>
        <w:t>244,642 minutes</w:t>
      </w:r>
      <w:r w:rsidRPr="00D37D47">
        <w:rPr>
          <w:sz w:val="20"/>
          <w:szCs w:val="20"/>
          <w:lang w:val="en-NG"/>
        </w:rPr>
        <w:t xml:space="preserve">, followed by </w:t>
      </w:r>
      <w:r w:rsidRPr="00D37D47">
        <w:rPr>
          <w:b/>
          <w:bCs/>
          <w:sz w:val="20"/>
          <w:szCs w:val="20"/>
          <w:lang w:val="en-NG"/>
        </w:rPr>
        <w:t>Non-Track Assets</w:t>
      </w:r>
      <w:r w:rsidRPr="00D37D47">
        <w:rPr>
          <w:sz w:val="20"/>
          <w:szCs w:val="20"/>
          <w:lang w:val="en-NG"/>
        </w:rPr>
        <w:t xml:space="preserve"> at </w:t>
      </w:r>
      <w:r w:rsidRPr="00D37D47">
        <w:rPr>
          <w:b/>
          <w:bCs/>
          <w:sz w:val="20"/>
          <w:szCs w:val="20"/>
          <w:lang w:val="en-NG"/>
        </w:rPr>
        <w:t>218,478 minutes</w:t>
      </w:r>
      <w:r w:rsidRPr="00D37D47">
        <w:rPr>
          <w:sz w:val="20"/>
          <w:szCs w:val="20"/>
          <w:lang w:val="en-NG"/>
        </w:rPr>
        <w:t>.</w:t>
      </w:r>
    </w:p>
    <w:p w14:paraId="18597DB7" w14:textId="37E92585" w:rsidR="00D37D47" w:rsidRPr="00D37D47" w:rsidRDefault="00D37D47" w:rsidP="00D37D47">
      <w:pPr>
        <w:numPr>
          <w:ilvl w:val="0"/>
          <w:numId w:val="2"/>
        </w:numPr>
        <w:rPr>
          <w:sz w:val="20"/>
          <w:szCs w:val="20"/>
          <w:lang w:val="en-NG"/>
        </w:rPr>
      </w:pPr>
      <w:r w:rsidRPr="00D37D47">
        <w:rPr>
          <w:b/>
          <w:bCs/>
          <w:sz w:val="20"/>
          <w:szCs w:val="20"/>
          <w:lang w:val="en-NG"/>
        </w:rPr>
        <w:t>Organizational Accountability:</w:t>
      </w:r>
      <w:r w:rsidRPr="00D37D47">
        <w:rPr>
          <w:sz w:val="20"/>
          <w:szCs w:val="20"/>
          <w:lang w:val="en-NG"/>
        </w:rPr>
        <w:t xml:space="preserve"> Infrastructure issues managed by </w:t>
      </w:r>
      <w:r w:rsidRPr="00D37D47">
        <w:rPr>
          <w:b/>
          <w:bCs/>
          <w:sz w:val="20"/>
          <w:szCs w:val="20"/>
          <w:lang w:val="en-NG"/>
        </w:rPr>
        <w:t>Network Rail</w:t>
      </w:r>
      <w:r w:rsidRPr="00D37D47">
        <w:rPr>
          <w:sz w:val="20"/>
          <w:szCs w:val="20"/>
          <w:lang w:val="en-NG"/>
        </w:rPr>
        <w:t xml:space="preserve"> accounted for the largest share of delay minutes (</w:t>
      </w:r>
      <w:r w:rsidRPr="00D37D47">
        <w:rPr>
          <w:b/>
          <w:bCs/>
          <w:sz w:val="20"/>
          <w:szCs w:val="20"/>
          <w:lang w:val="en-NG"/>
        </w:rPr>
        <w:t>886,905.9</w:t>
      </w:r>
      <w:r w:rsidRPr="00D37D47">
        <w:rPr>
          <w:sz w:val="20"/>
          <w:szCs w:val="20"/>
          <w:lang w:val="en-NG"/>
        </w:rPr>
        <w:t xml:space="preserve">), while </w:t>
      </w:r>
      <w:r w:rsidRPr="00D37D47">
        <w:rPr>
          <w:b/>
          <w:bCs/>
          <w:sz w:val="20"/>
          <w:szCs w:val="20"/>
          <w:lang w:val="en-NG"/>
        </w:rPr>
        <w:t>ScotRail’s</w:t>
      </w:r>
      <w:r w:rsidRPr="00D37D47">
        <w:rPr>
          <w:sz w:val="20"/>
          <w:szCs w:val="20"/>
          <w:lang w:val="en-NG"/>
        </w:rPr>
        <w:t xml:space="preserve"> own operational issues contributed </w:t>
      </w:r>
      <w:r w:rsidRPr="00D37D47">
        <w:rPr>
          <w:b/>
          <w:bCs/>
          <w:sz w:val="20"/>
          <w:szCs w:val="20"/>
          <w:lang w:val="en-NG"/>
        </w:rPr>
        <w:t>636,614.3 minutes</w:t>
      </w:r>
      <w:r w:rsidRPr="00D37D47">
        <w:rPr>
          <w:sz w:val="20"/>
          <w:szCs w:val="20"/>
          <w:lang w:val="en-NG"/>
        </w:rPr>
        <w:t>.</w:t>
      </w:r>
    </w:p>
    <w:p w14:paraId="3C3895B2" w14:textId="77777777" w:rsidR="00D37D47" w:rsidRPr="00D37D47" w:rsidRDefault="00D37D47" w:rsidP="00D37D47">
      <w:pPr>
        <w:numPr>
          <w:ilvl w:val="0"/>
          <w:numId w:val="2"/>
        </w:numPr>
        <w:rPr>
          <w:sz w:val="20"/>
          <w:szCs w:val="20"/>
          <w:lang w:val="en-NG"/>
        </w:rPr>
      </w:pPr>
      <w:r w:rsidRPr="00D37D47">
        <w:rPr>
          <w:b/>
          <w:bCs/>
          <w:sz w:val="20"/>
          <w:szCs w:val="20"/>
          <w:lang w:val="en-NG"/>
        </w:rPr>
        <w:t>Temporal Trends:</w:t>
      </w:r>
      <w:r w:rsidRPr="00D37D47">
        <w:rPr>
          <w:sz w:val="20"/>
          <w:szCs w:val="20"/>
          <w:lang w:val="en-NG"/>
        </w:rPr>
        <w:t xml:space="preserve"> Performance data for the 2024–2025 period highlighted a significant spike in delays during </w:t>
      </w:r>
      <w:r w:rsidRPr="00D37D47">
        <w:rPr>
          <w:b/>
          <w:bCs/>
          <w:sz w:val="20"/>
          <w:szCs w:val="20"/>
          <w:lang w:val="en-NG"/>
        </w:rPr>
        <w:t>Period 08</w:t>
      </w:r>
      <w:r w:rsidRPr="00D37D47">
        <w:rPr>
          <w:sz w:val="20"/>
          <w:szCs w:val="20"/>
          <w:lang w:val="en-NG"/>
        </w:rPr>
        <w:t xml:space="preserve">, where total delay minutes peaked at over </w:t>
      </w:r>
      <w:r w:rsidRPr="00D37D47">
        <w:rPr>
          <w:b/>
          <w:bCs/>
          <w:sz w:val="20"/>
          <w:szCs w:val="20"/>
          <w:lang w:val="en-NG"/>
        </w:rPr>
        <w:t>100,000</w:t>
      </w:r>
      <w:r w:rsidRPr="00D37D47">
        <w:rPr>
          <w:sz w:val="20"/>
          <w:szCs w:val="20"/>
          <w:lang w:val="en-NG"/>
        </w:rPr>
        <w:t>.</w:t>
      </w:r>
    </w:p>
    <w:p w14:paraId="61D39AB0" w14:textId="720547FD" w:rsidR="00D37D47" w:rsidRDefault="00D37D47" w:rsidP="00D37D47">
      <w:pPr>
        <w:rPr>
          <w:sz w:val="20"/>
          <w:szCs w:val="20"/>
          <w:lang w:val="en-NG"/>
        </w:rPr>
      </w:pPr>
    </w:p>
    <w:p w14:paraId="77A3B13D" w14:textId="77777777" w:rsidR="00D37D47" w:rsidRDefault="00D37D47" w:rsidP="00D37D47">
      <w:pPr>
        <w:rPr>
          <w:sz w:val="20"/>
          <w:szCs w:val="20"/>
          <w:lang w:val="en-NG"/>
        </w:rPr>
      </w:pPr>
    </w:p>
    <w:p w14:paraId="0DE247A7" w14:textId="380A2113" w:rsidR="00D37D47" w:rsidRPr="00D37D47" w:rsidRDefault="00D37D47" w:rsidP="00D37D47">
      <w:pPr>
        <w:rPr>
          <w:b/>
          <w:bCs/>
          <w:lang w:val="en-NG"/>
        </w:rPr>
      </w:pPr>
      <w:r w:rsidRPr="00D37D47">
        <w:rPr>
          <w:b/>
          <w:bCs/>
          <w:lang w:val="en-NG"/>
        </w:rPr>
        <w:lastRenderedPageBreak/>
        <w:t>Visualizations</w:t>
      </w:r>
    </w:p>
    <w:p w14:paraId="3CE392DB" w14:textId="77777777" w:rsidR="00D37D47" w:rsidRPr="00D37D47" w:rsidRDefault="00D37D47" w:rsidP="00D37D47">
      <w:pPr>
        <w:numPr>
          <w:ilvl w:val="0"/>
          <w:numId w:val="3"/>
        </w:numPr>
        <w:rPr>
          <w:sz w:val="20"/>
          <w:szCs w:val="20"/>
          <w:lang w:val="en-NG"/>
        </w:rPr>
      </w:pPr>
      <w:r w:rsidRPr="00D37D47">
        <w:rPr>
          <w:b/>
          <w:bCs/>
          <w:sz w:val="20"/>
          <w:szCs w:val="20"/>
          <w:lang w:val="en-NG"/>
        </w:rPr>
        <w:t>ScotRail: Total Delay Minutes by Category (2025):</w:t>
      </w:r>
      <w:r w:rsidRPr="00D37D47">
        <w:rPr>
          <w:sz w:val="20"/>
          <w:szCs w:val="20"/>
          <w:lang w:val="en-NG"/>
        </w:rPr>
        <w:t xml:space="preserve"> A bar chart displaying categories contributing to total delay minutes, highlighting the dominance of infrastructure-related issues.</w:t>
      </w:r>
    </w:p>
    <w:p w14:paraId="6F3252D6" w14:textId="223C3766" w:rsidR="00D37D47" w:rsidRPr="00D37D47" w:rsidRDefault="00D37D47" w:rsidP="00D37D47">
      <w:pPr>
        <w:ind w:left="720"/>
        <w:rPr>
          <w:sz w:val="20"/>
          <w:szCs w:val="20"/>
          <w:lang w:val="en-NG"/>
        </w:rPr>
      </w:pPr>
      <w:r w:rsidRPr="00D37D47">
        <w:rPr>
          <w:noProof/>
          <w:sz w:val="20"/>
          <w:szCs w:val="20"/>
        </w:rPr>
        <w:drawing>
          <wp:inline distT="0" distB="0" distL="0" distR="0" wp14:anchorId="3471AA81" wp14:editId="7F46EDDE">
            <wp:extent cx="3587015" cy="2362200"/>
            <wp:effectExtent l="0" t="0" r="0" b="0"/>
            <wp:docPr id="706445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01271" cy="2371588"/>
                    </a:xfrm>
                    <a:prstGeom prst="rect">
                      <a:avLst/>
                    </a:prstGeom>
                    <a:noFill/>
                    <a:ln>
                      <a:noFill/>
                    </a:ln>
                  </pic:spPr>
                </pic:pic>
              </a:graphicData>
            </a:graphic>
          </wp:inline>
        </w:drawing>
      </w:r>
    </w:p>
    <w:p w14:paraId="0185B673" w14:textId="77777777" w:rsidR="00D37D47" w:rsidRDefault="00D37D47" w:rsidP="00D37D47">
      <w:pPr>
        <w:numPr>
          <w:ilvl w:val="0"/>
          <w:numId w:val="3"/>
        </w:numPr>
        <w:rPr>
          <w:sz w:val="20"/>
          <w:szCs w:val="20"/>
          <w:lang w:val="en-NG"/>
        </w:rPr>
      </w:pPr>
      <w:r w:rsidRPr="00D37D47">
        <w:rPr>
          <w:b/>
          <w:bCs/>
          <w:sz w:val="20"/>
          <w:szCs w:val="20"/>
          <w:lang w:val="en-NG"/>
        </w:rPr>
        <w:t>High-Level Responsibility for Delays (2025):</w:t>
      </w:r>
      <w:r w:rsidRPr="00D37D47">
        <w:rPr>
          <w:sz w:val="20"/>
          <w:szCs w:val="20"/>
          <w:lang w:val="en-NG"/>
        </w:rPr>
        <w:t xml:space="preserve"> A comparison of total delay minutes attributed to Network Rail vs. ScotRail operations.</w:t>
      </w:r>
    </w:p>
    <w:p w14:paraId="105B1505" w14:textId="4C5FA2AE" w:rsidR="00D37D47" w:rsidRPr="00D37D47" w:rsidRDefault="00D37D47" w:rsidP="00D37D47">
      <w:pPr>
        <w:ind w:left="720"/>
        <w:rPr>
          <w:sz w:val="20"/>
          <w:szCs w:val="20"/>
          <w:lang w:val="en-NG"/>
        </w:rPr>
      </w:pPr>
      <w:r>
        <w:rPr>
          <w:noProof/>
        </w:rPr>
        <w:drawing>
          <wp:inline distT="0" distB="0" distL="0" distR="0" wp14:anchorId="3A24797C" wp14:editId="296A9F84">
            <wp:extent cx="4095750" cy="2431314"/>
            <wp:effectExtent l="0" t="0" r="0" b="7620"/>
            <wp:docPr id="13435639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5554" cy="2460878"/>
                    </a:xfrm>
                    <a:prstGeom prst="rect">
                      <a:avLst/>
                    </a:prstGeom>
                    <a:noFill/>
                    <a:ln>
                      <a:noFill/>
                    </a:ln>
                  </pic:spPr>
                </pic:pic>
              </a:graphicData>
            </a:graphic>
          </wp:inline>
        </w:drawing>
      </w:r>
    </w:p>
    <w:p w14:paraId="01B519EC" w14:textId="77777777" w:rsidR="00D37D47" w:rsidRDefault="00D37D47" w:rsidP="00D37D47">
      <w:pPr>
        <w:numPr>
          <w:ilvl w:val="0"/>
          <w:numId w:val="3"/>
        </w:numPr>
        <w:rPr>
          <w:sz w:val="20"/>
          <w:szCs w:val="20"/>
          <w:lang w:val="en-NG"/>
        </w:rPr>
      </w:pPr>
      <w:r w:rsidRPr="00D37D47">
        <w:rPr>
          <w:b/>
          <w:bCs/>
          <w:sz w:val="20"/>
          <w:szCs w:val="20"/>
          <w:lang w:val="en-NG"/>
        </w:rPr>
        <w:t>Total ScotRail Delay Minutes: 2025 Trend:</w:t>
      </w:r>
      <w:r w:rsidRPr="00D37D47">
        <w:rPr>
          <w:sz w:val="20"/>
          <w:szCs w:val="20"/>
          <w:lang w:val="en-NG"/>
        </w:rPr>
        <w:t xml:space="preserve"> A chronological line chart showing performance volatility throughout the financial year, including the major spike in late 2024.</w:t>
      </w:r>
    </w:p>
    <w:p w14:paraId="6D08C4F3" w14:textId="5609681C" w:rsidR="00D37D47" w:rsidRPr="00D37D47" w:rsidRDefault="00D37D47" w:rsidP="00D37D47">
      <w:pPr>
        <w:ind w:left="720"/>
        <w:rPr>
          <w:sz w:val="20"/>
          <w:szCs w:val="20"/>
          <w:lang w:val="en-NG"/>
        </w:rPr>
      </w:pPr>
      <w:r>
        <w:rPr>
          <w:noProof/>
        </w:rPr>
        <w:drawing>
          <wp:inline distT="0" distB="0" distL="0" distR="0" wp14:anchorId="3AAD2570" wp14:editId="02B89C0A">
            <wp:extent cx="4197090" cy="1771650"/>
            <wp:effectExtent l="0" t="0" r="0" b="0"/>
            <wp:docPr id="33397599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32024" cy="1786396"/>
                    </a:xfrm>
                    <a:prstGeom prst="rect">
                      <a:avLst/>
                    </a:prstGeom>
                    <a:noFill/>
                    <a:ln>
                      <a:noFill/>
                    </a:ln>
                  </pic:spPr>
                </pic:pic>
              </a:graphicData>
            </a:graphic>
          </wp:inline>
        </w:drawing>
      </w:r>
    </w:p>
    <w:p w14:paraId="1BB0126F" w14:textId="77777777" w:rsidR="00D37D47" w:rsidRDefault="00D37D47" w:rsidP="00D37D47">
      <w:pPr>
        <w:numPr>
          <w:ilvl w:val="0"/>
          <w:numId w:val="3"/>
        </w:numPr>
        <w:rPr>
          <w:sz w:val="20"/>
          <w:szCs w:val="20"/>
          <w:lang w:val="en-NG"/>
        </w:rPr>
      </w:pPr>
      <w:r w:rsidRPr="00D37D47">
        <w:rPr>
          <w:b/>
          <w:bCs/>
          <w:sz w:val="20"/>
          <w:szCs w:val="20"/>
          <w:lang w:val="en-NG"/>
        </w:rPr>
        <w:lastRenderedPageBreak/>
        <w:t>The 5 Biggest Problems for ScotRail in 2025:</w:t>
      </w:r>
      <w:r w:rsidRPr="00D37D47">
        <w:rPr>
          <w:sz w:val="20"/>
          <w:szCs w:val="20"/>
          <w:lang w:val="en-NG"/>
        </w:rPr>
        <w:t xml:space="preserve"> A focused breakdown of the top five specific delay causes.</w:t>
      </w:r>
    </w:p>
    <w:p w14:paraId="25C16E13" w14:textId="780D1D32" w:rsidR="00D37D47" w:rsidRPr="00D37D47" w:rsidRDefault="00D37D47" w:rsidP="00D37D47">
      <w:pPr>
        <w:ind w:left="720"/>
        <w:rPr>
          <w:sz w:val="20"/>
          <w:szCs w:val="20"/>
          <w:lang w:val="en-NG"/>
        </w:rPr>
      </w:pPr>
      <w:r>
        <w:rPr>
          <w:noProof/>
        </w:rPr>
        <w:drawing>
          <wp:inline distT="0" distB="0" distL="0" distR="0" wp14:anchorId="7F2125C0" wp14:editId="24BFA95F">
            <wp:extent cx="4981575" cy="2100584"/>
            <wp:effectExtent l="0" t="0" r="0" b="0"/>
            <wp:docPr id="6591292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000986" cy="2108769"/>
                    </a:xfrm>
                    <a:prstGeom prst="rect">
                      <a:avLst/>
                    </a:prstGeom>
                    <a:noFill/>
                    <a:ln>
                      <a:noFill/>
                    </a:ln>
                  </pic:spPr>
                </pic:pic>
              </a:graphicData>
            </a:graphic>
          </wp:inline>
        </w:drawing>
      </w:r>
    </w:p>
    <w:p w14:paraId="6A1A0181" w14:textId="77777777" w:rsidR="00D37D47" w:rsidRDefault="00D37D47" w:rsidP="00D37D47">
      <w:pPr>
        <w:rPr>
          <w:b/>
          <w:bCs/>
          <w:lang w:val="en-NG"/>
        </w:rPr>
      </w:pPr>
    </w:p>
    <w:p w14:paraId="4CBFE4EE" w14:textId="67D178F3" w:rsidR="00D37D47" w:rsidRPr="00D37D47" w:rsidRDefault="00D37D47" w:rsidP="00D37D47">
      <w:pPr>
        <w:rPr>
          <w:b/>
          <w:bCs/>
          <w:lang w:val="en-NG"/>
        </w:rPr>
      </w:pPr>
      <w:r w:rsidRPr="00D37D47">
        <w:rPr>
          <w:b/>
          <w:bCs/>
          <w:lang w:val="en-NG"/>
        </w:rPr>
        <w:t>Tools &amp; Libraries</w:t>
      </w:r>
    </w:p>
    <w:p w14:paraId="78BE5D48" w14:textId="77777777" w:rsidR="00D37D47" w:rsidRPr="00D37D47" w:rsidRDefault="00D37D47" w:rsidP="00D37D47">
      <w:pPr>
        <w:numPr>
          <w:ilvl w:val="0"/>
          <w:numId w:val="4"/>
        </w:numPr>
        <w:rPr>
          <w:sz w:val="20"/>
          <w:szCs w:val="20"/>
          <w:lang w:val="en-NG"/>
        </w:rPr>
      </w:pPr>
      <w:r w:rsidRPr="00D37D47">
        <w:rPr>
          <w:b/>
          <w:bCs/>
          <w:sz w:val="20"/>
          <w:szCs w:val="20"/>
          <w:lang w:val="en-NG"/>
        </w:rPr>
        <w:t>Python:</w:t>
      </w:r>
      <w:r w:rsidRPr="00D37D47">
        <w:rPr>
          <w:sz w:val="20"/>
          <w:szCs w:val="20"/>
          <w:lang w:val="en-NG"/>
        </w:rPr>
        <w:t xml:space="preserve"> Main language for data processing.</w:t>
      </w:r>
    </w:p>
    <w:p w14:paraId="3A0D7B02" w14:textId="77777777" w:rsidR="00D37D47" w:rsidRPr="00D37D47" w:rsidRDefault="00D37D47" w:rsidP="00D37D47">
      <w:pPr>
        <w:numPr>
          <w:ilvl w:val="0"/>
          <w:numId w:val="4"/>
        </w:numPr>
        <w:rPr>
          <w:sz w:val="20"/>
          <w:szCs w:val="20"/>
          <w:lang w:val="en-NG"/>
        </w:rPr>
      </w:pPr>
      <w:r w:rsidRPr="00D37D47">
        <w:rPr>
          <w:b/>
          <w:bCs/>
          <w:sz w:val="20"/>
          <w:szCs w:val="20"/>
          <w:lang w:val="en-NG"/>
        </w:rPr>
        <w:t>Pandas:</w:t>
      </w:r>
      <w:r w:rsidRPr="00D37D47">
        <w:rPr>
          <w:sz w:val="20"/>
          <w:szCs w:val="20"/>
          <w:lang w:val="en-NG"/>
        </w:rPr>
        <w:t xml:space="preserve"> Data cleaning, unpivoting, and aggregation.</w:t>
      </w:r>
    </w:p>
    <w:p w14:paraId="3234CC47" w14:textId="77777777" w:rsidR="00D37D47" w:rsidRPr="00D37D47" w:rsidRDefault="00D37D47" w:rsidP="00D37D47">
      <w:pPr>
        <w:numPr>
          <w:ilvl w:val="0"/>
          <w:numId w:val="4"/>
        </w:numPr>
        <w:rPr>
          <w:sz w:val="20"/>
          <w:szCs w:val="20"/>
          <w:lang w:val="en-NG"/>
        </w:rPr>
      </w:pPr>
      <w:r w:rsidRPr="00D37D47">
        <w:rPr>
          <w:b/>
          <w:bCs/>
          <w:sz w:val="20"/>
          <w:szCs w:val="20"/>
          <w:lang w:val="en-NG"/>
        </w:rPr>
        <w:t>Matplotlib &amp; Seaborn:</w:t>
      </w:r>
      <w:r w:rsidRPr="00D37D47">
        <w:rPr>
          <w:sz w:val="20"/>
          <w:szCs w:val="20"/>
          <w:lang w:val="en-NG"/>
        </w:rPr>
        <w:t xml:space="preserve"> Data visualization.</w:t>
      </w:r>
    </w:p>
    <w:p w14:paraId="2E8D7D63" w14:textId="77777777" w:rsidR="00D37D47" w:rsidRPr="00D37D47" w:rsidRDefault="00D37D47" w:rsidP="00D37D47">
      <w:pPr>
        <w:numPr>
          <w:ilvl w:val="0"/>
          <w:numId w:val="4"/>
        </w:numPr>
        <w:rPr>
          <w:sz w:val="20"/>
          <w:szCs w:val="20"/>
          <w:lang w:val="en-NG"/>
        </w:rPr>
      </w:pPr>
      <w:r w:rsidRPr="00D37D47">
        <w:rPr>
          <w:b/>
          <w:bCs/>
          <w:sz w:val="20"/>
          <w:szCs w:val="20"/>
          <w:lang w:val="en-NG"/>
        </w:rPr>
        <w:t>Regular Expressions:</w:t>
      </w:r>
      <w:r w:rsidRPr="00D37D47">
        <w:rPr>
          <w:sz w:val="20"/>
          <w:szCs w:val="20"/>
          <w:lang w:val="en-NG"/>
        </w:rPr>
        <w:t xml:space="preserve"> Feature extraction from text strings.</w:t>
      </w:r>
    </w:p>
    <w:p w14:paraId="7C894780" w14:textId="77777777" w:rsidR="004379E3" w:rsidRPr="00D37D47" w:rsidRDefault="004379E3">
      <w:pPr>
        <w:rPr>
          <w:sz w:val="20"/>
          <w:szCs w:val="20"/>
        </w:rPr>
      </w:pPr>
    </w:p>
    <w:sectPr w:rsidR="004379E3" w:rsidRPr="00D37D4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F1983"/>
    <w:multiLevelType w:val="multilevel"/>
    <w:tmpl w:val="EFBE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D4C61"/>
    <w:multiLevelType w:val="multilevel"/>
    <w:tmpl w:val="CBF4C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4AD6D6C"/>
    <w:multiLevelType w:val="multilevel"/>
    <w:tmpl w:val="54803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8D05D2"/>
    <w:multiLevelType w:val="multilevel"/>
    <w:tmpl w:val="E55A4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35294889">
    <w:abstractNumId w:val="3"/>
  </w:num>
  <w:num w:numId="2" w16cid:durableId="938415173">
    <w:abstractNumId w:val="1"/>
  </w:num>
  <w:num w:numId="3" w16cid:durableId="1827471693">
    <w:abstractNumId w:val="2"/>
  </w:num>
  <w:num w:numId="4" w16cid:durableId="7182417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D47"/>
    <w:rsid w:val="004379E3"/>
    <w:rsid w:val="004C4A60"/>
    <w:rsid w:val="00614735"/>
    <w:rsid w:val="00836C76"/>
    <w:rsid w:val="0095058A"/>
    <w:rsid w:val="00C35FC2"/>
    <w:rsid w:val="00D37D47"/>
    <w:rsid w:val="00E20851"/>
    <w:rsid w:val="00E30AD3"/>
  </w:rsids>
  <m:mathPr>
    <m:mathFont m:val="Cambria Math"/>
    <m:brkBin m:val="before"/>
    <m:brkBinSub m:val="--"/>
    <m:smallFrac m:val="0"/>
    <m:dispDef/>
    <m:lMargin m:val="0"/>
    <m:rMargin m:val="0"/>
    <m:defJc m:val="centerGroup"/>
    <m:wrapIndent m:val="1440"/>
    <m:intLim m:val="subSup"/>
    <m:naryLim m:val="undOvr"/>
  </m:mathPr>
  <w:themeFontLang w:val="en-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469FD"/>
  <w15:chartTrackingRefBased/>
  <w15:docId w15:val="{0B4C25EE-7A18-4C19-B144-2590E4652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D37D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7D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D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D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D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D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D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D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D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D4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D37D4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D37D4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D37D4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D37D4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D37D4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D37D4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D37D4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D37D4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D37D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D4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D37D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D4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D37D47"/>
    <w:pPr>
      <w:spacing w:before="160"/>
      <w:jc w:val="center"/>
    </w:pPr>
    <w:rPr>
      <w:i/>
      <w:iCs/>
      <w:color w:val="404040" w:themeColor="text1" w:themeTint="BF"/>
    </w:rPr>
  </w:style>
  <w:style w:type="character" w:customStyle="1" w:styleId="QuoteChar">
    <w:name w:val="Quote Char"/>
    <w:basedOn w:val="DefaultParagraphFont"/>
    <w:link w:val="Quote"/>
    <w:uiPriority w:val="29"/>
    <w:rsid w:val="00D37D47"/>
    <w:rPr>
      <w:i/>
      <w:iCs/>
      <w:color w:val="404040" w:themeColor="text1" w:themeTint="BF"/>
      <w:lang w:val="en-GB"/>
    </w:rPr>
  </w:style>
  <w:style w:type="paragraph" w:styleId="ListParagraph">
    <w:name w:val="List Paragraph"/>
    <w:basedOn w:val="Normal"/>
    <w:uiPriority w:val="34"/>
    <w:qFormat/>
    <w:rsid w:val="00D37D47"/>
    <w:pPr>
      <w:ind w:left="720"/>
      <w:contextualSpacing/>
    </w:pPr>
  </w:style>
  <w:style w:type="character" w:styleId="IntenseEmphasis">
    <w:name w:val="Intense Emphasis"/>
    <w:basedOn w:val="DefaultParagraphFont"/>
    <w:uiPriority w:val="21"/>
    <w:qFormat/>
    <w:rsid w:val="00D37D47"/>
    <w:rPr>
      <w:i/>
      <w:iCs/>
      <w:color w:val="0F4761" w:themeColor="accent1" w:themeShade="BF"/>
    </w:rPr>
  </w:style>
  <w:style w:type="paragraph" w:styleId="IntenseQuote">
    <w:name w:val="Intense Quote"/>
    <w:basedOn w:val="Normal"/>
    <w:next w:val="Normal"/>
    <w:link w:val="IntenseQuoteChar"/>
    <w:uiPriority w:val="30"/>
    <w:qFormat/>
    <w:rsid w:val="00D37D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D47"/>
    <w:rPr>
      <w:i/>
      <w:iCs/>
      <w:color w:val="0F4761" w:themeColor="accent1" w:themeShade="BF"/>
      <w:lang w:val="en-GB"/>
    </w:rPr>
  </w:style>
  <w:style w:type="character" w:styleId="IntenseReference">
    <w:name w:val="Intense Reference"/>
    <w:basedOn w:val="DefaultParagraphFont"/>
    <w:uiPriority w:val="32"/>
    <w:qFormat/>
    <w:rsid w:val="00D37D47"/>
    <w:rPr>
      <w:b/>
      <w:bCs/>
      <w:smallCaps/>
      <w:color w:val="0F4761" w:themeColor="accent1" w:themeShade="BF"/>
      <w:spacing w:val="5"/>
    </w:rPr>
  </w:style>
  <w:style w:type="character" w:styleId="Hyperlink">
    <w:name w:val="Hyperlink"/>
    <w:basedOn w:val="DefaultParagraphFont"/>
    <w:uiPriority w:val="99"/>
    <w:unhideWhenUsed/>
    <w:rsid w:val="00D37D47"/>
    <w:rPr>
      <w:color w:val="467886" w:themeColor="hyperlink"/>
      <w:u w:val="single"/>
    </w:rPr>
  </w:style>
  <w:style w:type="character" w:styleId="UnresolvedMention">
    <w:name w:val="Unresolved Mention"/>
    <w:basedOn w:val="DefaultParagraphFont"/>
    <w:uiPriority w:val="99"/>
    <w:semiHidden/>
    <w:unhideWhenUsed/>
    <w:rsid w:val="00D37D47"/>
    <w:rPr>
      <w:color w:val="605E5C"/>
      <w:shd w:val="clear" w:color="auto" w:fill="E1DFDD"/>
    </w:rPr>
  </w:style>
  <w:style w:type="character" w:styleId="FollowedHyperlink">
    <w:name w:val="FollowedHyperlink"/>
    <w:basedOn w:val="DefaultParagraphFont"/>
    <w:uiPriority w:val="99"/>
    <w:semiHidden/>
    <w:unhideWhenUsed/>
    <w:rsid w:val="00D37D4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dataportal.orr.gov.uk/statistics/performance/passenger-rail-performance/table-3184-delay-minutes-by-operator-and-cause-periodic/"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454</Words>
  <Characters>2786</Characters>
  <Application>Microsoft Office Word</Application>
  <DocSecurity>0</DocSecurity>
  <Lines>61</Lines>
  <Paragraphs>41</Paragraphs>
  <ScaleCrop>false</ScaleCrop>
  <Company/>
  <LinksUpToDate>false</LinksUpToDate>
  <CharactersWithSpaces>3199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Mayowa Osimosu</dc:creator>
  <cp:keywords/>
  <dc:description/>
  <cp:lastModifiedBy>Mayowa Osimosu</cp:lastModifiedBy>
  <cp:revision>2</cp:revision>
  <dcterms:created xsi:type="dcterms:W3CDTF">2026-01-31T12:50:00Z</dcterms:created>
  <dcterms:modified xsi:type="dcterms:W3CDTF">2026-01-31T13:00:00Z</dcterms:modified>
</cp:coreProperties>
</file>