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5213" w14:textId="577CDE76" w:rsidR="00A95674" w:rsidRDefault="00A95674" w:rsidP="00A95674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 xml:space="preserve">Website: </w:t>
      </w:r>
      <w:hyperlink r:id="rId4" w:history="1">
        <w:r>
          <w:rPr>
            <w:rStyle w:val="Hyperlink"/>
          </w:rPr>
          <w:t>https://www.kaggle.com/c/boston-housing/overview</w:t>
        </w:r>
      </w:hyperlink>
    </w:p>
    <w:p w14:paraId="2E23FF1F" w14:textId="6B120B67" w:rsidR="00A95674" w:rsidRPr="00A95674" w:rsidRDefault="00A95674" w:rsidP="00A95674">
      <w:pPr>
        <w:shd w:val="clear" w:color="auto" w:fill="FBFBFB"/>
        <w:spacing w:after="0" w:line="69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Overview</w:t>
      </w:r>
    </w:p>
    <w:p w14:paraId="35FF1EBB" w14:textId="77777777" w:rsidR="00A95674" w:rsidRPr="00A95674" w:rsidRDefault="00A95674" w:rsidP="00A95674">
      <w:pPr>
        <w:spacing w:after="0" w:line="240" w:lineRule="auto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hyperlink r:id="rId5" w:history="1">
        <w:proofErr w:type="spellStart"/>
        <w:r w:rsidRPr="00A95674">
          <w:rPr>
            <w:rFonts w:ascii="inherit" w:eastAsia="Times New Roman" w:hAnsi="inherit" w:cs="Times New Roman"/>
            <w:color w:val="20BEFF"/>
            <w:sz w:val="21"/>
            <w:szCs w:val="21"/>
            <w:u w:val="single"/>
            <w:bdr w:val="none" w:sz="0" w:space="0" w:color="auto" w:frame="1"/>
            <w:lang w:eastAsia="en-GB"/>
          </w:rPr>
          <w:t>Description</w:t>
        </w:r>
      </w:hyperlink>
      <w:hyperlink r:id="rId6" w:history="1">
        <w:r w:rsidRPr="00A95674">
          <w:rPr>
            <w:rFonts w:ascii="inherit" w:eastAsia="Times New Roman" w:hAnsi="inherit" w:cs="Times New Roman"/>
            <w:color w:val="000000"/>
            <w:sz w:val="21"/>
            <w:szCs w:val="21"/>
            <w:u w:val="single"/>
            <w:bdr w:val="none" w:sz="0" w:space="0" w:color="auto" w:frame="1"/>
            <w:lang w:eastAsia="en-GB"/>
          </w:rPr>
          <w:t>Evaluation</w:t>
        </w:r>
        <w:proofErr w:type="spellEnd"/>
      </w:hyperlink>
    </w:p>
    <w:p w14:paraId="174AB6F1" w14:textId="77777777" w:rsidR="00A95674" w:rsidRPr="00A95674" w:rsidRDefault="00A95674" w:rsidP="00A95674">
      <w:pPr>
        <w:spacing w:after="240" w:line="330" w:lineRule="atLeast"/>
        <w:textAlignment w:val="baseline"/>
        <w:outlineLvl w:val="0"/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GB"/>
        </w:rPr>
      </w:pPr>
      <w:r w:rsidRPr="00A95674">
        <w:rPr>
          <w:rFonts w:ascii="Arial" w:eastAsia="Times New Roman" w:hAnsi="Arial" w:cs="Times New Roman"/>
          <w:color w:val="000000"/>
          <w:kern w:val="36"/>
          <w:sz w:val="36"/>
          <w:szCs w:val="36"/>
          <w:lang w:eastAsia="en-GB"/>
        </w:rPr>
        <w:t>Housing Values in Suburbs of Boston</w:t>
      </w:r>
    </w:p>
    <w:p w14:paraId="2858E836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The </w:t>
      </w:r>
      <w:proofErr w:type="spellStart"/>
      <w:r w:rsidRPr="00A95674">
        <w:rPr>
          <w:rFonts w:ascii="inherit" w:eastAsia="Times New Roman" w:hAnsi="inherit" w:cs="Times New Roman"/>
          <w:color w:val="47494D"/>
          <w:sz w:val="21"/>
          <w:szCs w:val="21"/>
          <w:bdr w:val="none" w:sz="0" w:space="0" w:color="auto" w:frame="1"/>
          <w:lang w:eastAsia="en-GB"/>
        </w:rPr>
        <w:t>medv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 variable is the target variable.</w:t>
      </w:r>
      <w:bookmarkStart w:id="0" w:name="_GoBack"/>
      <w:bookmarkEnd w:id="0"/>
    </w:p>
    <w:p w14:paraId="75D11CFB" w14:textId="77777777" w:rsidR="00A95674" w:rsidRPr="00A95674" w:rsidRDefault="00A95674" w:rsidP="00A95674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eastAsia="en-GB"/>
        </w:rPr>
      </w:pPr>
      <w:r w:rsidRPr="00A95674">
        <w:rPr>
          <w:rFonts w:ascii="Arial" w:eastAsia="Times New Roman" w:hAnsi="Arial" w:cs="Times New Roman"/>
          <w:color w:val="000000"/>
          <w:sz w:val="27"/>
          <w:szCs w:val="27"/>
          <w:lang w:eastAsia="en-GB"/>
        </w:rPr>
        <w:t>Data description</w:t>
      </w:r>
    </w:p>
    <w:p w14:paraId="7251C051" w14:textId="77777777" w:rsidR="00A95674" w:rsidRPr="00A95674" w:rsidRDefault="00A95674" w:rsidP="00A95674">
      <w:pPr>
        <w:spacing w:before="158" w:after="158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The Boston data frame has 506 rows and 14 columns.</w:t>
      </w:r>
    </w:p>
    <w:p w14:paraId="454BDC6F" w14:textId="77777777" w:rsidR="00A95674" w:rsidRPr="00A95674" w:rsidRDefault="00A95674" w:rsidP="00A95674">
      <w:pPr>
        <w:spacing w:before="158" w:after="158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This data frame contains the following columns:</w:t>
      </w:r>
    </w:p>
    <w:p w14:paraId="0A5475A7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crim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per capita crime rate by town.</w:t>
      </w:r>
    </w:p>
    <w:p w14:paraId="65324DA6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zn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 xml:space="preserve">proportion of residential land zoned for lots over 25,000 </w:t>
      </w:r>
      <w:proofErr w:type="spell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sq.ft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.</w:t>
      </w:r>
    </w:p>
    <w:p w14:paraId="55D9CC2B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indus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proportion of non-retail business acres per town.</w:t>
      </w:r>
    </w:p>
    <w:p w14:paraId="1F7A78EC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chas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Charles River dummy variable (= 1 if tract bounds river; 0 otherwise).</w:t>
      </w:r>
    </w:p>
    <w:p w14:paraId="387DAD68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nox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nitrogen oxides concentration (parts per 10 million).</w:t>
      </w:r>
    </w:p>
    <w:p w14:paraId="4872470C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rm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average number of rooms per dwelling.</w:t>
      </w:r>
    </w:p>
    <w:p w14:paraId="631C7026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age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proportion of owner-occupied units built prior to 1940.</w:t>
      </w:r>
    </w:p>
    <w:p w14:paraId="55074502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dis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weighted mean of distances to five Boston employment centres.</w:t>
      </w:r>
    </w:p>
    <w:p w14:paraId="12EF4A73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rad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index of accessibility to radial highways.</w:t>
      </w:r>
    </w:p>
    <w:p w14:paraId="0107E6C3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tax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full-value property-tax rate per \$10,000.</w:t>
      </w:r>
    </w:p>
    <w:p w14:paraId="272C772C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ptratio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pupil-teacher ratio by town.</w:t>
      </w:r>
    </w:p>
    <w:p w14:paraId="6FE48C87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black</w:t>
      </w: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 xml:space="preserve">1000(Bk - </w:t>
      </w:r>
      <w:proofErr w:type="gram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0.63)^</w:t>
      </w:r>
      <w:proofErr w:type="gram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2 where Bk is the proportion of blacks by town.</w:t>
      </w:r>
    </w:p>
    <w:p w14:paraId="2DF00F91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lstat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lower status of the population (percent).</w:t>
      </w:r>
    </w:p>
    <w:p w14:paraId="6D91FAED" w14:textId="77777777" w:rsidR="00A95674" w:rsidRPr="00A95674" w:rsidRDefault="00A95674" w:rsidP="00A95674">
      <w:pPr>
        <w:spacing w:after="0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inherit" w:eastAsia="Times New Roman" w:hAnsi="inherit" w:cs="Times New Roman"/>
          <w:i/>
          <w:iCs/>
          <w:color w:val="47494D"/>
          <w:sz w:val="21"/>
          <w:szCs w:val="21"/>
          <w:bdr w:val="none" w:sz="0" w:space="0" w:color="auto" w:frame="1"/>
          <w:lang w:eastAsia="en-GB"/>
        </w:rPr>
        <w:t>medv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br/>
        <w:t>median value of owner-occupied homes in \$1000s.</w:t>
      </w:r>
    </w:p>
    <w:p w14:paraId="14543A5B" w14:textId="77777777" w:rsidR="00A95674" w:rsidRPr="00A95674" w:rsidRDefault="00A95674" w:rsidP="00A95674">
      <w:pPr>
        <w:spacing w:before="360" w:after="240" w:line="330" w:lineRule="atLeast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eastAsia="en-GB"/>
        </w:rPr>
      </w:pPr>
      <w:r w:rsidRPr="00A95674">
        <w:rPr>
          <w:rFonts w:ascii="Arial" w:eastAsia="Times New Roman" w:hAnsi="Arial" w:cs="Times New Roman"/>
          <w:color w:val="000000"/>
          <w:sz w:val="27"/>
          <w:szCs w:val="27"/>
          <w:lang w:eastAsia="en-GB"/>
        </w:rPr>
        <w:lastRenderedPageBreak/>
        <w:t>Source</w:t>
      </w:r>
    </w:p>
    <w:p w14:paraId="7E4F6A08" w14:textId="77777777" w:rsidR="00A95674" w:rsidRPr="00A95674" w:rsidRDefault="00A95674" w:rsidP="00A95674">
      <w:pPr>
        <w:spacing w:before="158" w:after="158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 xml:space="preserve">Harrison, D. and </w:t>
      </w:r>
      <w:proofErr w:type="spell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Rubinfeld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, D.L. (1978) Hedonic prices and the demand for clean air. J. Environ. Economics and Management 5, 81–102.</w:t>
      </w:r>
    </w:p>
    <w:p w14:paraId="47A39EDB" w14:textId="77777777" w:rsidR="00A95674" w:rsidRPr="00A95674" w:rsidRDefault="00A95674" w:rsidP="00A95674">
      <w:pPr>
        <w:spacing w:before="158" w:line="330" w:lineRule="atLeast"/>
        <w:textAlignment w:val="baseline"/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</w:pPr>
      <w:proofErr w:type="spell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Belsley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 xml:space="preserve"> D.A., </w:t>
      </w:r>
      <w:proofErr w:type="spell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Kuh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 xml:space="preserve">, E. and </w:t>
      </w:r>
      <w:proofErr w:type="spellStart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Welsch</w:t>
      </w:r>
      <w:proofErr w:type="spellEnd"/>
      <w:r w:rsidRPr="00A95674">
        <w:rPr>
          <w:rFonts w:ascii="Arial" w:eastAsia="Times New Roman" w:hAnsi="Arial" w:cs="Times New Roman"/>
          <w:color w:val="47494D"/>
          <w:sz w:val="21"/>
          <w:szCs w:val="21"/>
          <w:lang w:eastAsia="en-GB"/>
        </w:rPr>
        <w:t>, R.E. (1980) Regression Diagnostics. Identifying Influential Data and Sources of Collinearity. New York: Wiley.</w:t>
      </w:r>
    </w:p>
    <w:p w14:paraId="68D4DA37" w14:textId="77777777" w:rsidR="00A95674" w:rsidRDefault="00A95674"/>
    <w:sectPr w:rsidR="00A9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4"/>
    <w:rsid w:val="00A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7B0C"/>
  <w15:chartTrackingRefBased/>
  <w15:docId w15:val="{ECEFF24C-6A49-4F93-8FDE-9FFCE049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9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956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56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5674"/>
    <w:rPr>
      <w:b/>
      <w:bCs/>
    </w:rPr>
  </w:style>
  <w:style w:type="character" w:styleId="Emphasis">
    <w:name w:val="Emphasis"/>
    <w:basedOn w:val="DefaultParagraphFont"/>
    <w:uiPriority w:val="20"/>
    <w:qFormat/>
    <w:rsid w:val="00A956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960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8" w:color="auto"/>
                <w:bottom w:val="single" w:sz="6" w:space="6" w:color="auto"/>
                <w:right w:val="single" w:sz="6" w:space="18" w:color="auto"/>
              </w:divBdr>
            </w:div>
          </w:divsChild>
        </w:div>
        <w:div w:id="1161505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652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EDFE0"/>
                  </w:divBdr>
                  <w:divsChild>
                    <w:div w:id="6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6197">
                  <w:marLeft w:val="360"/>
                  <w:marRight w:val="36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boston-housing/overview/evaluation" TargetMode="External"/><Relationship Id="rId5" Type="http://schemas.openxmlformats.org/officeDocument/2006/relationships/hyperlink" Target="https://www.kaggle.com/c/boston-housing/overview/description" TargetMode="External"/><Relationship Id="rId4" Type="http://schemas.openxmlformats.org/officeDocument/2006/relationships/hyperlink" Target="https://www.kaggle.com/c/boston-housing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2019-12-02T21:52:00Z</dcterms:created>
  <dcterms:modified xsi:type="dcterms:W3CDTF">2019-12-02T21:54:00Z</dcterms:modified>
</cp:coreProperties>
</file>