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7310F" w14:textId="77777777" w:rsidR="00B14DE7" w:rsidRDefault="00BD3D32" w:rsidP="00741E7A">
      <w:pPr>
        <w:pStyle w:val="Title"/>
        <w:spacing w:before="0"/>
      </w:pPr>
      <w:bookmarkStart w:id="0" w:name="_GoBack"/>
      <w:bookmarkEnd w:id="0"/>
      <w:r>
        <w:rPr>
          <w:noProof/>
        </w:rPr>
        <w:drawing>
          <wp:inline distT="0" distB="0" distL="0" distR="0" wp14:anchorId="15E70203" wp14:editId="5A44E848">
            <wp:extent cx="2571750" cy="9525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BHIDS-logos.png"/>
                    <pic:cNvPicPr>
                      <a:picLocks noChangeAspect="1" noChangeArrowheads="1"/>
                    </pic:cNvPicPr>
                  </pic:nvPicPr>
                  <pic:blipFill>
                    <a:blip r:embed="rId7"/>
                    <a:stretch>
                      <a:fillRect/>
                    </a:stretch>
                  </pic:blipFill>
                  <pic:spPr bwMode="auto">
                    <a:xfrm>
                      <a:off x="0" y="0"/>
                      <a:ext cx="2571750" cy="952500"/>
                    </a:xfrm>
                    <a:prstGeom prst="rect">
                      <a:avLst/>
                    </a:prstGeom>
                    <a:noFill/>
                    <a:ln w="9525">
                      <a:noFill/>
                      <a:headEnd/>
                      <a:tailEnd/>
                    </a:ln>
                  </pic:spPr>
                </pic:pic>
              </a:graphicData>
            </a:graphic>
          </wp:inline>
        </w:drawing>
      </w:r>
      <w:r>
        <w:br/>
        <w:t> </w:t>
      </w:r>
      <w:r>
        <w:br/>
        <w:t> </w:t>
      </w:r>
      <w:r>
        <w:br/>
        <w:t>DBHIDS Support for the Commonwealth’s Response to ACLU Litigation</w:t>
      </w:r>
    </w:p>
    <w:p w14:paraId="1F1207DC" w14:textId="77777777" w:rsidR="00B14DE7" w:rsidRDefault="00BD3D32">
      <w:pPr>
        <w:pStyle w:val="Author"/>
      </w:pPr>
      <w:r>
        <w:t>MONTHLY SNAPSHOT OF</w:t>
      </w:r>
    </w:p>
    <w:p w14:paraId="11C43CB2" w14:textId="77777777" w:rsidR="00B14DE7" w:rsidRDefault="00BD3D32">
      <w:pPr>
        <w:pStyle w:val="Date"/>
      </w:pPr>
      <w:r>
        <w:t>February 2020</w:t>
      </w:r>
    </w:p>
    <w:sdt>
      <w:sdtPr>
        <w:rPr>
          <w:rFonts w:asciiTheme="minorHAnsi" w:eastAsiaTheme="minorHAnsi" w:hAnsiTheme="minorHAnsi" w:cstheme="minorBidi"/>
          <w:color w:val="auto"/>
          <w:sz w:val="24"/>
          <w:szCs w:val="24"/>
        </w:rPr>
        <w:id w:val="1594904882"/>
        <w:docPartObj>
          <w:docPartGallery w:val="Table of Contents"/>
          <w:docPartUnique/>
        </w:docPartObj>
      </w:sdtPr>
      <w:sdtEndPr/>
      <w:sdtContent>
        <w:p w14:paraId="30592DDD" w14:textId="77777777" w:rsidR="00B14DE7" w:rsidRDefault="00BD3D32">
          <w:pPr>
            <w:pStyle w:val="TOCHeading"/>
          </w:pPr>
          <w:r>
            <w:t>Table of Contents</w:t>
          </w:r>
        </w:p>
        <w:p w14:paraId="68414FC6" w14:textId="77777777" w:rsidR="002F0936" w:rsidRDefault="00BD3D32">
          <w:pPr>
            <w:pStyle w:val="TOC1"/>
            <w:rPr>
              <w:rFonts w:eastAsiaTheme="minorEastAsia"/>
              <w:b w:val="0"/>
              <w:bCs w:val="0"/>
              <w:sz w:val="22"/>
              <w:szCs w:val="22"/>
            </w:rPr>
          </w:pPr>
          <w:r>
            <w:fldChar w:fldCharType="begin"/>
          </w:r>
          <w:r>
            <w:instrText>TOC \o "1-2" \h \z \u</w:instrText>
          </w:r>
          <w:r>
            <w:fldChar w:fldCharType="separate"/>
          </w:r>
          <w:hyperlink w:anchor="_Toc35512510" w:history="1">
            <w:r w:rsidR="002F0936" w:rsidRPr="000D34CF">
              <w:rPr>
                <w:rStyle w:val="Hyperlink"/>
              </w:rPr>
              <w:t>Section 1: NSH Movement</w:t>
            </w:r>
            <w:r w:rsidR="002F0936">
              <w:rPr>
                <w:webHidden/>
              </w:rPr>
              <w:tab/>
            </w:r>
            <w:r w:rsidR="002F0936">
              <w:rPr>
                <w:webHidden/>
              </w:rPr>
              <w:fldChar w:fldCharType="begin"/>
            </w:r>
            <w:r w:rsidR="002F0936">
              <w:rPr>
                <w:webHidden/>
              </w:rPr>
              <w:instrText xml:space="preserve"> PAGEREF _Toc35512510 \h </w:instrText>
            </w:r>
            <w:r w:rsidR="002F0936">
              <w:rPr>
                <w:webHidden/>
              </w:rPr>
            </w:r>
            <w:r w:rsidR="002F0936">
              <w:rPr>
                <w:webHidden/>
              </w:rPr>
              <w:fldChar w:fldCharType="separate"/>
            </w:r>
            <w:r w:rsidR="002F0936">
              <w:rPr>
                <w:webHidden/>
              </w:rPr>
              <w:t>2</w:t>
            </w:r>
            <w:r w:rsidR="002F0936">
              <w:rPr>
                <w:webHidden/>
              </w:rPr>
              <w:fldChar w:fldCharType="end"/>
            </w:r>
          </w:hyperlink>
        </w:p>
        <w:p w14:paraId="2C9E4CA0" w14:textId="77777777" w:rsidR="002F0936" w:rsidRDefault="00AA6741">
          <w:pPr>
            <w:pStyle w:val="TOC2"/>
            <w:rPr>
              <w:rFonts w:asciiTheme="minorHAnsi" w:eastAsiaTheme="minorEastAsia" w:hAnsiTheme="minorHAnsi"/>
              <w:sz w:val="22"/>
              <w:szCs w:val="22"/>
            </w:rPr>
          </w:pPr>
          <w:hyperlink w:anchor="_Toc35512511" w:history="1">
            <w:r w:rsidR="002F0936" w:rsidRPr="000D34CF">
              <w:rPr>
                <w:rStyle w:val="Hyperlink"/>
              </w:rPr>
              <w:t>Philadelphia Waitlist</w:t>
            </w:r>
            <w:r w:rsidR="002F0936">
              <w:rPr>
                <w:webHidden/>
              </w:rPr>
              <w:tab/>
            </w:r>
            <w:r w:rsidR="002F0936">
              <w:rPr>
                <w:webHidden/>
              </w:rPr>
              <w:fldChar w:fldCharType="begin"/>
            </w:r>
            <w:r w:rsidR="002F0936">
              <w:rPr>
                <w:webHidden/>
              </w:rPr>
              <w:instrText xml:space="preserve"> PAGEREF _Toc35512511 \h </w:instrText>
            </w:r>
            <w:r w:rsidR="002F0936">
              <w:rPr>
                <w:webHidden/>
              </w:rPr>
            </w:r>
            <w:r w:rsidR="002F0936">
              <w:rPr>
                <w:webHidden/>
              </w:rPr>
              <w:fldChar w:fldCharType="separate"/>
            </w:r>
            <w:r w:rsidR="002F0936">
              <w:rPr>
                <w:webHidden/>
              </w:rPr>
              <w:t>2</w:t>
            </w:r>
            <w:r w:rsidR="002F0936">
              <w:rPr>
                <w:webHidden/>
              </w:rPr>
              <w:fldChar w:fldCharType="end"/>
            </w:r>
          </w:hyperlink>
        </w:p>
        <w:p w14:paraId="4FEE6CF7" w14:textId="77777777" w:rsidR="002F0936" w:rsidRDefault="00AA6741">
          <w:pPr>
            <w:pStyle w:val="TOC2"/>
            <w:rPr>
              <w:rFonts w:asciiTheme="minorHAnsi" w:eastAsiaTheme="minorEastAsia" w:hAnsiTheme="minorHAnsi"/>
              <w:sz w:val="22"/>
              <w:szCs w:val="22"/>
            </w:rPr>
          </w:pPr>
          <w:hyperlink w:anchor="_Toc35512512" w:history="1">
            <w:r w:rsidR="002F0936" w:rsidRPr="000D34CF">
              <w:rPr>
                <w:rStyle w:val="Hyperlink"/>
              </w:rPr>
              <w:t>Philadelphians Admitted to and Discharged from NSH</w:t>
            </w:r>
            <w:r w:rsidR="002F0936">
              <w:rPr>
                <w:webHidden/>
              </w:rPr>
              <w:tab/>
            </w:r>
            <w:r w:rsidR="002F0936">
              <w:rPr>
                <w:webHidden/>
              </w:rPr>
              <w:fldChar w:fldCharType="begin"/>
            </w:r>
            <w:r w:rsidR="002F0936">
              <w:rPr>
                <w:webHidden/>
              </w:rPr>
              <w:instrText xml:space="preserve"> PAGEREF _Toc35512512 \h </w:instrText>
            </w:r>
            <w:r w:rsidR="002F0936">
              <w:rPr>
                <w:webHidden/>
              </w:rPr>
            </w:r>
            <w:r w:rsidR="002F0936">
              <w:rPr>
                <w:webHidden/>
              </w:rPr>
              <w:fldChar w:fldCharType="separate"/>
            </w:r>
            <w:r w:rsidR="002F0936">
              <w:rPr>
                <w:webHidden/>
              </w:rPr>
              <w:t>3</w:t>
            </w:r>
            <w:r w:rsidR="002F0936">
              <w:rPr>
                <w:webHidden/>
              </w:rPr>
              <w:fldChar w:fldCharType="end"/>
            </w:r>
          </w:hyperlink>
        </w:p>
        <w:p w14:paraId="08D72D94" w14:textId="77777777" w:rsidR="002F0936" w:rsidRDefault="00AA6741">
          <w:pPr>
            <w:pStyle w:val="TOC2"/>
            <w:rPr>
              <w:rFonts w:asciiTheme="minorHAnsi" w:eastAsiaTheme="minorEastAsia" w:hAnsiTheme="minorHAnsi"/>
              <w:sz w:val="22"/>
              <w:szCs w:val="22"/>
            </w:rPr>
          </w:pPr>
          <w:hyperlink w:anchor="_Toc35512513" w:history="1">
            <w:r w:rsidR="002F0936" w:rsidRPr="000D34CF">
              <w:rPr>
                <w:rStyle w:val="Hyperlink"/>
              </w:rPr>
              <w:t>NSH Discharge Summary</w:t>
            </w:r>
            <w:r w:rsidR="002F0936">
              <w:rPr>
                <w:webHidden/>
              </w:rPr>
              <w:tab/>
            </w:r>
            <w:r w:rsidR="002F0936">
              <w:rPr>
                <w:webHidden/>
              </w:rPr>
              <w:fldChar w:fldCharType="begin"/>
            </w:r>
            <w:r w:rsidR="002F0936">
              <w:rPr>
                <w:webHidden/>
              </w:rPr>
              <w:instrText xml:space="preserve"> PAGEREF _Toc35512513 \h </w:instrText>
            </w:r>
            <w:r w:rsidR="002F0936">
              <w:rPr>
                <w:webHidden/>
              </w:rPr>
            </w:r>
            <w:r w:rsidR="002F0936">
              <w:rPr>
                <w:webHidden/>
              </w:rPr>
              <w:fldChar w:fldCharType="separate"/>
            </w:r>
            <w:r w:rsidR="002F0936">
              <w:rPr>
                <w:webHidden/>
              </w:rPr>
              <w:t>3</w:t>
            </w:r>
            <w:r w:rsidR="002F0936">
              <w:rPr>
                <w:webHidden/>
              </w:rPr>
              <w:fldChar w:fldCharType="end"/>
            </w:r>
          </w:hyperlink>
        </w:p>
        <w:p w14:paraId="41FC452E" w14:textId="77777777" w:rsidR="002F0936" w:rsidRDefault="00AA6741">
          <w:pPr>
            <w:pStyle w:val="TOC1"/>
            <w:rPr>
              <w:rFonts w:eastAsiaTheme="minorEastAsia"/>
              <w:b w:val="0"/>
              <w:bCs w:val="0"/>
              <w:sz w:val="22"/>
              <w:szCs w:val="22"/>
            </w:rPr>
          </w:pPr>
          <w:hyperlink w:anchor="_Toc35512514" w:history="1">
            <w:r w:rsidR="002F0936" w:rsidRPr="000D34CF">
              <w:rPr>
                <w:rStyle w:val="Hyperlink"/>
              </w:rPr>
              <w:t>Section 2: Forensic Support Team</w:t>
            </w:r>
            <w:r w:rsidR="002F0936">
              <w:rPr>
                <w:webHidden/>
              </w:rPr>
              <w:tab/>
            </w:r>
            <w:r w:rsidR="002F0936">
              <w:rPr>
                <w:webHidden/>
              </w:rPr>
              <w:fldChar w:fldCharType="begin"/>
            </w:r>
            <w:r w:rsidR="002F0936">
              <w:rPr>
                <w:webHidden/>
              </w:rPr>
              <w:instrText xml:space="preserve"> PAGEREF _Toc35512514 \h </w:instrText>
            </w:r>
            <w:r w:rsidR="002F0936">
              <w:rPr>
                <w:webHidden/>
              </w:rPr>
            </w:r>
            <w:r w:rsidR="002F0936">
              <w:rPr>
                <w:webHidden/>
              </w:rPr>
              <w:fldChar w:fldCharType="separate"/>
            </w:r>
            <w:r w:rsidR="002F0936">
              <w:rPr>
                <w:webHidden/>
              </w:rPr>
              <w:t>4</w:t>
            </w:r>
            <w:r w:rsidR="002F0936">
              <w:rPr>
                <w:webHidden/>
              </w:rPr>
              <w:fldChar w:fldCharType="end"/>
            </w:r>
          </w:hyperlink>
        </w:p>
        <w:p w14:paraId="05F6DB51" w14:textId="77777777" w:rsidR="002F0936" w:rsidRDefault="00AA6741">
          <w:pPr>
            <w:pStyle w:val="TOC2"/>
            <w:rPr>
              <w:rFonts w:asciiTheme="minorHAnsi" w:eastAsiaTheme="minorEastAsia" w:hAnsiTheme="minorHAnsi"/>
              <w:sz w:val="22"/>
              <w:szCs w:val="22"/>
            </w:rPr>
          </w:pPr>
          <w:hyperlink w:anchor="_Toc35512515" w:history="1">
            <w:r w:rsidR="002F0936" w:rsidRPr="000D34CF">
              <w:rPr>
                <w:rStyle w:val="Hyperlink"/>
              </w:rPr>
              <w:t>FST Summary</w:t>
            </w:r>
            <w:r w:rsidR="002F0936">
              <w:rPr>
                <w:webHidden/>
              </w:rPr>
              <w:tab/>
            </w:r>
            <w:r w:rsidR="002F0936">
              <w:rPr>
                <w:webHidden/>
              </w:rPr>
              <w:fldChar w:fldCharType="begin"/>
            </w:r>
            <w:r w:rsidR="002F0936">
              <w:rPr>
                <w:webHidden/>
              </w:rPr>
              <w:instrText xml:space="preserve"> PAGEREF _Toc35512515 \h </w:instrText>
            </w:r>
            <w:r w:rsidR="002F0936">
              <w:rPr>
                <w:webHidden/>
              </w:rPr>
            </w:r>
            <w:r w:rsidR="002F0936">
              <w:rPr>
                <w:webHidden/>
              </w:rPr>
              <w:fldChar w:fldCharType="separate"/>
            </w:r>
            <w:r w:rsidR="002F0936">
              <w:rPr>
                <w:webHidden/>
              </w:rPr>
              <w:t>4</w:t>
            </w:r>
            <w:r w:rsidR="002F0936">
              <w:rPr>
                <w:webHidden/>
              </w:rPr>
              <w:fldChar w:fldCharType="end"/>
            </w:r>
          </w:hyperlink>
        </w:p>
        <w:p w14:paraId="6A487197" w14:textId="77777777" w:rsidR="002F0936" w:rsidRDefault="00AA6741">
          <w:pPr>
            <w:pStyle w:val="TOC1"/>
            <w:rPr>
              <w:rFonts w:eastAsiaTheme="minorEastAsia"/>
              <w:b w:val="0"/>
              <w:bCs w:val="0"/>
              <w:sz w:val="22"/>
              <w:szCs w:val="22"/>
            </w:rPr>
          </w:pPr>
          <w:hyperlink w:anchor="_Toc35512516" w:history="1">
            <w:r w:rsidR="002F0936" w:rsidRPr="000D34CF">
              <w:rPr>
                <w:rStyle w:val="Hyperlink"/>
              </w:rPr>
              <w:t>Section 3: Community Placements</w:t>
            </w:r>
            <w:r w:rsidR="002F0936">
              <w:rPr>
                <w:webHidden/>
              </w:rPr>
              <w:tab/>
            </w:r>
            <w:r w:rsidR="002F0936">
              <w:rPr>
                <w:webHidden/>
              </w:rPr>
              <w:fldChar w:fldCharType="begin"/>
            </w:r>
            <w:r w:rsidR="002F0936">
              <w:rPr>
                <w:webHidden/>
              </w:rPr>
              <w:instrText xml:space="preserve"> PAGEREF _Toc35512516 \h </w:instrText>
            </w:r>
            <w:r w:rsidR="002F0936">
              <w:rPr>
                <w:webHidden/>
              </w:rPr>
            </w:r>
            <w:r w:rsidR="002F0936">
              <w:rPr>
                <w:webHidden/>
              </w:rPr>
              <w:fldChar w:fldCharType="separate"/>
            </w:r>
            <w:r w:rsidR="002F0936">
              <w:rPr>
                <w:webHidden/>
              </w:rPr>
              <w:t>5</w:t>
            </w:r>
            <w:r w:rsidR="002F0936">
              <w:rPr>
                <w:webHidden/>
              </w:rPr>
              <w:fldChar w:fldCharType="end"/>
            </w:r>
          </w:hyperlink>
        </w:p>
        <w:p w14:paraId="783A8C69" w14:textId="77777777" w:rsidR="002F0936" w:rsidRDefault="00AA6741">
          <w:pPr>
            <w:pStyle w:val="TOC2"/>
            <w:rPr>
              <w:rFonts w:asciiTheme="minorHAnsi" w:eastAsiaTheme="minorEastAsia" w:hAnsiTheme="minorHAnsi"/>
              <w:sz w:val="22"/>
              <w:szCs w:val="22"/>
            </w:rPr>
          </w:pPr>
          <w:hyperlink w:anchor="_Toc35512517" w:history="1">
            <w:r w:rsidR="002F0936" w:rsidRPr="000D34CF">
              <w:rPr>
                <w:rStyle w:val="Hyperlink"/>
              </w:rPr>
              <w:t>ACLU Funded Placements</w:t>
            </w:r>
            <w:r w:rsidR="002F0936">
              <w:rPr>
                <w:webHidden/>
              </w:rPr>
              <w:tab/>
            </w:r>
            <w:r w:rsidR="002F0936">
              <w:rPr>
                <w:webHidden/>
              </w:rPr>
              <w:fldChar w:fldCharType="begin"/>
            </w:r>
            <w:r w:rsidR="002F0936">
              <w:rPr>
                <w:webHidden/>
              </w:rPr>
              <w:instrText xml:space="preserve"> PAGEREF _Toc35512517 \h </w:instrText>
            </w:r>
            <w:r w:rsidR="002F0936">
              <w:rPr>
                <w:webHidden/>
              </w:rPr>
            </w:r>
            <w:r w:rsidR="002F0936">
              <w:rPr>
                <w:webHidden/>
              </w:rPr>
              <w:fldChar w:fldCharType="separate"/>
            </w:r>
            <w:r w:rsidR="002F0936">
              <w:rPr>
                <w:webHidden/>
              </w:rPr>
              <w:t>5</w:t>
            </w:r>
            <w:r w:rsidR="002F0936">
              <w:rPr>
                <w:webHidden/>
              </w:rPr>
              <w:fldChar w:fldCharType="end"/>
            </w:r>
          </w:hyperlink>
        </w:p>
        <w:p w14:paraId="7929A12F" w14:textId="77777777" w:rsidR="00B14DE7" w:rsidRDefault="00BD3D32">
          <w:r>
            <w:fldChar w:fldCharType="end"/>
          </w:r>
        </w:p>
      </w:sdtContent>
    </w:sdt>
    <w:p w14:paraId="4D1990D1" w14:textId="77777777" w:rsidR="00B14DE7" w:rsidRDefault="00BD3D32">
      <w:r>
        <w:br w:type="page"/>
      </w:r>
    </w:p>
    <w:p w14:paraId="68D58ECB" w14:textId="77777777" w:rsidR="00B14DE7" w:rsidRDefault="00BD3D32">
      <w:pPr>
        <w:pStyle w:val="Heading1"/>
      </w:pPr>
      <w:bookmarkStart w:id="1" w:name="section-1-nsh-movement"/>
      <w:bookmarkStart w:id="2" w:name="_Toc35512510"/>
      <w:r>
        <w:lastRenderedPageBreak/>
        <w:t>Section 1: NSH Movement</w:t>
      </w:r>
      <w:bookmarkEnd w:id="1"/>
      <w:bookmarkEnd w:id="2"/>
    </w:p>
    <w:p w14:paraId="63D3FF06" w14:textId="77777777" w:rsidR="00B14DE7" w:rsidRDefault="00BD3D32">
      <w:pPr>
        <w:pStyle w:val="Heading2"/>
      </w:pPr>
      <w:bookmarkStart w:id="3" w:name="philadelphia-waitlist"/>
      <w:bookmarkStart w:id="4" w:name="_Toc35512511"/>
      <w:r>
        <w:t>Philadelphia Waitlist</w:t>
      </w:r>
      <w:bookmarkEnd w:id="3"/>
      <w:bookmarkEnd w:id="4"/>
    </w:p>
    <w:p w14:paraId="56EB7DFE" w14:textId="77777777" w:rsidR="00B14DE7" w:rsidRDefault="00BD3D32">
      <w:pPr>
        <w:pStyle w:val="FirstParagraph"/>
      </w:pPr>
      <w:r>
        <w:t>As of 02/25/20 Philadelphia’s Forensic waitlist for NSH stands at 5. The waitlist is composed of 2 Females and 3 Males. This progress can be attributed to the State adding beds at NSH, an increase in the number of people who are found competent and returned to PDP, DBHIDS facilitating the return of people to the community, and ongoing community-based reform.</w:t>
      </w:r>
    </w:p>
    <w:p w14:paraId="234D59EF" w14:textId="77777777" w:rsidR="00B14DE7" w:rsidRDefault="00BD3D32">
      <w:pPr>
        <w:pStyle w:val="BodyText"/>
      </w:pPr>
      <w:r>
        <w:drawing>
          <wp:inline distT="0" distB="0" distL="0" distR="0" wp14:anchorId="208FFF08" wp14:editId="4F378676">
            <wp:extent cx="5943600" cy="273034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nthly-Forensic-Test_files/figure-docx/unnamed-chunk-3-1.png"/>
                    <pic:cNvPicPr>
                      <a:picLocks noChangeAspect="1" noChangeArrowheads="1"/>
                    </pic:cNvPicPr>
                  </pic:nvPicPr>
                  <pic:blipFill>
                    <a:blip r:embed="rId8"/>
                    <a:stretch>
                      <a:fillRect/>
                    </a:stretch>
                  </pic:blipFill>
                  <pic:spPr bwMode="auto">
                    <a:xfrm>
                      <a:off x="0" y="0"/>
                      <a:ext cx="5943600" cy="2730341"/>
                    </a:xfrm>
                    <a:prstGeom prst="rect">
                      <a:avLst/>
                    </a:prstGeom>
                    <a:noFill/>
                    <a:ln w="9525">
                      <a:noFill/>
                      <a:headEnd/>
                      <a:tailEnd/>
                    </a:ln>
                  </pic:spPr>
                </pic:pic>
              </a:graphicData>
            </a:graphic>
          </wp:inline>
        </w:drawing>
      </w:r>
    </w:p>
    <w:p w14:paraId="697FE570" w14:textId="77777777" w:rsidR="00B14DE7" w:rsidRDefault="00BD3D32">
      <w:pPr>
        <w:pStyle w:val="Heading3"/>
      </w:pPr>
      <w:bookmarkStart w:id="5" w:name="Xb661af0ec99beb591bfb89a2d8eff9ba21860b4"/>
      <w:r>
        <w:t>Figure 1. Average number of Philadelphians on the NSH waitlist by quarter from 01/27/2016 to 02/25/20.</w:t>
      </w:r>
      <w:bookmarkEnd w:id="5"/>
    </w:p>
    <w:p w14:paraId="6A91DBB1" w14:textId="77777777" w:rsidR="00B14DE7" w:rsidRDefault="00BD3D32">
      <w:pPr>
        <w:pStyle w:val="FirstParagraph"/>
      </w:pPr>
      <w:r>
        <w:drawing>
          <wp:inline distT="0" distB="0" distL="0" distR="0" wp14:anchorId="202E2B52" wp14:editId="2640A316">
            <wp:extent cx="5943600" cy="273034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onthly-Forensic-Test_files/figure-docx/unnamed-chunk-4-1.png"/>
                    <pic:cNvPicPr>
                      <a:picLocks noChangeAspect="1" noChangeArrowheads="1"/>
                    </pic:cNvPicPr>
                  </pic:nvPicPr>
                  <pic:blipFill>
                    <a:blip r:embed="rId9"/>
                    <a:stretch>
                      <a:fillRect/>
                    </a:stretch>
                  </pic:blipFill>
                  <pic:spPr bwMode="auto">
                    <a:xfrm>
                      <a:off x="0" y="0"/>
                      <a:ext cx="5943600" cy="2730341"/>
                    </a:xfrm>
                    <a:prstGeom prst="rect">
                      <a:avLst/>
                    </a:prstGeom>
                    <a:noFill/>
                    <a:ln w="9525">
                      <a:noFill/>
                      <a:headEnd/>
                      <a:tailEnd/>
                    </a:ln>
                  </pic:spPr>
                </pic:pic>
              </a:graphicData>
            </a:graphic>
          </wp:inline>
        </w:drawing>
      </w:r>
    </w:p>
    <w:p w14:paraId="78A6059D" w14:textId="77777777" w:rsidR="00B14DE7" w:rsidRDefault="00BD3D32">
      <w:pPr>
        <w:pStyle w:val="Heading3"/>
      </w:pPr>
      <w:bookmarkStart w:id="6" w:name="X602f3a38a4e00101b21eef5b60f2e247f079d1d"/>
      <w:r>
        <w:t xml:space="preserve">Figure 2. Commitment to admission times from 11/27/19 to 02/25/20 (last 3 months). </w:t>
      </w:r>
      <w:r>
        <w:rPr>
          <w:rStyle w:val="FootnoteReference"/>
        </w:rPr>
        <w:footnoteReference w:id="1"/>
      </w:r>
      <w:bookmarkEnd w:id="6"/>
    </w:p>
    <w:p w14:paraId="143262F5" w14:textId="77777777" w:rsidR="00B14DE7" w:rsidRDefault="00BD3D32">
      <w:pPr>
        <w:pStyle w:val="Heading2"/>
      </w:pPr>
      <w:bookmarkStart w:id="7" w:name="Xc18ad6a7ed40aae01a28e20c3aa1f5bfe082e8f"/>
      <w:bookmarkStart w:id="8" w:name="_Toc35512512"/>
      <w:r>
        <w:t>Philadelphians Admitted to and Discharged from NSH</w:t>
      </w:r>
      <w:bookmarkEnd w:id="7"/>
      <w:bookmarkEnd w:id="8"/>
    </w:p>
    <w:p w14:paraId="6C0AFB7C" w14:textId="77777777" w:rsidR="00B14DE7" w:rsidRDefault="00BD3D32">
      <w:pPr>
        <w:pStyle w:val="FirstParagraph"/>
      </w:pPr>
      <w:r>
        <w:lastRenderedPageBreak/>
        <w:t>As of 02/25/20 425 Philadelphians have been discharged from NSH while 513 were admitted to NSH from the waitlist at PDP with 3 additional Philadelphians admitted from other sources.</w:t>
      </w:r>
    </w:p>
    <w:p w14:paraId="7C5EC3DF" w14:textId="77777777" w:rsidR="00B14DE7" w:rsidRDefault="00BD3D32">
      <w:pPr>
        <w:pStyle w:val="BodyText"/>
      </w:pPr>
      <w:r>
        <w:drawing>
          <wp:inline distT="0" distB="0" distL="0" distR="0" wp14:anchorId="18BD429C" wp14:editId="2FB11651">
            <wp:extent cx="5943600" cy="302752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onthly-Forensic-Test_files/figure-docx/unnamed-chunk-6-1.png"/>
                    <pic:cNvPicPr>
                      <a:picLocks noChangeAspect="1" noChangeArrowheads="1"/>
                    </pic:cNvPicPr>
                  </pic:nvPicPr>
                  <pic:blipFill>
                    <a:blip r:embed="rId10"/>
                    <a:stretch>
                      <a:fillRect/>
                    </a:stretch>
                  </pic:blipFill>
                  <pic:spPr bwMode="auto">
                    <a:xfrm>
                      <a:off x="0" y="0"/>
                      <a:ext cx="5943600" cy="3027521"/>
                    </a:xfrm>
                    <a:prstGeom prst="rect">
                      <a:avLst/>
                    </a:prstGeom>
                    <a:noFill/>
                    <a:ln w="9525">
                      <a:noFill/>
                      <a:headEnd/>
                      <a:tailEnd/>
                    </a:ln>
                  </pic:spPr>
                </pic:pic>
              </a:graphicData>
            </a:graphic>
          </wp:inline>
        </w:drawing>
      </w:r>
    </w:p>
    <w:p w14:paraId="5A8D3DB8" w14:textId="77777777" w:rsidR="00B14DE7" w:rsidRDefault="00BD3D32">
      <w:pPr>
        <w:pStyle w:val="Heading3"/>
      </w:pPr>
      <w:bookmarkStart w:id="9" w:name="Xcfd9f6bf0a8993511d59fe56ed9b346c71ac65b"/>
      <w:r>
        <w:t>Figure 3. Total NSH discharges and NSH admissions from 01/27/16 to 02/25/20.</w:t>
      </w:r>
      <w:bookmarkEnd w:id="9"/>
    </w:p>
    <w:p w14:paraId="7785917C" w14:textId="77777777" w:rsidR="00B14DE7" w:rsidRDefault="00BD3D32">
      <w:pPr>
        <w:pStyle w:val="Heading2"/>
      </w:pPr>
      <w:bookmarkStart w:id="10" w:name="nsh-discharge-summary"/>
      <w:bookmarkStart w:id="11" w:name="_Toc35512513"/>
      <w:r>
        <w:t>NSH Discharge Summary</w:t>
      </w:r>
      <w:bookmarkEnd w:id="10"/>
      <w:bookmarkEnd w:id="11"/>
    </w:p>
    <w:p w14:paraId="5A2B337D" w14:textId="77777777" w:rsidR="00B14DE7" w:rsidRDefault="00BD3D32">
      <w:pPr>
        <w:pStyle w:val="FirstParagraph"/>
      </w:pPr>
      <w:r>
        <w:t xml:space="preserve">The graph below shows a breakdown of where Philadelphians were placed after discharge from Norristown State Hospital as of 02/25/20. </w:t>
      </w:r>
      <w:r>
        <w:drawing>
          <wp:inline distT="0" distB="0" distL="0" distR="0" wp14:anchorId="37B1EB61" wp14:editId="3F9FCCCB">
            <wp:extent cx="5943600" cy="208026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onthly-Forensic-Test_files/figure-docx/unnamed-chunk-8-1.png"/>
                    <pic:cNvPicPr>
                      <a:picLocks noChangeAspect="1" noChangeArrowheads="1"/>
                    </pic:cNvPicPr>
                  </pic:nvPicPr>
                  <pic:blipFill>
                    <a:blip r:embed="rId11"/>
                    <a:stretch>
                      <a:fillRect/>
                    </a:stretch>
                  </pic:blipFill>
                  <pic:spPr bwMode="auto">
                    <a:xfrm>
                      <a:off x="0" y="0"/>
                      <a:ext cx="5943600" cy="2080260"/>
                    </a:xfrm>
                    <a:prstGeom prst="rect">
                      <a:avLst/>
                    </a:prstGeom>
                    <a:noFill/>
                    <a:ln w="9525">
                      <a:noFill/>
                      <a:headEnd/>
                      <a:tailEnd/>
                    </a:ln>
                  </pic:spPr>
                </pic:pic>
              </a:graphicData>
            </a:graphic>
          </wp:inline>
        </w:drawing>
      </w:r>
    </w:p>
    <w:p w14:paraId="46631C8C" w14:textId="77777777" w:rsidR="00B14DE7" w:rsidRDefault="00BD3D32">
      <w:pPr>
        <w:pStyle w:val="Heading3"/>
      </w:pPr>
      <w:bookmarkStart w:id="12" w:name="Xb60f4f547d21194bd7596c56e5a6fd8cae7b729"/>
      <w:r>
        <w:t>Figure 4. Breakdown of NSH discharges by location for individuals returning to Philadelphia from 01/27/16 to 02/25/20.</w:t>
      </w:r>
      <w:bookmarkEnd w:id="12"/>
    </w:p>
    <w:p w14:paraId="634B1467" w14:textId="77777777" w:rsidR="00B14DE7" w:rsidRDefault="00BD3D32">
      <w:pPr>
        <w:pStyle w:val="Compact"/>
        <w:numPr>
          <w:ilvl w:val="0"/>
          <w:numId w:val="6"/>
        </w:numPr>
      </w:pPr>
      <w:r>
        <w:t>Since the 1/27/16 Settlement Agreement, NSH has restored 208 individuals to competency who were then returned to county jail (averaging 4.24 persons per month). 1 individual from the NSH Step Down Unit returned to county jail due to significant destruction of NSH property, for a total of 209 individuals returned to jail from NSH.</w:t>
      </w:r>
    </w:p>
    <w:p w14:paraId="525AA2B0" w14:textId="77777777" w:rsidR="00B14DE7" w:rsidRDefault="00BD3D32">
      <w:pPr>
        <w:pStyle w:val="Heading1"/>
      </w:pPr>
      <w:bookmarkStart w:id="13" w:name="section-2-forensic-support-team"/>
      <w:bookmarkStart w:id="14" w:name="_Toc35512514"/>
      <w:r>
        <w:t>Section 2: Forensic Support Team</w:t>
      </w:r>
      <w:bookmarkEnd w:id="13"/>
      <w:bookmarkEnd w:id="14"/>
    </w:p>
    <w:p w14:paraId="7A2009A8" w14:textId="77777777" w:rsidR="00B14DE7" w:rsidRDefault="00BD3D32">
      <w:pPr>
        <w:pStyle w:val="Heading2"/>
      </w:pPr>
      <w:bookmarkStart w:id="15" w:name="fst-summary"/>
      <w:bookmarkStart w:id="16" w:name="_Toc35512515"/>
      <w:r>
        <w:t>FST Summary</w:t>
      </w:r>
      <w:bookmarkEnd w:id="15"/>
      <w:bookmarkEnd w:id="16"/>
    </w:p>
    <w:p w14:paraId="3A1F7C6D" w14:textId="77777777" w:rsidR="00B14DE7" w:rsidRDefault="00BD3D32">
      <w:pPr>
        <w:pStyle w:val="FirstParagraph"/>
      </w:pPr>
      <w:r>
        <w:lastRenderedPageBreak/>
        <w:t xml:space="preserve">Formed in November 2016, the FST has taken on a wide range of efforts to improve the treatment and systemic management of Philadelphia citizens who have been adjudicated Incompetent to Stand Trial (IST) and are in jail waiting to be admitted to NSH. Due to progress on the Forensic Waitlist, low numbers of people waiting, dramatically decreased wait times, and systemic changes, FST has reorganized and joined with the NSH team to flexibly respond to the needs of the population. FST focuses its efforts on conducting docket reviews, advocating for people in mental health court, completing clinical as well as legal reviews, educating people (including lawyers and clinicians) about being on the waitlist and at NSH, and supporting individuals prior to and after re-entry to the community. </w:t>
      </w:r>
      <w:r>
        <w:drawing>
          <wp:inline distT="0" distB="0" distL="0" distR="0" wp14:anchorId="70805871" wp14:editId="06CDD8F2">
            <wp:extent cx="5943600" cy="3169919"/>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onthly-Forensic-Test_files/figure-docx/image_with_text-1.png"/>
                    <pic:cNvPicPr>
                      <a:picLocks noChangeAspect="1" noChangeArrowheads="1"/>
                    </pic:cNvPicPr>
                  </pic:nvPicPr>
                  <pic:blipFill>
                    <a:blip r:embed="rId12"/>
                    <a:stretch>
                      <a:fillRect/>
                    </a:stretch>
                  </pic:blipFill>
                  <pic:spPr bwMode="auto">
                    <a:xfrm>
                      <a:off x="0" y="0"/>
                      <a:ext cx="5943600" cy="3169919"/>
                    </a:xfrm>
                    <a:prstGeom prst="rect">
                      <a:avLst/>
                    </a:prstGeom>
                    <a:noFill/>
                    <a:ln w="9525">
                      <a:noFill/>
                      <a:headEnd/>
                      <a:tailEnd/>
                    </a:ln>
                  </pic:spPr>
                </pic:pic>
              </a:graphicData>
            </a:graphic>
          </wp:inline>
        </w:drawing>
      </w:r>
    </w:p>
    <w:p w14:paraId="64F527F4" w14:textId="77777777" w:rsidR="00B14DE7" w:rsidRDefault="00BD3D32">
      <w:pPr>
        <w:pStyle w:val="BodyText"/>
      </w:pPr>
      <w:r>
        <w:t>The graph below shows a breakdown of all Philadelphians returned to the community from their hosting location as of 02/25/20. 52% of the ACLU NSH discharges were to a community placement.</w:t>
      </w:r>
    </w:p>
    <w:p w14:paraId="2C0AAAFC" w14:textId="77777777" w:rsidR="00B14DE7" w:rsidRDefault="00BD3D32">
      <w:pPr>
        <w:pStyle w:val="BodyText"/>
      </w:pPr>
      <w:r>
        <w:drawing>
          <wp:inline distT="0" distB="0" distL="0" distR="0" wp14:anchorId="220872FD" wp14:editId="39301ACB">
            <wp:extent cx="5943600" cy="14859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onthly-Forensic-Test_files/figure-docx/unnamed-chunk-10-1.png"/>
                    <pic:cNvPicPr>
                      <a:picLocks noChangeAspect="1" noChangeArrowheads="1"/>
                    </pic:cNvPicPr>
                  </pic:nvPicPr>
                  <pic:blipFill>
                    <a:blip r:embed="rId13"/>
                    <a:stretch>
                      <a:fillRect/>
                    </a:stretch>
                  </pic:blipFill>
                  <pic:spPr bwMode="auto">
                    <a:xfrm>
                      <a:off x="0" y="0"/>
                      <a:ext cx="5943600" cy="1485900"/>
                    </a:xfrm>
                    <a:prstGeom prst="rect">
                      <a:avLst/>
                    </a:prstGeom>
                    <a:noFill/>
                    <a:ln w="9525">
                      <a:noFill/>
                      <a:headEnd/>
                      <a:tailEnd/>
                    </a:ln>
                  </pic:spPr>
                </pic:pic>
              </a:graphicData>
            </a:graphic>
          </wp:inline>
        </w:drawing>
      </w:r>
    </w:p>
    <w:p w14:paraId="304E5C3D" w14:textId="77777777" w:rsidR="00B14DE7" w:rsidRDefault="00BD3D32">
      <w:pPr>
        <w:pStyle w:val="Heading3"/>
      </w:pPr>
      <w:bookmarkStart w:id="17" w:name="Xbe7cd4ac0e135537a8150873fde703169389bd5"/>
      <w:r>
        <w:t>Figure 5. All Philadelphians returned to the community from their hosting location from 01/27/16 to 02/25/20.</w:t>
      </w:r>
      <w:bookmarkEnd w:id="17"/>
    </w:p>
    <w:p w14:paraId="49357011" w14:textId="77777777" w:rsidR="00B14DE7" w:rsidRDefault="00BD3D32">
      <w:r>
        <w:br w:type="page"/>
      </w:r>
    </w:p>
    <w:p w14:paraId="22192933" w14:textId="77777777" w:rsidR="00B14DE7" w:rsidRDefault="00BD3D32">
      <w:pPr>
        <w:pStyle w:val="Heading1"/>
      </w:pPr>
      <w:bookmarkStart w:id="18" w:name="section-3-community-placements"/>
      <w:bookmarkStart w:id="19" w:name="_Toc35512516"/>
      <w:r>
        <w:lastRenderedPageBreak/>
        <w:t>Section 3: Community Placements</w:t>
      </w:r>
      <w:bookmarkEnd w:id="18"/>
      <w:bookmarkEnd w:id="19"/>
    </w:p>
    <w:p w14:paraId="3A4E4805" w14:textId="77777777" w:rsidR="00B14DE7" w:rsidRDefault="00BD3D32">
      <w:pPr>
        <w:pStyle w:val="Heading2"/>
      </w:pPr>
      <w:bookmarkStart w:id="20" w:name="aclu-funded-placements"/>
      <w:bookmarkStart w:id="21" w:name="_Toc35512517"/>
      <w:r>
        <w:t>ACLU Funded Placements</w:t>
      </w:r>
      <w:bookmarkEnd w:id="20"/>
      <w:bookmarkEnd w:id="21"/>
    </w:p>
    <w:p w14:paraId="682DAE06" w14:textId="77777777" w:rsidR="00B14DE7" w:rsidRDefault="00BD3D32">
      <w:pPr>
        <w:pStyle w:val="Heading3"/>
      </w:pPr>
      <w:bookmarkStart w:id="22" w:name="Xfd9cb36f1d8b57491e63d1248d03775f72b3544"/>
      <w:r>
        <w:t>Table 1. A breakdown of ACLU funded placement types including capacity, current census, individuals stepped down, and individuals identified for admission.</w:t>
      </w:r>
      <w:bookmarkEnd w:id="22"/>
    </w:p>
    <w:tbl>
      <w:tblPr>
        <w:tblW w:w="0" w:type="auto"/>
        <w:jc w:val="center"/>
        <w:tblLayout w:type="fixed"/>
        <w:tblLook w:val="04A0" w:firstRow="1" w:lastRow="0" w:firstColumn="1" w:lastColumn="0" w:noHBand="0" w:noVBand="1"/>
      </w:tblPr>
      <w:tblGrid>
        <w:gridCol w:w="1586"/>
        <w:gridCol w:w="2581"/>
        <w:gridCol w:w="1331"/>
        <w:gridCol w:w="1371"/>
        <w:gridCol w:w="2651"/>
        <w:gridCol w:w="2271"/>
      </w:tblGrid>
      <w:tr w:rsidR="00B14DE7" w14:paraId="6E68EE55" w14:textId="77777777">
        <w:trPr>
          <w:cantSplit/>
          <w:tblHeader/>
          <w:jc w:val="center"/>
        </w:trPr>
        <w:tc>
          <w:tcPr>
            <w:tcW w:w="1586" w:type="dxa"/>
            <w:tcBorders>
              <w:top w:val="single" w:sz="8" w:space="0" w:color="666666"/>
              <w:left w:val="single" w:sz="8" w:space="0" w:color="666666"/>
              <w:bottom w:val="single" w:sz="8" w:space="0" w:color="666666"/>
              <w:right w:val="single" w:sz="8" w:space="0" w:color="666666"/>
            </w:tcBorders>
            <w:shd w:val="clear" w:color="auto" w:fill="DCDCDC"/>
            <w:tcMar>
              <w:top w:w="0" w:type="dxa"/>
              <w:left w:w="0" w:type="dxa"/>
              <w:bottom w:w="0" w:type="dxa"/>
              <w:right w:w="0" w:type="dxa"/>
            </w:tcMar>
            <w:vAlign w:val="center"/>
          </w:tcPr>
          <w:p w14:paraId="3B79FD96" w14:textId="77777777" w:rsidR="00B14DE7" w:rsidRDefault="00BD3D32">
            <w:pPr>
              <w:spacing w:before="10" w:after="10"/>
              <w:ind w:left="10" w:right="10"/>
            </w:pPr>
            <w:r>
              <w:rPr>
                <w:rFonts w:ascii="Arial" w:eastAsia="Arial" w:hAnsi="Arial" w:cs="Arial"/>
                <w:b/>
                <w:color w:val="111111"/>
                <w:sz w:val="18"/>
                <w:szCs w:val="18"/>
              </w:rPr>
              <w:t>LOC</w:t>
            </w:r>
          </w:p>
        </w:tc>
        <w:tc>
          <w:tcPr>
            <w:tcW w:w="2581" w:type="dxa"/>
            <w:tcBorders>
              <w:top w:val="single" w:sz="8" w:space="0" w:color="666666"/>
              <w:left w:val="single" w:sz="8" w:space="0" w:color="666666"/>
              <w:bottom w:val="single" w:sz="8" w:space="0" w:color="666666"/>
              <w:right w:val="single" w:sz="8" w:space="0" w:color="666666"/>
            </w:tcBorders>
            <w:shd w:val="clear" w:color="auto" w:fill="DCDCDC"/>
            <w:tcMar>
              <w:top w:w="0" w:type="dxa"/>
              <w:left w:w="0" w:type="dxa"/>
              <w:bottom w:w="0" w:type="dxa"/>
              <w:right w:w="0" w:type="dxa"/>
            </w:tcMar>
            <w:vAlign w:val="center"/>
          </w:tcPr>
          <w:p w14:paraId="5202426D" w14:textId="77777777" w:rsidR="00B14DE7" w:rsidRDefault="00BD3D32">
            <w:pPr>
              <w:spacing w:before="10" w:after="10"/>
              <w:ind w:left="10" w:right="10"/>
            </w:pPr>
            <w:r>
              <w:rPr>
                <w:rFonts w:ascii="Arial" w:eastAsia="Arial" w:hAnsi="Arial" w:cs="Arial"/>
                <w:b/>
                <w:color w:val="111111"/>
                <w:sz w:val="18"/>
                <w:szCs w:val="18"/>
              </w:rPr>
              <w:t>Placement</w:t>
            </w:r>
          </w:p>
        </w:tc>
        <w:tc>
          <w:tcPr>
            <w:tcW w:w="1331" w:type="dxa"/>
            <w:tcBorders>
              <w:top w:val="single" w:sz="8" w:space="0" w:color="666666"/>
              <w:left w:val="single" w:sz="8" w:space="0" w:color="666666"/>
              <w:bottom w:val="single" w:sz="8" w:space="0" w:color="666666"/>
              <w:right w:val="single" w:sz="8" w:space="0" w:color="666666"/>
            </w:tcBorders>
            <w:shd w:val="clear" w:color="auto" w:fill="DCDCDC"/>
            <w:tcMar>
              <w:top w:w="0" w:type="dxa"/>
              <w:left w:w="0" w:type="dxa"/>
              <w:bottom w:w="0" w:type="dxa"/>
              <w:right w:w="0" w:type="dxa"/>
            </w:tcMar>
            <w:vAlign w:val="center"/>
          </w:tcPr>
          <w:p w14:paraId="3BBB2EC2" w14:textId="77777777" w:rsidR="00B14DE7" w:rsidRDefault="00BD3D32">
            <w:pPr>
              <w:spacing w:before="10" w:after="10"/>
              <w:ind w:left="10" w:right="10"/>
              <w:jc w:val="center"/>
            </w:pPr>
            <w:r>
              <w:rPr>
                <w:rFonts w:ascii="Arial" w:eastAsia="Arial" w:hAnsi="Arial" w:cs="Arial"/>
                <w:b/>
                <w:color w:val="111111"/>
                <w:sz w:val="18"/>
                <w:szCs w:val="18"/>
              </w:rPr>
              <w:t>Total Beds</w:t>
            </w:r>
          </w:p>
        </w:tc>
        <w:tc>
          <w:tcPr>
            <w:tcW w:w="1371" w:type="dxa"/>
            <w:tcBorders>
              <w:top w:val="single" w:sz="8" w:space="0" w:color="666666"/>
              <w:left w:val="single" w:sz="8" w:space="0" w:color="666666"/>
              <w:bottom w:val="single" w:sz="8" w:space="0" w:color="666666"/>
              <w:right w:val="single" w:sz="8" w:space="0" w:color="666666"/>
            </w:tcBorders>
            <w:shd w:val="clear" w:color="auto" w:fill="DCDCDC"/>
            <w:tcMar>
              <w:top w:w="0" w:type="dxa"/>
              <w:left w:w="0" w:type="dxa"/>
              <w:bottom w:w="0" w:type="dxa"/>
              <w:right w:w="0" w:type="dxa"/>
            </w:tcMar>
            <w:vAlign w:val="center"/>
          </w:tcPr>
          <w:p w14:paraId="16FD962E" w14:textId="77777777" w:rsidR="00B14DE7" w:rsidRDefault="00BD3D32">
            <w:pPr>
              <w:spacing w:before="10" w:after="10"/>
              <w:ind w:left="10" w:right="10"/>
              <w:jc w:val="center"/>
            </w:pPr>
            <w:r>
              <w:rPr>
                <w:rFonts w:ascii="Arial" w:eastAsia="Arial" w:hAnsi="Arial" w:cs="Arial"/>
                <w:b/>
                <w:color w:val="111111"/>
                <w:sz w:val="18"/>
                <w:szCs w:val="18"/>
              </w:rPr>
              <w:t>Beds Filled</w:t>
            </w:r>
          </w:p>
        </w:tc>
        <w:tc>
          <w:tcPr>
            <w:tcW w:w="2651" w:type="dxa"/>
            <w:tcBorders>
              <w:top w:val="single" w:sz="8" w:space="0" w:color="666666"/>
              <w:left w:val="single" w:sz="8" w:space="0" w:color="666666"/>
              <w:bottom w:val="single" w:sz="8" w:space="0" w:color="666666"/>
              <w:right w:val="single" w:sz="8" w:space="0" w:color="666666"/>
            </w:tcBorders>
            <w:shd w:val="clear" w:color="auto" w:fill="DCDCDC"/>
            <w:tcMar>
              <w:top w:w="0" w:type="dxa"/>
              <w:left w:w="0" w:type="dxa"/>
              <w:bottom w:w="0" w:type="dxa"/>
              <w:right w:w="0" w:type="dxa"/>
            </w:tcMar>
            <w:vAlign w:val="center"/>
          </w:tcPr>
          <w:p w14:paraId="1977240D" w14:textId="77777777" w:rsidR="00B14DE7" w:rsidRDefault="00BD3D32">
            <w:pPr>
              <w:spacing w:before="10" w:after="10"/>
              <w:ind w:left="10" w:right="10"/>
              <w:jc w:val="center"/>
            </w:pPr>
            <w:r>
              <w:rPr>
                <w:rFonts w:ascii="Arial" w:eastAsia="Arial" w:hAnsi="Arial" w:cs="Arial"/>
                <w:b/>
                <w:color w:val="111111"/>
                <w:sz w:val="18"/>
                <w:szCs w:val="18"/>
              </w:rPr>
              <w:t>Individuals Stepped Down</w:t>
            </w:r>
          </w:p>
        </w:tc>
        <w:tc>
          <w:tcPr>
            <w:tcW w:w="2271" w:type="dxa"/>
            <w:tcBorders>
              <w:top w:val="single" w:sz="8" w:space="0" w:color="666666"/>
              <w:left w:val="single" w:sz="8" w:space="0" w:color="666666"/>
              <w:bottom w:val="single" w:sz="8" w:space="0" w:color="666666"/>
              <w:right w:val="single" w:sz="8" w:space="0" w:color="666666"/>
            </w:tcBorders>
            <w:shd w:val="clear" w:color="auto" w:fill="DCDCDC"/>
            <w:tcMar>
              <w:top w:w="0" w:type="dxa"/>
              <w:left w:w="0" w:type="dxa"/>
              <w:bottom w:w="0" w:type="dxa"/>
              <w:right w:w="0" w:type="dxa"/>
            </w:tcMar>
            <w:vAlign w:val="center"/>
          </w:tcPr>
          <w:p w14:paraId="0AAEC930" w14:textId="77777777" w:rsidR="00B14DE7" w:rsidRDefault="00BD3D32">
            <w:pPr>
              <w:spacing w:before="10" w:after="10"/>
              <w:ind w:left="10" w:right="10"/>
              <w:jc w:val="center"/>
            </w:pPr>
            <w:r>
              <w:rPr>
                <w:rFonts w:ascii="Arial" w:eastAsia="Arial" w:hAnsi="Arial" w:cs="Arial"/>
                <w:b/>
                <w:color w:val="111111"/>
                <w:sz w:val="18"/>
                <w:szCs w:val="18"/>
              </w:rPr>
              <w:t>Individuals Identified*</w:t>
            </w:r>
          </w:p>
        </w:tc>
      </w:tr>
      <w:tr w:rsidR="00B14DE7" w14:paraId="3B041ADD" w14:textId="77777777">
        <w:trPr>
          <w:cantSplit/>
          <w:jc w:val="center"/>
        </w:trPr>
        <w:tc>
          <w:tcPr>
            <w:tcW w:w="1586" w:type="dxa"/>
            <w:tcBorders>
              <w:top w:val="single" w:sz="8" w:space="0" w:color="666666"/>
              <w:left w:val="single" w:sz="8" w:space="0" w:color="666666"/>
              <w:bottom w:val="single" w:sz="8" w:space="0" w:color="666666"/>
              <w:right w:val="single" w:sz="8" w:space="0" w:color="666666"/>
            </w:tcBorders>
            <w:shd w:val="clear" w:color="auto" w:fill="CAE1FF"/>
            <w:tcMar>
              <w:top w:w="0" w:type="dxa"/>
              <w:left w:w="0" w:type="dxa"/>
              <w:bottom w:w="0" w:type="dxa"/>
              <w:right w:w="0" w:type="dxa"/>
            </w:tcMar>
            <w:vAlign w:val="center"/>
          </w:tcPr>
          <w:p w14:paraId="4A8C200D" w14:textId="77777777" w:rsidR="00B14DE7" w:rsidRDefault="00BD3D32">
            <w:pPr>
              <w:spacing w:before="10" w:after="10"/>
              <w:ind w:left="10" w:right="10"/>
            </w:pPr>
            <w:r>
              <w:rPr>
                <w:rFonts w:ascii="Calibri" w:eastAsia="Calibri" w:hAnsi="Calibri" w:cs="Calibri"/>
                <w:color w:val="111111"/>
                <w:sz w:val="18"/>
                <w:szCs w:val="18"/>
              </w:rPr>
              <w:t>EAC</w:t>
            </w:r>
          </w:p>
        </w:tc>
        <w:tc>
          <w:tcPr>
            <w:tcW w:w="2581" w:type="dxa"/>
            <w:tcBorders>
              <w:top w:val="single" w:sz="8" w:space="0" w:color="666666"/>
              <w:left w:val="single" w:sz="8" w:space="0" w:color="666666"/>
              <w:bottom w:val="single" w:sz="8" w:space="0" w:color="666666"/>
              <w:right w:val="single" w:sz="8" w:space="0" w:color="666666"/>
            </w:tcBorders>
            <w:shd w:val="clear" w:color="auto" w:fill="CAE1FF"/>
            <w:tcMar>
              <w:top w:w="0" w:type="dxa"/>
              <w:left w:w="0" w:type="dxa"/>
              <w:bottom w:w="0" w:type="dxa"/>
              <w:right w:w="0" w:type="dxa"/>
            </w:tcMar>
            <w:vAlign w:val="center"/>
          </w:tcPr>
          <w:p w14:paraId="7CB65F39" w14:textId="77777777" w:rsidR="00B14DE7" w:rsidRDefault="00BD3D32">
            <w:pPr>
              <w:spacing w:before="10" w:after="10"/>
              <w:ind w:left="10" w:right="10"/>
            </w:pPr>
            <w:r>
              <w:rPr>
                <w:rFonts w:ascii="Calibri" w:eastAsia="Calibri" w:hAnsi="Calibri" w:cs="Calibri"/>
                <w:color w:val="111111"/>
                <w:sz w:val="18"/>
                <w:szCs w:val="18"/>
              </w:rPr>
              <w:t>Girard Recovery Center</w:t>
            </w:r>
          </w:p>
        </w:tc>
        <w:tc>
          <w:tcPr>
            <w:tcW w:w="1331" w:type="dxa"/>
            <w:tcBorders>
              <w:top w:val="single" w:sz="8" w:space="0" w:color="666666"/>
              <w:left w:val="single" w:sz="8" w:space="0" w:color="666666"/>
              <w:bottom w:val="single" w:sz="8" w:space="0" w:color="666666"/>
              <w:right w:val="single" w:sz="8" w:space="0" w:color="666666"/>
            </w:tcBorders>
            <w:shd w:val="clear" w:color="auto" w:fill="CAE1FF"/>
            <w:tcMar>
              <w:top w:w="0" w:type="dxa"/>
              <w:left w:w="0" w:type="dxa"/>
              <w:bottom w:w="0" w:type="dxa"/>
              <w:right w:w="0" w:type="dxa"/>
            </w:tcMar>
            <w:vAlign w:val="center"/>
          </w:tcPr>
          <w:p w14:paraId="7B6FF900" w14:textId="77777777" w:rsidR="00B14DE7" w:rsidRDefault="00BD3D32">
            <w:pPr>
              <w:spacing w:before="10" w:after="10"/>
              <w:ind w:left="10" w:right="10"/>
              <w:jc w:val="center"/>
            </w:pPr>
            <w:r>
              <w:rPr>
                <w:rFonts w:ascii="Calibri" w:eastAsia="Calibri" w:hAnsi="Calibri" w:cs="Calibri"/>
                <w:color w:val="111111"/>
                <w:sz w:val="18"/>
                <w:szCs w:val="18"/>
              </w:rPr>
              <w:t>24</w:t>
            </w:r>
          </w:p>
        </w:tc>
        <w:tc>
          <w:tcPr>
            <w:tcW w:w="1371" w:type="dxa"/>
            <w:tcBorders>
              <w:top w:val="single" w:sz="8" w:space="0" w:color="666666"/>
              <w:left w:val="single" w:sz="8" w:space="0" w:color="666666"/>
              <w:bottom w:val="single" w:sz="8" w:space="0" w:color="666666"/>
              <w:right w:val="single" w:sz="8" w:space="0" w:color="666666"/>
            </w:tcBorders>
            <w:shd w:val="clear" w:color="auto" w:fill="CAE1FF"/>
            <w:tcMar>
              <w:top w:w="0" w:type="dxa"/>
              <w:left w:w="0" w:type="dxa"/>
              <w:bottom w:w="0" w:type="dxa"/>
              <w:right w:w="0" w:type="dxa"/>
            </w:tcMar>
            <w:vAlign w:val="center"/>
          </w:tcPr>
          <w:p w14:paraId="11B07967" w14:textId="77777777" w:rsidR="00B14DE7" w:rsidRDefault="00BD3D32">
            <w:pPr>
              <w:spacing w:before="10" w:after="10"/>
              <w:ind w:left="10" w:right="10"/>
              <w:jc w:val="center"/>
            </w:pPr>
            <w:r>
              <w:rPr>
                <w:rFonts w:ascii="Calibri" w:eastAsia="Calibri" w:hAnsi="Calibri" w:cs="Calibri"/>
                <w:color w:val="111111"/>
                <w:sz w:val="18"/>
                <w:szCs w:val="18"/>
              </w:rPr>
              <w:t>23</w:t>
            </w:r>
          </w:p>
        </w:tc>
        <w:tc>
          <w:tcPr>
            <w:tcW w:w="2651" w:type="dxa"/>
            <w:tcBorders>
              <w:top w:val="single" w:sz="8" w:space="0" w:color="666666"/>
              <w:left w:val="single" w:sz="8" w:space="0" w:color="666666"/>
              <w:bottom w:val="single" w:sz="8" w:space="0" w:color="666666"/>
              <w:right w:val="single" w:sz="8" w:space="0" w:color="666666"/>
            </w:tcBorders>
            <w:shd w:val="clear" w:color="auto" w:fill="CAE1FF"/>
            <w:tcMar>
              <w:top w:w="0" w:type="dxa"/>
              <w:left w:w="0" w:type="dxa"/>
              <w:bottom w:w="0" w:type="dxa"/>
              <w:right w:w="0" w:type="dxa"/>
            </w:tcMar>
            <w:vAlign w:val="center"/>
          </w:tcPr>
          <w:p w14:paraId="3A2E1665" w14:textId="77777777" w:rsidR="00B14DE7" w:rsidRDefault="00BD3D32">
            <w:pPr>
              <w:spacing w:before="10" w:after="10"/>
              <w:ind w:left="10" w:right="10"/>
              <w:jc w:val="center"/>
            </w:pPr>
            <w:r>
              <w:rPr>
                <w:rFonts w:ascii="Calibri" w:eastAsia="Calibri" w:hAnsi="Calibri" w:cs="Calibri"/>
                <w:color w:val="111111"/>
                <w:sz w:val="18"/>
                <w:szCs w:val="18"/>
              </w:rPr>
              <w:t>39</w:t>
            </w:r>
          </w:p>
        </w:tc>
        <w:tc>
          <w:tcPr>
            <w:tcW w:w="2271" w:type="dxa"/>
            <w:tcBorders>
              <w:top w:val="single" w:sz="8" w:space="0" w:color="666666"/>
              <w:left w:val="single" w:sz="8" w:space="0" w:color="666666"/>
              <w:bottom w:val="single" w:sz="8" w:space="0" w:color="666666"/>
              <w:right w:val="single" w:sz="8" w:space="0" w:color="666666"/>
            </w:tcBorders>
            <w:shd w:val="clear" w:color="auto" w:fill="CAE1FF"/>
            <w:tcMar>
              <w:top w:w="0" w:type="dxa"/>
              <w:left w:w="0" w:type="dxa"/>
              <w:bottom w:w="0" w:type="dxa"/>
              <w:right w:w="0" w:type="dxa"/>
            </w:tcMar>
            <w:vAlign w:val="center"/>
          </w:tcPr>
          <w:p w14:paraId="151E0074" w14:textId="77777777" w:rsidR="00B14DE7" w:rsidRDefault="00BD3D32">
            <w:pPr>
              <w:spacing w:before="10" w:after="10"/>
              <w:ind w:left="10" w:right="10"/>
              <w:jc w:val="center"/>
            </w:pPr>
            <w:r>
              <w:rPr>
                <w:rFonts w:ascii="Calibri" w:eastAsia="Calibri" w:hAnsi="Calibri" w:cs="Calibri"/>
                <w:color w:val="111111"/>
                <w:sz w:val="18"/>
                <w:szCs w:val="18"/>
              </w:rPr>
              <w:t>NA</w:t>
            </w:r>
          </w:p>
        </w:tc>
      </w:tr>
      <w:tr w:rsidR="00B14DE7" w14:paraId="173AFDFD" w14:textId="77777777">
        <w:trPr>
          <w:cantSplit/>
          <w:jc w:val="center"/>
        </w:trPr>
        <w:tc>
          <w:tcPr>
            <w:tcW w:w="1586" w:type="dxa"/>
            <w:vMerge w:val="restart"/>
            <w:tcBorders>
              <w:top w:val="single" w:sz="8" w:space="0" w:color="666666"/>
              <w:left w:val="single" w:sz="8" w:space="0" w:color="666666"/>
              <w:bottom w:val="single" w:sz="8" w:space="0" w:color="666666"/>
              <w:right w:val="single" w:sz="8" w:space="0" w:color="666666"/>
            </w:tcBorders>
            <w:shd w:val="clear" w:color="auto" w:fill="FFD39B"/>
            <w:tcMar>
              <w:top w:w="0" w:type="dxa"/>
              <w:left w:w="0" w:type="dxa"/>
              <w:bottom w:w="0" w:type="dxa"/>
              <w:right w:w="0" w:type="dxa"/>
            </w:tcMar>
            <w:vAlign w:val="center"/>
          </w:tcPr>
          <w:p w14:paraId="27875705" w14:textId="77777777" w:rsidR="00B14DE7" w:rsidRDefault="00BD3D32">
            <w:pPr>
              <w:spacing w:before="10" w:after="10"/>
              <w:ind w:left="10" w:right="10"/>
            </w:pPr>
            <w:r>
              <w:rPr>
                <w:rFonts w:ascii="Calibri" w:eastAsia="Calibri" w:hAnsi="Calibri" w:cs="Calibri"/>
                <w:color w:val="111111"/>
                <w:sz w:val="18"/>
                <w:szCs w:val="18"/>
              </w:rPr>
              <w:t>RTFA</w:t>
            </w:r>
          </w:p>
        </w:tc>
        <w:tc>
          <w:tcPr>
            <w:tcW w:w="2581" w:type="dxa"/>
            <w:tcBorders>
              <w:top w:val="single" w:sz="8" w:space="0" w:color="666666"/>
              <w:left w:val="single" w:sz="8" w:space="0" w:color="666666"/>
              <w:bottom w:val="single" w:sz="8" w:space="0" w:color="666666"/>
              <w:right w:val="single" w:sz="8" w:space="0" w:color="666666"/>
            </w:tcBorders>
            <w:shd w:val="clear" w:color="auto" w:fill="FFD39B"/>
            <w:tcMar>
              <w:top w:w="0" w:type="dxa"/>
              <w:left w:w="0" w:type="dxa"/>
              <w:bottom w:w="0" w:type="dxa"/>
              <w:right w:w="0" w:type="dxa"/>
            </w:tcMar>
            <w:vAlign w:val="center"/>
          </w:tcPr>
          <w:p w14:paraId="0E222047" w14:textId="77777777" w:rsidR="00B14DE7" w:rsidRDefault="00BD3D32">
            <w:pPr>
              <w:spacing w:before="10" w:after="10"/>
              <w:ind w:left="10" w:right="10"/>
            </w:pPr>
            <w:r>
              <w:rPr>
                <w:rFonts w:ascii="Calibri" w:eastAsia="Calibri" w:hAnsi="Calibri" w:cs="Calibri"/>
                <w:color w:val="111111"/>
                <w:sz w:val="18"/>
                <w:szCs w:val="18"/>
              </w:rPr>
              <w:t>Horizon House - Old York DBT</w:t>
            </w:r>
          </w:p>
        </w:tc>
        <w:tc>
          <w:tcPr>
            <w:tcW w:w="1331" w:type="dxa"/>
            <w:tcBorders>
              <w:top w:val="single" w:sz="8" w:space="0" w:color="666666"/>
              <w:left w:val="single" w:sz="8" w:space="0" w:color="666666"/>
              <w:bottom w:val="single" w:sz="8" w:space="0" w:color="666666"/>
              <w:right w:val="single" w:sz="8" w:space="0" w:color="666666"/>
            </w:tcBorders>
            <w:shd w:val="clear" w:color="auto" w:fill="FFD39B"/>
            <w:tcMar>
              <w:top w:w="0" w:type="dxa"/>
              <w:left w:w="0" w:type="dxa"/>
              <w:bottom w:w="0" w:type="dxa"/>
              <w:right w:w="0" w:type="dxa"/>
            </w:tcMar>
            <w:vAlign w:val="center"/>
          </w:tcPr>
          <w:p w14:paraId="4E3D05E1" w14:textId="77777777" w:rsidR="00B14DE7" w:rsidRDefault="00BD3D32">
            <w:pPr>
              <w:spacing w:before="10" w:after="10"/>
              <w:ind w:left="10" w:right="10"/>
              <w:jc w:val="center"/>
            </w:pPr>
            <w:r>
              <w:rPr>
                <w:rFonts w:ascii="Calibri" w:eastAsia="Calibri" w:hAnsi="Calibri" w:cs="Calibri"/>
                <w:color w:val="111111"/>
                <w:sz w:val="18"/>
                <w:szCs w:val="18"/>
              </w:rPr>
              <w:t>6</w:t>
            </w:r>
          </w:p>
        </w:tc>
        <w:tc>
          <w:tcPr>
            <w:tcW w:w="1371" w:type="dxa"/>
            <w:tcBorders>
              <w:top w:val="single" w:sz="8" w:space="0" w:color="666666"/>
              <w:left w:val="single" w:sz="8" w:space="0" w:color="666666"/>
              <w:bottom w:val="single" w:sz="8" w:space="0" w:color="666666"/>
              <w:right w:val="single" w:sz="8" w:space="0" w:color="666666"/>
            </w:tcBorders>
            <w:shd w:val="clear" w:color="auto" w:fill="FFD39B"/>
            <w:tcMar>
              <w:top w:w="0" w:type="dxa"/>
              <w:left w:w="0" w:type="dxa"/>
              <w:bottom w:w="0" w:type="dxa"/>
              <w:right w:w="0" w:type="dxa"/>
            </w:tcMar>
            <w:vAlign w:val="center"/>
          </w:tcPr>
          <w:p w14:paraId="16176A86" w14:textId="77777777" w:rsidR="00B14DE7" w:rsidRDefault="00BD3D32">
            <w:pPr>
              <w:spacing w:before="10" w:after="10"/>
              <w:ind w:left="10" w:right="10"/>
              <w:jc w:val="center"/>
            </w:pPr>
            <w:r>
              <w:rPr>
                <w:rFonts w:ascii="Calibri" w:eastAsia="Calibri" w:hAnsi="Calibri" w:cs="Calibri"/>
                <w:color w:val="111111"/>
                <w:sz w:val="18"/>
                <w:szCs w:val="18"/>
              </w:rPr>
              <w:t>4</w:t>
            </w:r>
          </w:p>
        </w:tc>
        <w:tc>
          <w:tcPr>
            <w:tcW w:w="2651" w:type="dxa"/>
            <w:tcBorders>
              <w:top w:val="single" w:sz="8" w:space="0" w:color="666666"/>
              <w:left w:val="single" w:sz="8" w:space="0" w:color="666666"/>
              <w:bottom w:val="single" w:sz="8" w:space="0" w:color="666666"/>
              <w:right w:val="single" w:sz="8" w:space="0" w:color="666666"/>
            </w:tcBorders>
            <w:shd w:val="clear" w:color="auto" w:fill="FFD39B"/>
            <w:tcMar>
              <w:top w:w="0" w:type="dxa"/>
              <w:left w:w="0" w:type="dxa"/>
              <w:bottom w:w="0" w:type="dxa"/>
              <w:right w:w="0" w:type="dxa"/>
            </w:tcMar>
            <w:vAlign w:val="center"/>
          </w:tcPr>
          <w:p w14:paraId="1B5E4BBB" w14:textId="77777777" w:rsidR="00B14DE7" w:rsidRDefault="00BD3D32">
            <w:pPr>
              <w:spacing w:before="10" w:after="10"/>
              <w:ind w:left="10" w:right="10"/>
              <w:jc w:val="center"/>
            </w:pPr>
            <w:r>
              <w:rPr>
                <w:rFonts w:ascii="Calibri" w:eastAsia="Calibri" w:hAnsi="Calibri" w:cs="Calibri"/>
                <w:color w:val="111111"/>
                <w:sz w:val="18"/>
                <w:szCs w:val="18"/>
              </w:rPr>
              <w:t>1</w:t>
            </w:r>
          </w:p>
        </w:tc>
        <w:tc>
          <w:tcPr>
            <w:tcW w:w="2271" w:type="dxa"/>
            <w:tcBorders>
              <w:top w:val="single" w:sz="8" w:space="0" w:color="666666"/>
              <w:left w:val="single" w:sz="8" w:space="0" w:color="666666"/>
              <w:bottom w:val="single" w:sz="8" w:space="0" w:color="666666"/>
              <w:right w:val="single" w:sz="8" w:space="0" w:color="666666"/>
            </w:tcBorders>
            <w:shd w:val="clear" w:color="auto" w:fill="FFD39B"/>
            <w:tcMar>
              <w:top w:w="0" w:type="dxa"/>
              <w:left w:w="0" w:type="dxa"/>
              <w:bottom w:w="0" w:type="dxa"/>
              <w:right w:w="0" w:type="dxa"/>
            </w:tcMar>
            <w:vAlign w:val="center"/>
          </w:tcPr>
          <w:p w14:paraId="0B8C0F7E" w14:textId="77777777" w:rsidR="00B14DE7" w:rsidRDefault="00BD3D32">
            <w:pPr>
              <w:spacing w:before="10" w:after="10"/>
              <w:ind w:left="10" w:right="10"/>
              <w:jc w:val="center"/>
            </w:pPr>
            <w:r>
              <w:rPr>
                <w:rFonts w:ascii="Calibri" w:eastAsia="Calibri" w:hAnsi="Calibri" w:cs="Calibri"/>
                <w:color w:val="111111"/>
                <w:sz w:val="18"/>
                <w:szCs w:val="18"/>
              </w:rPr>
              <w:t>NA</w:t>
            </w:r>
          </w:p>
        </w:tc>
      </w:tr>
      <w:tr w:rsidR="00B14DE7" w14:paraId="0A7FC3D9" w14:textId="77777777">
        <w:trPr>
          <w:cantSplit/>
          <w:jc w:val="center"/>
        </w:trPr>
        <w:tc>
          <w:tcPr>
            <w:tcW w:w="1586" w:type="dxa"/>
            <w:vMerge/>
            <w:tcBorders>
              <w:top w:val="single" w:sz="8" w:space="0" w:color="666666"/>
              <w:left w:val="single" w:sz="8" w:space="0" w:color="666666"/>
              <w:bottom w:val="single" w:sz="8" w:space="0" w:color="666666"/>
              <w:right w:val="single" w:sz="8" w:space="0" w:color="666666"/>
            </w:tcBorders>
            <w:shd w:val="clear" w:color="auto" w:fill="EEC591"/>
            <w:tcMar>
              <w:top w:w="0" w:type="dxa"/>
              <w:left w:w="0" w:type="dxa"/>
              <w:bottom w:w="0" w:type="dxa"/>
              <w:right w:w="0" w:type="dxa"/>
            </w:tcMar>
            <w:vAlign w:val="center"/>
          </w:tcPr>
          <w:p w14:paraId="4D2E82A4" w14:textId="77777777" w:rsidR="00B14DE7" w:rsidRDefault="00B14DE7">
            <w:pPr>
              <w:spacing w:before="10" w:after="10"/>
              <w:ind w:left="10" w:right="10"/>
            </w:pPr>
          </w:p>
        </w:tc>
        <w:tc>
          <w:tcPr>
            <w:tcW w:w="2581" w:type="dxa"/>
            <w:tcBorders>
              <w:top w:val="single" w:sz="8" w:space="0" w:color="666666"/>
              <w:left w:val="single" w:sz="8" w:space="0" w:color="666666"/>
              <w:bottom w:val="single" w:sz="8" w:space="0" w:color="666666"/>
              <w:right w:val="single" w:sz="8" w:space="0" w:color="666666"/>
            </w:tcBorders>
            <w:shd w:val="clear" w:color="auto" w:fill="EEC591"/>
            <w:tcMar>
              <w:top w:w="0" w:type="dxa"/>
              <w:left w:w="0" w:type="dxa"/>
              <w:bottom w:w="0" w:type="dxa"/>
              <w:right w:w="0" w:type="dxa"/>
            </w:tcMar>
            <w:vAlign w:val="center"/>
          </w:tcPr>
          <w:p w14:paraId="0C569C1B" w14:textId="77777777" w:rsidR="00B14DE7" w:rsidRDefault="00BD3D32">
            <w:pPr>
              <w:spacing w:before="10" w:after="10"/>
              <w:ind w:left="10" w:right="10"/>
            </w:pPr>
            <w:r>
              <w:rPr>
                <w:rFonts w:ascii="Calibri" w:eastAsia="Calibri" w:hAnsi="Calibri" w:cs="Calibri"/>
                <w:color w:val="111111"/>
                <w:sz w:val="18"/>
                <w:szCs w:val="18"/>
              </w:rPr>
              <w:t>Gaudenzia RTFA</w:t>
            </w:r>
          </w:p>
        </w:tc>
        <w:tc>
          <w:tcPr>
            <w:tcW w:w="1331" w:type="dxa"/>
            <w:tcBorders>
              <w:top w:val="single" w:sz="8" w:space="0" w:color="666666"/>
              <w:left w:val="single" w:sz="8" w:space="0" w:color="666666"/>
              <w:bottom w:val="single" w:sz="8" w:space="0" w:color="666666"/>
              <w:right w:val="single" w:sz="8" w:space="0" w:color="666666"/>
            </w:tcBorders>
            <w:shd w:val="clear" w:color="auto" w:fill="EEC591"/>
            <w:tcMar>
              <w:top w:w="0" w:type="dxa"/>
              <w:left w:w="0" w:type="dxa"/>
              <w:bottom w:w="0" w:type="dxa"/>
              <w:right w:w="0" w:type="dxa"/>
            </w:tcMar>
            <w:vAlign w:val="center"/>
          </w:tcPr>
          <w:p w14:paraId="71AF7912" w14:textId="77777777" w:rsidR="00B14DE7" w:rsidRDefault="00BD3D32">
            <w:pPr>
              <w:spacing w:before="10" w:after="10"/>
              <w:ind w:left="10" w:right="10"/>
              <w:jc w:val="center"/>
            </w:pPr>
            <w:r>
              <w:rPr>
                <w:rFonts w:ascii="Calibri" w:eastAsia="Calibri" w:hAnsi="Calibri" w:cs="Calibri"/>
                <w:color w:val="111111"/>
                <w:sz w:val="18"/>
                <w:szCs w:val="18"/>
              </w:rPr>
              <w:t>14</w:t>
            </w:r>
          </w:p>
        </w:tc>
        <w:tc>
          <w:tcPr>
            <w:tcW w:w="1371" w:type="dxa"/>
            <w:tcBorders>
              <w:top w:val="single" w:sz="8" w:space="0" w:color="666666"/>
              <w:left w:val="single" w:sz="8" w:space="0" w:color="666666"/>
              <w:bottom w:val="single" w:sz="8" w:space="0" w:color="666666"/>
              <w:right w:val="single" w:sz="8" w:space="0" w:color="666666"/>
            </w:tcBorders>
            <w:shd w:val="clear" w:color="auto" w:fill="EEC591"/>
            <w:tcMar>
              <w:top w:w="0" w:type="dxa"/>
              <w:left w:w="0" w:type="dxa"/>
              <w:bottom w:w="0" w:type="dxa"/>
              <w:right w:w="0" w:type="dxa"/>
            </w:tcMar>
            <w:vAlign w:val="center"/>
          </w:tcPr>
          <w:p w14:paraId="73C48965" w14:textId="77777777" w:rsidR="00B14DE7" w:rsidRDefault="00BD3D32">
            <w:pPr>
              <w:spacing w:before="10" w:after="10"/>
              <w:ind w:left="10" w:right="10"/>
              <w:jc w:val="center"/>
            </w:pPr>
            <w:r>
              <w:rPr>
                <w:rFonts w:ascii="Calibri" w:eastAsia="Calibri" w:hAnsi="Calibri" w:cs="Calibri"/>
                <w:color w:val="111111"/>
                <w:sz w:val="18"/>
                <w:szCs w:val="18"/>
              </w:rPr>
              <w:t>10</w:t>
            </w:r>
          </w:p>
        </w:tc>
        <w:tc>
          <w:tcPr>
            <w:tcW w:w="2651" w:type="dxa"/>
            <w:tcBorders>
              <w:top w:val="single" w:sz="8" w:space="0" w:color="666666"/>
              <w:left w:val="single" w:sz="8" w:space="0" w:color="666666"/>
              <w:bottom w:val="single" w:sz="8" w:space="0" w:color="666666"/>
              <w:right w:val="single" w:sz="8" w:space="0" w:color="666666"/>
            </w:tcBorders>
            <w:shd w:val="clear" w:color="auto" w:fill="EEC591"/>
            <w:tcMar>
              <w:top w:w="0" w:type="dxa"/>
              <w:left w:w="0" w:type="dxa"/>
              <w:bottom w:w="0" w:type="dxa"/>
              <w:right w:w="0" w:type="dxa"/>
            </w:tcMar>
            <w:vAlign w:val="center"/>
          </w:tcPr>
          <w:p w14:paraId="55D7CA39" w14:textId="77777777" w:rsidR="00B14DE7" w:rsidRDefault="00BD3D32">
            <w:pPr>
              <w:spacing w:before="10" w:after="10"/>
              <w:ind w:left="10" w:right="10"/>
              <w:jc w:val="center"/>
            </w:pPr>
            <w:r>
              <w:rPr>
                <w:rFonts w:ascii="Calibri" w:eastAsia="Calibri" w:hAnsi="Calibri" w:cs="Calibri"/>
                <w:color w:val="111111"/>
                <w:sz w:val="18"/>
                <w:szCs w:val="18"/>
              </w:rPr>
              <w:t>30</w:t>
            </w:r>
          </w:p>
        </w:tc>
        <w:tc>
          <w:tcPr>
            <w:tcW w:w="2271" w:type="dxa"/>
            <w:vMerge w:val="restart"/>
            <w:tcBorders>
              <w:top w:val="single" w:sz="8" w:space="0" w:color="666666"/>
              <w:left w:val="single" w:sz="8" w:space="0" w:color="666666"/>
              <w:bottom w:val="single" w:sz="8" w:space="0" w:color="666666"/>
              <w:right w:val="single" w:sz="8" w:space="0" w:color="666666"/>
            </w:tcBorders>
            <w:shd w:val="clear" w:color="auto" w:fill="EEC591"/>
            <w:tcMar>
              <w:top w:w="0" w:type="dxa"/>
              <w:left w:w="0" w:type="dxa"/>
              <w:bottom w:w="0" w:type="dxa"/>
              <w:right w:w="0" w:type="dxa"/>
            </w:tcMar>
            <w:vAlign w:val="center"/>
          </w:tcPr>
          <w:p w14:paraId="5275C127" w14:textId="77777777" w:rsidR="00B14DE7" w:rsidRDefault="00BD3D32">
            <w:pPr>
              <w:spacing w:before="10" w:after="10"/>
              <w:ind w:left="10" w:right="10"/>
              <w:jc w:val="center"/>
            </w:pPr>
            <w:r>
              <w:rPr>
                <w:rFonts w:ascii="Calibri" w:eastAsia="Calibri" w:hAnsi="Calibri" w:cs="Calibri"/>
                <w:color w:val="111111"/>
                <w:sz w:val="18"/>
                <w:szCs w:val="18"/>
              </w:rPr>
              <w:t>NA</w:t>
            </w:r>
          </w:p>
        </w:tc>
      </w:tr>
      <w:tr w:rsidR="00B14DE7" w14:paraId="4A2E2107" w14:textId="77777777">
        <w:trPr>
          <w:cantSplit/>
          <w:jc w:val="center"/>
        </w:trPr>
        <w:tc>
          <w:tcPr>
            <w:tcW w:w="1586" w:type="dxa"/>
            <w:vMerge/>
            <w:tcBorders>
              <w:top w:val="single" w:sz="8" w:space="0" w:color="666666"/>
              <w:left w:val="single" w:sz="8" w:space="0" w:color="666666"/>
              <w:bottom w:val="single" w:sz="8" w:space="0" w:color="666666"/>
              <w:right w:val="single" w:sz="8" w:space="0" w:color="666666"/>
            </w:tcBorders>
            <w:shd w:val="clear" w:color="auto" w:fill="EEC591"/>
            <w:tcMar>
              <w:top w:w="0" w:type="dxa"/>
              <w:left w:w="0" w:type="dxa"/>
              <w:bottom w:w="0" w:type="dxa"/>
              <w:right w:w="0" w:type="dxa"/>
            </w:tcMar>
            <w:vAlign w:val="center"/>
          </w:tcPr>
          <w:p w14:paraId="628904AB" w14:textId="77777777" w:rsidR="00B14DE7" w:rsidRDefault="00B14DE7">
            <w:pPr>
              <w:spacing w:before="10" w:after="10"/>
              <w:ind w:left="10" w:right="10"/>
            </w:pPr>
          </w:p>
        </w:tc>
        <w:tc>
          <w:tcPr>
            <w:tcW w:w="2581" w:type="dxa"/>
            <w:tcBorders>
              <w:top w:val="single" w:sz="8" w:space="0" w:color="666666"/>
              <w:left w:val="single" w:sz="8" w:space="0" w:color="666666"/>
              <w:bottom w:val="single" w:sz="8" w:space="0" w:color="666666"/>
              <w:right w:val="single" w:sz="8" w:space="0" w:color="666666"/>
            </w:tcBorders>
            <w:shd w:val="clear" w:color="auto" w:fill="EEC591"/>
            <w:tcMar>
              <w:top w:w="0" w:type="dxa"/>
              <w:left w:w="0" w:type="dxa"/>
              <w:bottom w:w="0" w:type="dxa"/>
              <w:right w:w="0" w:type="dxa"/>
            </w:tcMar>
            <w:vAlign w:val="center"/>
          </w:tcPr>
          <w:p w14:paraId="3D84EDBC" w14:textId="77777777" w:rsidR="00B14DE7" w:rsidRDefault="00BD3D32">
            <w:pPr>
              <w:spacing w:before="10" w:after="10"/>
              <w:ind w:left="10" w:right="10"/>
            </w:pPr>
            <w:r>
              <w:rPr>
                <w:rFonts w:ascii="Calibri" w:eastAsia="Calibri" w:hAnsi="Calibri" w:cs="Calibri"/>
                <w:color w:val="111111"/>
                <w:sz w:val="18"/>
                <w:szCs w:val="18"/>
              </w:rPr>
              <w:t>New Vitae - South</w:t>
            </w:r>
          </w:p>
        </w:tc>
        <w:tc>
          <w:tcPr>
            <w:tcW w:w="1331" w:type="dxa"/>
            <w:tcBorders>
              <w:top w:val="single" w:sz="8" w:space="0" w:color="666666"/>
              <w:left w:val="single" w:sz="8" w:space="0" w:color="666666"/>
              <w:bottom w:val="single" w:sz="8" w:space="0" w:color="666666"/>
              <w:right w:val="single" w:sz="8" w:space="0" w:color="666666"/>
            </w:tcBorders>
            <w:shd w:val="clear" w:color="auto" w:fill="EEC591"/>
            <w:tcMar>
              <w:top w:w="0" w:type="dxa"/>
              <w:left w:w="0" w:type="dxa"/>
              <w:bottom w:w="0" w:type="dxa"/>
              <w:right w:w="0" w:type="dxa"/>
            </w:tcMar>
            <w:vAlign w:val="center"/>
          </w:tcPr>
          <w:p w14:paraId="2FA1286E" w14:textId="77777777" w:rsidR="00B14DE7" w:rsidRDefault="00BD3D32">
            <w:pPr>
              <w:spacing w:before="10" w:after="10"/>
              <w:ind w:left="10" w:right="10"/>
              <w:jc w:val="center"/>
            </w:pPr>
            <w:r>
              <w:rPr>
                <w:rFonts w:ascii="Calibri" w:eastAsia="Calibri" w:hAnsi="Calibri" w:cs="Calibri"/>
                <w:color w:val="111111"/>
                <w:sz w:val="18"/>
                <w:szCs w:val="18"/>
              </w:rPr>
              <w:t>11</w:t>
            </w:r>
          </w:p>
        </w:tc>
        <w:tc>
          <w:tcPr>
            <w:tcW w:w="1371" w:type="dxa"/>
            <w:tcBorders>
              <w:top w:val="single" w:sz="8" w:space="0" w:color="666666"/>
              <w:left w:val="single" w:sz="8" w:space="0" w:color="666666"/>
              <w:bottom w:val="single" w:sz="8" w:space="0" w:color="666666"/>
              <w:right w:val="single" w:sz="8" w:space="0" w:color="666666"/>
            </w:tcBorders>
            <w:shd w:val="clear" w:color="auto" w:fill="EEC591"/>
            <w:tcMar>
              <w:top w:w="0" w:type="dxa"/>
              <w:left w:w="0" w:type="dxa"/>
              <w:bottom w:w="0" w:type="dxa"/>
              <w:right w:w="0" w:type="dxa"/>
            </w:tcMar>
            <w:vAlign w:val="center"/>
          </w:tcPr>
          <w:p w14:paraId="5498C359" w14:textId="77777777" w:rsidR="00B14DE7" w:rsidRDefault="00BD3D32">
            <w:pPr>
              <w:spacing w:before="10" w:after="10"/>
              <w:ind w:left="10" w:right="10"/>
              <w:jc w:val="center"/>
            </w:pPr>
            <w:r>
              <w:rPr>
                <w:rFonts w:ascii="Calibri" w:eastAsia="Calibri" w:hAnsi="Calibri" w:cs="Calibri"/>
                <w:color w:val="111111"/>
                <w:sz w:val="18"/>
                <w:szCs w:val="18"/>
              </w:rPr>
              <w:t>10</w:t>
            </w:r>
          </w:p>
        </w:tc>
        <w:tc>
          <w:tcPr>
            <w:tcW w:w="2651" w:type="dxa"/>
            <w:tcBorders>
              <w:top w:val="single" w:sz="8" w:space="0" w:color="666666"/>
              <w:left w:val="single" w:sz="8" w:space="0" w:color="666666"/>
              <w:bottom w:val="single" w:sz="8" w:space="0" w:color="666666"/>
              <w:right w:val="single" w:sz="8" w:space="0" w:color="666666"/>
            </w:tcBorders>
            <w:shd w:val="clear" w:color="auto" w:fill="EEC591"/>
            <w:tcMar>
              <w:top w:w="0" w:type="dxa"/>
              <w:left w:w="0" w:type="dxa"/>
              <w:bottom w:w="0" w:type="dxa"/>
              <w:right w:w="0" w:type="dxa"/>
            </w:tcMar>
            <w:vAlign w:val="center"/>
          </w:tcPr>
          <w:p w14:paraId="038B20CD" w14:textId="77777777" w:rsidR="00B14DE7" w:rsidRDefault="00BD3D32">
            <w:pPr>
              <w:spacing w:before="10" w:after="10"/>
              <w:ind w:left="10" w:right="10"/>
              <w:jc w:val="center"/>
            </w:pPr>
            <w:r>
              <w:rPr>
                <w:rFonts w:ascii="Calibri" w:eastAsia="Calibri" w:hAnsi="Calibri" w:cs="Calibri"/>
                <w:color w:val="111111"/>
                <w:sz w:val="18"/>
                <w:szCs w:val="18"/>
              </w:rPr>
              <w:t>10</w:t>
            </w:r>
          </w:p>
        </w:tc>
        <w:tc>
          <w:tcPr>
            <w:tcW w:w="2271" w:type="dxa"/>
            <w:vMerge/>
            <w:tcBorders>
              <w:top w:val="single" w:sz="8" w:space="0" w:color="666666"/>
              <w:left w:val="single" w:sz="8" w:space="0" w:color="666666"/>
              <w:bottom w:val="single" w:sz="8" w:space="0" w:color="666666"/>
              <w:right w:val="single" w:sz="8" w:space="0" w:color="666666"/>
            </w:tcBorders>
            <w:shd w:val="clear" w:color="auto" w:fill="EEC591"/>
            <w:tcMar>
              <w:top w:w="0" w:type="dxa"/>
              <w:left w:w="0" w:type="dxa"/>
              <w:bottom w:w="0" w:type="dxa"/>
              <w:right w:w="0" w:type="dxa"/>
            </w:tcMar>
            <w:vAlign w:val="center"/>
          </w:tcPr>
          <w:p w14:paraId="0B76086E" w14:textId="77777777" w:rsidR="00B14DE7" w:rsidRDefault="00B14DE7">
            <w:pPr>
              <w:spacing w:before="10" w:after="10"/>
              <w:ind w:left="10" w:right="10"/>
              <w:jc w:val="center"/>
            </w:pPr>
          </w:p>
        </w:tc>
      </w:tr>
      <w:tr w:rsidR="00B14DE7" w14:paraId="5C3C980C" w14:textId="77777777">
        <w:trPr>
          <w:cantSplit/>
          <w:jc w:val="center"/>
        </w:trPr>
        <w:tc>
          <w:tcPr>
            <w:tcW w:w="1586" w:type="dxa"/>
            <w:vMerge/>
            <w:tcBorders>
              <w:top w:val="single" w:sz="8" w:space="0" w:color="666666"/>
              <w:left w:val="single" w:sz="8" w:space="0" w:color="666666"/>
              <w:bottom w:val="single" w:sz="8" w:space="0" w:color="666666"/>
              <w:right w:val="single" w:sz="8" w:space="0" w:color="666666"/>
            </w:tcBorders>
            <w:shd w:val="clear" w:color="auto" w:fill="EEC591"/>
            <w:tcMar>
              <w:top w:w="0" w:type="dxa"/>
              <w:left w:w="0" w:type="dxa"/>
              <w:bottom w:w="0" w:type="dxa"/>
              <w:right w:w="0" w:type="dxa"/>
            </w:tcMar>
            <w:vAlign w:val="center"/>
          </w:tcPr>
          <w:p w14:paraId="66B5E4CE" w14:textId="77777777" w:rsidR="00B14DE7" w:rsidRDefault="00B14DE7">
            <w:pPr>
              <w:spacing w:before="10" w:after="10"/>
              <w:ind w:left="10" w:right="10"/>
            </w:pPr>
          </w:p>
        </w:tc>
        <w:tc>
          <w:tcPr>
            <w:tcW w:w="2581" w:type="dxa"/>
            <w:tcBorders>
              <w:top w:val="single" w:sz="8" w:space="0" w:color="666666"/>
              <w:left w:val="single" w:sz="8" w:space="0" w:color="666666"/>
              <w:bottom w:val="single" w:sz="8" w:space="0" w:color="666666"/>
              <w:right w:val="single" w:sz="8" w:space="0" w:color="666666"/>
            </w:tcBorders>
            <w:shd w:val="clear" w:color="auto" w:fill="EEC591"/>
            <w:tcMar>
              <w:top w:w="0" w:type="dxa"/>
              <w:left w:w="0" w:type="dxa"/>
              <w:bottom w:w="0" w:type="dxa"/>
              <w:right w:w="0" w:type="dxa"/>
            </w:tcMar>
            <w:vAlign w:val="center"/>
          </w:tcPr>
          <w:p w14:paraId="6B1795D0" w14:textId="77777777" w:rsidR="00B14DE7" w:rsidRDefault="00BD3D32">
            <w:pPr>
              <w:spacing w:before="10" w:after="10"/>
              <w:ind w:left="10" w:right="10"/>
            </w:pPr>
            <w:r>
              <w:rPr>
                <w:rFonts w:ascii="Calibri" w:eastAsia="Calibri" w:hAnsi="Calibri" w:cs="Calibri"/>
                <w:color w:val="111111"/>
                <w:sz w:val="18"/>
                <w:szCs w:val="18"/>
              </w:rPr>
              <w:t>New Vitae - West I</w:t>
            </w:r>
          </w:p>
        </w:tc>
        <w:tc>
          <w:tcPr>
            <w:tcW w:w="1331" w:type="dxa"/>
            <w:tcBorders>
              <w:top w:val="single" w:sz="8" w:space="0" w:color="666666"/>
              <w:left w:val="single" w:sz="8" w:space="0" w:color="666666"/>
              <w:bottom w:val="single" w:sz="8" w:space="0" w:color="666666"/>
              <w:right w:val="single" w:sz="8" w:space="0" w:color="666666"/>
            </w:tcBorders>
            <w:shd w:val="clear" w:color="auto" w:fill="EEC591"/>
            <w:tcMar>
              <w:top w:w="0" w:type="dxa"/>
              <w:left w:w="0" w:type="dxa"/>
              <w:bottom w:w="0" w:type="dxa"/>
              <w:right w:w="0" w:type="dxa"/>
            </w:tcMar>
            <w:vAlign w:val="center"/>
          </w:tcPr>
          <w:p w14:paraId="02DB4ABF" w14:textId="77777777" w:rsidR="00B14DE7" w:rsidRDefault="00BD3D32">
            <w:pPr>
              <w:spacing w:before="10" w:after="10"/>
              <w:ind w:left="10" w:right="10"/>
              <w:jc w:val="center"/>
            </w:pPr>
            <w:r>
              <w:rPr>
                <w:rFonts w:ascii="Calibri" w:eastAsia="Calibri" w:hAnsi="Calibri" w:cs="Calibri"/>
                <w:color w:val="111111"/>
                <w:sz w:val="18"/>
                <w:szCs w:val="18"/>
              </w:rPr>
              <w:t>12</w:t>
            </w:r>
          </w:p>
        </w:tc>
        <w:tc>
          <w:tcPr>
            <w:tcW w:w="1371" w:type="dxa"/>
            <w:tcBorders>
              <w:top w:val="single" w:sz="8" w:space="0" w:color="666666"/>
              <w:left w:val="single" w:sz="8" w:space="0" w:color="666666"/>
              <w:bottom w:val="single" w:sz="8" w:space="0" w:color="666666"/>
              <w:right w:val="single" w:sz="8" w:space="0" w:color="666666"/>
            </w:tcBorders>
            <w:shd w:val="clear" w:color="auto" w:fill="EEC591"/>
            <w:tcMar>
              <w:top w:w="0" w:type="dxa"/>
              <w:left w:w="0" w:type="dxa"/>
              <w:bottom w:w="0" w:type="dxa"/>
              <w:right w:w="0" w:type="dxa"/>
            </w:tcMar>
            <w:vAlign w:val="center"/>
          </w:tcPr>
          <w:p w14:paraId="31CF305E" w14:textId="77777777" w:rsidR="00B14DE7" w:rsidRDefault="00BD3D32">
            <w:pPr>
              <w:spacing w:before="10" w:after="10"/>
              <w:ind w:left="10" w:right="10"/>
              <w:jc w:val="center"/>
            </w:pPr>
            <w:r>
              <w:rPr>
                <w:rFonts w:ascii="Calibri" w:eastAsia="Calibri" w:hAnsi="Calibri" w:cs="Calibri"/>
                <w:color w:val="111111"/>
                <w:sz w:val="18"/>
                <w:szCs w:val="18"/>
              </w:rPr>
              <w:t>11</w:t>
            </w:r>
          </w:p>
        </w:tc>
        <w:tc>
          <w:tcPr>
            <w:tcW w:w="2651" w:type="dxa"/>
            <w:tcBorders>
              <w:top w:val="single" w:sz="8" w:space="0" w:color="666666"/>
              <w:left w:val="single" w:sz="8" w:space="0" w:color="666666"/>
              <w:bottom w:val="single" w:sz="8" w:space="0" w:color="666666"/>
              <w:right w:val="single" w:sz="8" w:space="0" w:color="666666"/>
            </w:tcBorders>
            <w:shd w:val="clear" w:color="auto" w:fill="EEC591"/>
            <w:tcMar>
              <w:top w:w="0" w:type="dxa"/>
              <w:left w:w="0" w:type="dxa"/>
              <w:bottom w:w="0" w:type="dxa"/>
              <w:right w:w="0" w:type="dxa"/>
            </w:tcMar>
            <w:vAlign w:val="center"/>
          </w:tcPr>
          <w:p w14:paraId="747F5BB7" w14:textId="77777777" w:rsidR="00B14DE7" w:rsidRDefault="00BD3D32">
            <w:pPr>
              <w:spacing w:before="10" w:after="10"/>
              <w:ind w:left="10" w:right="10"/>
              <w:jc w:val="center"/>
            </w:pPr>
            <w:r>
              <w:rPr>
                <w:rFonts w:ascii="Calibri" w:eastAsia="Calibri" w:hAnsi="Calibri" w:cs="Calibri"/>
                <w:color w:val="111111"/>
                <w:sz w:val="18"/>
                <w:szCs w:val="18"/>
              </w:rPr>
              <w:t>12</w:t>
            </w:r>
          </w:p>
        </w:tc>
        <w:tc>
          <w:tcPr>
            <w:tcW w:w="2271" w:type="dxa"/>
            <w:vMerge/>
            <w:tcBorders>
              <w:top w:val="single" w:sz="8" w:space="0" w:color="666666"/>
              <w:left w:val="single" w:sz="8" w:space="0" w:color="666666"/>
              <w:bottom w:val="single" w:sz="8" w:space="0" w:color="666666"/>
              <w:right w:val="single" w:sz="8" w:space="0" w:color="666666"/>
            </w:tcBorders>
            <w:shd w:val="clear" w:color="auto" w:fill="EEC591"/>
            <w:tcMar>
              <w:top w:w="0" w:type="dxa"/>
              <w:left w:w="0" w:type="dxa"/>
              <w:bottom w:w="0" w:type="dxa"/>
              <w:right w:w="0" w:type="dxa"/>
            </w:tcMar>
            <w:vAlign w:val="center"/>
          </w:tcPr>
          <w:p w14:paraId="54EE7CF5" w14:textId="77777777" w:rsidR="00B14DE7" w:rsidRDefault="00B14DE7">
            <w:pPr>
              <w:spacing w:before="10" w:after="10"/>
              <w:ind w:left="10" w:right="10"/>
              <w:jc w:val="center"/>
            </w:pPr>
          </w:p>
        </w:tc>
      </w:tr>
      <w:tr w:rsidR="00B14DE7" w14:paraId="5F6A37C9" w14:textId="77777777">
        <w:trPr>
          <w:cantSplit/>
          <w:jc w:val="center"/>
        </w:trPr>
        <w:tc>
          <w:tcPr>
            <w:tcW w:w="1586" w:type="dxa"/>
            <w:vMerge/>
            <w:tcBorders>
              <w:top w:val="single" w:sz="8" w:space="0" w:color="666666"/>
              <w:left w:val="single" w:sz="8" w:space="0" w:color="666666"/>
              <w:bottom w:val="single" w:sz="8" w:space="0" w:color="666666"/>
              <w:right w:val="single" w:sz="8" w:space="0" w:color="666666"/>
            </w:tcBorders>
            <w:shd w:val="clear" w:color="auto" w:fill="EEC591"/>
            <w:tcMar>
              <w:top w:w="0" w:type="dxa"/>
              <w:left w:w="0" w:type="dxa"/>
              <w:bottom w:w="0" w:type="dxa"/>
              <w:right w:w="0" w:type="dxa"/>
            </w:tcMar>
            <w:vAlign w:val="center"/>
          </w:tcPr>
          <w:p w14:paraId="1BA1E46C" w14:textId="77777777" w:rsidR="00B14DE7" w:rsidRDefault="00B14DE7">
            <w:pPr>
              <w:spacing w:before="10" w:after="10"/>
              <w:ind w:left="10" w:right="10"/>
            </w:pPr>
          </w:p>
        </w:tc>
        <w:tc>
          <w:tcPr>
            <w:tcW w:w="2581" w:type="dxa"/>
            <w:tcBorders>
              <w:top w:val="single" w:sz="8" w:space="0" w:color="666666"/>
              <w:left w:val="single" w:sz="8" w:space="0" w:color="666666"/>
              <w:bottom w:val="single" w:sz="8" w:space="0" w:color="666666"/>
              <w:right w:val="single" w:sz="8" w:space="0" w:color="666666"/>
            </w:tcBorders>
            <w:shd w:val="clear" w:color="auto" w:fill="EEC591"/>
            <w:tcMar>
              <w:top w:w="0" w:type="dxa"/>
              <w:left w:w="0" w:type="dxa"/>
              <w:bottom w:w="0" w:type="dxa"/>
              <w:right w:w="0" w:type="dxa"/>
            </w:tcMar>
            <w:vAlign w:val="center"/>
          </w:tcPr>
          <w:p w14:paraId="2CC4B177" w14:textId="77777777" w:rsidR="00B14DE7" w:rsidRDefault="00BD3D32">
            <w:pPr>
              <w:spacing w:before="10" w:after="10"/>
              <w:ind w:left="10" w:right="10"/>
            </w:pPr>
            <w:r>
              <w:rPr>
                <w:rFonts w:ascii="Calibri" w:eastAsia="Calibri" w:hAnsi="Calibri" w:cs="Calibri"/>
                <w:color w:val="111111"/>
                <w:sz w:val="18"/>
                <w:szCs w:val="18"/>
              </w:rPr>
              <w:t>New Vitae - West II</w:t>
            </w:r>
          </w:p>
        </w:tc>
        <w:tc>
          <w:tcPr>
            <w:tcW w:w="1331" w:type="dxa"/>
            <w:tcBorders>
              <w:top w:val="single" w:sz="8" w:space="0" w:color="666666"/>
              <w:left w:val="single" w:sz="8" w:space="0" w:color="666666"/>
              <w:bottom w:val="single" w:sz="8" w:space="0" w:color="666666"/>
              <w:right w:val="single" w:sz="8" w:space="0" w:color="666666"/>
            </w:tcBorders>
            <w:shd w:val="clear" w:color="auto" w:fill="EEC591"/>
            <w:tcMar>
              <w:top w:w="0" w:type="dxa"/>
              <w:left w:w="0" w:type="dxa"/>
              <w:bottom w:w="0" w:type="dxa"/>
              <w:right w:w="0" w:type="dxa"/>
            </w:tcMar>
            <w:vAlign w:val="center"/>
          </w:tcPr>
          <w:p w14:paraId="10D8FED8" w14:textId="77777777" w:rsidR="00B14DE7" w:rsidRDefault="00BD3D32">
            <w:pPr>
              <w:spacing w:before="10" w:after="10"/>
              <w:ind w:left="10" w:right="10"/>
              <w:jc w:val="center"/>
            </w:pPr>
            <w:r>
              <w:rPr>
                <w:rFonts w:ascii="Calibri" w:eastAsia="Calibri" w:hAnsi="Calibri" w:cs="Calibri"/>
                <w:color w:val="111111"/>
                <w:sz w:val="18"/>
                <w:szCs w:val="18"/>
              </w:rPr>
              <w:t>12</w:t>
            </w:r>
          </w:p>
        </w:tc>
        <w:tc>
          <w:tcPr>
            <w:tcW w:w="1371" w:type="dxa"/>
            <w:tcBorders>
              <w:top w:val="single" w:sz="8" w:space="0" w:color="666666"/>
              <w:left w:val="single" w:sz="8" w:space="0" w:color="666666"/>
              <w:bottom w:val="single" w:sz="8" w:space="0" w:color="666666"/>
              <w:right w:val="single" w:sz="8" w:space="0" w:color="666666"/>
            </w:tcBorders>
            <w:shd w:val="clear" w:color="auto" w:fill="EEC591"/>
            <w:tcMar>
              <w:top w:w="0" w:type="dxa"/>
              <w:left w:w="0" w:type="dxa"/>
              <w:bottom w:w="0" w:type="dxa"/>
              <w:right w:w="0" w:type="dxa"/>
            </w:tcMar>
            <w:vAlign w:val="center"/>
          </w:tcPr>
          <w:p w14:paraId="6FB56B6C" w14:textId="77777777" w:rsidR="00B14DE7" w:rsidRDefault="00BD3D32">
            <w:pPr>
              <w:spacing w:before="10" w:after="10"/>
              <w:ind w:left="10" w:right="10"/>
              <w:jc w:val="center"/>
            </w:pPr>
            <w:r>
              <w:rPr>
                <w:rFonts w:ascii="Calibri" w:eastAsia="Calibri" w:hAnsi="Calibri" w:cs="Calibri"/>
                <w:color w:val="111111"/>
                <w:sz w:val="18"/>
                <w:szCs w:val="18"/>
              </w:rPr>
              <w:t>8</w:t>
            </w:r>
          </w:p>
        </w:tc>
        <w:tc>
          <w:tcPr>
            <w:tcW w:w="2651" w:type="dxa"/>
            <w:tcBorders>
              <w:top w:val="single" w:sz="8" w:space="0" w:color="666666"/>
              <w:left w:val="single" w:sz="8" w:space="0" w:color="666666"/>
              <w:bottom w:val="single" w:sz="8" w:space="0" w:color="666666"/>
              <w:right w:val="single" w:sz="8" w:space="0" w:color="666666"/>
            </w:tcBorders>
            <w:shd w:val="clear" w:color="auto" w:fill="EEC591"/>
            <w:tcMar>
              <w:top w:w="0" w:type="dxa"/>
              <w:left w:w="0" w:type="dxa"/>
              <w:bottom w:w="0" w:type="dxa"/>
              <w:right w:w="0" w:type="dxa"/>
            </w:tcMar>
            <w:vAlign w:val="center"/>
          </w:tcPr>
          <w:p w14:paraId="1DE70EF7" w14:textId="77777777" w:rsidR="00B14DE7" w:rsidRDefault="00BD3D32">
            <w:pPr>
              <w:spacing w:before="10" w:after="10"/>
              <w:ind w:left="10" w:right="10"/>
              <w:jc w:val="center"/>
            </w:pPr>
            <w:r>
              <w:rPr>
                <w:rFonts w:ascii="Calibri" w:eastAsia="Calibri" w:hAnsi="Calibri" w:cs="Calibri"/>
                <w:color w:val="111111"/>
                <w:sz w:val="18"/>
                <w:szCs w:val="18"/>
              </w:rPr>
              <w:t>6</w:t>
            </w:r>
          </w:p>
        </w:tc>
        <w:tc>
          <w:tcPr>
            <w:tcW w:w="2271" w:type="dxa"/>
            <w:vMerge/>
            <w:tcBorders>
              <w:top w:val="single" w:sz="8" w:space="0" w:color="666666"/>
              <w:left w:val="single" w:sz="8" w:space="0" w:color="666666"/>
              <w:bottom w:val="single" w:sz="8" w:space="0" w:color="666666"/>
              <w:right w:val="single" w:sz="8" w:space="0" w:color="666666"/>
            </w:tcBorders>
            <w:shd w:val="clear" w:color="auto" w:fill="EEC591"/>
            <w:tcMar>
              <w:top w:w="0" w:type="dxa"/>
              <w:left w:w="0" w:type="dxa"/>
              <w:bottom w:w="0" w:type="dxa"/>
              <w:right w:w="0" w:type="dxa"/>
            </w:tcMar>
            <w:vAlign w:val="center"/>
          </w:tcPr>
          <w:p w14:paraId="4435CF9B" w14:textId="77777777" w:rsidR="00B14DE7" w:rsidRDefault="00B14DE7">
            <w:pPr>
              <w:spacing w:before="10" w:after="10"/>
              <w:ind w:left="10" w:right="10"/>
              <w:jc w:val="center"/>
            </w:pPr>
          </w:p>
        </w:tc>
      </w:tr>
      <w:tr w:rsidR="00B14DE7" w14:paraId="0A818E95" w14:textId="77777777">
        <w:trPr>
          <w:cantSplit/>
          <w:jc w:val="center"/>
        </w:trPr>
        <w:tc>
          <w:tcPr>
            <w:tcW w:w="1586" w:type="dxa"/>
            <w:vMerge/>
            <w:tcBorders>
              <w:top w:val="single" w:sz="8" w:space="0" w:color="666666"/>
              <w:left w:val="single" w:sz="8" w:space="0" w:color="666666"/>
              <w:bottom w:val="single" w:sz="8" w:space="0" w:color="666666"/>
              <w:right w:val="single" w:sz="8" w:space="0" w:color="666666"/>
            </w:tcBorders>
            <w:shd w:val="clear" w:color="auto" w:fill="DEB887"/>
            <w:tcMar>
              <w:top w:w="0" w:type="dxa"/>
              <w:left w:w="0" w:type="dxa"/>
              <w:bottom w:w="0" w:type="dxa"/>
              <w:right w:w="0" w:type="dxa"/>
            </w:tcMar>
            <w:vAlign w:val="center"/>
          </w:tcPr>
          <w:p w14:paraId="08EB08FE" w14:textId="77777777" w:rsidR="00B14DE7" w:rsidRDefault="00B14DE7">
            <w:pPr>
              <w:spacing w:before="10" w:after="10"/>
              <w:ind w:left="10" w:right="10"/>
            </w:pPr>
          </w:p>
        </w:tc>
        <w:tc>
          <w:tcPr>
            <w:tcW w:w="2581" w:type="dxa"/>
            <w:tcBorders>
              <w:top w:val="single" w:sz="8" w:space="0" w:color="666666"/>
              <w:left w:val="single" w:sz="8" w:space="0" w:color="666666"/>
              <w:bottom w:val="single" w:sz="8" w:space="0" w:color="666666"/>
              <w:right w:val="single" w:sz="8" w:space="0" w:color="666666"/>
            </w:tcBorders>
            <w:shd w:val="clear" w:color="auto" w:fill="DEB887"/>
            <w:tcMar>
              <w:top w:w="0" w:type="dxa"/>
              <w:left w:w="0" w:type="dxa"/>
              <w:bottom w:w="0" w:type="dxa"/>
              <w:right w:w="0" w:type="dxa"/>
            </w:tcMar>
            <w:vAlign w:val="center"/>
          </w:tcPr>
          <w:p w14:paraId="3BC4AC20" w14:textId="77777777" w:rsidR="00B14DE7" w:rsidRDefault="00BD3D32">
            <w:pPr>
              <w:spacing w:before="10" w:after="10"/>
              <w:ind w:left="10" w:right="10"/>
            </w:pPr>
            <w:r>
              <w:rPr>
                <w:rFonts w:ascii="Calibri" w:eastAsia="Calibri" w:hAnsi="Calibri" w:cs="Calibri"/>
                <w:color w:val="111111"/>
                <w:sz w:val="18"/>
                <w:szCs w:val="18"/>
              </w:rPr>
              <w:t>VOA - Roosevelt TBI</w:t>
            </w:r>
          </w:p>
        </w:tc>
        <w:tc>
          <w:tcPr>
            <w:tcW w:w="1331" w:type="dxa"/>
            <w:tcBorders>
              <w:top w:val="single" w:sz="8" w:space="0" w:color="666666"/>
              <w:left w:val="single" w:sz="8" w:space="0" w:color="666666"/>
              <w:bottom w:val="single" w:sz="8" w:space="0" w:color="666666"/>
              <w:right w:val="single" w:sz="8" w:space="0" w:color="666666"/>
            </w:tcBorders>
            <w:shd w:val="clear" w:color="auto" w:fill="DEB887"/>
            <w:tcMar>
              <w:top w:w="0" w:type="dxa"/>
              <w:left w:w="0" w:type="dxa"/>
              <w:bottom w:w="0" w:type="dxa"/>
              <w:right w:w="0" w:type="dxa"/>
            </w:tcMar>
            <w:vAlign w:val="center"/>
          </w:tcPr>
          <w:p w14:paraId="030C15C7" w14:textId="77777777" w:rsidR="00B14DE7" w:rsidRDefault="00BD3D32">
            <w:pPr>
              <w:spacing w:before="10" w:after="10"/>
              <w:ind w:left="10" w:right="10"/>
              <w:jc w:val="center"/>
            </w:pPr>
            <w:r>
              <w:rPr>
                <w:rFonts w:ascii="Calibri" w:eastAsia="Calibri" w:hAnsi="Calibri" w:cs="Calibri"/>
                <w:color w:val="111111"/>
                <w:sz w:val="18"/>
                <w:szCs w:val="18"/>
              </w:rPr>
              <w:t>3</w:t>
            </w:r>
          </w:p>
        </w:tc>
        <w:tc>
          <w:tcPr>
            <w:tcW w:w="1371" w:type="dxa"/>
            <w:tcBorders>
              <w:top w:val="single" w:sz="8" w:space="0" w:color="666666"/>
              <w:left w:val="single" w:sz="8" w:space="0" w:color="666666"/>
              <w:bottom w:val="single" w:sz="8" w:space="0" w:color="666666"/>
              <w:right w:val="single" w:sz="8" w:space="0" w:color="666666"/>
            </w:tcBorders>
            <w:shd w:val="clear" w:color="auto" w:fill="DEB887"/>
            <w:tcMar>
              <w:top w:w="0" w:type="dxa"/>
              <w:left w:w="0" w:type="dxa"/>
              <w:bottom w:w="0" w:type="dxa"/>
              <w:right w:w="0" w:type="dxa"/>
            </w:tcMar>
            <w:vAlign w:val="center"/>
          </w:tcPr>
          <w:p w14:paraId="01AC3815" w14:textId="77777777" w:rsidR="00B14DE7" w:rsidRDefault="00BD3D32">
            <w:pPr>
              <w:spacing w:before="10" w:after="10"/>
              <w:ind w:left="10" w:right="10"/>
              <w:jc w:val="center"/>
            </w:pPr>
            <w:r>
              <w:rPr>
                <w:rFonts w:ascii="Calibri" w:eastAsia="Calibri" w:hAnsi="Calibri" w:cs="Calibri"/>
                <w:color w:val="111111"/>
                <w:sz w:val="18"/>
                <w:szCs w:val="18"/>
              </w:rPr>
              <w:t>3</w:t>
            </w:r>
          </w:p>
        </w:tc>
        <w:tc>
          <w:tcPr>
            <w:tcW w:w="2651" w:type="dxa"/>
            <w:tcBorders>
              <w:top w:val="single" w:sz="8" w:space="0" w:color="666666"/>
              <w:left w:val="single" w:sz="8" w:space="0" w:color="666666"/>
              <w:bottom w:val="single" w:sz="8" w:space="0" w:color="666666"/>
              <w:right w:val="single" w:sz="8" w:space="0" w:color="666666"/>
            </w:tcBorders>
            <w:shd w:val="clear" w:color="auto" w:fill="DEB887"/>
            <w:tcMar>
              <w:top w:w="0" w:type="dxa"/>
              <w:left w:w="0" w:type="dxa"/>
              <w:bottom w:w="0" w:type="dxa"/>
              <w:right w:w="0" w:type="dxa"/>
            </w:tcMar>
            <w:vAlign w:val="center"/>
          </w:tcPr>
          <w:p w14:paraId="46F0275E" w14:textId="77777777" w:rsidR="00B14DE7" w:rsidRDefault="00BD3D32">
            <w:pPr>
              <w:spacing w:before="10" w:after="10"/>
              <w:ind w:left="10" w:right="10"/>
              <w:jc w:val="center"/>
            </w:pPr>
            <w:r>
              <w:rPr>
                <w:rFonts w:ascii="Calibri" w:eastAsia="Calibri" w:hAnsi="Calibri" w:cs="Calibri"/>
                <w:color w:val="111111"/>
                <w:sz w:val="18"/>
                <w:szCs w:val="18"/>
              </w:rPr>
              <w:t>2</w:t>
            </w:r>
          </w:p>
        </w:tc>
        <w:tc>
          <w:tcPr>
            <w:tcW w:w="2271" w:type="dxa"/>
            <w:vMerge w:val="restart"/>
            <w:tcBorders>
              <w:top w:val="single" w:sz="8" w:space="0" w:color="666666"/>
              <w:left w:val="single" w:sz="8" w:space="0" w:color="666666"/>
              <w:bottom w:val="single" w:sz="8" w:space="0" w:color="666666"/>
              <w:right w:val="single" w:sz="8" w:space="0" w:color="666666"/>
            </w:tcBorders>
            <w:shd w:val="clear" w:color="auto" w:fill="DEB887"/>
            <w:tcMar>
              <w:top w:w="0" w:type="dxa"/>
              <w:left w:w="0" w:type="dxa"/>
              <w:bottom w:w="0" w:type="dxa"/>
              <w:right w:w="0" w:type="dxa"/>
            </w:tcMar>
            <w:vAlign w:val="center"/>
          </w:tcPr>
          <w:p w14:paraId="0623124C" w14:textId="77777777" w:rsidR="00B14DE7" w:rsidRDefault="00BD3D32">
            <w:pPr>
              <w:spacing w:before="10" w:after="10"/>
              <w:ind w:left="10" w:right="10"/>
              <w:jc w:val="center"/>
            </w:pPr>
            <w:r>
              <w:rPr>
                <w:rFonts w:ascii="Calibri" w:eastAsia="Calibri" w:hAnsi="Calibri" w:cs="Calibri"/>
                <w:color w:val="111111"/>
                <w:sz w:val="18"/>
                <w:szCs w:val="18"/>
              </w:rPr>
              <w:t>NA</w:t>
            </w:r>
          </w:p>
        </w:tc>
      </w:tr>
      <w:tr w:rsidR="00B14DE7" w14:paraId="3284095F" w14:textId="77777777">
        <w:trPr>
          <w:cantSplit/>
          <w:jc w:val="center"/>
        </w:trPr>
        <w:tc>
          <w:tcPr>
            <w:tcW w:w="1586" w:type="dxa"/>
            <w:vMerge/>
            <w:tcBorders>
              <w:top w:val="single" w:sz="8" w:space="0" w:color="666666"/>
              <w:left w:val="single" w:sz="8" w:space="0" w:color="666666"/>
              <w:bottom w:val="single" w:sz="8" w:space="0" w:color="666666"/>
              <w:right w:val="single" w:sz="8" w:space="0" w:color="666666"/>
            </w:tcBorders>
            <w:shd w:val="clear" w:color="auto" w:fill="DEB887"/>
            <w:tcMar>
              <w:top w:w="0" w:type="dxa"/>
              <w:left w:w="0" w:type="dxa"/>
              <w:bottom w:w="0" w:type="dxa"/>
              <w:right w:w="0" w:type="dxa"/>
            </w:tcMar>
            <w:vAlign w:val="center"/>
          </w:tcPr>
          <w:p w14:paraId="27479A9C" w14:textId="77777777" w:rsidR="00B14DE7" w:rsidRDefault="00B14DE7">
            <w:pPr>
              <w:spacing w:before="10" w:after="10"/>
              <w:ind w:left="10" w:right="10"/>
            </w:pPr>
          </w:p>
        </w:tc>
        <w:tc>
          <w:tcPr>
            <w:tcW w:w="2581" w:type="dxa"/>
            <w:tcBorders>
              <w:top w:val="single" w:sz="8" w:space="0" w:color="666666"/>
              <w:left w:val="single" w:sz="8" w:space="0" w:color="666666"/>
              <w:bottom w:val="single" w:sz="8" w:space="0" w:color="666666"/>
              <w:right w:val="single" w:sz="8" w:space="0" w:color="666666"/>
            </w:tcBorders>
            <w:shd w:val="clear" w:color="auto" w:fill="DEB887"/>
            <w:tcMar>
              <w:top w:w="0" w:type="dxa"/>
              <w:left w:w="0" w:type="dxa"/>
              <w:bottom w:w="0" w:type="dxa"/>
              <w:right w:w="0" w:type="dxa"/>
            </w:tcMar>
            <w:vAlign w:val="center"/>
          </w:tcPr>
          <w:p w14:paraId="01031A28" w14:textId="77777777" w:rsidR="00B14DE7" w:rsidRDefault="00BD3D32">
            <w:pPr>
              <w:spacing w:before="10" w:after="10"/>
              <w:ind w:left="10" w:right="10"/>
            </w:pPr>
            <w:r>
              <w:rPr>
                <w:rFonts w:ascii="Calibri" w:eastAsia="Calibri" w:hAnsi="Calibri" w:cs="Calibri"/>
                <w:color w:val="111111"/>
                <w:sz w:val="18"/>
                <w:szCs w:val="18"/>
              </w:rPr>
              <w:t>VOA - Upsal TBI</w:t>
            </w:r>
          </w:p>
        </w:tc>
        <w:tc>
          <w:tcPr>
            <w:tcW w:w="1331" w:type="dxa"/>
            <w:tcBorders>
              <w:top w:val="single" w:sz="8" w:space="0" w:color="666666"/>
              <w:left w:val="single" w:sz="8" w:space="0" w:color="666666"/>
              <w:bottom w:val="single" w:sz="8" w:space="0" w:color="666666"/>
              <w:right w:val="single" w:sz="8" w:space="0" w:color="666666"/>
            </w:tcBorders>
            <w:shd w:val="clear" w:color="auto" w:fill="DEB887"/>
            <w:tcMar>
              <w:top w:w="0" w:type="dxa"/>
              <w:left w:w="0" w:type="dxa"/>
              <w:bottom w:w="0" w:type="dxa"/>
              <w:right w:w="0" w:type="dxa"/>
            </w:tcMar>
            <w:vAlign w:val="center"/>
          </w:tcPr>
          <w:p w14:paraId="6F0F2EF2" w14:textId="77777777" w:rsidR="00B14DE7" w:rsidRDefault="00BD3D32">
            <w:pPr>
              <w:spacing w:before="10" w:after="10"/>
              <w:ind w:left="10" w:right="10"/>
              <w:jc w:val="center"/>
            </w:pPr>
            <w:r>
              <w:rPr>
                <w:rFonts w:ascii="Calibri" w:eastAsia="Calibri" w:hAnsi="Calibri" w:cs="Calibri"/>
                <w:color w:val="111111"/>
                <w:sz w:val="18"/>
                <w:szCs w:val="18"/>
              </w:rPr>
              <w:t>3</w:t>
            </w:r>
          </w:p>
        </w:tc>
        <w:tc>
          <w:tcPr>
            <w:tcW w:w="1371" w:type="dxa"/>
            <w:tcBorders>
              <w:top w:val="single" w:sz="8" w:space="0" w:color="666666"/>
              <w:left w:val="single" w:sz="8" w:space="0" w:color="666666"/>
              <w:bottom w:val="single" w:sz="8" w:space="0" w:color="666666"/>
              <w:right w:val="single" w:sz="8" w:space="0" w:color="666666"/>
            </w:tcBorders>
            <w:shd w:val="clear" w:color="auto" w:fill="DEB887"/>
            <w:tcMar>
              <w:top w:w="0" w:type="dxa"/>
              <w:left w:w="0" w:type="dxa"/>
              <w:bottom w:w="0" w:type="dxa"/>
              <w:right w:w="0" w:type="dxa"/>
            </w:tcMar>
            <w:vAlign w:val="center"/>
          </w:tcPr>
          <w:p w14:paraId="3488DF85" w14:textId="77777777" w:rsidR="00B14DE7" w:rsidRDefault="00BD3D32">
            <w:pPr>
              <w:spacing w:before="10" w:after="10"/>
              <w:ind w:left="10" w:right="10"/>
              <w:jc w:val="center"/>
            </w:pPr>
            <w:r>
              <w:rPr>
                <w:rFonts w:ascii="Calibri" w:eastAsia="Calibri" w:hAnsi="Calibri" w:cs="Calibri"/>
                <w:color w:val="111111"/>
                <w:sz w:val="18"/>
                <w:szCs w:val="18"/>
              </w:rPr>
              <w:t>2</w:t>
            </w:r>
          </w:p>
        </w:tc>
        <w:tc>
          <w:tcPr>
            <w:tcW w:w="2651" w:type="dxa"/>
            <w:tcBorders>
              <w:top w:val="single" w:sz="8" w:space="0" w:color="666666"/>
              <w:left w:val="single" w:sz="8" w:space="0" w:color="666666"/>
              <w:bottom w:val="single" w:sz="8" w:space="0" w:color="666666"/>
              <w:right w:val="single" w:sz="8" w:space="0" w:color="666666"/>
            </w:tcBorders>
            <w:shd w:val="clear" w:color="auto" w:fill="DEB887"/>
            <w:tcMar>
              <w:top w:w="0" w:type="dxa"/>
              <w:left w:w="0" w:type="dxa"/>
              <w:bottom w:w="0" w:type="dxa"/>
              <w:right w:w="0" w:type="dxa"/>
            </w:tcMar>
            <w:vAlign w:val="center"/>
          </w:tcPr>
          <w:p w14:paraId="01F3BC06" w14:textId="77777777" w:rsidR="00B14DE7" w:rsidRDefault="00BD3D32">
            <w:pPr>
              <w:spacing w:before="10" w:after="10"/>
              <w:ind w:left="10" w:right="10"/>
              <w:jc w:val="center"/>
            </w:pPr>
            <w:r>
              <w:rPr>
                <w:rFonts w:ascii="Calibri" w:eastAsia="Calibri" w:hAnsi="Calibri" w:cs="Calibri"/>
                <w:color w:val="111111"/>
                <w:sz w:val="18"/>
                <w:szCs w:val="18"/>
              </w:rPr>
              <w:t>NA</w:t>
            </w:r>
          </w:p>
        </w:tc>
        <w:tc>
          <w:tcPr>
            <w:tcW w:w="2271" w:type="dxa"/>
            <w:vMerge/>
            <w:tcBorders>
              <w:top w:val="single" w:sz="8" w:space="0" w:color="666666"/>
              <w:left w:val="single" w:sz="8" w:space="0" w:color="666666"/>
              <w:bottom w:val="single" w:sz="8" w:space="0" w:color="666666"/>
              <w:right w:val="single" w:sz="8" w:space="0" w:color="666666"/>
            </w:tcBorders>
            <w:shd w:val="clear" w:color="auto" w:fill="DEB887"/>
            <w:tcMar>
              <w:top w:w="0" w:type="dxa"/>
              <w:left w:w="0" w:type="dxa"/>
              <w:bottom w:w="0" w:type="dxa"/>
              <w:right w:w="0" w:type="dxa"/>
            </w:tcMar>
            <w:vAlign w:val="center"/>
          </w:tcPr>
          <w:p w14:paraId="7E80E953" w14:textId="77777777" w:rsidR="00B14DE7" w:rsidRDefault="00B14DE7">
            <w:pPr>
              <w:spacing w:before="10" w:after="10"/>
              <w:ind w:left="10" w:right="10"/>
              <w:jc w:val="center"/>
            </w:pPr>
          </w:p>
        </w:tc>
      </w:tr>
      <w:tr w:rsidR="00B14DE7" w14:paraId="31F35E98" w14:textId="77777777">
        <w:trPr>
          <w:cantSplit/>
          <w:jc w:val="center"/>
        </w:trPr>
        <w:tc>
          <w:tcPr>
            <w:tcW w:w="1586" w:type="dxa"/>
            <w:vMerge w:val="restart"/>
            <w:tcBorders>
              <w:top w:val="single" w:sz="8" w:space="0" w:color="666666"/>
              <w:left w:val="single" w:sz="8" w:space="0" w:color="666666"/>
              <w:bottom w:val="single" w:sz="8" w:space="0" w:color="666666"/>
              <w:right w:val="single" w:sz="8" w:space="0" w:color="666666"/>
            </w:tcBorders>
            <w:shd w:val="clear" w:color="auto" w:fill="FFAEB9"/>
            <w:tcMar>
              <w:top w:w="0" w:type="dxa"/>
              <w:left w:w="0" w:type="dxa"/>
              <w:bottom w:w="0" w:type="dxa"/>
              <w:right w:w="0" w:type="dxa"/>
            </w:tcMar>
            <w:vAlign w:val="center"/>
          </w:tcPr>
          <w:p w14:paraId="0E68416E" w14:textId="77777777" w:rsidR="00B14DE7" w:rsidRDefault="00BD3D32">
            <w:pPr>
              <w:spacing w:before="10" w:after="10"/>
              <w:ind w:left="10" w:right="10"/>
            </w:pPr>
            <w:r>
              <w:rPr>
                <w:rFonts w:ascii="Calibri" w:eastAsia="Calibri" w:hAnsi="Calibri" w:cs="Calibri"/>
                <w:color w:val="111111"/>
                <w:sz w:val="18"/>
                <w:szCs w:val="18"/>
              </w:rPr>
              <w:t>CRR</w:t>
            </w:r>
          </w:p>
        </w:tc>
        <w:tc>
          <w:tcPr>
            <w:tcW w:w="2581" w:type="dxa"/>
            <w:tcBorders>
              <w:top w:val="single" w:sz="8" w:space="0" w:color="666666"/>
              <w:left w:val="single" w:sz="8" w:space="0" w:color="666666"/>
              <w:bottom w:val="single" w:sz="8" w:space="0" w:color="666666"/>
              <w:right w:val="single" w:sz="8" w:space="0" w:color="666666"/>
            </w:tcBorders>
            <w:shd w:val="clear" w:color="auto" w:fill="FFAEB9"/>
            <w:tcMar>
              <w:top w:w="0" w:type="dxa"/>
              <w:left w:w="0" w:type="dxa"/>
              <w:bottom w:w="0" w:type="dxa"/>
              <w:right w:w="0" w:type="dxa"/>
            </w:tcMar>
            <w:vAlign w:val="center"/>
          </w:tcPr>
          <w:p w14:paraId="50A2CA1D" w14:textId="77777777" w:rsidR="00B14DE7" w:rsidRDefault="00BD3D32">
            <w:pPr>
              <w:spacing w:before="10" w:after="10"/>
              <w:ind w:left="10" w:right="10"/>
            </w:pPr>
            <w:r>
              <w:rPr>
                <w:rFonts w:ascii="Calibri" w:eastAsia="Calibri" w:hAnsi="Calibri" w:cs="Calibri"/>
                <w:color w:val="111111"/>
                <w:sz w:val="18"/>
                <w:szCs w:val="18"/>
              </w:rPr>
              <w:t>HH - Farmhouse</w:t>
            </w:r>
          </w:p>
        </w:tc>
        <w:tc>
          <w:tcPr>
            <w:tcW w:w="1331" w:type="dxa"/>
            <w:tcBorders>
              <w:top w:val="single" w:sz="8" w:space="0" w:color="666666"/>
              <w:left w:val="single" w:sz="8" w:space="0" w:color="666666"/>
              <w:bottom w:val="single" w:sz="8" w:space="0" w:color="666666"/>
              <w:right w:val="single" w:sz="8" w:space="0" w:color="666666"/>
            </w:tcBorders>
            <w:shd w:val="clear" w:color="auto" w:fill="FFAEB9"/>
            <w:tcMar>
              <w:top w:w="0" w:type="dxa"/>
              <w:left w:w="0" w:type="dxa"/>
              <w:bottom w:w="0" w:type="dxa"/>
              <w:right w:w="0" w:type="dxa"/>
            </w:tcMar>
            <w:vAlign w:val="center"/>
          </w:tcPr>
          <w:p w14:paraId="10309A5F" w14:textId="77777777" w:rsidR="00B14DE7" w:rsidRDefault="00BD3D32">
            <w:pPr>
              <w:spacing w:before="10" w:after="10"/>
              <w:ind w:left="10" w:right="10"/>
              <w:jc w:val="center"/>
            </w:pPr>
            <w:r>
              <w:rPr>
                <w:rFonts w:ascii="Calibri" w:eastAsia="Calibri" w:hAnsi="Calibri" w:cs="Calibri"/>
                <w:color w:val="111111"/>
                <w:sz w:val="18"/>
                <w:szCs w:val="18"/>
              </w:rPr>
              <w:t>3</w:t>
            </w:r>
          </w:p>
        </w:tc>
        <w:tc>
          <w:tcPr>
            <w:tcW w:w="1371" w:type="dxa"/>
            <w:tcBorders>
              <w:top w:val="single" w:sz="8" w:space="0" w:color="666666"/>
              <w:left w:val="single" w:sz="8" w:space="0" w:color="666666"/>
              <w:bottom w:val="single" w:sz="8" w:space="0" w:color="666666"/>
              <w:right w:val="single" w:sz="8" w:space="0" w:color="666666"/>
            </w:tcBorders>
            <w:shd w:val="clear" w:color="auto" w:fill="FFAEB9"/>
            <w:tcMar>
              <w:top w:w="0" w:type="dxa"/>
              <w:left w:w="0" w:type="dxa"/>
              <w:bottom w:w="0" w:type="dxa"/>
              <w:right w:w="0" w:type="dxa"/>
            </w:tcMar>
            <w:vAlign w:val="center"/>
          </w:tcPr>
          <w:p w14:paraId="339EEE34" w14:textId="77777777" w:rsidR="00B14DE7" w:rsidRDefault="00BD3D32">
            <w:pPr>
              <w:spacing w:before="10" w:after="10"/>
              <w:ind w:left="10" w:right="10"/>
              <w:jc w:val="center"/>
            </w:pPr>
            <w:r>
              <w:rPr>
                <w:rFonts w:ascii="Calibri" w:eastAsia="Calibri" w:hAnsi="Calibri" w:cs="Calibri"/>
                <w:color w:val="111111"/>
                <w:sz w:val="18"/>
                <w:szCs w:val="18"/>
              </w:rPr>
              <w:t>NA</w:t>
            </w:r>
          </w:p>
        </w:tc>
        <w:tc>
          <w:tcPr>
            <w:tcW w:w="2651" w:type="dxa"/>
            <w:tcBorders>
              <w:top w:val="single" w:sz="8" w:space="0" w:color="666666"/>
              <w:left w:val="single" w:sz="8" w:space="0" w:color="666666"/>
              <w:bottom w:val="single" w:sz="8" w:space="0" w:color="666666"/>
              <w:right w:val="single" w:sz="8" w:space="0" w:color="666666"/>
            </w:tcBorders>
            <w:shd w:val="clear" w:color="auto" w:fill="FFAEB9"/>
            <w:tcMar>
              <w:top w:w="0" w:type="dxa"/>
              <w:left w:w="0" w:type="dxa"/>
              <w:bottom w:w="0" w:type="dxa"/>
              <w:right w:w="0" w:type="dxa"/>
            </w:tcMar>
            <w:vAlign w:val="center"/>
          </w:tcPr>
          <w:p w14:paraId="73250380" w14:textId="77777777" w:rsidR="00B14DE7" w:rsidRDefault="00BD3D32">
            <w:pPr>
              <w:spacing w:before="10" w:after="10"/>
              <w:ind w:left="10" w:right="10"/>
              <w:jc w:val="center"/>
            </w:pPr>
            <w:r>
              <w:rPr>
                <w:rFonts w:ascii="Calibri" w:eastAsia="Calibri" w:hAnsi="Calibri" w:cs="Calibri"/>
                <w:color w:val="111111"/>
                <w:sz w:val="18"/>
                <w:szCs w:val="18"/>
              </w:rPr>
              <w:t>NA</w:t>
            </w:r>
          </w:p>
        </w:tc>
        <w:tc>
          <w:tcPr>
            <w:tcW w:w="2271" w:type="dxa"/>
            <w:tcBorders>
              <w:top w:val="single" w:sz="8" w:space="0" w:color="666666"/>
              <w:left w:val="single" w:sz="8" w:space="0" w:color="666666"/>
              <w:bottom w:val="single" w:sz="8" w:space="0" w:color="666666"/>
              <w:right w:val="single" w:sz="8" w:space="0" w:color="666666"/>
            </w:tcBorders>
            <w:shd w:val="clear" w:color="auto" w:fill="FFAEB9"/>
            <w:tcMar>
              <w:top w:w="0" w:type="dxa"/>
              <w:left w:w="0" w:type="dxa"/>
              <w:bottom w:w="0" w:type="dxa"/>
              <w:right w:w="0" w:type="dxa"/>
            </w:tcMar>
            <w:vAlign w:val="center"/>
          </w:tcPr>
          <w:p w14:paraId="6E0431B2" w14:textId="77777777" w:rsidR="00B14DE7" w:rsidRDefault="00BD3D32">
            <w:pPr>
              <w:spacing w:before="10" w:after="10"/>
              <w:ind w:left="10" w:right="10"/>
              <w:jc w:val="center"/>
            </w:pPr>
            <w:r>
              <w:rPr>
                <w:rFonts w:ascii="Calibri" w:eastAsia="Calibri" w:hAnsi="Calibri" w:cs="Calibri"/>
                <w:color w:val="111111"/>
                <w:sz w:val="18"/>
                <w:szCs w:val="18"/>
              </w:rPr>
              <w:t>NA</w:t>
            </w:r>
          </w:p>
        </w:tc>
      </w:tr>
      <w:tr w:rsidR="00B14DE7" w14:paraId="53526EA2" w14:textId="77777777">
        <w:trPr>
          <w:cantSplit/>
          <w:jc w:val="center"/>
        </w:trPr>
        <w:tc>
          <w:tcPr>
            <w:tcW w:w="1586" w:type="dxa"/>
            <w:vMerge/>
            <w:tcBorders>
              <w:top w:val="single" w:sz="8" w:space="0" w:color="666666"/>
              <w:left w:val="single" w:sz="8" w:space="0" w:color="666666"/>
              <w:bottom w:val="single" w:sz="8" w:space="0" w:color="666666"/>
              <w:right w:val="single" w:sz="8" w:space="0" w:color="666666"/>
            </w:tcBorders>
            <w:shd w:val="clear" w:color="auto" w:fill="FFAEB9"/>
            <w:tcMar>
              <w:top w:w="0" w:type="dxa"/>
              <w:left w:w="0" w:type="dxa"/>
              <w:bottom w:w="0" w:type="dxa"/>
              <w:right w:w="0" w:type="dxa"/>
            </w:tcMar>
            <w:vAlign w:val="center"/>
          </w:tcPr>
          <w:p w14:paraId="6080BA78" w14:textId="77777777" w:rsidR="00B14DE7" w:rsidRDefault="00B14DE7">
            <w:pPr>
              <w:spacing w:before="10" w:after="10"/>
              <w:ind w:left="10" w:right="10"/>
            </w:pPr>
          </w:p>
        </w:tc>
        <w:tc>
          <w:tcPr>
            <w:tcW w:w="2581" w:type="dxa"/>
            <w:tcBorders>
              <w:top w:val="single" w:sz="8" w:space="0" w:color="666666"/>
              <w:left w:val="single" w:sz="8" w:space="0" w:color="666666"/>
              <w:bottom w:val="single" w:sz="8" w:space="0" w:color="666666"/>
              <w:right w:val="single" w:sz="8" w:space="0" w:color="666666"/>
            </w:tcBorders>
            <w:shd w:val="clear" w:color="auto" w:fill="FFAEB9"/>
            <w:tcMar>
              <w:top w:w="0" w:type="dxa"/>
              <w:left w:w="0" w:type="dxa"/>
              <w:bottom w:w="0" w:type="dxa"/>
              <w:right w:w="0" w:type="dxa"/>
            </w:tcMar>
            <w:vAlign w:val="center"/>
          </w:tcPr>
          <w:p w14:paraId="457E71D9" w14:textId="77777777" w:rsidR="00B14DE7" w:rsidRDefault="00BD3D32">
            <w:pPr>
              <w:spacing w:before="10" w:after="10"/>
              <w:ind w:left="10" w:right="10"/>
            </w:pPr>
            <w:r>
              <w:rPr>
                <w:rFonts w:ascii="Calibri" w:eastAsia="Calibri" w:hAnsi="Calibri" w:cs="Calibri"/>
                <w:color w:val="111111"/>
                <w:sz w:val="18"/>
                <w:szCs w:val="18"/>
              </w:rPr>
              <w:t>Merakey - Fisher's Lane</w:t>
            </w:r>
          </w:p>
        </w:tc>
        <w:tc>
          <w:tcPr>
            <w:tcW w:w="1331" w:type="dxa"/>
            <w:tcBorders>
              <w:top w:val="single" w:sz="8" w:space="0" w:color="666666"/>
              <w:left w:val="single" w:sz="8" w:space="0" w:color="666666"/>
              <w:bottom w:val="single" w:sz="8" w:space="0" w:color="666666"/>
              <w:right w:val="single" w:sz="8" w:space="0" w:color="666666"/>
            </w:tcBorders>
            <w:shd w:val="clear" w:color="auto" w:fill="FFAEB9"/>
            <w:tcMar>
              <w:top w:w="0" w:type="dxa"/>
              <w:left w:w="0" w:type="dxa"/>
              <w:bottom w:w="0" w:type="dxa"/>
              <w:right w:w="0" w:type="dxa"/>
            </w:tcMar>
            <w:vAlign w:val="center"/>
          </w:tcPr>
          <w:p w14:paraId="1EE26D06" w14:textId="77777777" w:rsidR="00B14DE7" w:rsidRDefault="00BD3D32">
            <w:pPr>
              <w:spacing w:before="10" w:after="10"/>
              <w:ind w:left="10" w:right="10"/>
              <w:jc w:val="center"/>
            </w:pPr>
            <w:r>
              <w:rPr>
                <w:rFonts w:ascii="Calibri" w:eastAsia="Calibri" w:hAnsi="Calibri" w:cs="Calibri"/>
                <w:color w:val="111111"/>
                <w:sz w:val="18"/>
                <w:szCs w:val="18"/>
              </w:rPr>
              <w:t>4</w:t>
            </w:r>
          </w:p>
        </w:tc>
        <w:tc>
          <w:tcPr>
            <w:tcW w:w="1371" w:type="dxa"/>
            <w:tcBorders>
              <w:top w:val="single" w:sz="8" w:space="0" w:color="666666"/>
              <w:left w:val="single" w:sz="8" w:space="0" w:color="666666"/>
              <w:bottom w:val="single" w:sz="8" w:space="0" w:color="666666"/>
              <w:right w:val="single" w:sz="8" w:space="0" w:color="666666"/>
            </w:tcBorders>
            <w:shd w:val="clear" w:color="auto" w:fill="FFAEB9"/>
            <w:tcMar>
              <w:top w:w="0" w:type="dxa"/>
              <w:left w:w="0" w:type="dxa"/>
              <w:bottom w:w="0" w:type="dxa"/>
              <w:right w:w="0" w:type="dxa"/>
            </w:tcMar>
            <w:vAlign w:val="center"/>
          </w:tcPr>
          <w:p w14:paraId="6F7D34D3" w14:textId="77777777" w:rsidR="00B14DE7" w:rsidRDefault="00BD3D32">
            <w:pPr>
              <w:spacing w:before="10" w:after="10"/>
              <w:ind w:left="10" w:right="10"/>
              <w:jc w:val="center"/>
            </w:pPr>
            <w:r>
              <w:rPr>
                <w:rFonts w:ascii="Calibri" w:eastAsia="Calibri" w:hAnsi="Calibri" w:cs="Calibri"/>
                <w:color w:val="111111"/>
                <w:sz w:val="18"/>
                <w:szCs w:val="18"/>
              </w:rPr>
              <w:t>NA</w:t>
            </w:r>
          </w:p>
        </w:tc>
        <w:tc>
          <w:tcPr>
            <w:tcW w:w="2651" w:type="dxa"/>
            <w:tcBorders>
              <w:top w:val="single" w:sz="8" w:space="0" w:color="666666"/>
              <w:left w:val="single" w:sz="8" w:space="0" w:color="666666"/>
              <w:bottom w:val="single" w:sz="8" w:space="0" w:color="666666"/>
              <w:right w:val="single" w:sz="8" w:space="0" w:color="666666"/>
            </w:tcBorders>
            <w:shd w:val="clear" w:color="auto" w:fill="FFAEB9"/>
            <w:tcMar>
              <w:top w:w="0" w:type="dxa"/>
              <w:left w:w="0" w:type="dxa"/>
              <w:bottom w:w="0" w:type="dxa"/>
              <w:right w:w="0" w:type="dxa"/>
            </w:tcMar>
            <w:vAlign w:val="center"/>
          </w:tcPr>
          <w:p w14:paraId="316084F4" w14:textId="77777777" w:rsidR="00B14DE7" w:rsidRDefault="00BD3D32">
            <w:pPr>
              <w:spacing w:before="10" w:after="10"/>
              <w:ind w:left="10" w:right="10"/>
              <w:jc w:val="center"/>
            </w:pPr>
            <w:r>
              <w:rPr>
                <w:rFonts w:ascii="Calibri" w:eastAsia="Calibri" w:hAnsi="Calibri" w:cs="Calibri"/>
                <w:color w:val="111111"/>
                <w:sz w:val="18"/>
                <w:szCs w:val="18"/>
              </w:rPr>
              <w:t>NA</w:t>
            </w:r>
          </w:p>
        </w:tc>
        <w:tc>
          <w:tcPr>
            <w:tcW w:w="2271" w:type="dxa"/>
            <w:tcBorders>
              <w:top w:val="single" w:sz="8" w:space="0" w:color="666666"/>
              <w:left w:val="single" w:sz="8" w:space="0" w:color="666666"/>
              <w:bottom w:val="single" w:sz="8" w:space="0" w:color="666666"/>
              <w:right w:val="single" w:sz="8" w:space="0" w:color="666666"/>
            </w:tcBorders>
            <w:shd w:val="clear" w:color="auto" w:fill="FFAEB9"/>
            <w:tcMar>
              <w:top w:w="0" w:type="dxa"/>
              <w:left w:w="0" w:type="dxa"/>
              <w:bottom w:w="0" w:type="dxa"/>
              <w:right w:w="0" w:type="dxa"/>
            </w:tcMar>
            <w:vAlign w:val="center"/>
          </w:tcPr>
          <w:p w14:paraId="5ED959AF" w14:textId="77777777" w:rsidR="00B14DE7" w:rsidRDefault="00BD3D32">
            <w:pPr>
              <w:spacing w:before="10" w:after="10"/>
              <w:ind w:left="10" w:right="10"/>
              <w:jc w:val="center"/>
            </w:pPr>
            <w:r>
              <w:rPr>
                <w:rFonts w:ascii="Calibri" w:eastAsia="Calibri" w:hAnsi="Calibri" w:cs="Calibri"/>
                <w:color w:val="111111"/>
                <w:sz w:val="18"/>
                <w:szCs w:val="18"/>
              </w:rPr>
              <w:t>NA</w:t>
            </w:r>
          </w:p>
        </w:tc>
      </w:tr>
      <w:tr w:rsidR="00B14DE7" w14:paraId="7F8D587F" w14:textId="77777777">
        <w:trPr>
          <w:cantSplit/>
          <w:jc w:val="center"/>
        </w:trPr>
        <w:tc>
          <w:tcPr>
            <w:tcW w:w="1586" w:type="dxa"/>
            <w:vMerge/>
            <w:tcBorders>
              <w:top w:val="single" w:sz="8" w:space="0" w:color="666666"/>
              <w:left w:val="single" w:sz="8" w:space="0" w:color="666666"/>
              <w:bottom w:val="single" w:sz="8" w:space="0" w:color="666666"/>
              <w:right w:val="single" w:sz="8" w:space="0" w:color="666666"/>
            </w:tcBorders>
            <w:shd w:val="clear" w:color="auto" w:fill="FFAEB9"/>
            <w:tcMar>
              <w:top w:w="0" w:type="dxa"/>
              <w:left w:w="0" w:type="dxa"/>
              <w:bottom w:w="0" w:type="dxa"/>
              <w:right w:w="0" w:type="dxa"/>
            </w:tcMar>
            <w:vAlign w:val="center"/>
          </w:tcPr>
          <w:p w14:paraId="1C6B1173" w14:textId="77777777" w:rsidR="00B14DE7" w:rsidRDefault="00B14DE7">
            <w:pPr>
              <w:spacing w:before="10" w:after="10"/>
              <w:ind w:left="10" w:right="10"/>
            </w:pPr>
          </w:p>
        </w:tc>
        <w:tc>
          <w:tcPr>
            <w:tcW w:w="2581" w:type="dxa"/>
            <w:tcBorders>
              <w:top w:val="single" w:sz="8" w:space="0" w:color="666666"/>
              <w:left w:val="single" w:sz="8" w:space="0" w:color="666666"/>
              <w:bottom w:val="single" w:sz="8" w:space="0" w:color="666666"/>
              <w:right w:val="single" w:sz="8" w:space="0" w:color="666666"/>
            </w:tcBorders>
            <w:shd w:val="clear" w:color="auto" w:fill="FFAEB9"/>
            <w:tcMar>
              <w:top w:w="0" w:type="dxa"/>
              <w:left w:w="0" w:type="dxa"/>
              <w:bottom w:w="0" w:type="dxa"/>
              <w:right w:w="0" w:type="dxa"/>
            </w:tcMar>
            <w:vAlign w:val="center"/>
          </w:tcPr>
          <w:p w14:paraId="52891F06" w14:textId="77777777" w:rsidR="00B14DE7" w:rsidRDefault="00BD3D32">
            <w:pPr>
              <w:spacing w:before="10" w:after="10"/>
              <w:ind w:left="10" w:right="10"/>
            </w:pPr>
            <w:r>
              <w:rPr>
                <w:rFonts w:ascii="Calibri" w:eastAsia="Calibri" w:hAnsi="Calibri" w:cs="Calibri"/>
                <w:color w:val="111111"/>
                <w:sz w:val="18"/>
                <w:szCs w:val="18"/>
              </w:rPr>
              <w:t>RHD - Heart</w:t>
            </w:r>
          </w:p>
        </w:tc>
        <w:tc>
          <w:tcPr>
            <w:tcW w:w="1331" w:type="dxa"/>
            <w:tcBorders>
              <w:top w:val="single" w:sz="8" w:space="0" w:color="666666"/>
              <w:left w:val="single" w:sz="8" w:space="0" w:color="666666"/>
              <w:bottom w:val="single" w:sz="8" w:space="0" w:color="666666"/>
              <w:right w:val="single" w:sz="8" w:space="0" w:color="666666"/>
            </w:tcBorders>
            <w:shd w:val="clear" w:color="auto" w:fill="FFAEB9"/>
            <w:tcMar>
              <w:top w:w="0" w:type="dxa"/>
              <w:left w:w="0" w:type="dxa"/>
              <w:bottom w:w="0" w:type="dxa"/>
              <w:right w:w="0" w:type="dxa"/>
            </w:tcMar>
            <w:vAlign w:val="center"/>
          </w:tcPr>
          <w:p w14:paraId="7178167F" w14:textId="77777777" w:rsidR="00B14DE7" w:rsidRDefault="00BD3D32">
            <w:pPr>
              <w:spacing w:before="10" w:after="10"/>
              <w:ind w:left="10" w:right="10"/>
              <w:jc w:val="center"/>
            </w:pPr>
            <w:r>
              <w:rPr>
                <w:rFonts w:ascii="Calibri" w:eastAsia="Calibri" w:hAnsi="Calibri" w:cs="Calibri"/>
                <w:color w:val="111111"/>
                <w:sz w:val="18"/>
                <w:szCs w:val="18"/>
              </w:rPr>
              <w:t>4</w:t>
            </w:r>
          </w:p>
        </w:tc>
        <w:tc>
          <w:tcPr>
            <w:tcW w:w="1371" w:type="dxa"/>
            <w:tcBorders>
              <w:top w:val="single" w:sz="8" w:space="0" w:color="666666"/>
              <w:left w:val="single" w:sz="8" w:space="0" w:color="666666"/>
              <w:bottom w:val="single" w:sz="8" w:space="0" w:color="666666"/>
              <w:right w:val="single" w:sz="8" w:space="0" w:color="666666"/>
            </w:tcBorders>
            <w:shd w:val="clear" w:color="auto" w:fill="FFAEB9"/>
            <w:tcMar>
              <w:top w:w="0" w:type="dxa"/>
              <w:left w:w="0" w:type="dxa"/>
              <w:bottom w:w="0" w:type="dxa"/>
              <w:right w:w="0" w:type="dxa"/>
            </w:tcMar>
            <w:vAlign w:val="center"/>
          </w:tcPr>
          <w:p w14:paraId="270406DE" w14:textId="77777777" w:rsidR="00B14DE7" w:rsidRDefault="00BD3D32">
            <w:pPr>
              <w:spacing w:before="10" w:after="10"/>
              <w:ind w:left="10" w:right="10"/>
              <w:jc w:val="center"/>
            </w:pPr>
            <w:r>
              <w:rPr>
                <w:rFonts w:ascii="Calibri" w:eastAsia="Calibri" w:hAnsi="Calibri" w:cs="Calibri"/>
                <w:color w:val="111111"/>
                <w:sz w:val="18"/>
                <w:szCs w:val="18"/>
              </w:rPr>
              <w:t>NA</w:t>
            </w:r>
          </w:p>
        </w:tc>
        <w:tc>
          <w:tcPr>
            <w:tcW w:w="2651" w:type="dxa"/>
            <w:tcBorders>
              <w:top w:val="single" w:sz="8" w:space="0" w:color="666666"/>
              <w:left w:val="single" w:sz="8" w:space="0" w:color="666666"/>
              <w:bottom w:val="single" w:sz="8" w:space="0" w:color="666666"/>
              <w:right w:val="single" w:sz="8" w:space="0" w:color="666666"/>
            </w:tcBorders>
            <w:shd w:val="clear" w:color="auto" w:fill="FFAEB9"/>
            <w:tcMar>
              <w:top w:w="0" w:type="dxa"/>
              <w:left w:w="0" w:type="dxa"/>
              <w:bottom w:w="0" w:type="dxa"/>
              <w:right w:w="0" w:type="dxa"/>
            </w:tcMar>
            <w:vAlign w:val="center"/>
          </w:tcPr>
          <w:p w14:paraId="60882885" w14:textId="77777777" w:rsidR="00B14DE7" w:rsidRDefault="00BD3D32">
            <w:pPr>
              <w:spacing w:before="10" w:after="10"/>
              <w:ind w:left="10" w:right="10"/>
              <w:jc w:val="center"/>
            </w:pPr>
            <w:r>
              <w:rPr>
                <w:rFonts w:ascii="Calibri" w:eastAsia="Calibri" w:hAnsi="Calibri" w:cs="Calibri"/>
                <w:color w:val="111111"/>
                <w:sz w:val="18"/>
                <w:szCs w:val="18"/>
              </w:rPr>
              <w:t>NA</w:t>
            </w:r>
          </w:p>
        </w:tc>
        <w:tc>
          <w:tcPr>
            <w:tcW w:w="2271" w:type="dxa"/>
            <w:tcBorders>
              <w:top w:val="single" w:sz="8" w:space="0" w:color="666666"/>
              <w:left w:val="single" w:sz="8" w:space="0" w:color="666666"/>
              <w:bottom w:val="single" w:sz="8" w:space="0" w:color="666666"/>
              <w:right w:val="single" w:sz="8" w:space="0" w:color="666666"/>
            </w:tcBorders>
            <w:shd w:val="clear" w:color="auto" w:fill="FFAEB9"/>
            <w:tcMar>
              <w:top w:w="0" w:type="dxa"/>
              <w:left w:w="0" w:type="dxa"/>
              <w:bottom w:w="0" w:type="dxa"/>
              <w:right w:w="0" w:type="dxa"/>
            </w:tcMar>
            <w:vAlign w:val="center"/>
          </w:tcPr>
          <w:p w14:paraId="62876728" w14:textId="77777777" w:rsidR="00B14DE7" w:rsidRDefault="00BD3D32">
            <w:pPr>
              <w:spacing w:before="10" w:after="10"/>
              <w:ind w:left="10" w:right="10"/>
              <w:jc w:val="center"/>
            </w:pPr>
            <w:r>
              <w:rPr>
                <w:rFonts w:ascii="Calibri" w:eastAsia="Calibri" w:hAnsi="Calibri" w:cs="Calibri"/>
                <w:color w:val="111111"/>
                <w:sz w:val="18"/>
                <w:szCs w:val="18"/>
              </w:rPr>
              <w:t>NA</w:t>
            </w:r>
          </w:p>
        </w:tc>
      </w:tr>
      <w:tr w:rsidR="00B14DE7" w14:paraId="04B658E3" w14:textId="77777777">
        <w:trPr>
          <w:cantSplit/>
          <w:jc w:val="center"/>
        </w:trPr>
        <w:tc>
          <w:tcPr>
            <w:tcW w:w="1586" w:type="dxa"/>
            <w:vMerge/>
            <w:tcBorders>
              <w:top w:val="single" w:sz="8" w:space="0" w:color="666666"/>
              <w:left w:val="single" w:sz="8" w:space="0" w:color="666666"/>
              <w:bottom w:val="single" w:sz="8" w:space="0" w:color="666666"/>
              <w:right w:val="single" w:sz="8" w:space="0" w:color="666666"/>
            </w:tcBorders>
            <w:shd w:val="clear" w:color="auto" w:fill="FFAEB9"/>
            <w:tcMar>
              <w:top w:w="0" w:type="dxa"/>
              <w:left w:w="0" w:type="dxa"/>
              <w:bottom w:w="0" w:type="dxa"/>
              <w:right w:w="0" w:type="dxa"/>
            </w:tcMar>
            <w:vAlign w:val="center"/>
          </w:tcPr>
          <w:p w14:paraId="6C8900B6" w14:textId="77777777" w:rsidR="00B14DE7" w:rsidRDefault="00B14DE7">
            <w:pPr>
              <w:spacing w:before="10" w:after="10"/>
              <w:ind w:left="10" w:right="10"/>
            </w:pPr>
          </w:p>
        </w:tc>
        <w:tc>
          <w:tcPr>
            <w:tcW w:w="2581" w:type="dxa"/>
            <w:tcBorders>
              <w:top w:val="single" w:sz="8" w:space="0" w:color="666666"/>
              <w:left w:val="single" w:sz="8" w:space="0" w:color="666666"/>
              <w:bottom w:val="single" w:sz="8" w:space="0" w:color="666666"/>
              <w:right w:val="single" w:sz="8" w:space="0" w:color="666666"/>
            </w:tcBorders>
            <w:shd w:val="clear" w:color="auto" w:fill="FFAEB9"/>
            <w:tcMar>
              <w:top w:w="0" w:type="dxa"/>
              <w:left w:w="0" w:type="dxa"/>
              <w:bottom w:w="0" w:type="dxa"/>
              <w:right w:w="0" w:type="dxa"/>
            </w:tcMar>
            <w:vAlign w:val="center"/>
          </w:tcPr>
          <w:p w14:paraId="5EED3AA1" w14:textId="77777777" w:rsidR="00B14DE7" w:rsidRDefault="00BD3D32">
            <w:pPr>
              <w:spacing w:before="10" w:after="10"/>
              <w:ind w:left="10" w:right="10"/>
            </w:pPr>
            <w:r>
              <w:rPr>
                <w:rFonts w:ascii="Calibri" w:eastAsia="Calibri" w:hAnsi="Calibri" w:cs="Calibri"/>
                <w:color w:val="111111"/>
                <w:sz w:val="18"/>
                <w:szCs w:val="18"/>
              </w:rPr>
              <w:t>RHD - Kailo</w:t>
            </w:r>
          </w:p>
        </w:tc>
        <w:tc>
          <w:tcPr>
            <w:tcW w:w="1331" w:type="dxa"/>
            <w:tcBorders>
              <w:top w:val="single" w:sz="8" w:space="0" w:color="666666"/>
              <w:left w:val="single" w:sz="8" w:space="0" w:color="666666"/>
              <w:bottom w:val="single" w:sz="8" w:space="0" w:color="666666"/>
              <w:right w:val="single" w:sz="8" w:space="0" w:color="666666"/>
            </w:tcBorders>
            <w:shd w:val="clear" w:color="auto" w:fill="FFAEB9"/>
            <w:tcMar>
              <w:top w:w="0" w:type="dxa"/>
              <w:left w:w="0" w:type="dxa"/>
              <w:bottom w:w="0" w:type="dxa"/>
              <w:right w:w="0" w:type="dxa"/>
            </w:tcMar>
            <w:vAlign w:val="center"/>
          </w:tcPr>
          <w:p w14:paraId="4DEF1DB6" w14:textId="77777777" w:rsidR="00B14DE7" w:rsidRDefault="00BD3D32">
            <w:pPr>
              <w:spacing w:before="10" w:after="10"/>
              <w:ind w:left="10" w:right="10"/>
              <w:jc w:val="center"/>
            </w:pPr>
            <w:r>
              <w:rPr>
                <w:rFonts w:ascii="Calibri" w:eastAsia="Calibri" w:hAnsi="Calibri" w:cs="Calibri"/>
                <w:color w:val="111111"/>
                <w:sz w:val="18"/>
                <w:szCs w:val="18"/>
              </w:rPr>
              <w:t>4</w:t>
            </w:r>
          </w:p>
        </w:tc>
        <w:tc>
          <w:tcPr>
            <w:tcW w:w="1371" w:type="dxa"/>
            <w:tcBorders>
              <w:top w:val="single" w:sz="8" w:space="0" w:color="666666"/>
              <w:left w:val="single" w:sz="8" w:space="0" w:color="666666"/>
              <w:bottom w:val="single" w:sz="8" w:space="0" w:color="666666"/>
              <w:right w:val="single" w:sz="8" w:space="0" w:color="666666"/>
            </w:tcBorders>
            <w:shd w:val="clear" w:color="auto" w:fill="FFAEB9"/>
            <w:tcMar>
              <w:top w:w="0" w:type="dxa"/>
              <w:left w:w="0" w:type="dxa"/>
              <w:bottom w:w="0" w:type="dxa"/>
              <w:right w:w="0" w:type="dxa"/>
            </w:tcMar>
            <w:vAlign w:val="center"/>
          </w:tcPr>
          <w:p w14:paraId="6953A62F" w14:textId="77777777" w:rsidR="00B14DE7" w:rsidRDefault="00BD3D32">
            <w:pPr>
              <w:spacing w:before="10" w:after="10"/>
              <w:ind w:left="10" w:right="10"/>
              <w:jc w:val="center"/>
            </w:pPr>
            <w:r>
              <w:rPr>
                <w:rFonts w:ascii="Calibri" w:eastAsia="Calibri" w:hAnsi="Calibri" w:cs="Calibri"/>
                <w:color w:val="111111"/>
                <w:sz w:val="18"/>
                <w:szCs w:val="18"/>
              </w:rPr>
              <w:t>NA</w:t>
            </w:r>
          </w:p>
        </w:tc>
        <w:tc>
          <w:tcPr>
            <w:tcW w:w="2651" w:type="dxa"/>
            <w:tcBorders>
              <w:top w:val="single" w:sz="8" w:space="0" w:color="666666"/>
              <w:left w:val="single" w:sz="8" w:space="0" w:color="666666"/>
              <w:bottom w:val="single" w:sz="8" w:space="0" w:color="666666"/>
              <w:right w:val="single" w:sz="8" w:space="0" w:color="666666"/>
            </w:tcBorders>
            <w:shd w:val="clear" w:color="auto" w:fill="FFAEB9"/>
            <w:tcMar>
              <w:top w:w="0" w:type="dxa"/>
              <w:left w:w="0" w:type="dxa"/>
              <w:bottom w:w="0" w:type="dxa"/>
              <w:right w:w="0" w:type="dxa"/>
            </w:tcMar>
            <w:vAlign w:val="center"/>
          </w:tcPr>
          <w:p w14:paraId="491B3576" w14:textId="77777777" w:rsidR="00B14DE7" w:rsidRDefault="00BD3D32">
            <w:pPr>
              <w:spacing w:before="10" w:after="10"/>
              <w:ind w:left="10" w:right="10"/>
              <w:jc w:val="center"/>
            </w:pPr>
            <w:r>
              <w:rPr>
                <w:rFonts w:ascii="Calibri" w:eastAsia="Calibri" w:hAnsi="Calibri" w:cs="Calibri"/>
                <w:color w:val="111111"/>
                <w:sz w:val="18"/>
                <w:szCs w:val="18"/>
              </w:rPr>
              <w:t>NA</w:t>
            </w:r>
          </w:p>
        </w:tc>
        <w:tc>
          <w:tcPr>
            <w:tcW w:w="2271" w:type="dxa"/>
            <w:tcBorders>
              <w:top w:val="single" w:sz="8" w:space="0" w:color="666666"/>
              <w:left w:val="single" w:sz="8" w:space="0" w:color="666666"/>
              <w:bottom w:val="single" w:sz="8" w:space="0" w:color="666666"/>
              <w:right w:val="single" w:sz="8" w:space="0" w:color="666666"/>
            </w:tcBorders>
            <w:shd w:val="clear" w:color="auto" w:fill="FFAEB9"/>
            <w:tcMar>
              <w:top w:w="0" w:type="dxa"/>
              <w:left w:w="0" w:type="dxa"/>
              <w:bottom w:w="0" w:type="dxa"/>
              <w:right w:w="0" w:type="dxa"/>
            </w:tcMar>
            <w:vAlign w:val="center"/>
          </w:tcPr>
          <w:p w14:paraId="33DEC849" w14:textId="77777777" w:rsidR="00B14DE7" w:rsidRDefault="00BD3D32">
            <w:pPr>
              <w:spacing w:before="10" w:after="10"/>
              <w:ind w:left="10" w:right="10"/>
              <w:jc w:val="center"/>
            </w:pPr>
            <w:r>
              <w:rPr>
                <w:rFonts w:ascii="Calibri" w:eastAsia="Calibri" w:hAnsi="Calibri" w:cs="Calibri"/>
                <w:color w:val="111111"/>
                <w:sz w:val="18"/>
                <w:szCs w:val="18"/>
              </w:rPr>
              <w:t>NA</w:t>
            </w:r>
          </w:p>
        </w:tc>
      </w:tr>
      <w:tr w:rsidR="00B14DE7" w14:paraId="43604919" w14:textId="77777777">
        <w:trPr>
          <w:cantSplit/>
          <w:jc w:val="center"/>
        </w:trPr>
        <w:tc>
          <w:tcPr>
            <w:tcW w:w="1586" w:type="dxa"/>
            <w:vMerge/>
            <w:tcBorders>
              <w:top w:val="single" w:sz="8" w:space="0" w:color="666666"/>
              <w:left w:val="single" w:sz="8" w:space="0" w:color="666666"/>
              <w:bottom w:val="single" w:sz="8" w:space="0" w:color="666666"/>
              <w:right w:val="single" w:sz="8" w:space="0" w:color="666666"/>
            </w:tcBorders>
            <w:shd w:val="clear" w:color="auto" w:fill="EEA2AD"/>
            <w:tcMar>
              <w:top w:w="0" w:type="dxa"/>
              <w:left w:w="0" w:type="dxa"/>
              <w:bottom w:w="0" w:type="dxa"/>
              <w:right w:w="0" w:type="dxa"/>
            </w:tcMar>
            <w:vAlign w:val="center"/>
          </w:tcPr>
          <w:p w14:paraId="627CB110" w14:textId="77777777" w:rsidR="00B14DE7" w:rsidRDefault="00B14DE7">
            <w:pPr>
              <w:spacing w:before="10" w:after="10"/>
              <w:ind w:left="10" w:right="10"/>
            </w:pPr>
          </w:p>
        </w:tc>
        <w:tc>
          <w:tcPr>
            <w:tcW w:w="2581" w:type="dxa"/>
            <w:tcBorders>
              <w:top w:val="single" w:sz="8" w:space="0" w:color="666666"/>
              <w:left w:val="single" w:sz="8" w:space="0" w:color="666666"/>
              <w:bottom w:val="single" w:sz="8" w:space="0" w:color="666666"/>
              <w:right w:val="single" w:sz="8" w:space="0" w:color="666666"/>
            </w:tcBorders>
            <w:shd w:val="clear" w:color="auto" w:fill="EEA2AD"/>
            <w:tcMar>
              <w:top w:w="0" w:type="dxa"/>
              <w:left w:w="0" w:type="dxa"/>
              <w:bottom w:w="0" w:type="dxa"/>
              <w:right w:w="0" w:type="dxa"/>
            </w:tcMar>
            <w:vAlign w:val="center"/>
          </w:tcPr>
          <w:p w14:paraId="64A1A048" w14:textId="77777777" w:rsidR="00B14DE7" w:rsidRDefault="00BD3D32">
            <w:pPr>
              <w:spacing w:before="10" w:after="10"/>
              <w:ind w:left="10" w:right="10"/>
            </w:pPr>
            <w:r>
              <w:rPr>
                <w:rFonts w:ascii="Calibri" w:eastAsia="Calibri" w:hAnsi="Calibri" w:cs="Calibri"/>
                <w:color w:val="111111"/>
                <w:sz w:val="18"/>
                <w:szCs w:val="18"/>
              </w:rPr>
              <w:t>Carelink - STAR</w:t>
            </w:r>
          </w:p>
        </w:tc>
        <w:tc>
          <w:tcPr>
            <w:tcW w:w="1331" w:type="dxa"/>
            <w:tcBorders>
              <w:top w:val="single" w:sz="8" w:space="0" w:color="666666"/>
              <w:left w:val="single" w:sz="8" w:space="0" w:color="666666"/>
              <w:bottom w:val="single" w:sz="8" w:space="0" w:color="666666"/>
              <w:right w:val="single" w:sz="8" w:space="0" w:color="666666"/>
            </w:tcBorders>
            <w:shd w:val="clear" w:color="auto" w:fill="EEA2AD"/>
            <w:tcMar>
              <w:top w:w="0" w:type="dxa"/>
              <w:left w:w="0" w:type="dxa"/>
              <w:bottom w:w="0" w:type="dxa"/>
              <w:right w:w="0" w:type="dxa"/>
            </w:tcMar>
            <w:vAlign w:val="center"/>
          </w:tcPr>
          <w:p w14:paraId="278ED275" w14:textId="77777777" w:rsidR="00B14DE7" w:rsidRDefault="00BD3D32">
            <w:pPr>
              <w:spacing w:before="10" w:after="10"/>
              <w:ind w:left="10" w:right="10"/>
              <w:jc w:val="center"/>
            </w:pPr>
            <w:r>
              <w:rPr>
                <w:rFonts w:ascii="Calibri" w:eastAsia="Calibri" w:hAnsi="Calibri" w:cs="Calibri"/>
                <w:color w:val="111111"/>
                <w:sz w:val="18"/>
                <w:szCs w:val="18"/>
              </w:rPr>
              <w:t>4</w:t>
            </w:r>
          </w:p>
        </w:tc>
        <w:tc>
          <w:tcPr>
            <w:tcW w:w="1371" w:type="dxa"/>
            <w:tcBorders>
              <w:top w:val="single" w:sz="8" w:space="0" w:color="666666"/>
              <w:left w:val="single" w:sz="8" w:space="0" w:color="666666"/>
              <w:bottom w:val="single" w:sz="8" w:space="0" w:color="666666"/>
              <w:right w:val="single" w:sz="8" w:space="0" w:color="666666"/>
            </w:tcBorders>
            <w:shd w:val="clear" w:color="auto" w:fill="EEA2AD"/>
            <w:tcMar>
              <w:top w:w="0" w:type="dxa"/>
              <w:left w:w="0" w:type="dxa"/>
              <w:bottom w:w="0" w:type="dxa"/>
              <w:right w:w="0" w:type="dxa"/>
            </w:tcMar>
            <w:vAlign w:val="center"/>
          </w:tcPr>
          <w:p w14:paraId="2D2CA65A" w14:textId="77777777" w:rsidR="00B14DE7" w:rsidRDefault="00BD3D32">
            <w:pPr>
              <w:spacing w:before="10" w:after="10"/>
              <w:ind w:left="10" w:right="10"/>
              <w:jc w:val="center"/>
            </w:pPr>
            <w:r>
              <w:rPr>
                <w:rFonts w:ascii="Calibri" w:eastAsia="Calibri" w:hAnsi="Calibri" w:cs="Calibri"/>
                <w:color w:val="111111"/>
                <w:sz w:val="18"/>
                <w:szCs w:val="18"/>
              </w:rPr>
              <w:t>NA</w:t>
            </w:r>
          </w:p>
        </w:tc>
        <w:tc>
          <w:tcPr>
            <w:tcW w:w="2651" w:type="dxa"/>
            <w:tcBorders>
              <w:top w:val="single" w:sz="8" w:space="0" w:color="666666"/>
              <w:left w:val="single" w:sz="8" w:space="0" w:color="666666"/>
              <w:bottom w:val="single" w:sz="8" w:space="0" w:color="666666"/>
              <w:right w:val="single" w:sz="8" w:space="0" w:color="666666"/>
            </w:tcBorders>
            <w:shd w:val="clear" w:color="auto" w:fill="EEA2AD"/>
            <w:tcMar>
              <w:top w:w="0" w:type="dxa"/>
              <w:left w:w="0" w:type="dxa"/>
              <w:bottom w:w="0" w:type="dxa"/>
              <w:right w:w="0" w:type="dxa"/>
            </w:tcMar>
            <w:vAlign w:val="center"/>
          </w:tcPr>
          <w:p w14:paraId="24F687FD" w14:textId="77777777" w:rsidR="00B14DE7" w:rsidRDefault="00BD3D32">
            <w:pPr>
              <w:spacing w:before="10" w:after="10"/>
              <w:ind w:left="10" w:right="10"/>
              <w:jc w:val="center"/>
            </w:pPr>
            <w:r>
              <w:rPr>
                <w:rFonts w:ascii="Calibri" w:eastAsia="Calibri" w:hAnsi="Calibri" w:cs="Calibri"/>
                <w:color w:val="111111"/>
                <w:sz w:val="18"/>
                <w:szCs w:val="18"/>
              </w:rPr>
              <w:t>NA</w:t>
            </w:r>
          </w:p>
        </w:tc>
        <w:tc>
          <w:tcPr>
            <w:tcW w:w="2271" w:type="dxa"/>
            <w:vMerge w:val="restart"/>
            <w:tcBorders>
              <w:top w:val="single" w:sz="8" w:space="0" w:color="666666"/>
              <w:left w:val="single" w:sz="8" w:space="0" w:color="666666"/>
              <w:bottom w:val="single" w:sz="8" w:space="0" w:color="666666"/>
              <w:right w:val="single" w:sz="8" w:space="0" w:color="666666"/>
            </w:tcBorders>
            <w:shd w:val="clear" w:color="auto" w:fill="EEA2AD"/>
            <w:tcMar>
              <w:top w:w="0" w:type="dxa"/>
              <w:left w:w="0" w:type="dxa"/>
              <w:bottom w:w="0" w:type="dxa"/>
              <w:right w:w="0" w:type="dxa"/>
            </w:tcMar>
            <w:vAlign w:val="center"/>
          </w:tcPr>
          <w:p w14:paraId="20CBBEB7" w14:textId="77777777" w:rsidR="00B14DE7" w:rsidRDefault="00BD3D32">
            <w:pPr>
              <w:spacing w:before="10" w:after="10"/>
              <w:ind w:left="10" w:right="10"/>
              <w:jc w:val="center"/>
            </w:pPr>
            <w:r>
              <w:rPr>
                <w:rFonts w:ascii="Calibri" w:eastAsia="Calibri" w:hAnsi="Calibri" w:cs="Calibri"/>
                <w:color w:val="111111"/>
                <w:sz w:val="18"/>
                <w:szCs w:val="18"/>
              </w:rPr>
              <w:t>NA</w:t>
            </w:r>
          </w:p>
        </w:tc>
      </w:tr>
      <w:tr w:rsidR="00B14DE7" w14:paraId="47C1B297" w14:textId="77777777">
        <w:trPr>
          <w:cantSplit/>
          <w:jc w:val="center"/>
        </w:trPr>
        <w:tc>
          <w:tcPr>
            <w:tcW w:w="1586" w:type="dxa"/>
            <w:vMerge/>
            <w:tcBorders>
              <w:top w:val="single" w:sz="8" w:space="0" w:color="666666"/>
              <w:left w:val="single" w:sz="8" w:space="0" w:color="666666"/>
              <w:bottom w:val="single" w:sz="8" w:space="0" w:color="666666"/>
              <w:right w:val="single" w:sz="8" w:space="0" w:color="666666"/>
            </w:tcBorders>
            <w:shd w:val="clear" w:color="auto" w:fill="EEA2AD"/>
            <w:tcMar>
              <w:top w:w="0" w:type="dxa"/>
              <w:left w:w="0" w:type="dxa"/>
              <w:bottom w:w="0" w:type="dxa"/>
              <w:right w:w="0" w:type="dxa"/>
            </w:tcMar>
            <w:vAlign w:val="center"/>
          </w:tcPr>
          <w:p w14:paraId="5FE11D05" w14:textId="77777777" w:rsidR="00B14DE7" w:rsidRDefault="00B14DE7">
            <w:pPr>
              <w:spacing w:before="10" w:after="10"/>
              <w:ind w:left="10" w:right="10"/>
            </w:pPr>
          </w:p>
        </w:tc>
        <w:tc>
          <w:tcPr>
            <w:tcW w:w="2581" w:type="dxa"/>
            <w:tcBorders>
              <w:top w:val="single" w:sz="8" w:space="0" w:color="666666"/>
              <w:left w:val="single" w:sz="8" w:space="0" w:color="666666"/>
              <w:bottom w:val="single" w:sz="8" w:space="0" w:color="666666"/>
              <w:right w:val="single" w:sz="8" w:space="0" w:color="666666"/>
            </w:tcBorders>
            <w:shd w:val="clear" w:color="auto" w:fill="EEA2AD"/>
            <w:tcMar>
              <w:top w:w="0" w:type="dxa"/>
              <w:left w:w="0" w:type="dxa"/>
              <w:bottom w:w="0" w:type="dxa"/>
              <w:right w:w="0" w:type="dxa"/>
            </w:tcMar>
            <w:vAlign w:val="center"/>
          </w:tcPr>
          <w:p w14:paraId="5A2339F5" w14:textId="77777777" w:rsidR="00B14DE7" w:rsidRDefault="00BD3D32">
            <w:pPr>
              <w:spacing w:before="10" w:after="10"/>
              <w:ind w:left="10" w:right="10"/>
            </w:pPr>
            <w:r>
              <w:rPr>
                <w:rFonts w:ascii="Calibri" w:eastAsia="Calibri" w:hAnsi="Calibri" w:cs="Calibri"/>
                <w:color w:val="111111"/>
                <w:sz w:val="18"/>
                <w:szCs w:val="18"/>
              </w:rPr>
              <w:t>Carelink - STAR Stepdown</w:t>
            </w:r>
          </w:p>
        </w:tc>
        <w:tc>
          <w:tcPr>
            <w:tcW w:w="1331" w:type="dxa"/>
            <w:tcBorders>
              <w:top w:val="single" w:sz="8" w:space="0" w:color="666666"/>
              <w:left w:val="single" w:sz="8" w:space="0" w:color="666666"/>
              <w:bottom w:val="single" w:sz="8" w:space="0" w:color="666666"/>
              <w:right w:val="single" w:sz="8" w:space="0" w:color="666666"/>
            </w:tcBorders>
            <w:shd w:val="clear" w:color="auto" w:fill="EEA2AD"/>
            <w:tcMar>
              <w:top w:w="0" w:type="dxa"/>
              <w:left w:w="0" w:type="dxa"/>
              <w:bottom w:w="0" w:type="dxa"/>
              <w:right w:w="0" w:type="dxa"/>
            </w:tcMar>
            <w:vAlign w:val="center"/>
          </w:tcPr>
          <w:p w14:paraId="1473507C" w14:textId="77777777" w:rsidR="00B14DE7" w:rsidRDefault="00BD3D32">
            <w:pPr>
              <w:spacing w:before="10" w:after="10"/>
              <w:ind w:left="10" w:right="10"/>
              <w:jc w:val="center"/>
            </w:pPr>
            <w:r>
              <w:rPr>
                <w:rFonts w:ascii="Calibri" w:eastAsia="Calibri" w:hAnsi="Calibri" w:cs="Calibri"/>
                <w:color w:val="111111"/>
                <w:sz w:val="18"/>
                <w:szCs w:val="18"/>
              </w:rPr>
              <w:t>4</w:t>
            </w:r>
          </w:p>
        </w:tc>
        <w:tc>
          <w:tcPr>
            <w:tcW w:w="1371" w:type="dxa"/>
            <w:tcBorders>
              <w:top w:val="single" w:sz="8" w:space="0" w:color="666666"/>
              <w:left w:val="single" w:sz="8" w:space="0" w:color="666666"/>
              <w:bottom w:val="single" w:sz="8" w:space="0" w:color="666666"/>
              <w:right w:val="single" w:sz="8" w:space="0" w:color="666666"/>
            </w:tcBorders>
            <w:shd w:val="clear" w:color="auto" w:fill="EEA2AD"/>
            <w:tcMar>
              <w:top w:w="0" w:type="dxa"/>
              <w:left w:w="0" w:type="dxa"/>
              <w:bottom w:w="0" w:type="dxa"/>
              <w:right w:w="0" w:type="dxa"/>
            </w:tcMar>
            <w:vAlign w:val="center"/>
          </w:tcPr>
          <w:p w14:paraId="26E36EC7" w14:textId="77777777" w:rsidR="00B14DE7" w:rsidRDefault="00BD3D32">
            <w:pPr>
              <w:spacing w:before="10" w:after="10"/>
              <w:ind w:left="10" w:right="10"/>
              <w:jc w:val="center"/>
            </w:pPr>
            <w:r>
              <w:rPr>
                <w:rFonts w:ascii="Calibri" w:eastAsia="Calibri" w:hAnsi="Calibri" w:cs="Calibri"/>
                <w:color w:val="111111"/>
                <w:sz w:val="18"/>
                <w:szCs w:val="18"/>
              </w:rPr>
              <w:t>NA</w:t>
            </w:r>
          </w:p>
        </w:tc>
        <w:tc>
          <w:tcPr>
            <w:tcW w:w="2651" w:type="dxa"/>
            <w:tcBorders>
              <w:top w:val="single" w:sz="8" w:space="0" w:color="666666"/>
              <w:left w:val="single" w:sz="8" w:space="0" w:color="666666"/>
              <w:bottom w:val="single" w:sz="8" w:space="0" w:color="666666"/>
              <w:right w:val="single" w:sz="8" w:space="0" w:color="666666"/>
            </w:tcBorders>
            <w:shd w:val="clear" w:color="auto" w:fill="EEA2AD"/>
            <w:tcMar>
              <w:top w:w="0" w:type="dxa"/>
              <w:left w:w="0" w:type="dxa"/>
              <w:bottom w:w="0" w:type="dxa"/>
              <w:right w:w="0" w:type="dxa"/>
            </w:tcMar>
            <w:vAlign w:val="center"/>
          </w:tcPr>
          <w:p w14:paraId="7E1D97F0" w14:textId="77777777" w:rsidR="00B14DE7" w:rsidRDefault="00BD3D32">
            <w:pPr>
              <w:spacing w:before="10" w:after="10"/>
              <w:ind w:left="10" w:right="10"/>
              <w:jc w:val="center"/>
            </w:pPr>
            <w:r>
              <w:rPr>
                <w:rFonts w:ascii="Calibri" w:eastAsia="Calibri" w:hAnsi="Calibri" w:cs="Calibri"/>
                <w:color w:val="111111"/>
                <w:sz w:val="18"/>
                <w:szCs w:val="18"/>
              </w:rPr>
              <w:t>NA</w:t>
            </w:r>
          </w:p>
        </w:tc>
        <w:tc>
          <w:tcPr>
            <w:tcW w:w="2271" w:type="dxa"/>
            <w:vMerge/>
            <w:tcBorders>
              <w:top w:val="single" w:sz="8" w:space="0" w:color="666666"/>
              <w:left w:val="single" w:sz="8" w:space="0" w:color="666666"/>
              <w:bottom w:val="single" w:sz="8" w:space="0" w:color="666666"/>
              <w:right w:val="single" w:sz="8" w:space="0" w:color="666666"/>
            </w:tcBorders>
            <w:shd w:val="clear" w:color="auto" w:fill="EEA2AD"/>
            <w:tcMar>
              <w:top w:w="0" w:type="dxa"/>
              <w:left w:w="0" w:type="dxa"/>
              <w:bottom w:w="0" w:type="dxa"/>
              <w:right w:w="0" w:type="dxa"/>
            </w:tcMar>
            <w:vAlign w:val="center"/>
          </w:tcPr>
          <w:p w14:paraId="505AD59C" w14:textId="77777777" w:rsidR="00B14DE7" w:rsidRDefault="00B14DE7">
            <w:pPr>
              <w:spacing w:before="10" w:after="10"/>
              <w:ind w:left="10" w:right="10"/>
              <w:jc w:val="center"/>
            </w:pPr>
          </w:p>
        </w:tc>
      </w:tr>
      <w:tr w:rsidR="00B14DE7" w14:paraId="0DCC3FFD" w14:textId="77777777">
        <w:trPr>
          <w:cantSplit/>
          <w:jc w:val="center"/>
        </w:trPr>
        <w:tc>
          <w:tcPr>
            <w:tcW w:w="1586" w:type="dxa"/>
            <w:tcBorders>
              <w:top w:val="single" w:sz="8" w:space="0" w:color="666666"/>
              <w:left w:val="single" w:sz="8" w:space="0" w:color="666666"/>
              <w:bottom w:val="single" w:sz="8" w:space="0" w:color="666666"/>
              <w:right w:val="single" w:sz="8" w:space="0" w:color="666666"/>
            </w:tcBorders>
            <w:shd w:val="clear" w:color="auto" w:fill="FFF68F"/>
            <w:tcMar>
              <w:top w:w="0" w:type="dxa"/>
              <w:left w:w="0" w:type="dxa"/>
              <w:bottom w:w="0" w:type="dxa"/>
              <w:right w:w="0" w:type="dxa"/>
            </w:tcMar>
            <w:vAlign w:val="center"/>
          </w:tcPr>
          <w:p w14:paraId="6CED1A6D" w14:textId="77777777" w:rsidR="00B14DE7" w:rsidRDefault="00BD3D32">
            <w:pPr>
              <w:spacing w:before="10" w:after="10"/>
              <w:ind w:left="10" w:right="10"/>
            </w:pPr>
            <w:r>
              <w:rPr>
                <w:rFonts w:ascii="Calibri" w:eastAsia="Calibri" w:hAnsi="Calibri" w:cs="Calibri"/>
                <w:color w:val="111111"/>
                <w:sz w:val="18"/>
                <w:szCs w:val="18"/>
              </w:rPr>
              <w:t>Recovery House</w:t>
            </w:r>
          </w:p>
        </w:tc>
        <w:tc>
          <w:tcPr>
            <w:tcW w:w="2581" w:type="dxa"/>
            <w:tcBorders>
              <w:top w:val="single" w:sz="8" w:space="0" w:color="666666"/>
              <w:left w:val="single" w:sz="8" w:space="0" w:color="666666"/>
              <w:bottom w:val="single" w:sz="8" w:space="0" w:color="666666"/>
              <w:right w:val="single" w:sz="8" w:space="0" w:color="666666"/>
            </w:tcBorders>
            <w:shd w:val="clear" w:color="auto" w:fill="FFF68F"/>
            <w:tcMar>
              <w:top w:w="0" w:type="dxa"/>
              <w:left w:w="0" w:type="dxa"/>
              <w:bottom w:w="0" w:type="dxa"/>
              <w:right w:w="0" w:type="dxa"/>
            </w:tcMar>
            <w:vAlign w:val="center"/>
          </w:tcPr>
          <w:p w14:paraId="5F1BC40D" w14:textId="77777777" w:rsidR="00B14DE7" w:rsidRDefault="00BD3D32">
            <w:pPr>
              <w:spacing w:before="10" w:after="10"/>
              <w:ind w:left="10" w:right="10"/>
            </w:pPr>
            <w:r>
              <w:rPr>
                <w:rFonts w:ascii="Calibri" w:eastAsia="Calibri" w:hAnsi="Calibri" w:cs="Calibri"/>
                <w:color w:val="111111"/>
                <w:sz w:val="18"/>
                <w:szCs w:val="18"/>
              </w:rPr>
              <w:t>SouthWest Recovery House</w:t>
            </w:r>
          </w:p>
        </w:tc>
        <w:tc>
          <w:tcPr>
            <w:tcW w:w="1331" w:type="dxa"/>
            <w:tcBorders>
              <w:top w:val="single" w:sz="8" w:space="0" w:color="666666"/>
              <w:left w:val="single" w:sz="8" w:space="0" w:color="666666"/>
              <w:bottom w:val="single" w:sz="8" w:space="0" w:color="666666"/>
              <w:right w:val="single" w:sz="8" w:space="0" w:color="666666"/>
            </w:tcBorders>
            <w:shd w:val="clear" w:color="auto" w:fill="FFF68F"/>
            <w:tcMar>
              <w:top w:w="0" w:type="dxa"/>
              <w:left w:w="0" w:type="dxa"/>
              <w:bottom w:w="0" w:type="dxa"/>
              <w:right w:w="0" w:type="dxa"/>
            </w:tcMar>
            <w:vAlign w:val="center"/>
          </w:tcPr>
          <w:p w14:paraId="473D1BB0" w14:textId="77777777" w:rsidR="00B14DE7" w:rsidRDefault="00BD3D32">
            <w:pPr>
              <w:spacing w:before="10" w:after="10"/>
              <w:ind w:left="10" w:right="10"/>
              <w:jc w:val="center"/>
            </w:pPr>
            <w:r>
              <w:rPr>
                <w:rFonts w:ascii="Calibri" w:eastAsia="Calibri" w:hAnsi="Calibri" w:cs="Calibri"/>
                <w:color w:val="111111"/>
                <w:sz w:val="18"/>
                <w:szCs w:val="18"/>
              </w:rPr>
              <w:t>6</w:t>
            </w:r>
          </w:p>
        </w:tc>
        <w:tc>
          <w:tcPr>
            <w:tcW w:w="1371" w:type="dxa"/>
            <w:tcBorders>
              <w:top w:val="single" w:sz="8" w:space="0" w:color="666666"/>
              <w:left w:val="single" w:sz="8" w:space="0" w:color="666666"/>
              <w:bottom w:val="single" w:sz="8" w:space="0" w:color="666666"/>
              <w:right w:val="single" w:sz="8" w:space="0" w:color="666666"/>
            </w:tcBorders>
            <w:shd w:val="clear" w:color="auto" w:fill="FFF68F"/>
            <w:tcMar>
              <w:top w:w="0" w:type="dxa"/>
              <w:left w:w="0" w:type="dxa"/>
              <w:bottom w:w="0" w:type="dxa"/>
              <w:right w:w="0" w:type="dxa"/>
            </w:tcMar>
            <w:vAlign w:val="center"/>
          </w:tcPr>
          <w:p w14:paraId="0E5BF72C" w14:textId="77777777" w:rsidR="00B14DE7" w:rsidRDefault="00BD3D32">
            <w:pPr>
              <w:spacing w:before="10" w:after="10"/>
              <w:ind w:left="10" w:right="10"/>
              <w:jc w:val="center"/>
            </w:pPr>
            <w:r>
              <w:rPr>
                <w:rFonts w:ascii="Calibri" w:eastAsia="Calibri" w:hAnsi="Calibri" w:cs="Calibri"/>
                <w:color w:val="111111"/>
                <w:sz w:val="18"/>
                <w:szCs w:val="18"/>
              </w:rPr>
              <w:t>NA</w:t>
            </w:r>
          </w:p>
        </w:tc>
        <w:tc>
          <w:tcPr>
            <w:tcW w:w="2651" w:type="dxa"/>
            <w:tcBorders>
              <w:top w:val="single" w:sz="8" w:space="0" w:color="666666"/>
              <w:left w:val="single" w:sz="8" w:space="0" w:color="666666"/>
              <w:bottom w:val="single" w:sz="8" w:space="0" w:color="666666"/>
              <w:right w:val="single" w:sz="8" w:space="0" w:color="666666"/>
            </w:tcBorders>
            <w:shd w:val="clear" w:color="auto" w:fill="FFF68F"/>
            <w:tcMar>
              <w:top w:w="0" w:type="dxa"/>
              <w:left w:w="0" w:type="dxa"/>
              <w:bottom w:w="0" w:type="dxa"/>
              <w:right w:w="0" w:type="dxa"/>
            </w:tcMar>
            <w:vAlign w:val="center"/>
          </w:tcPr>
          <w:p w14:paraId="79260A5A" w14:textId="77777777" w:rsidR="00B14DE7" w:rsidRDefault="00BD3D32">
            <w:pPr>
              <w:spacing w:before="10" w:after="10"/>
              <w:ind w:left="10" w:right="10"/>
              <w:jc w:val="center"/>
            </w:pPr>
            <w:r>
              <w:rPr>
                <w:rFonts w:ascii="Calibri" w:eastAsia="Calibri" w:hAnsi="Calibri" w:cs="Calibri"/>
                <w:color w:val="111111"/>
                <w:sz w:val="18"/>
                <w:szCs w:val="18"/>
              </w:rPr>
              <w:t>NA</w:t>
            </w:r>
          </w:p>
        </w:tc>
        <w:tc>
          <w:tcPr>
            <w:tcW w:w="2271" w:type="dxa"/>
            <w:tcBorders>
              <w:top w:val="single" w:sz="8" w:space="0" w:color="666666"/>
              <w:left w:val="single" w:sz="8" w:space="0" w:color="666666"/>
              <w:bottom w:val="single" w:sz="8" w:space="0" w:color="666666"/>
              <w:right w:val="single" w:sz="8" w:space="0" w:color="666666"/>
            </w:tcBorders>
            <w:shd w:val="clear" w:color="auto" w:fill="FFF68F"/>
            <w:tcMar>
              <w:top w:w="0" w:type="dxa"/>
              <w:left w:w="0" w:type="dxa"/>
              <w:bottom w:w="0" w:type="dxa"/>
              <w:right w:w="0" w:type="dxa"/>
            </w:tcMar>
            <w:vAlign w:val="center"/>
          </w:tcPr>
          <w:p w14:paraId="436827D0" w14:textId="77777777" w:rsidR="00B14DE7" w:rsidRDefault="00BD3D32">
            <w:pPr>
              <w:spacing w:before="10" w:after="10"/>
              <w:ind w:left="10" w:right="10"/>
              <w:jc w:val="center"/>
            </w:pPr>
            <w:r>
              <w:rPr>
                <w:rFonts w:ascii="Calibri" w:eastAsia="Calibri" w:hAnsi="Calibri" w:cs="Calibri"/>
                <w:color w:val="111111"/>
                <w:sz w:val="18"/>
                <w:szCs w:val="18"/>
              </w:rPr>
              <w:t>NA</w:t>
            </w:r>
          </w:p>
        </w:tc>
      </w:tr>
    </w:tbl>
    <w:p w14:paraId="6FBF9630" w14:textId="77777777" w:rsidR="00B14DE7" w:rsidRDefault="00BD3D32">
      <w:pPr>
        <w:pStyle w:val="Heading3"/>
      </w:pPr>
      <w:bookmarkStart w:id="23" w:name="X1bde082fd95d828f75c333b1ab6fa83c4bbd7a1"/>
      <w:r>
        <w:t>*Clinically assessed and identified as appropriate for this placement at this level of care.</w:t>
      </w:r>
      <w:bookmarkEnd w:id="23"/>
    </w:p>
    <w:p w14:paraId="23F1A201" w14:textId="77777777" w:rsidR="00B14DE7" w:rsidRDefault="00BD3D32">
      <w:pPr>
        <w:pStyle w:val="Heading4"/>
      </w:pPr>
      <w:bookmarkStart w:id="24" w:name="aclu-funded-placement-summary"/>
      <w:r>
        <w:t>ACLU Funded Placement Summary</w:t>
      </w:r>
      <w:bookmarkEnd w:id="24"/>
    </w:p>
    <w:p w14:paraId="07E0CFDE" w14:textId="77777777" w:rsidR="00B14DE7" w:rsidRDefault="00AA6741">
      <w:r>
        <w:pict w14:anchorId="0580B125">
          <v:rect id="_x0000_i1025" style="width:0;height:1.5pt" o:hralign="center" o:hrstd="t" o:hr="t"/>
        </w:pict>
      </w:r>
    </w:p>
    <w:p w14:paraId="56932069" w14:textId="77777777" w:rsidR="00B14DE7" w:rsidRDefault="00BD3D32">
      <w:pPr>
        <w:pStyle w:val="FirstParagraph"/>
      </w:pPr>
      <w:r>
        <w:t>DBHIDS established these programs for Philadelphians committed to NSH or on the Forensic Waitlist at PDP. BHJRS Clinical Teams continue to engage individuals on the Forensic Waitlist at PDP and at NSH to identify those appropriate for these levels of care and prepare them for a successful transition.</w:t>
      </w:r>
    </w:p>
    <w:p w14:paraId="654F2ECA" w14:textId="77777777" w:rsidR="00B14DE7" w:rsidRDefault="00BD3D32">
      <w:pPr>
        <w:pStyle w:val="Compact"/>
        <w:numPr>
          <w:ilvl w:val="0"/>
          <w:numId w:val="7"/>
        </w:numPr>
      </w:pPr>
      <w:r>
        <w:t>The Extended Acute Care (EAC) program at the Girard Recovery Center is the highest level of care in the community based forensic services network. It provides inpatient psychiatric care that focuses on psychiatric stabilization and preparation for step down to lower levels of care. To date, DBHIDS has established 24 forensic EAC beds.</w:t>
      </w:r>
    </w:p>
    <w:p w14:paraId="29C2E2A3" w14:textId="77777777" w:rsidR="00B14DE7" w:rsidRDefault="00BD3D32">
      <w:pPr>
        <w:pStyle w:val="Compact"/>
        <w:numPr>
          <w:ilvl w:val="0"/>
          <w:numId w:val="7"/>
        </w:numPr>
      </w:pPr>
      <w:r>
        <w:t>The Residential Treatment Facilities for Adults (RTFAs) provide housing and on-site psychiatric services to individuals who have severe mental illness but do not require a hospital level of care and would benefit from treatment in the community. To date, DBHIDS has established 56 forensic RTFA beds for Philadelphians.</w:t>
      </w:r>
    </w:p>
    <w:p w14:paraId="347D463B" w14:textId="77777777" w:rsidR="00B14DE7" w:rsidRDefault="00BD3D32">
      <w:pPr>
        <w:pStyle w:val="Compact"/>
        <w:numPr>
          <w:ilvl w:val="0"/>
          <w:numId w:val="7"/>
        </w:numPr>
      </w:pPr>
      <w:r>
        <w:t>Community Residential Rehabilitation (CRR) Programs work in collaboration with outpatient and day program providers, provide rehabilitation, social and personal development services to persons in a community based residential program. The focus on CRRs is to assist individuals in improving his or her activities of daily living with support and care, while outpatient and day program providers provide mental health treatment. To date, DBHIDS has established 25 new forensic CRR beds. In addition, DBHIDS has placed numerous people in multiple CRRs that were not specifically established for people who were committed to NSH or on the waitlist at PDP.</w:t>
      </w:r>
    </w:p>
    <w:p w14:paraId="44FC160E" w14:textId="77777777" w:rsidR="00B14DE7" w:rsidRDefault="00BD3D32">
      <w:pPr>
        <w:pStyle w:val="Compact"/>
        <w:numPr>
          <w:ilvl w:val="0"/>
          <w:numId w:val="7"/>
        </w:numPr>
      </w:pPr>
      <w:r>
        <w:t>The Recovery House program provides an option for individuals who may benefit from co-occurring mental health and substance use treatment in the community. To date, DBHIDS has established 6 forensic recovery house beds.</w:t>
      </w:r>
    </w:p>
    <w:sectPr w:rsidR="00B14DE7" w:rsidSect="00BA317B">
      <w:headerReference w:type="default" r:id="rId14"/>
      <w:footerReference w:type="default" r:id="rId15"/>
      <w:pgSz w:w="12240" w:h="15840" w:code="1"/>
      <w:pgMar w:top="1008" w:right="1440" w:bottom="864"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7030F" w14:textId="77777777" w:rsidR="00AA6741" w:rsidRDefault="00AA6741">
      <w:r>
        <w:separator/>
      </w:r>
    </w:p>
  </w:endnote>
  <w:endnote w:type="continuationSeparator" w:id="0">
    <w:p w14:paraId="29F2D0AF" w14:textId="77777777" w:rsidR="00AA6741" w:rsidRDefault="00AA6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20D49" w14:textId="77777777" w:rsidR="00280C23" w:rsidRPr="00426061" w:rsidRDefault="00BD3D32" w:rsidP="00280C23">
    <w:pPr>
      <w:pStyle w:val="Footer"/>
      <w:pBdr>
        <w:top w:val="thinThickSmallGap" w:sz="24" w:space="1" w:color="622423"/>
      </w:pBdr>
      <w:tabs>
        <w:tab w:val="clear" w:pos="4680"/>
      </w:tabs>
      <w:rPr>
        <w:rFonts w:ascii="Calibri" w:eastAsia="Times New Roman" w:hAnsi="Calibri" w:cs="Calibri"/>
      </w:rPr>
    </w:pPr>
    <w:r w:rsidRPr="00426061">
      <w:rPr>
        <w:rFonts w:ascii="Calibri" w:hAnsi="Calibri" w:cs="Calibri"/>
        <w:b/>
        <w:bCs/>
        <w:sz w:val="22"/>
        <w:szCs w:val="22"/>
      </w:rPr>
      <w:t>Contact:</w:t>
    </w:r>
    <w:r w:rsidRPr="00426061">
      <w:rPr>
        <w:rFonts w:ascii="Calibri" w:hAnsi="Calibri" w:cs="Calibri"/>
        <w:sz w:val="22"/>
        <w:szCs w:val="22"/>
      </w:rPr>
      <w:t xml:space="preserve"> Dr. Chris von Zuben </w:t>
    </w:r>
    <w:r w:rsidRPr="00426061">
      <w:rPr>
        <w:rFonts w:ascii="Calibri" w:hAnsi="Calibri" w:cs="Calibri"/>
        <w:b/>
        <w:bCs/>
        <w:color w:val="00CC66"/>
        <w:sz w:val="22"/>
        <w:szCs w:val="22"/>
      </w:rPr>
      <w:t>|</w:t>
    </w:r>
    <w:r w:rsidRPr="00426061">
      <w:rPr>
        <w:rFonts w:ascii="Calibri" w:hAnsi="Calibri" w:cs="Calibri"/>
        <w:sz w:val="22"/>
        <w:szCs w:val="22"/>
      </w:rPr>
      <w:t xml:space="preserve"> 215-546-0300 x 3433 </w:t>
    </w:r>
    <w:r w:rsidRPr="00426061">
      <w:rPr>
        <w:rFonts w:ascii="Calibri" w:hAnsi="Calibri" w:cs="Calibri"/>
        <w:b/>
        <w:bCs/>
        <w:color w:val="00CC66"/>
        <w:sz w:val="22"/>
        <w:szCs w:val="22"/>
      </w:rPr>
      <w:t>|</w:t>
    </w:r>
    <w:r w:rsidRPr="00426061">
      <w:rPr>
        <w:rFonts w:ascii="Calibri" w:hAnsi="Calibri" w:cs="Calibri"/>
        <w:sz w:val="22"/>
        <w:szCs w:val="22"/>
      </w:rPr>
      <w:t xml:space="preserve"> Chris.von.Zuben@Phila.gov</w:t>
    </w:r>
    <w:r w:rsidRPr="00426061">
      <w:rPr>
        <w:rFonts w:ascii="Calibri" w:eastAsia="Times New Roman" w:hAnsi="Calibri" w:cs="Calibri"/>
        <w:sz w:val="22"/>
        <w:szCs w:val="22"/>
      </w:rPr>
      <w:tab/>
    </w:r>
    <w:r w:rsidRPr="00426061">
      <w:rPr>
        <w:rFonts w:ascii="Calibri" w:eastAsia="Times New Roman" w:hAnsi="Calibri" w:cs="Calibri"/>
        <w:sz w:val="22"/>
        <w:szCs w:val="22"/>
      </w:rPr>
      <w:fldChar w:fldCharType="begin"/>
    </w:r>
    <w:r w:rsidRPr="00426061">
      <w:rPr>
        <w:rFonts w:ascii="Calibri" w:eastAsia="Times New Roman" w:hAnsi="Calibri" w:cs="Calibri"/>
        <w:sz w:val="22"/>
        <w:szCs w:val="22"/>
      </w:rPr>
      <w:instrText xml:space="preserve"> PAGE   \* MERGEFORMAT </w:instrText>
    </w:r>
    <w:r w:rsidRPr="00426061">
      <w:rPr>
        <w:rFonts w:ascii="Calibri" w:eastAsia="Times New Roman" w:hAnsi="Calibri" w:cs="Calibri"/>
        <w:sz w:val="22"/>
        <w:szCs w:val="22"/>
      </w:rPr>
      <w:fldChar w:fldCharType="separate"/>
    </w:r>
    <w:r w:rsidRPr="00426061">
      <w:rPr>
        <w:rFonts w:ascii="Calibri" w:eastAsia="Times New Roman" w:hAnsi="Calibri" w:cs="Calibri"/>
        <w:noProof/>
        <w:sz w:val="22"/>
        <w:szCs w:val="22"/>
      </w:rPr>
      <w:t>1</w:t>
    </w:r>
    <w:r w:rsidRPr="00426061">
      <w:rPr>
        <w:rFonts w:ascii="Calibri" w:eastAsia="Times New Roman" w:hAnsi="Calibri" w:cs="Calibri"/>
        <w:noProof/>
        <w:sz w:val="22"/>
        <w:szCs w:val="22"/>
      </w:rPr>
      <w:fldChar w:fldCharType="end"/>
    </w:r>
  </w:p>
  <w:p w14:paraId="01E47174" w14:textId="77777777" w:rsidR="00280C23" w:rsidRDefault="00AA67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AB849F" w14:textId="77777777" w:rsidR="00AA6741" w:rsidRDefault="00AA6741">
      <w:r>
        <w:separator/>
      </w:r>
    </w:p>
  </w:footnote>
  <w:footnote w:type="continuationSeparator" w:id="0">
    <w:p w14:paraId="24E4045B" w14:textId="77777777" w:rsidR="00AA6741" w:rsidRDefault="00AA6741">
      <w:r>
        <w:continuationSeparator/>
      </w:r>
    </w:p>
  </w:footnote>
  <w:footnote w:id="1">
    <w:p w14:paraId="39E1A6F9" w14:textId="77777777" w:rsidR="00B14DE7" w:rsidRDefault="00BD3D32">
      <w:pPr>
        <w:pStyle w:val="FootnoteText"/>
      </w:pPr>
      <w:r>
        <w:rPr>
          <w:rStyle w:val="FootnoteReference"/>
        </w:rPr>
        <w:footnoteRef/>
      </w:r>
      <w:r>
        <w:t xml:space="preserve"> 1 In November of 2019, Figure 2 shortened each grouping to account for the substantial decrease in admission wait times. The date range was also adjusted down from 6 months to 3, to better identify more recent trends in waitlist movement.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45809" w14:textId="77777777" w:rsidR="00280C23" w:rsidRDefault="00BD3D32" w:rsidP="00280C23">
    <w:pPr>
      <w:ind w:left="2880"/>
      <w:jc w:val="right"/>
      <w:rPr>
        <w:b/>
        <w:bCs/>
        <w:color w:val="FF0000"/>
        <w:sz w:val="32"/>
        <w:szCs w:val="32"/>
      </w:rPr>
    </w:pPr>
    <w:r>
      <w:rPr>
        <w:noProof/>
      </w:rPr>
      <w:drawing>
        <wp:anchor distT="0" distB="0" distL="114300" distR="114300" simplePos="0" relativeHeight="251657216" behindDoc="1" locked="0" layoutInCell="1" allowOverlap="1" wp14:anchorId="66D8E2F0" wp14:editId="2986F7EA">
          <wp:simplePos x="0" y="0"/>
          <wp:positionH relativeFrom="margin">
            <wp:align>left</wp:align>
          </wp:positionH>
          <wp:positionV relativeFrom="paragraph">
            <wp:posOffset>-31750</wp:posOffset>
          </wp:positionV>
          <wp:extent cx="1631950" cy="560070"/>
          <wp:effectExtent l="0" t="0" r="6350" b="0"/>
          <wp:wrapNone/>
          <wp:docPr id="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1950" cy="5600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340D">
      <w:rPr>
        <w:b/>
        <w:bCs/>
        <w:sz w:val="32"/>
        <w:szCs w:val="32"/>
      </w:rPr>
      <w:t>Monthly Report:</w:t>
    </w:r>
    <w:r>
      <w:rPr>
        <w:b/>
        <w:bCs/>
        <w:sz w:val="32"/>
        <w:szCs w:val="32"/>
      </w:rPr>
      <w:t xml:space="preserve"> </w:t>
    </w:r>
    <w:r w:rsidRPr="00764006">
      <w:rPr>
        <w:b/>
        <w:bCs/>
        <w:color w:val="FF0000"/>
        <w:sz w:val="32"/>
        <w:szCs w:val="32"/>
      </w:rPr>
      <w:t>Month 2020</w:t>
    </w:r>
  </w:p>
  <w:p w14:paraId="5C8212D5" w14:textId="77777777" w:rsidR="00280C23" w:rsidRPr="00280C23" w:rsidRDefault="00BD3D32" w:rsidP="00280C23">
    <w:pPr>
      <w:ind w:left="2880"/>
      <w:jc w:val="right"/>
      <w:rPr>
        <w:sz w:val="18"/>
        <w:szCs w:val="18"/>
      </w:rPr>
    </w:pPr>
    <w:r w:rsidRPr="0038340D">
      <w:rPr>
        <w:i/>
        <w:iCs/>
        <w:color w:val="FF0000"/>
        <w:sz w:val="18"/>
        <w:szCs w:val="18"/>
      </w:rPr>
      <w:t xml:space="preserve">The information contained in this report </w:t>
    </w:r>
    <w:r>
      <w:rPr>
        <w:i/>
        <w:iCs/>
        <w:color w:val="FF0000"/>
        <w:sz w:val="18"/>
        <w:szCs w:val="18"/>
      </w:rPr>
      <w:t>is a point-in-time</w:t>
    </w:r>
    <w:r w:rsidRPr="0038340D">
      <w:rPr>
        <w:i/>
        <w:iCs/>
        <w:color w:val="FF0000"/>
        <w:sz w:val="18"/>
        <w:szCs w:val="18"/>
      </w:rPr>
      <w:t xml:space="preserve"> snapshot </w:t>
    </w:r>
    <w:r>
      <w:rPr>
        <w:i/>
        <w:iCs/>
        <w:color w:val="FF0000"/>
        <w:sz w:val="18"/>
        <w:szCs w:val="18"/>
      </w:rPr>
      <w:t>and</w:t>
    </w:r>
    <w:r w:rsidRPr="0038340D">
      <w:rPr>
        <w:i/>
        <w:iCs/>
        <w:color w:val="FF0000"/>
        <w:sz w:val="18"/>
        <w:szCs w:val="18"/>
      </w:rPr>
      <w:t xml:space="preserve"> subject to daily updates.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F45AB84A"/>
    <w:lvl w:ilvl="0">
      <w:numFmt w:val="bullet"/>
      <w:pStyle w:val="Compac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EAC639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3">
    <w:abstractNumId w:val="0"/>
  </w:num>
  <w:num w:numId="4">
    <w:abstractNumId w:val="0"/>
  </w:num>
  <w:num w:numId="5">
    <w:abstractNumId w:val="1"/>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0345"/>
    <w:rsid w:val="00011C8B"/>
    <w:rsid w:val="002F0936"/>
    <w:rsid w:val="003004E6"/>
    <w:rsid w:val="004738D2"/>
    <w:rsid w:val="004E29B3"/>
    <w:rsid w:val="00590D07"/>
    <w:rsid w:val="00741E7A"/>
    <w:rsid w:val="00784D58"/>
    <w:rsid w:val="008D6863"/>
    <w:rsid w:val="00AA6741"/>
    <w:rsid w:val="00B14DE7"/>
    <w:rsid w:val="00B86B75"/>
    <w:rsid w:val="00BC48D5"/>
    <w:rsid w:val="00BD3D32"/>
    <w:rsid w:val="00C36279"/>
    <w:rsid w:val="00CC623B"/>
    <w:rsid w:val="00E315A3"/>
    <w:rsid w:val="00E707B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7AB3E1"/>
  <w15:docId w15:val="{F3501849-4715-4B0B-959F-5609501AD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4B06"/>
  </w:style>
  <w:style w:type="paragraph" w:styleId="Heading1">
    <w:name w:val="heading 1"/>
    <w:basedOn w:val="Normal"/>
    <w:next w:val="BodyText"/>
    <w:uiPriority w:val="9"/>
    <w:qFormat/>
    <w:rsid w:val="00D31C26"/>
    <w:pPr>
      <w:keepNext/>
      <w:keepLines/>
      <w:outlineLvl w:val="0"/>
    </w:pPr>
    <w:rPr>
      <w:rFonts w:ascii="Calibri" w:eastAsiaTheme="majorEastAsia" w:hAnsi="Calibri" w:cs="Calibri"/>
      <w:b/>
      <w:bCs/>
      <w:color w:val="000000" w:themeColor="text1"/>
      <w:sz w:val="32"/>
      <w:szCs w:val="32"/>
    </w:rPr>
  </w:style>
  <w:style w:type="paragraph" w:styleId="Heading2">
    <w:name w:val="heading 2"/>
    <w:basedOn w:val="Normal"/>
    <w:next w:val="BodyText"/>
    <w:uiPriority w:val="9"/>
    <w:unhideWhenUsed/>
    <w:qFormat/>
    <w:rsid w:val="00D31C26"/>
    <w:pPr>
      <w:keepLines/>
      <w:outlineLvl w:val="1"/>
    </w:pPr>
    <w:rPr>
      <w:rFonts w:asciiTheme="majorHAnsi" w:eastAsiaTheme="majorEastAsia" w:hAnsiTheme="majorHAnsi" w:cstheme="majorHAnsi"/>
      <w:color w:val="1F497D" w:themeColor="text2"/>
      <w:sz w:val="26"/>
      <w:szCs w:val="26"/>
    </w:rPr>
  </w:style>
  <w:style w:type="paragraph" w:styleId="Heading3">
    <w:name w:val="heading 3"/>
    <w:basedOn w:val="Normal"/>
    <w:next w:val="BodyText"/>
    <w:uiPriority w:val="9"/>
    <w:unhideWhenUsed/>
    <w:qFormat/>
    <w:rsid w:val="00DB3A48"/>
    <w:pPr>
      <w:keepLines/>
      <w:outlineLvl w:val="2"/>
    </w:pPr>
    <w:rPr>
      <w:rFonts w:ascii="Calibri" w:eastAsiaTheme="majorEastAsia" w:hAnsi="Calibri" w:cs="Calibri"/>
      <w:color w:val="000000" w:themeColor="text1"/>
      <w:sz w:val="20"/>
      <w:szCs w:val="20"/>
    </w:rPr>
  </w:style>
  <w:style w:type="paragraph" w:styleId="Heading4">
    <w:name w:val="heading 4"/>
    <w:basedOn w:val="Normal"/>
    <w:next w:val="BodyText"/>
    <w:uiPriority w:val="9"/>
    <w:unhideWhenUsed/>
    <w:qFormat/>
    <w:rsid w:val="00184B06"/>
    <w:pPr>
      <w:keepNext/>
      <w:keepLines/>
      <w:outlineLvl w:val="3"/>
    </w:pPr>
    <w:rPr>
      <w:rFonts w:ascii="Calibri" w:eastAsiaTheme="majorEastAsia" w:hAnsi="Calibri" w:cs="Calibri"/>
      <w:b/>
      <w:bCs/>
      <w:color w:val="000000" w:themeColor="text1"/>
    </w:rPr>
  </w:style>
  <w:style w:type="paragraph" w:styleId="Heading5">
    <w:name w:val="heading 5"/>
    <w:basedOn w:val="Normal"/>
    <w:next w:val="BodyText"/>
    <w:uiPriority w:val="9"/>
    <w:unhideWhenUsed/>
    <w:qFormat/>
    <w:rsid w:val="0052055D"/>
    <w:pPr>
      <w:keepNext/>
      <w:keepLines/>
      <w:spacing w:before="200"/>
      <w:outlineLvl w:val="4"/>
    </w:pPr>
    <w:rPr>
      <w:rFonts w:eastAsiaTheme="majorEastAsia" w:cstheme="majorBidi"/>
      <w:b/>
      <w:bCs/>
      <w:color w:val="000000" w:themeColor="text1"/>
      <w:sz w:val="44"/>
      <w:szCs w:val="44"/>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75983"/>
    <w:pPr>
      <w:spacing w:before="180"/>
    </w:pPr>
    <w:rPr>
      <w:rFonts w:ascii="Calibri" w:hAnsi="Calibri" w:cs="Calibri"/>
      <w:noProof/>
      <w:sz w:val="22"/>
      <w:szCs w:val="22"/>
    </w:rPr>
  </w:style>
  <w:style w:type="paragraph" w:customStyle="1" w:styleId="FirstParagraph">
    <w:name w:val="First Paragraph"/>
    <w:basedOn w:val="BodyText"/>
    <w:next w:val="BodyText"/>
    <w:qFormat/>
    <w:rsid w:val="00375983"/>
  </w:style>
  <w:style w:type="paragraph" w:customStyle="1" w:styleId="Compact">
    <w:name w:val="Compact"/>
    <w:basedOn w:val="BodyText"/>
    <w:qFormat/>
    <w:rsid w:val="00176963"/>
    <w:pPr>
      <w:numPr>
        <w:numId w:val="1"/>
      </w:numPr>
      <w:spacing w:before="0"/>
    </w:pPr>
  </w:style>
  <w:style w:type="paragraph" w:styleId="Title">
    <w:name w:val="Title"/>
    <w:basedOn w:val="Normal"/>
    <w:next w:val="BodyText"/>
    <w:qFormat/>
    <w:rsid w:val="00D47A7C"/>
    <w:pPr>
      <w:keepNext/>
      <w:keepLines/>
      <w:spacing w:before="480"/>
    </w:pPr>
    <w:rPr>
      <w:rFonts w:eastAsiaTheme="majorEastAsia" w:cstheme="majorBidi"/>
      <w:b/>
      <w:bCs/>
      <w:color w:val="000000" w:themeColor="text1"/>
      <w:sz w:val="44"/>
      <w:szCs w:val="44"/>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47A7C"/>
    <w:pPr>
      <w:keepNext/>
      <w:keepLines/>
    </w:pPr>
    <w:rPr>
      <w:rFonts w:ascii="Cambria" w:hAnsi="Cambria" w:cs="Calibri"/>
      <w:sz w:val="36"/>
      <w:szCs w:val="36"/>
    </w:rPr>
  </w:style>
  <w:style w:type="paragraph" w:styleId="Date">
    <w:name w:val="Date"/>
    <w:next w:val="BodyText"/>
    <w:qFormat/>
    <w:rsid w:val="00D47A7C"/>
    <w:pPr>
      <w:keepNext/>
      <w:keepLines/>
    </w:pPr>
    <w:rPr>
      <w:rFonts w:ascii="Cambria" w:hAnsi="Cambria"/>
      <w:b/>
      <w:bCs/>
      <w:color w:val="FF0000"/>
      <w:sz w:val="36"/>
      <w:szCs w:val="36"/>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A11595"/>
    <w:rPr>
      <w:rFonts w:ascii="Calibri" w:hAnsi="Calibri" w:cs="Calibri"/>
      <w:sz w:val="18"/>
      <w:szCs w:val="18"/>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D47A7C"/>
    <w:pPr>
      <w:spacing w:line="259" w:lineRule="auto"/>
      <w:outlineLvl w:val="9"/>
    </w:pPr>
    <w:rPr>
      <w:rFonts w:ascii="Cambria" w:hAnsi="Cambria"/>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75983"/>
    <w:rPr>
      <w:rFonts w:ascii="Calibri" w:hAnsi="Calibri" w:cs="Calibri"/>
      <w:noProof/>
      <w:sz w:val="22"/>
      <w:szCs w:val="22"/>
    </w:rPr>
  </w:style>
  <w:style w:type="paragraph" w:styleId="TOC1">
    <w:name w:val="toc 1"/>
    <w:basedOn w:val="Normal"/>
    <w:next w:val="Normal"/>
    <w:autoRedefine/>
    <w:uiPriority w:val="39"/>
    <w:unhideWhenUsed/>
    <w:rsid w:val="00D47A7C"/>
    <w:pPr>
      <w:tabs>
        <w:tab w:val="right" w:leader="dot" w:pos="9350"/>
      </w:tabs>
    </w:pPr>
    <w:rPr>
      <w:b/>
      <w:bCs/>
      <w:noProof/>
      <w:sz w:val="28"/>
      <w:szCs w:val="28"/>
    </w:rPr>
  </w:style>
  <w:style w:type="paragraph" w:styleId="TOC2">
    <w:name w:val="toc 2"/>
    <w:basedOn w:val="Normal"/>
    <w:next w:val="Normal"/>
    <w:autoRedefine/>
    <w:uiPriority w:val="39"/>
    <w:unhideWhenUsed/>
    <w:rsid w:val="006553D8"/>
    <w:pPr>
      <w:tabs>
        <w:tab w:val="right" w:leader="dot" w:pos="9350"/>
      </w:tabs>
      <w:spacing w:after="100"/>
      <w:ind w:left="240"/>
    </w:pPr>
    <w:rPr>
      <w:rFonts w:ascii="Cambria" w:hAnsi="Cambria"/>
      <w:noProof/>
    </w:rPr>
  </w:style>
  <w:style w:type="paragraph" w:styleId="TOC3">
    <w:name w:val="toc 3"/>
    <w:basedOn w:val="Normal"/>
    <w:next w:val="Normal"/>
    <w:autoRedefine/>
    <w:uiPriority w:val="39"/>
    <w:unhideWhenUsed/>
    <w:rsid w:val="005B212D"/>
    <w:pPr>
      <w:spacing w:after="100"/>
      <w:ind w:left="480"/>
    </w:pPr>
  </w:style>
  <w:style w:type="paragraph" w:styleId="Header">
    <w:name w:val="header"/>
    <w:basedOn w:val="Normal"/>
    <w:link w:val="HeaderChar"/>
    <w:unhideWhenUsed/>
    <w:rsid w:val="00280C23"/>
    <w:pPr>
      <w:tabs>
        <w:tab w:val="center" w:pos="4680"/>
        <w:tab w:val="right" w:pos="9360"/>
      </w:tabs>
    </w:pPr>
  </w:style>
  <w:style w:type="character" w:customStyle="1" w:styleId="HeaderChar">
    <w:name w:val="Header Char"/>
    <w:basedOn w:val="DefaultParagraphFont"/>
    <w:link w:val="Header"/>
    <w:rsid w:val="00280C23"/>
  </w:style>
  <w:style w:type="paragraph" w:styleId="Footer">
    <w:name w:val="footer"/>
    <w:basedOn w:val="Normal"/>
    <w:link w:val="FooterChar"/>
    <w:uiPriority w:val="99"/>
    <w:unhideWhenUsed/>
    <w:rsid w:val="00280C23"/>
    <w:pPr>
      <w:tabs>
        <w:tab w:val="center" w:pos="4680"/>
        <w:tab w:val="right" w:pos="9360"/>
      </w:tabs>
    </w:pPr>
  </w:style>
  <w:style w:type="character" w:customStyle="1" w:styleId="FooterChar">
    <w:name w:val="Footer Char"/>
    <w:basedOn w:val="DefaultParagraphFont"/>
    <w:link w:val="Footer"/>
    <w:uiPriority w:val="99"/>
    <w:rsid w:val="00280C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DBHIDS Support for the Commonwealth’s Response to ACLU Litigation</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DBHIDS Support for the Commonwealth’s Response to ACLU Litigation</dc:title>
  <dc:creator>MONTHLY SNAPSHOT OF</dc:creator>
  <cp:keywords/>
  <cp:lastModifiedBy>Charles McCrea</cp:lastModifiedBy>
  <cp:revision>5</cp:revision>
  <dcterms:created xsi:type="dcterms:W3CDTF">2020-03-19T17:49:00Z</dcterms:created>
  <dcterms:modified xsi:type="dcterms:W3CDTF">2020-03-19T17:58:00Z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2020</vt:lpwstr>
  </property>
  <property fmtid="{D5CDD505-2E9C-101B-9397-08002B2CF9AE}" pid="3" name="output">
    <vt:lpwstr/>
  </property>
</Properties>
</file>