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9A400"/>
          <w:sz w:val="26"/>
        </w:rPr>
        <w:t>SUPERCELL OY — PEOPLE ANALYTICS</w:t>
      </w:r>
    </w:p>
    <w:p>
      <w:pPr>
        <w:jc w:val="center"/>
      </w:pPr>
      <w:r>
        <w:rPr>
          <w:b/>
          <w:sz w:val="44"/>
        </w:rPr>
        <w:t>Análise Descritiva de Dados de RH</w:t>
        <w:br/>
        <w:t>Simulação com 100 colaboradores (dados fictícios)</w:t>
      </w:r>
    </w:p>
    <w:p>
      <w:pPr>
        <w:jc w:val="center"/>
      </w:pPr>
      <w:r>
        <w:rPr>
          <w:sz w:val="21"/>
        </w:rPr>
        <w:t>Dashboard interativo: supercell-rh-dashboard.html  •  Base: supercell_rh_100.csv</w:t>
        <w:br/>
        <w:t>Helsinque + escritórios globais  •  Setembro/2026</w:t>
      </w:r>
    </w:p>
    <w:p>
      <w:r>
        <w:t>AVISO: todos os dados são 100% simulados para fins educacionais (aula de RH / People Analytics). Não representam dados reais da Supercell. Metodologia descrita na Seção 1.</w:t>
      </w:r>
    </w:p>
    <w:p>
      <w:r>
        <w:br w:type="page"/>
      </w:r>
    </w:p>
    <w:p>
      <w:pPr>
        <w:pStyle w:val="Heading1"/>
      </w:pPr>
      <w:r>
        <w:t>1. Objetivo e metodologia</w:t>
      </w:r>
    </w:p>
    <w:p>
      <w:r>
        <w:t>Esta análise descreve a base simulada de 100 colaboradores da Supercell (estúdio finlandês de Clash of Clans, Brawl Stars, Clash Royale, Hay Day, Boom Beach e Squad Busters), estruturada no modelo de Cells — times pequenos e autônomos, marca registrada da empresa.</w:t>
      </w:r>
    </w:p>
    <w:p>
      <w:r>
        <w:t>Geração dos dados (seed fixa 202602, reproduzível): 8 departamentos com pesos (Engenharia 25%, Game Design 20%, Arte &amp; Animação 15%, Data &amp; Analytics 10%, Produto 10%, Marketing &amp; Community 8%, QA &amp; Suporte 7%, People/RH &amp; Admin 5%); salários em €/mês calibrados ao mercado da Finlândia; satisfação 1–10 com distribuição assimétrica positiva; desempenho 1–5 correlacionado à satisfação; probabilidade de desligamento maior quando satisfação ≤ 6 ou desempenho ≤ 2 (turnover proposital ≈ 15–20%); faltas correlacionadas ao (des)engajamento; treinamento maior para alta performance. Arquivos da pasta supercell-rh: este .docx, o dashboard .html e o .csv com as mesmas 100 linhas analisadas aqui.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 / Nome</w:t>
            </w:r>
          </w:p>
        </w:tc>
        <w:tc>
          <w:tcPr>
            <w:tcW w:type="dxa" w:w="2880"/>
          </w:tcPr>
          <w:p>
            <w:r>
              <w:t>Identificação</w:t>
            </w:r>
          </w:p>
        </w:tc>
        <w:tc>
          <w:tcPr>
            <w:tcW w:type="dxa" w:w="2880"/>
          </w:tcPr>
          <w:p>
            <w:r>
              <w:t>SC-001 a SC-100; nomes finlandeses + internacionais</w:t>
            </w:r>
          </w:p>
        </w:tc>
      </w:tr>
      <w:tr>
        <w:tc>
          <w:tcPr>
            <w:tcW w:type="dxa" w:w="2880"/>
          </w:tcPr>
          <w:p>
            <w:r>
              <w:t>Departamento / Cargo / Cell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8 deptos; cargos típicos de games; 7 cells (jogos)</w:t>
            </w:r>
          </w:p>
        </w:tc>
      </w:tr>
      <w:tr>
        <w:tc>
          <w:tcPr>
            <w:tcW w:type="dxa" w:w="2880"/>
          </w:tcPr>
          <w:p>
            <w:r>
              <w:t>Salário</w:t>
            </w:r>
          </w:p>
        </w:tc>
        <w:tc>
          <w:tcPr>
            <w:tcW w:type="dxa" w:w="2880"/>
          </w:tcPr>
          <w:p>
            <w:r>
              <w:t>Numérica (€/mês)</w:t>
            </w:r>
          </w:p>
        </w:tc>
        <w:tc>
          <w:tcPr>
            <w:tcW w:type="dxa" w:w="2880"/>
          </w:tcPr>
          <w:p>
            <w:r>
              <w:t>Faixas por cargo, ex.: Junior Dev 4.800–6.500; Senior Engineer 8.500–12.000</w:t>
            </w:r>
          </w:p>
        </w:tc>
      </w:tr>
      <w:tr>
        <w:tc>
          <w:tcPr>
            <w:tcW w:type="dxa" w:w="2880"/>
          </w:tcPr>
          <w:p>
            <w:r>
              <w:t>Admissão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Entre 2015 e 2025 (dd/mm/aaaa)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Ativo x Desligado (turnover)</w:t>
            </w:r>
          </w:p>
        </w:tc>
      </w:tr>
      <w:tr>
        <w:tc>
          <w:tcPr>
            <w:tcW w:type="dxa" w:w="2880"/>
          </w:tcPr>
          <w:p>
            <w:r>
              <w:t>Faltas / Treinamento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Dias de falta/ano; horas de treinamento/ano</w:t>
            </w:r>
          </w:p>
        </w:tc>
      </w:tr>
      <w:tr>
        <w:tc>
          <w:tcPr>
            <w:tcW w:type="dxa" w:w="2880"/>
          </w:tcPr>
          <w:p>
            <w:r>
              <w:t>Desempenho 1–5 / Promoção</w:t>
            </w:r>
          </w:p>
        </w:tc>
        <w:tc>
          <w:tcPr>
            <w:tcW w:type="dxa" w:w="2880"/>
          </w:tcPr>
          <w:p>
            <w:r>
              <w:t>Ordinal / Binária</w:t>
            </w:r>
          </w:p>
        </w:tc>
        <w:tc>
          <w:tcPr>
            <w:tcW w:type="dxa" w:w="2880"/>
          </w:tcPr>
          <w:p>
            <w:r>
              <w:t>Avaliação anual; promoção nos últimos 12 meses</w:t>
            </w:r>
          </w:p>
        </w:tc>
      </w:tr>
      <w:tr>
        <w:tc>
          <w:tcPr>
            <w:tcW w:type="dxa" w:w="2880"/>
          </w:tcPr>
          <w:p>
            <w:r>
              <w:t>Satisfação 1–10 / eNPS</w:t>
            </w:r>
          </w:p>
        </w:tc>
        <w:tc>
          <w:tcPr>
            <w:tcW w:type="dxa" w:w="2880"/>
          </w:tcPr>
          <w:p>
            <w:r>
              <w:t>Numérica / Categórica</w:t>
            </w:r>
          </w:p>
        </w:tc>
        <w:tc>
          <w:tcPr>
            <w:tcW w:type="dxa" w:w="2880"/>
          </w:tcPr>
          <w:p>
            <w:r>
              <w:t>Promotor 9–10; Neutro 7–8; Detrator 0–6</w:t>
            </w:r>
          </w:p>
        </w:tc>
      </w:tr>
    </w:tbl>
    <w:p/>
    <w:p>
      <w:pPr>
        <w:pStyle w:val="Heading1"/>
      </w:pPr>
      <w:r>
        <w:t>2. Composição do quadro (headcount)</w:t>
      </w:r>
    </w:p>
    <w:p>
      <w:r>
        <w:t>A base tem 100 vínculos: 78 ativos e 22 desligados (turnover de 22%). O maior departamento é Engenharia (23 pessoas), seguido pela lógica de um game studio — Engenharia + Game Design + Arte somam cerca de 60% do quadro. As 7 cells equilibram-se entre 12 e 18 pessoas cada, coerente com cells pequenas.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Departamento</w:t>
            </w:r>
          </w:p>
        </w:tc>
        <w:tc>
          <w:tcPr>
            <w:tcW w:type="dxa" w:w="1728"/>
          </w:tcPr>
          <w:p>
            <w:r>
              <w:t>Headcount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Desligados</w:t>
            </w:r>
          </w:p>
        </w:tc>
        <w:tc>
          <w:tcPr>
            <w:tcW w:type="dxa" w:w="1728"/>
          </w:tcPr>
          <w:p>
            <w:r>
              <w:t>Faltas médias</w:t>
            </w:r>
          </w:p>
        </w:tc>
      </w:tr>
      <w:tr>
        <w:tc>
          <w:tcPr>
            <w:tcW w:type="dxa" w:w="1728"/>
          </w:tcPr>
          <w:p>
            <w:r>
              <w:t>Engenharia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23%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5.3</w:t>
            </w:r>
          </w:p>
        </w:tc>
      </w:tr>
      <w:tr>
        <w:tc>
          <w:tcPr>
            <w:tcW w:type="dxa" w:w="1728"/>
          </w:tcPr>
          <w:p>
            <w:r>
              <w:t>Game Design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Marketing &amp; Community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3.9</w:t>
            </w:r>
          </w:p>
        </w:tc>
      </w:tr>
      <w:tr>
        <w:tc>
          <w:tcPr>
            <w:tcW w:type="dxa" w:w="1728"/>
          </w:tcPr>
          <w:p>
            <w:r>
              <w:t>Produto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Arte &amp; Animação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Data &amp; Analytics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4.1</w:t>
            </w:r>
          </w:p>
        </w:tc>
      </w:tr>
      <w:tr>
        <w:tc>
          <w:tcPr>
            <w:tcW w:type="dxa" w:w="1728"/>
          </w:tcPr>
          <w:p>
            <w:r>
              <w:t>QA &amp; Suporte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People, RH &amp; Admin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1.7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(jogo/time)</w:t>
            </w:r>
          </w:p>
        </w:tc>
        <w:tc>
          <w:tcPr>
            <w:tcW w:type="dxa" w:w="4320"/>
          </w:tcPr>
          <w:p>
            <w:r>
              <w:t>Headcount</w:t>
            </w:r>
          </w:p>
        </w:tc>
      </w:tr>
      <w:tr>
        <w:tc>
          <w:tcPr>
            <w:tcW w:type="dxa" w:w="4320"/>
          </w:tcPr>
          <w:p>
            <w:r>
              <w:t>Hay Day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New Games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Clash of Clans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Brawl Stars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Boom Beach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Clash Royale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Squad Busters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3. Remuneração</w:t>
      </w:r>
    </w:p>
    <w:p>
      <w:r>
        <w:t>Salário médio € 7.123/mês; mediana € 6.850; desvio-padrão € 1.670; mínimo € 3.950 e máximo € 11.550. A mediana abaixo da média indica leve assimetria à direita (puxada por seniors de Engenharia/Produto/Data). Por departamento, o topo é Engenharia/Produto/Data e a base é QA &amp; Suporte — padrão do setor de games na Finlândia.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Salário médio (€/mês)</w:t>
            </w:r>
          </w:p>
        </w:tc>
      </w:tr>
      <w:tr>
        <w:tc>
          <w:tcPr>
            <w:tcW w:type="dxa" w:w="4320"/>
          </w:tcPr>
          <w:p>
            <w:r>
              <w:t>Engenharia</w:t>
            </w:r>
          </w:p>
        </w:tc>
        <w:tc>
          <w:tcPr>
            <w:tcW w:type="dxa" w:w="4320"/>
          </w:tcPr>
          <w:p>
            <w:r>
              <w:t>€ 8.361</w:t>
            </w:r>
          </w:p>
        </w:tc>
      </w:tr>
      <w:tr>
        <w:tc>
          <w:tcPr>
            <w:tcW w:type="dxa" w:w="4320"/>
          </w:tcPr>
          <w:p>
            <w:r>
              <w:t>Produto</w:t>
            </w:r>
          </w:p>
        </w:tc>
        <w:tc>
          <w:tcPr>
            <w:tcW w:type="dxa" w:w="4320"/>
          </w:tcPr>
          <w:p>
            <w:r>
              <w:t>€ 8.296</w:t>
            </w:r>
          </w:p>
        </w:tc>
      </w:tr>
      <w:tr>
        <w:tc>
          <w:tcPr>
            <w:tcW w:type="dxa" w:w="4320"/>
          </w:tcPr>
          <w:p>
            <w:r>
              <w:t>Data &amp; Analytics</w:t>
            </w:r>
          </w:p>
        </w:tc>
        <w:tc>
          <w:tcPr>
            <w:tcW w:type="dxa" w:w="4320"/>
          </w:tcPr>
          <w:p>
            <w:r>
              <w:t>€ 7.862</w:t>
            </w:r>
          </w:p>
        </w:tc>
      </w:tr>
      <w:tr>
        <w:tc>
          <w:tcPr>
            <w:tcW w:type="dxa" w:w="4320"/>
          </w:tcPr>
          <w:p>
            <w:r>
              <w:t>Game Design</w:t>
            </w:r>
          </w:p>
        </w:tc>
        <w:tc>
          <w:tcPr>
            <w:tcW w:type="dxa" w:w="4320"/>
          </w:tcPr>
          <w:p>
            <w:r>
              <w:t>€ 6.990</w:t>
            </w:r>
          </w:p>
        </w:tc>
      </w:tr>
      <w:tr>
        <w:tc>
          <w:tcPr>
            <w:tcW w:type="dxa" w:w="4320"/>
          </w:tcPr>
          <w:p>
            <w:r>
              <w:t>Arte &amp; Animação</w:t>
            </w:r>
          </w:p>
        </w:tc>
        <w:tc>
          <w:tcPr>
            <w:tcW w:type="dxa" w:w="4320"/>
          </w:tcPr>
          <w:p>
            <w:r>
              <w:t>€ 6.450</w:t>
            </w:r>
          </w:p>
        </w:tc>
      </w:tr>
      <w:tr>
        <w:tc>
          <w:tcPr>
            <w:tcW w:type="dxa" w:w="4320"/>
          </w:tcPr>
          <w:p>
            <w:r>
              <w:t>Marketing &amp; Community</w:t>
            </w:r>
          </w:p>
        </w:tc>
        <w:tc>
          <w:tcPr>
            <w:tcW w:type="dxa" w:w="4320"/>
          </w:tcPr>
          <w:p>
            <w:r>
              <w:t>€ 6.000</w:t>
            </w:r>
          </w:p>
        </w:tc>
      </w:tr>
      <w:tr>
        <w:tc>
          <w:tcPr>
            <w:tcW w:type="dxa" w:w="4320"/>
          </w:tcPr>
          <w:p>
            <w:r>
              <w:t>People, RH &amp; Admin</w:t>
            </w:r>
          </w:p>
        </w:tc>
        <w:tc>
          <w:tcPr>
            <w:tcW w:type="dxa" w:w="4320"/>
          </w:tcPr>
          <w:p>
            <w:r>
              <w:t>€ 5.367</w:t>
            </w:r>
          </w:p>
        </w:tc>
      </w:tr>
      <w:tr>
        <w:tc>
          <w:tcPr>
            <w:tcW w:type="dxa" w:w="4320"/>
          </w:tcPr>
          <w:p>
            <w:r>
              <w:t>QA &amp; Suporte</w:t>
            </w:r>
          </w:p>
        </w:tc>
        <w:tc>
          <w:tcPr>
            <w:tcW w:type="dxa" w:w="4320"/>
          </w:tcPr>
          <w:p>
            <w:r>
              <w:t>€ 4.564</w:t>
            </w:r>
          </w:p>
        </w:tc>
      </w:tr>
    </w:tbl>
    <w:p/>
    <w:p>
      <w:pPr>
        <w:pStyle w:val="Heading1"/>
      </w:pPr>
      <w:r>
        <w:t>4. Rotatividade (turnover) e absenteísmo</w:t>
      </w:r>
    </w:p>
    <w:p>
      <w:r>
        <w:t>Turnover geral de 22% — acima da meta ilustrativa de 12% para studios de games. Desligados concentram-se nos grupos de satisfação ≤ 6 e desempenho ≤ 2, por construção da simulação. Absenteísmo: média geral 4.3 dias/ano; ativos 2.9 dias vs. desligados 9.3 dias — o dobro de faltas entre quem saiu, sinal clássico de desengajamento prévio. Atenção aos departamentos com mais desligados e faltas médias altas (ver tabela da Seção 2).</w:t>
      </w:r>
    </w:p>
    <w:p>
      <w:pPr>
        <w:pStyle w:val="Heading1"/>
      </w:pPr>
      <w:r>
        <w:t>5. Desempenho e desenvolvimento</w:t>
      </w:r>
    </w:p>
    <w:p>
      <w:r>
        <w:t>Distribuição do desempenho 1–5: nota 1: 11 pessoas (11%); nota 2: 7 pessoas (7%); nota 3: 11 pessoas (11%); nota 4: 28 pessoas (28%); nota 5: 43 pessoas (43%). Formato aproximadamente normal com cauda à esquerda (low performers propositais ≈ 8%). Promoções nos últimos 12 meses: {promo_n} pessoas, condicionadas a desempenho ≥ 4 e vínculo ativo. Treinamento: média {tre_mean:.1f} h/ano por pessoa; alta performance (≥4) com média {tre_hi} h vs. baixa performance (≤2) com {tre_lo} h — quem performa mais também se capacita mais (ou vice-versa).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8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per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Clima: satisfação e eNPS</w:t>
      </w:r>
    </w:p>
    <w:p>
      <w:r>
        <w:t>Satisfação média 7.55/10; mediana 8/10. eNPS = 11 (Promotores 42 − Detratores 31, Neutros 27). Um eNPS positivo porém moderado: há base de entusiastas (notas 9–10), mas o grupo de detratores (0–6) coincide em grande parte com desligados e faltosos — prioridade de escuta ativa e 1:1s nas cells.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n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Relações entre variáveis (leitura descritiva)</w:t>
      </w:r>
    </w:p>
    <w:p>
      <w:pPr>
        <w:pStyle w:val="ListBullet"/>
      </w:pPr>
      <w:r>
        <w:t>Satisfação → saída: desligados têm satisfação média visivelmente menor; faltas médias de desligados (9.3) superam as de ativos (2.9).</w:t>
      </w:r>
    </w:p>
    <w:p>
      <w:pPr>
        <w:pStyle w:val="ListBullet"/>
      </w:pPr>
      <w:r>
        <w:t>Satisfação → desempenho: desempenho foi gerado como função da satisfação + ruído; na prática, correlação positiva esperada (quem está satisfeito tende a performar melhor).</w:t>
      </w:r>
    </w:p>
    <w:p>
      <w:pPr>
        <w:pStyle w:val="ListBullet"/>
      </w:pPr>
      <w:r>
        <w:t>Desempenho → treinamento/promoção: médias de treinamento 42.0 h (perf ≥ 4) vs. 19.2 h (perf ≤ 2); promoções só entre perf ≥ 4 ativos.</w:t>
      </w:r>
    </w:p>
    <w:p>
      <w:pPr>
        <w:pStyle w:val="ListBullet"/>
      </w:pPr>
      <w:r>
        <w:t>Departamento → salário: Engenharia, Produto e Data pagam mais; QA &amp; Suporte e Community pagam menos — verificar equidade interna e competitividade externa por cargo.</w:t>
      </w:r>
    </w:p>
    <w:p>
      <w:pPr>
        <w:pStyle w:val="Heading1"/>
      </w:pPr>
      <w:r>
        <w:t>8. Recomendações (plano de ação)</w:t>
      </w:r>
    </w:p>
    <w:p>
      <w:pPr>
        <w:pStyle w:val="ListNumber"/>
      </w:pPr>
      <w:r>
        <w:t>Retenção focada: entrevistas de permanência nas cells com mais detratores; plano de 90 dias para quem tem satisfação ≤ 6 e faltas crescentes (meta: turnover &lt; 12%).</w:t>
      </w:r>
    </w:p>
    <w:p>
      <w:pPr>
        <w:pStyle w:val="ListNumber"/>
      </w:pPr>
      <w:r>
        <w:t>Carreira e capacitação: elevar treinamento de perf ≤ 2 para ≥ 20 h/ano com mentoria sênior; trilha clara Júnior→Pleno→Sênior, sobretudo em QA/Suporte.</w:t>
      </w:r>
    </w:p>
    <w:p>
      <w:pPr>
        <w:pStyle w:val="ListNumber"/>
      </w:pPr>
      <w:r>
        <w:t>Remuneração: revisar faixas de QA, Suporte e Community frente ao mercado finlandês; bônus por lançamento/sucesso do jogo (prática comum em games).</w:t>
      </w:r>
    </w:p>
    <w:p>
      <w:pPr>
        <w:pStyle w:val="ListNumber"/>
      </w:pPr>
      <w:r>
        <w:t>Clima contínuo: pulse survey trimestral de eNPS por cell; meta eNPS ≥ +30; reconhecer Cells promotoras.</w:t>
      </w:r>
    </w:p>
    <w:p>
      <w:pPr>
        <w:pStyle w:val="ListNumber"/>
      </w:pPr>
      <w:r>
        <w:t>Próximos passos analíticos: cruzar tempo de casa x saída, salário x satisfação por cargo e rotatividade por cell — o CSV e o dashboard da pasta permitem essas quebras.</w:t>
      </w:r>
    </w:p>
    <w:p>
      <w:pPr>
        <w:pStyle w:val="Heading1"/>
      </w:pPr>
      <w:r>
        <w:t>9. Limitações e dicionário rápido</w:t>
      </w:r>
    </w:p>
    <w:p>
      <w:r>
        <w:t>Limitações: dados sintéticos, sem inferência para a Supercell real; n=100 (margem de erro relevante em quebras finas); correlações foram programadas, não descobertas. Dicionário: Status = vínculo na data de corte; Faltas = dias/ano; Trein = horas/ano; Perf = avaliação anual 1–5; Promo = promoção nos últimos 12 meses (Sim/Não); Sat = satisfação 1–10; eNPS derivado de Sat (9–10 Promotor, 7–8 Neutro, 0–6 Detrator).</w:t>
      </w:r>
    </w:p>
    <w:p>
      <w:r>
        <w:t>Arquivos da entrega (pasta supercell-rh): 1) supercell-rh-dashboard.html — dashboard interativo; 2) supercell_rh_100.csv — base de 100 linhas (separador ;); 3) este .docx — análise descritiva. Todos gerados com seed 202602.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62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62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62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