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C74DCD" w:rsidP="00320EA7">
      <w:pPr>
        <w:jc w:val="center"/>
        <w:rPr>
          <w:sz w:val="28"/>
          <w:szCs w:val="28"/>
        </w:rPr>
      </w:pPr>
      <w:r w:rsidRPr="003F3EAD">
        <w:rPr>
          <w:noProof/>
          <w:sz w:val="28"/>
          <w:szCs w:val="28"/>
          <w:lang w:eastAsia="es-BO"/>
        </w:rPr>
        <w:drawing>
          <wp:anchor distT="0" distB="0" distL="114300" distR="114300" simplePos="0" relativeHeight="251661312" behindDoc="0" locked="0" layoutInCell="1" allowOverlap="1" wp14:anchorId="21447689" wp14:editId="5A843AA9">
            <wp:simplePos x="0" y="0"/>
            <wp:positionH relativeFrom="margin">
              <wp:align>center</wp:align>
            </wp:positionH>
            <wp:positionV relativeFrom="paragraph">
              <wp:posOffset>173990</wp:posOffset>
            </wp:positionV>
            <wp:extent cx="3267075" cy="4038600"/>
            <wp:effectExtent l="0" t="0" r="9525" b="0"/>
            <wp:wrapThrough wrapText="bothSides">
              <wp:wrapPolygon edited="0">
                <wp:start x="0" y="0"/>
                <wp:lineTo x="0" y="21498"/>
                <wp:lineTo x="21537" y="21498"/>
                <wp:lineTo x="21537"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Pr="003F3EAD" w:rsidRDefault="00320EA7" w:rsidP="00320EA7">
      <w:pPr>
        <w:jc w:val="center"/>
        <w:rPr>
          <w:sz w:val="28"/>
          <w:szCs w:val="28"/>
        </w:rPr>
      </w:pPr>
    </w:p>
    <w:p w:rsidR="00320EA7" w:rsidRDefault="00320EA7" w:rsidP="00320EA7">
      <w:pPr>
        <w:jc w:val="center"/>
        <w:rPr>
          <w:sz w:val="28"/>
          <w:szCs w:val="28"/>
        </w:rPr>
      </w:pPr>
      <w:r>
        <w:rPr>
          <w:sz w:val="28"/>
          <w:szCs w:val="28"/>
        </w:rPr>
        <w:t>APLICACIÓN DEL MODELO FISICO MATEMATICO KUBELKA MUNK PARA LA PREDICCION  DE COICIDENCIA DE COLOR CON COLORANTES DISPERSOS USADOS EN FIBRA POLIESTER</w:t>
      </w:r>
    </w:p>
    <w:p w:rsidR="00320EA7" w:rsidRDefault="00320EA7" w:rsidP="00320EA7">
      <w:pPr>
        <w:jc w:val="center"/>
        <w:rPr>
          <w:sz w:val="28"/>
          <w:szCs w:val="28"/>
        </w:rPr>
      </w:pPr>
    </w:p>
    <w:p w:rsidR="00320EA7" w:rsidRDefault="00320EA7" w:rsidP="00320EA7">
      <w:pPr>
        <w:jc w:val="center"/>
        <w:rPr>
          <w:sz w:val="28"/>
          <w:szCs w:val="28"/>
        </w:rPr>
      </w:pPr>
    </w:p>
    <w:p w:rsidR="00320EA7" w:rsidRPr="003D79A5" w:rsidRDefault="00320EA7" w:rsidP="00320EA7">
      <w:pPr>
        <w:jc w:val="center"/>
        <w:rPr>
          <w:sz w:val="28"/>
          <w:szCs w:val="28"/>
        </w:rPr>
      </w:pPr>
      <w:r w:rsidRPr="003D79A5">
        <w:rPr>
          <w:b/>
          <w:sz w:val="28"/>
          <w:szCs w:val="28"/>
        </w:rPr>
        <w:t>ESTUDIANTE:</w:t>
      </w:r>
      <w:r w:rsidRPr="003D79A5">
        <w:rPr>
          <w:sz w:val="28"/>
          <w:szCs w:val="28"/>
        </w:rPr>
        <w:t xml:space="preserve"> Mayra Mercedes Ayala Navarro</w:t>
      </w:r>
    </w:p>
    <w:p w:rsidR="00320EA7" w:rsidRPr="003D79A5" w:rsidRDefault="00C74DCD" w:rsidP="00320EA7">
      <w:pPr>
        <w:jc w:val="center"/>
        <w:rPr>
          <w:sz w:val="28"/>
          <w:szCs w:val="28"/>
        </w:rPr>
      </w:pPr>
      <w:r>
        <w:rPr>
          <w:sz w:val="28"/>
          <w:szCs w:val="28"/>
        </w:rPr>
        <w:t>7</w:t>
      </w:r>
      <w:r w:rsidR="00CE3BAD">
        <w:rPr>
          <w:sz w:val="28"/>
          <w:szCs w:val="28"/>
        </w:rPr>
        <w:t xml:space="preserve"> de octubre</w:t>
      </w:r>
      <w:r w:rsidR="00320EA7" w:rsidRPr="003D79A5">
        <w:rPr>
          <w:sz w:val="28"/>
          <w:szCs w:val="28"/>
        </w:rPr>
        <w:t>, 2021</w:t>
      </w:r>
    </w:p>
    <w:p w:rsidR="00320EA7" w:rsidRPr="003D79A5" w:rsidRDefault="00320EA7" w:rsidP="00320EA7">
      <w:pPr>
        <w:jc w:val="center"/>
        <w:rPr>
          <w:sz w:val="28"/>
          <w:szCs w:val="28"/>
        </w:rPr>
      </w:pPr>
      <w:r w:rsidRPr="003D79A5">
        <w:rPr>
          <w:sz w:val="28"/>
          <w:szCs w:val="28"/>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 </w:t>
      </w:r>
    </w:p>
    <w:p w:rsidR="00320EA7" w:rsidRDefault="00E528AF" w:rsidP="00075C58">
      <w:pPr>
        <w:ind w:left="360"/>
        <w:jc w:val="both"/>
      </w:pPr>
      <w:r>
        <w:t xml:space="preserve">La empresa textilera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8C4FC3">
        <w:t xml:space="preserve">10 años,  </w:t>
      </w:r>
      <w:r w:rsidR="00412E17">
        <w:t>se encarga principalmente de la preparación e hilado de fibras textiles de poliéster que siguen u</w:t>
      </w:r>
      <w:r w:rsidR="002F545A">
        <w:t xml:space="preserve">n proceso de texturizado, </w:t>
      </w:r>
      <w:r w:rsidR="000F5C34">
        <w:t>tintorería</w:t>
      </w:r>
      <w:r w:rsidR="00412E17">
        <w:t>,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las pruebas de color en diferentes títulos de poli</w:t>
      </w:r>
      <w:r w:rsidR="00667D34">
        <w:t>éster y también algodón,</w:t>
      </w:r>
      <w:r w:rsidR="000F5C34">
        <w:t xml:space="preserve"> </w:t>
      </w:r>
      <w:r w:rsidR="00AD35CA">
        <w:t xml:space="preserve">el área cuenta con profesionales que </w:t>
      </w:r>
      <w:r w:rsidR="00BA24C8">
        <w:t>utiliza</w:t>
      </w:r>
      <w:r w:rsidR="00AD35CA">
        <w:t>n</w:t>
      </w:r>
      <w:r w:rsidR="00BA24C8">
        <w:t xml:space="preserve"> una </w:t>
      </w:r>
      <w:r w:rsidR="00105734">
        <w:t>técnica</w:t>
      </w:r>
      <w:r w:rsidR="00BA24C8">
        <w:t xml:space="preserve"> de </w:t>
      </w:r>
      <w:r w:rsidR="00AD35CA">
        <w:t>valoración</w:t>
      </w:r>
      <w:r w:rsidR="00105734">
        <w:t xml:space="preserve"> visual</w:t>
      </w:r>
      <w:r w:rsidR="00AD35CA">
        <w:t xml:space="preserve"> para determinar la igualación de color de acuerdo a valores estándar que tienen y que son provistos en la empresa por clientes que requieren un color en </w:t>
      </w:r>
      <w:r w:rsidR="00CB7807">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t>,</w:t>
      </w:r>
      <w:r w:rsidR="00CB7807">
        <w:t xml:space="preserve"> </w:t>
      </w:r>
      <w:r w:rsidR="00075C58">
        <w:t>por lo tanto</w:t>
      </w:r>
      <w:r w:rsidR="00320EA7">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t xml:space="preserve"> La solución que se pretende aplicar a esta problemática es realizar un modelo de programa en el cual se aplique la fórmula de Kubelka Munk que trabaja con datos de reflectancia</w:t>
      </w:r>
      <w:r w:rsidR="00783030">
        <w:t xml:space="preserve"> de cada colorante</w:t>
      </w:r>
      <w:r w:rsidR="008C4FC3">
        <w:t xml:space="preserve"> y relaciona la misma de forma lineal con la concentración, que es u</w:t>
      </w:r>
      <w:r w:rsidR="00783030">
        <w:t>n dato importante porque</w:t>
      </w:r>
      <w:r w:rsidR="008C4FC3">
        <w:t xml:space="preserve"> la empresa requ</w:t>
      </w:r>
      <w:r w:rsidR="00783030">
        <w:t>iere</w:t>
      </w:r>
      <w:r w:rsidR="008C4FC3">
        <w:t xml:space="preserve"> un programa que pueda dar de forma rápida una receta de colorantes a utilizar para igualar un color en específico y que además </w:t>
      </w:r>
      <w:r w:rsidR="00783030">
        <w:t xml:space="preserve">ayude a obtener la concentración de los mismos. Se buscó esta solución en base al artefacto que obtuvieron en la empresa como instrumento de medición de color, es un </w:t>
      </w:r>
      <w:r w:rsidR="00F61F36">
        <w:t>espectrofotómetro</w:t>
      </w:r>
      <w:r w:rsidR="00783030">
        <w:t xml:space="preserve"> </w:t>
      </w:r>
      <w:r w:rsidR="00F61F36">
        <w:t xml:space="preserve">de rejilla </w:t>
      </w:r>
      <w:r w:rsidR="00783030">
        <w:t xml:space="preserve">portátil que logra medir datos de reflectancia y mide el color en base a un sistema CIELAB </w:t>
      </w:r>
      <w:r w:rsidR="00F61F36">
        <w:t>, trabaja con elementos sólidos y  da resultados distintivamente de la fibra de muestra.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w:t>
      </w:r>
      <w:proofErr w:type="spellStart"/>
      <w:r>
        <w:t>over</w:t>
      </w:r>
      <w:proofErr w:type="spellEnd"/>
      <w:r>
        <w:t xml:space="preserve">,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w:t>
      </w:r>
      <w:r>
        <w:lastRenderedPageBreak/>
        <w:t>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320EA7" w:rsidRDefault="00320EA7" w:rsidP="00320EA7">
      <w:pPr>
        <w:ind w:left="360"/>
        <w:jc w:val="both"/>
      </w:pPr>
      <w:r>
        <w:t xml:space="preserve">La </w:t>
      </w:r>
      <w:r w:rsidRPr="007C05D7">
        <w:rPr>
          <w:b/>
        </w:rPr>
        <w:t>fibra textil</w:t>
      </w:r>
      <w:r>
        <w:t xml:space="preserve"> con la que se trabaja en mayor cantidad es el poliéster,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t>, siendo este de</w:t>
      </w:r>
      <w:r w:rsidRPr="00561710">
        <w:t xml:space="preserve"> una categoría de polímeros que contiene el grupo funcional en su cadena principal. Se entiende como término poliéster a los poliésteres sintéticos, los cuales incluyen policarbonato y especialmente el polietileno </w:t>
      </w:r>
      <w:proofErr w:type="spellStart"/>
      <w:r w:rsidRPr="00561710">
        <w:t>tereftalato</w:t>
      </w:r>
      <w:proofErr w:type="spellEnd"/>
      <w:r>
        <w:t xml:space="preserve">.    Este componente es llevado al proceso de texturizado que consta de la modificación en la estructura de los hilos, proporcionándoles alargamiento, volumen, capacidad de absorción, rizos, espirales por medio de tratamientos  físico y químicos, en el cual se realizan diferentes títulos como 165/48F 1C, 180/48F 1C, MF, </w:t>
      </w:r>
      <w:proofErr w:type="spellStart"/>
      <w:r>
        <w:t>etc</w:t>
      </w:r>
      <w:proofErr w:type="spellEnd"/>
      <w:r>
        <w:t xml:space="preserve"> que determinan el grosor del hilo y es tomado en cuenta como un material opaco.</w:t>
      </w:r>
    </w:p>
    <w:p w:rsidR="00320EA7" w:rsidRDefault="00320EA7" w:rsidP="00320EA7">
      <w:pPr>
        <w:ind w:left="360"/>
        <w:jc w:val="both"/>
      </w:pPr>
      <w:r>
        <w:t xml:space="preserve">Los </w:t>
      </w:r>
      <w:r w:rsidRPr="00572FE0">
        <w:rPr>
          <w:b/>
        </w:rPr>
        <w:t>colorantes</w:t>
      </w:r>
      <w:r>
        <w:t xml:space="preserve"> </w:t>
      </w:r>
      <w:r w:rsidRPr="00572FE0">
        <w:rPr>
          <w:b/>
        </w:rPr>
        <w:t>dispersos</w:t>
      </w:r>
      <w:r>
        <w:t xml:space="preserve"> actualmente son utilizados principalmente  para el teñido de poliéster que es complicado de teñir, su carácter químico es no iónico, con baja solubilidad en el agua y pueden disolverse en algunas fibras sintéticas y su nombre vine dado ya que se aplica en dispersión acuosa. Los colorantes dispersos pueden tener diferentes estructuras químicas que son: </w:t>
      </w:r>
    </w:p>
    <w:p w:rsidR="00320EA7" w:rsidRDefault="00320EA7" w:rsidP="00320EA7">
      <w:pPr>
        <w:pStyle w:val="Prrafodelista"/>
        <w:numPr>
          <w:ilvl w:val="0"/>
          <w:numId w:val="3"/>
        </w:numPr>
        <w:jc w:val="both"/>
      </w:pPr>
      <w:r>
        <w:t xml:space="preserve">Colorantes azoicos </w:t>
      </w:r>
    </w:p>
    <w:p w:rsidR="00320EA7" w:rsidRDefault="00320EA7" w:rsidP="00320EA7">
      <w:pPr>
        <w:pStyle w:val="Prrafodelista"/>
        <w:numPr>
          <w:ilvl w:val="0"/>
          <w:numId w:val="3"/>
        </w:numPr>
        <w:jc w:val="both"/>
      </w:pPr>
      <w:r>
        <w:t xml:space="preserve">Colorantes antraquinónicos </w:t>
      </w:r>
    </w:p>
    <w:p w:rsidR="00320EA7" w:rsidRDefault="00320EA7" w:rsidP="00320EA7">
      <w:pPr>
        <w:ind w:left="360"/>
        <w:jc w:val="both"/>
      </w:pPr>
      <w:r>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320EA7" w:rsidRDefault="00320EA7" w:rsidP="00320EA7">
      <w:pPr>
        <w:pStyle w:val="Prrafodelista"/>
        <w:numPr>
          <w:ilvl w:val="0"/>
          <w:numId w:val="4"/>
        </w:numPr>
        <w:jc w:val="both"/>
      </w:pPr>
      <w:r>
        <w:t>FIJACION o movimiento de la molécula de colorante desde la superficie de la fibra, hacia su interior, estableciéndose los enlaces entre fibra y colorante.</w:t>
      </w:r>
    </w:p>
    <w:p w:rsidR="00320EA7" w:rsidRDefault="00320EA7" w:rsidP="00320EA7">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p>
    <w:p w:rsidR="00320EA7" w:rsidRDefault="00320EA7" w:rsidP="00320EA7">
      <w:pPr>
        <w:ind w:left="360"/>
        <w:jc w:val="both"/>
      </w:pPr>
      <w:r>
        <w:t>El espectrofotómetro que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p>
    <w:p w:rsidR="00320EA7" w:rsidRDefault="00C74DCD" w:rsidP="00320EA7">
      <w:pPr>
        <w:ind w:left="360"/>
        <w:jc w:val="center"/>
        <w:rPr>
          <w:noProof/>
          <w:lang w:eastAsia="es-BO"/>
        </w:rPr>
      </w:pPr>
      <w:r>
        <w:rPr>
          <w:noProof/>
          <w:lang w:eastAsia="es-BO"/>
        </w:rPr>
        <w:lastRenderedPageBreak/>
        <w:drawing>
          <wp:inline distT="0" distB="0" distL="0" distR="0" wp14:anchorId="35F1D39F" wp14:editId="19503954">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sidR="00560450">
        <w:rPr>
          <w:noProof/>
        </w:rPr>
        <w:t>1</w:t>
      </w:r>
      <w:r>
        <w:rPr>
          <w:noProof/>
        </w:rPr>
        <w:fldChar w:fldCharType="end"/>
      </w:r>
      <w:r>
        <w:t xml:space="preserve">. Espectrofotómetro de color YS3010 para la medición de color, marca </w:t>
      </w:r>
      <w:proofErr w:type="spellStart"/>
      <w:r>
        <w:t>Shenzhen</w:t>
      </w:r>
      <w:proofErr w:type="spellEnd"/>
      <w:r>
        <w:t xml:space="preserve"> 3nh</w:t>
      </w:r>
    </w:p>
    <w:p w:rsidR="00320EA7" w:rsidRDefault="00C74DCD" w:rsidP="00320EA7">
      <w:bookmarkStart w:id="0" w:name="_GoBack"/>
      <w:r>
        <w:rPr>
          <w:noProof/>
          <w:lang w:eastAsia="es-BO"/>
        </w:rPr>
        <w:drawing>
          <wp:anchor distT="0" distB="0" distL="114300" distR="114300" simplePos="0" relativeHeight="251663360" behindDoc="0" locked="0" layoutInCell="1" allowOverlap="1" wp14:anchorId="0E22B6D3" wp14:editId="64CC7406">
            <wp:simplePos x="0" y="0"/>
            <wp:positionH relativeFrom="column">
              <wp:posOffset>2257425</wp:posOffset>
            </wp:positionH>
            <wp:positionV relativeFrom="paragraph">
              <wp:posOffset>434340</wp:posOffset>
            </wp:positionV>
            <wp:extent cx="2200275" cy="163830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320EA7">
        <w:t>El sistema  CIELAB es un método de identificación que es utilizado en el espectrofotómetro. Identifica de forma tridimensional  un color, utilizando a teoría de los 3 pares antagónicos de la visión de los colores:</w:t>
      </w:r>
    </w:p>
    <w:p w:rsidR="00320EA7" w:rsidRDefault="00C74DCD" w:rsidP="00C74DCD">
      <w:pPr>
        <w:tabs>
          <w:tab w:val="left" w:pos="4995"/>
        </w:tabs>
      </w:pPr>
      <w:r>
        <w:tab/>
      </w:r>
    </w:p>
    <w:p w:rsidR="00320EA7" w:rsidRDefault="00320EA7" w:rsidP="00320EA7">
      <w:r>
        <w:t xml:space="preserve">Blanco (L*=100)- Negro (L*=0)     </w:t>
      </w:r>
    </w:p>
    <w:p w:rsidR="00320EA7" w:rsidRDefault="00320EA7" w:rsidP="00320EA7">
      <w:r>
        <w:t>Amarillo (+b*)- Azul (-b*)</w:t>
      </w:r>
    </w:p>
    <w:p w:rsidR="00320EA7" w:rsidRDefault="00320EA7" w:rsidP="00320EA7">
      <w:r>
        <w:t>Rojo (+a*) -  Verde (-a*)</w:t>
      </w:r>
    </w:p>
    <w:p w:rsidR="001163A3" w:rsidRDefault="001163A3" w:rsidP="00320EA7"/>
    <w:p w:rsidR="00320EA7" w:rsidRPr="00426838" w:rsidRDefault="00320EA7" w:rsidP="00320EA7"/>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 xml:space="preserve">onda del espectro visible (400-700 </w:t>
      </w:r>
      <w:proofErr w:type="spellStart"/>
      <w:r w:rsidRPr="00E31402">
        <w:t>nm</w:t>
      </w:r>
      <w:proofErr w:type="spellEnd"/>
      <w:r w:rsidRPr="00E31402">
        <w:t>),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Pr="00453DA0" w:rsidRDefault="00C82A33" w:rsidP="00320EA7">
      <w:pPr>
        <w:ind w:left="360"/>
        <w:jc w:val="both"/>
      </w:pPr>
      <m:oMathPara>
        <m:oMathParaPr>
          <m:jc m:val="right"/>
        </m:oMathParaPr>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r>
            <w:rPr>
              <w:rFonts w:ascii="Cambria Math" w:hAnsi="Cambria Math"/>
            </w:rPr>
            <m:t xml:space="preserve">                                                              (1)</m:t>
          </m:r>
        </m:oMath>
      </m:oMathPara>
    </w:p>
    <w:p w:rsidR="00320EA7" w:rsidRDefault="00320EA7" w:rsidP="00320EA7">
      <w:pPr>
        <w:ind w:left="360"/>
        <w:jc w:val="both"/>
      </w:pPr>
      <w:r>
        <w:t>Donde:</w:t>
      </w:r>
    </w:p>
    <w:p w:rsidR="00320EA7" w:rsidRDefault="00320EA7" w:rsidP="00320EA7">
      <w:pPr>
        <w:spacing w:after="0"/>
        <w:ind w:left="360"/>
        <w:jc w:val="both"/>
      </w:pPr>
      <w:proofErr w:type="spellStart"/>
      <w:r>
        <w:t>K</w:t>
      </w:r>
      <w:r w:rsidRPr="00426838">
        <w:t>λ</w:t>
      </w:r>
      <w:proofErr w:type="spellEnd"/>
      <w:r>
        <w:t xml:space="preserve"> = </w:t>
      </w:r>
      <w:r w:rsidRPr="00426838">
        <w:t>coeficientes de absorción</w:t>
      </w:r>
    </w:p>
    <w:p w:rsidR="00320EA7" w:rsidRDefault="00320EA7" w:rsidP="00320EA7">
      <w:pPr>
        <w:spacing w:after="0"/>
        <w:ind w:left="360"/>
        <w:jc w:val="both"/>
      </w:pPr>
      <w:proofErr w:type="spellStart"/>
      <w:r>
        <w:t>S</w:t>
      </w:r>
      <w:r w:rsidRPr="00426838">
        <w:t>λ</w:t>
      </w:r>
      <w:proofErr w:type="spellEnd"/>
      <w:r>
        <w:t xml:space="preserve"> = coeficientes de dispersión</w:t>
      </w:r>
    </w:p>
    <w:p w:rsidR="00320EA7" w:rsidRDefault="00320EA7" w:rsidP="00320EA7">
      <w:pPr>
        <w:spacing w:after="0"/>
        <w:ind w:left="360"/>
        <w:jc w:val="both"/>
      </w:pPr>
      <w:proofErr w:type="spellStart"/>
      <w:r>
        <w:t>r</w:t>
      </w:r>
      <w:r w:rsidRPr="00426838">
        <w:t>λ</w:t>
      </w:r>
      <w:proofErr w:type="spellEnd"/>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453DA0" w:rsidRDefault="00320EA7" w:rsidP="00320EA7">
      <w:pPr>
        <w:ind w:left="360"/>
        <w:jc w:val="both"/>
        <w:rPr>
          <w:rFonts w:eastAsiaTheme="minorEastAsia"/>
        </w:rPr>
      </w:pPr>
      <m:oMathPara>
        <m:oMathParaPr>
          <m:jc m:val="right"/>
        </m:oMathParaPr>
        <m:oMath>
          <m:r>
            <w:rPr>
              <w:rFonts w:ascii="Cambria Math" w:hAnsi="Cambria Math"/>
            </w:rPr>
            <w:lastRenderedPageBreak/>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(2)</m:t>
          </m:r>
        </m:oMath>
      </m:oMathPara>
    </w:p>
    <w:p w:rsidR="00320EA7" w:rsidRPr="00453DA0" w:rsidRDefault="00453DA0" w:rsidP="00453DA0">
      <w:pPr>
        <w:ind w:left="360"/>
        <w:jc w:val="both"/>
        <w:rPr>
          <w:rFonts w:eastAsiaTheme="minorEastAsia"/>
        </w:rPr>
      </w:pPr>
      <m:oMathPara>
        <m:oMathParaPr>
          <m:jc m:val="right"/>
        </m:oMathParaPr>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 xml:space="preserve">*Cn                 </m:t>
          </m:r>
          <m:d>
            <m:dPr>
              <m:ctrlPr>
                <w:rPr>
                  <w:rFonts w:ascii="Cambria Math" w:hAnsi="Cambria Math"/>
                  <w:i/>
                </w:rPr>
              </m:ctrlPr>
            </m:dPr>
            <m:e>
              <m:r>
                <w:rPr>
                  <w:rFonts w:ascii="Cambria Math" w:hAnsi="Cambria Math"/>
                </w:rPr>
                <m:t>3</m:t>
              </m:r>
            </m:e>
          </m:d>
        </m:oMath>
      </m:oMathPara>
    </w:p>
    <w:p w:rsidR="00453DA0" w:rsidRPr="00E07BFE" w:rsidRDefault="00453DA0" w:rsidP="00453DA0">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453DA0" w:rsidRDefault="00C82A33"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                   (4)</m:t>
          </m:r>
        </m:oMath>
      </m:oMathPara>
    </w:p>
    <w:p w:rsidR="00320EA7" w:rsidRDefault="00320EA7" w:rsidP="00320EA7">
      <w:pPr>
        <w:ind w:left="360"/>
        <w:jc w:val="both"/>
        <w:rPr>
          <w:rFonts w:eastAsiaTheme="minorEastAsia"/>
        </w:rPr>
      </w:pPr>
      <w:r>
        <w:rPr>
          <w:rFonts w:eastAsiaTheme="minorEastAsia"/>
        </w:rPr>
        <w:t>Ecuación en la cual se basa la realización de este proyecto ya que relaciona de forma lineal los valores de dispersión y absorción con las concentraciones de diferentes colorante q</w:t>
      </w:r>
      <w:r w:rsidR="00C0666D">
        <w:rPr>
          <w:rFonts w:eastAsiaTheme="minorEastAsia"/>
        </w:rPr>
        <w:t>u</w:t>
      </w:r>
      <w:r>
        <w:rPr>
          <w:rFonts w:eastAsiaTheme="minorEastAsia"/>
        </w:rPr>
        <w:t>e componen un color en específico.</w:t>
      </w:r>
    </w:p>
    <w:p w:rsidR="004964A3" w:rsidRDefault="004964A3" w:rsidP="00320EA7">
      <w:pPr>
        <w:ind w:left="360"/>
        <w:jc w:val="both"/>
        <w:rPr>
          <w:rFonts w:eastAsiaTheme="minorEastAsia"/>
        </w:rPr>
      </w:pPr>
      <w:r>
        <w:rPr>
          <w:rFonts w:eastAsiaTheme="minorEastAsia"/>
        </w:rPr>
        <w:t xml:space="preserve">La aplicación de la formula se simplifica en el caso de </w:t>
      </w:r>
      <w:r w:rsidR="0070654C">
        <w:rPr>
          <w:rFonts w:eastAsiaTheme="minorEastAsia"/>
        </w:rPr>
        <w:t>usar</w:t>
      </w:r>
      <w:r>
        <w:rPr>
          <w:rFonts w:eastAsiaTheme="minorEastAsia"/>
        </w:rPr>
        <w:t xml:space="preserve"> la misma en pinturas</w:t>
      </w:r>
      <w:r w:rsidR="009974F2">
        <w:rPr>
          <w:rFonts w:eastAsiaTheme="minorEastAsia"/>
        </w:rPr>
        <w:t xml:space="preserve">, textiles y papeles ya que </w:t>
      </w:r>
      <w:r w:rsidR="0070654C">
        <w:rPr>
          <w:rFonts w:eastAsiaTheme="minorEastAsia"/>
        </w:rPr>
        <w:t>al realizar</w:t>
      </w:r>
      <w:r w:rsidR="00453DA0">
        <w:rPr>
          <w:rFonts w:eastAsiaTheme="minorEastAsia"/>
        </w:rPr>
        <w:t xml:space="preserve"> la coincidencia de color, la mayor parte de la dispersión es obtenida del sustrato o de pigmento blanco, en otras palabras el valor de </w:t>
      </w:r>
      <w:proofErr w:type="spellStart"/>
      <w:r w:rsidR="00453DA0">
        <w:rPr>
          <w:rFonts w:eastAsiaTheme="minorEastAsia"/>
        </w:rPr>
        <w:t>S</w:t>
      </w:r>
      <w:r w:rsidR="00453DA0">
        <w:rPr>
          <w:rFonts w:eastAsiaTheme="minorEastAsia"/>
          <w:vertAlign w:val="subscript"/>
        </w:rPr>
        <w:t>s</w:t>
      </w:r>
      <w:proofErr w:type="spellEnd"/>
      <w:r w:rsidR="00453DA0">
        <w:rPr>
          <w:rFonts w:eastAsiaTheme="minorEastAsia"/>
        </w:rPr>
        <w:t>(</w:t>
      </w:r>
      <m:oMath>
        <m:r>
          <w:rPr>
            <w:rFonts w:ascii="Cambria Math" w:hAnsi="Cambria Math"/>
          </w:rPr>
          <m:t>λ)</m:t>
        </m:r>
      </m:oMath>
      <w:r w:rsidR="00453DA0">
        <w:rPr>
          <w:rFonts w:eastAsiaTheme="minorEastAsia"/>
        </w:rPr>
        <w:t xml:space="preserve"> es el predominante sobre la dispersión total que es proporcionada por los colorantes, así que la ecuación </w:t>
      </w:r>
      <w:r w:rsidR="0069148B">
        <w:rPr>
          <w:rFonts w:eastAsiaTheme="minorEastAsia"/>
        </w:rPr>
        <w:t xml:space="preserve">(4) </w:t>
      </w:r>
      <w:r w:rsidR="00453DA0">
        <w:rPr>
          <w:rFonts w:eastAsiaTheme="minorEastAsia"/>
        </w:rPr>
        <w:t>se reduciría a lo siguiente:</w:t>
      </w:r>
    </w:p>
    <w:p w:rsidR="0069148B" w:rsidRPr="00453DA0" w:rsidRDefault="00C82A33" w:rsidP="0069148B">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*Cn                   (5)</m:t>
          </m:r>
        </m:oMath>
      </m:oMathPara>
    </w:p>
    <w:p w:rsidR="0069148B" w:rsidRDefault="0069148B" w:rsidP="00320EA7">
      <w:pPr>
        <w:ind w:left="360"/>
        <w:jc w:val="both"/>
        <w:rPr>
          <w:rFonts w:eastAsiaTheme="minorEastAsia"/>
        </w:rPr>
      </w:pPr>
    </w:p>
    <w:p w:rsidR="00453DA0" w:rsidRDefault="0069148B" w:rsidP="00320EA7">
      <w:pPr>
        <w:ind w:left="360"/>
        <w:jc w:val="both"/>
        <w:rPr>
          <w:rFonts w:eastAsiaTheme="minorEastAsia"/>
        </w:rPr>
      </w:pPr>
      <w:r>
        <w:rPr>
          <w:rFonts w:eastAsiaTheme="minorEastAsia"/>
        </w:rPr>
        <w:t xml:space="preserve">A las relaciones de absorción por colorante y dispersión de sustrato se les puede denominar las constantes de absorción que son descritas generalmente como </w:t>
      </w:r>
      <w:proofErr w:type="spellStart"/>
      <w:r>
        <w:rPr>
          <w:rFonts w:eastAsiaTheme="minorEastAsia"/>
        </w:rPr>
        <w:t>B</w:t>
      </w:r>
      <w:r>
        <w:rPr>
          <w:rFonts w:eastAsiaTheme="minorEastAsia"/>
          <w:vertAlign w:val="subscript"/>
        </w:rPr>
        <w:t>n</w:t>
      </w:r>
      <w:proofErr w:type="spellEnd"/>
      <w:r>
        <w:rPr>
          <w:rFonts w:eastAsiaTheme="minorEastAsia"/>
        </w:rPr>
        <w:t>(</w:t>
      </w:r>
      <m:oMath>
        <m:r>
          <w:rPr>
            <w:rFonts w:ascii="Cambria Math" w:hAnsi="Cambria Math"/>
          </w:rPr>
          <m:t>λ</m:t>
        </m:r>
      </m:oMath>
      <w:r>
        <w:rPr>
          <w:rFonts w:eastAsiaTheme="minorEastAsia"/>
        </w:rPr>
        <w:t>) y la ecuación seria descrita finalmente como:</w:t>
      </w:r>
    </w:p>
    <w:p w:rsidR="0069148B" w:rsidRPr="0069148B" w:rsidRDefault="0069148B" w:rsidP="00320EA7">
      <w:pPr>
        <w:ind w:left="360"/>
        <w:jc w:val="both"/>
        <w:rPr>
          <w:rFonts w:eastAsiaTheme="minorEastAsia"/>
        </w:rPr>
      </w:pPr>
    </w:p>
    <w:p w:rsidR="003D79A5" w:rsidRPr="0069148B" w:rsidRDefault="00C82A33"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+B1</m:t>
          </m:r>
          <m:d>
            <m:dPr>
              <m:ctrlPr>
                <w:rPr>
                  <w:rFonts w:ascii="Cambria Math" w:hAnsi="Cambria Math"/>
                  <w:i/>
                </w:rPr>
              </m:ctrlPr>
            </m:dPr>
            <m:e>
              <m:r>
                <w:rPr>
                  <w:rFonts w:ascii="Cambria Math" w:hAnsi="Cambria Math"/>
                </w:rPr>
                <m:t>λ</m:t>
              </m:r>
            </m:e>
          </m:d>
          <m:r>
            <w:rPr>
              <w:rFonts w:ascii="Cambria Math" w:hAnsi="Cambria Math"/>
            </w:rPr>
            <m:t>*C1+B2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(6)</m:t>
          </m:r>
        </m:oMath>
      </m:oMathPara>
    </w:p>
    <w:p w:rsidR="003D79A5" w:rsidRDefault="003D79A5" w:rsidP="00320EA7">
      <w:pPr>
        <w:ind w:left="360"/>
        <w:jc w:val="both"/>
        <w:rPr>
          <w:rFonts w:eastAsiaTheme="minorEastAsia"/>
        </w:rPr>
      </w:pPr>
    </w:p>
    <w:p w:rsidR="001163A3" w:rsidRDefault="0069148B" w:rsidP="00320EA7">
      <w:pPr>
        <w:ind w:left="360"/>
        <w:jc w:val="both"/>
        <w:rPr>
          <w:rFonts w:eastAsiaTheme="minorEastAsia"/>
        </w:rPr>
      </w:pPr>
      <w:r>
        <w:rPr>
          <w:rFonts w:eastAsiaTheme="minorEastAsia"/>
        </w:rPr>
        <w:t xml:space="preserve">La ecuación (6) es generalmente llamada como la </w:t>
      </w:r>
      <w:r w:rsidRPr="005E73D9">
        <w:rPr>
          <w:rFonts w:eastAsiaTheme="minorEastAsia"/>
          <w:b/>
          <w:i/>
        </w:rPr>
        <w:t>ecuación d</w:t>
      </w:r>
      <w:r w:rsidR="0016787E" w:rsidRPr="005E73D9">
        <w:rPr>
          <w:rFonts w:eastAsiaTheme="minorEastAsia"/>
          <w:b/>
          <w:i/>
        </w:rPr>
        <w:t>e Kubelka Munk de una constante</w:t>
      </w:r>
      <w:r w:rsidR="0016787E">
        <w:rPr>
          <w:rFonts w:eastAsiaTheme="minorEastAsia"/>
        </w:rPr>
        <w:t xml:space="preserve">, generalmente este tipo de suposición es realizada en base al análisis </w:t>
      </w:r>
      <w:r w:rsidR="00FD15CA">
        <w:rPr>
          <w:rFonts w:eastAsiaTheme="minorEastAsia"/>
        </w:rPr>
        <w:t>del índice de refracción en textiles que norma</w:t>
      </w:r>
      <w:r w:rsidR="005E73D9">
        <w:rPr>
          <w:rFonts w:eastAsiaTheme="minorEastAsia"/>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1163A3" w:rsidRDefault="001163A3" w:rsidP="001163A3">
      <w:pPr>
        <w:pStyle w:val="Prrafodelista"/>
        <w:numPr>
          <w:ilvl w:val="1"/>
          <w:numId w:val="1"/>
        </w:numPr>
        <w:jc w:val="both"/>
        <w:rPr>
          <w:i/>
        </w:rPr>
      </w:pPr>
      <w:r>
        <w:rPr>
          <w:i/>
        </w:rPr>
        <w:t>Corrección de Saunderson</w:t>
      </w:r>
    </w:p>
    <w:p w:rsidR="00E36032" w:rsidRDefault="00B97472" w:rsidP="005E73D9">
      <w:pPr>
        <w:ind w:left="360"/>
        <w:jc w:val="both"/>
      </w:pPr>
      <w:r>
        <w:t xml:space="preserve">La corrección de Saunderson </w:t>
      </w:r>
      <w:r w:rsidR="002E38AB">
        <w:t>es aplicada para corregir la reflexión de superficies, ya que la teoría Kubelka Munk no toma en cuenta la discontinuidad de refracción que existe</w:t>
      </w:r>
      <w:r w:rsidR="00E36032">
        <w:t xml:space="preserve"> en la interface aire-muestra,</w:t>
      </w:r>
      <w:r w:rsidR="002E38AB">
        <w:t xml:space="preserve"> </w:t>
      </w:r>
      <w:r w:rsidR="00E36032">
        <w:t xml:space="preserve">que produce una reflexión de luz que no influye  en los colorantes </w:t>
      </w:r>
      <w:r w:rsidR="002E38AB">
        <w:t xml:space="preserve">al  momento de determinar </w:t>
      </w:r>
      <w:r w:rsidR="00E36032">
        <w:t xml:space="preserve"> el valor de reflexión, por lo cual se debe corregir el valor de reflectancia con la siguiente ecuación que planteo Saunderson:</w:t>
      </w:r>
    </w:p>
    <w:p w:rsidR="005E73D9" w:rsidRDefault="00E36032" w:rsidP="005E73D9">
      <w:pPr>
        <w:ind w:left="360"/>
        <w:jc w:val="both"/>
      </w:pPr>
      <w:r>
        <w:t xml:space="preserve"> </w:t>
      </w:r>
    </w:p>
    <w:p w:rsidR="005E73D9" w:rsidRDefault="005E73D9" w:rsidP="00320EA7">
      <w:pPr>
        <w:ind w:left="360"/>
        <w:jc w:val="both"/>
        <w:rPr>
          <w:rFonts w:eastAsiaTheme="minorEastAsia"/>
        </w:rPr>
      </w:pPr>
    </w:p>
    <w:p w:rsidR="001163A3" w:rsidRPr="00AE0DB4" w:rsidRDefault="007046AA" w:rsidP="00320EA7">
      <w:pPr>
        <w:ind w:left="360"/>
        <w:jc w:val="both"/>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hAnsi="Cambria Math"/>
            </w:rPr>
            <m:t>=rf+</m:t>
          </m:r>
          <m:f>
            <m:fPr>
              <m:ctrlPr>
                <w:rPr>
                  <w:rFonts w:ascii="Cambria Math" w:hAnsi="Cambria Math"/>
                  <w:i/>
                </w:rPr>
              </m:ctrlPr>
            </m:fPr>
            <m:num>
              <m:r>
                <w:rPr>
                  <w:rFonts w:ascii="Cambria Math" w:hAnsi="Cambria Math"/>
                </w:rPr>
                <m:t>τf*</m:t>
              </m:r>
              <m:d>
                <m:dPr>
                  <m:ctrlPr>
                    <w:rPr>
                      <w:rFonts w:ascii="Cambria Math" w:hAnsi="Cambria Math"/>
                      <w:i/>
                    </w:rPr>
                  </m:ctrlPr>
                </m:dPr>
                <m:e>
                  <m:r>
                    <w:rPr>
                      <w:rFonts w:ascii="Cambria Math" w:hAnsi="Cambria Math"/>
                    </w:rPr>
                    <m:t>1-rD</m:t>
                  </m:r>
                </m:e>
              </m:d>
              <m:r>
                <w:rPr>
                  <w:rFonts w:ascii="Cambria Math" w:hAnsi="Cambria Math"/>
                </w:rPr>
                <m:t>*r∞(λ)</m:t>
              </m:r>
            </m:num>
            <m:den>
              <m:r>
                <w:rPr>
                  <w:rFonts w:ascii="Cambria Math" w:hAnsi="Cambria Math"/>
                </w:rPr>
                <m:t>1-rD*r∞(λ)</m:t>
              </m:r>
            </m:den>
          </m:f>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Donde:</m:t>
          </m:r>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eastAsiaTheme="minorEastAsia" w:hAnsi="Cambria Math"/>
            </w:rPr>
            <m:t>=Reflectancia  medido por un espectofotómetro</m:t>
          </m:r>
        </m:oMath>
      </m:oMathPara>
    </w:p>
    <w:p w:rsidR="00AE0DB4" w:rsidRPr="00AE0DB4" w:rsidRDefault="00AE0DB4" w:rsidP="00320EA7">
      <w:pPr>
        <w:ind w:left="360"/>
        <w:jc w:val="both"/>
        <w:rPr>
          <w:rFonts w:eastAsiaTheme="minorEastAsia"/>
        </w:rPr>
      </w:pPr>
      <m:oMathPara>
        <m:oMathParaPr>
          <m:jc m:val="left"/>
        </m:oMathParaPr>
        <m:oMath>
          <m:r>
            <w:rPr>
              <w:rFonts w:ascii="Cambria Math" w:hAnsi="Cambria Math"/>
            </w:rPr>
            <m:t>rf= reflectancia de Fresnel</m:t>
          </m:r>
        </m:oMath>
      </m:oMathPara>
    </w:p>
    <w:p w:rsidR="00AE0DB4" w:rsidRPr="00AE0DB4"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rD= fracción de luz que retrocede hacia el interior al encontrar la frontera del medio</m:t>
          </m:r>
        </m:oMath>
      </m:oMathPara>
    </w:p>
    <w:p w:rsidR="00AE0DB4" w:rsidRPr="00CE3F90"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 reflectancia calculada por la teoría de Kubelka-Munk para muestras opacas</m:t>
          </m:r>
        </m:oMath>
      </m:oMathPara>
    </w:p>
    <w:p w:rsidR="00AE0DB4" w:rsidRPr="00AE0DB4" w:rsidRDefault="00AE0DB4" w:rsidP="00320EA7">
      <w:pPr>
        <w:ind w:left="360"/>
        <w:jc w:val="both"/>
        <w:rPr>
          <w:rFonts w:eastAsiaTheme="minorEastAsia"/>
        </w:rPr>
      </w:pPr>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20EA7">
      <w:pPr>
        <w:ind w:left="360"/>
        <w:jc w:val="both"/>
      </w:pPr>
      <w:r>
        <w:t>Desarrollar una metodología de obtenc</w:t>
      </w:r>
      <w:r w:rsidR="00C0666D">
        <w:t>ión eficiente de datos de concentración a partir de la aplicación</w:t>
      </w:r>
      <w:r>
        <w:t xml:space="preserve"> del modelo  f</w:t>
      </w:r>
      <w:r w:rsidR="00C0666D">
        <w:t xml:space="preserve">isicomatemático  Kubelka  Munk, </w:t>
      </w:r>
      <w:r>
        <w:t xml:space="preserve">para mejorar el proceso de igualación de color </w:t>
      </w:r>
      <w:r w:rsidR="00C0666D">
        <w:t xml:space="preserve"> con colorantes dispersos utilizados en la  fibra poliéster </w:t>
      </w:r>
      <w:r>
        <w:t>en la empresa textilera TDT</w:t>
      </w:r>
      <w:r w:rsidR="00C0666D">
        <w:t>,</w:t>
      </w:r>
      <w:r>
        <w:t xml:space="preserve"> co</w:t>
      </w:r>
      <w:r w:rsidR="008C4FC3">
        <w:t xml:space="preserve">n ayuda de </w:t>
      </w:r>
      <w:r>
        <w:t xml:space="preserve"> tecnología y materiales que la misma empresa nos proporciona.</w:t>
      </w:r>
    </w:p>
    <w:p w:rsidR="00320EA7" w:rsidRDefault="00320EA7" w:rsidP="00320EA7">
      <w:pPr>
        <w:ind w:left="360"/>
        <w:jc w:val="both"/>
      </w:pPr>
    </w:p>
    <w:p w:rsidR="00320EA7" w:rsidRDefault="00320EA7" w:rsidP="00320EA7">
      <w:pPr>
        <w:ind w:left="360"/>
        <w:jc w:val="both"/>
      </w:pPr>
      <w:r>
        <w:t>OBJETIVOS ESPECIFICOS</w:t>
      </w:r>
    </w:p>
    <w:p w:rsidR="00320EA7" w:rsidRDefault="00320EA7" w:rsidP="00320EA7">
      <w:pPr>
        <w:pStyle w:val="Prrafodelista"/>
        <w:numPr>
          <w:ilvl w:val="0"/>
          <w:numId w:val="2"/>
        </w:numPr>
        <w:jc w:val="both"/>
      </w:pPr>
      <w:r>
        <w:t>Conocer el funcionamiento y aplicación del espectrofotómetro</w:t>
      </w:r>
      <w:r w:rsidR="006807E6">
        <w:t xml:space="preserve"> de rejilla</w:t>
      </w:r>
      <w:r>
        <w:t>.</w:t>
      </w:r>
    </w:p>
    <w:p w:rsidR="001163A3" w:rsidRDefault="001163A3" w:rsidP="00320EA7">
      <w:pPr>
        <w:pStyle w:val="Prrafodelista"/>
        <w:numPr>
          <w:ilvl w:val="0"/>
          <w:numId w:val="2"/>
        </w:numPr>
        <w:jc w:val="both"/>
      </w:pPr>
      <w:r>
        <w:t xml:space="preserve">Obtener las curvas de agotamiento  </w:t>
      </w:r>
      <w:r w:rsidR="003D79A5">
        <w:t xml:space="preserve">en base los datos de absorbancia y transmitancia </w:t>
      </w:r>
      <w:r>
        <w:t>de los 14 colorantes que cabe resaltar son de la misma familia, para determinar  tricromías estándar con el fin de aplicar las mismas en la fórmula de  Kubelka Munk que se basa en la aplicación de 3 colorantes (tricromías).</w:t>
      </w:r>
    </w:p>
    <w:p w:rsidR="00320EA7" w:rsidRDefault="009C3E4C" w:rsidP="00320EA7">
      <w:pPr>
        <w:pStyle w:val="Prrafodelista"/>
        <w:numPr>
          <w:ilvl w:val="0"/>
          <w:numId w:val="2"/>
        </w:numPr>
        <w:jc w:val="both"/>
      </w:pPr>
      <w:r>
        <w:t>Obtener los datos de reflectancia</w:t>
      </w:r>
      <w:r w:rsidR="00320EA7">
        <w:t xml:space="preserve"> de los 14 colorantes utilizados en la empresa</w:t>
      </w:r>
      <w:r>
        <w:t xml:space="preserve"> en estado </w:t>
      </w:r>
      <w:r w:rsidR="00E754E0">
        <w:t>líquido</w:t>
      </w:r>
      <w:r w:rsidR="00FE33FD">
        <w:t xml:space="preserve"> </w:t>
      </w:r>
      <w:r w:rsidR="00603648">
        <w:t xml:space="preserve">con ayuda de espectrofotómetro </w:t>
      </w:r>
      <w:r w:rsidR="00FE33FD">
        <w:t xml:space="preserve">para poder determinar </w:t>
      </w:r>
      <w:r w:rsidR="001342EC">
        <w:t>las</w:t>
      </w:r>
      <w:r w:rsidR="00B269D7">
        <w:t xml:space="preserve"> </w:t>
      </w:r>
      <w:r w:rsidR="00037727">
        <w:t>cons</w:t>
      </w:r>
      <w:r w:rsidR="00B269D7">
        <w:t>t</w:t>
      </w:r>
      <w:r w:rsidR="00037727">
        <w:t>ante</w:t>
      </w:r>
      <w:r w:rsidR="001342EC">
        <w:t xml:space="preserve">s de </w:t>
      </w:r>
      <w:proofErr w:type="gramStart"/>
      <w:r w:rsidR="001342EC">
        <w:t>K(</w:t>
      </w:r>
      <w:proofErr w:type="gramEnd"/>
      <w:r w:rsidR="001342EC">
        <w:rPr>
          <w:rFonts w:cstheme="minorHAnsi"/>
          <w:rtl/>
        </w:rPr>
        <w:t>٨</w:t>
      </w:r>
      <w:r w:rsidR="001342EC">
        <w:t>)/S(</w:t>
      </w:r>
      <w:r w:rsidR="001342EC">
        <w:rPr>
          <w:rFonts w:cstheme="minorHAnsi"/>
          <w:rtl/>
        </w:rPr>
        <w:t>٨</w:t>
      </w:r>
      <w:r w:rsidR="001342EC">
        <w:t>) del sustrato</w:t>
      </w:r>
      <w:r w:rsidR="00B269D7">
        <w:t xml:space="preserve"> </w:t>
      </w:r>
      <w:r w:rsidR="001342EC">
        <w:t>y</w:t>
      </w:r>
      <w:r w:rsidR="00037727">
        <w:t xml:space="preserve"> B(</w:t>
      </w:r>
      <w:r w:rsidR="00B269D7">
        <w:rPr>
          <w:rFonts w:cstheme="minorHAnsi"/>
          <w:rtl/>
        </w:rPr>
        <w:t>٨</w:t>
      </w:r>
      <w:r w:rsidR="00037727">
        <w:t>)</w:t>
      </w:r>
      <w:r w:rsidR="00603648">
        <w:t xml:space="preserve"> </w:t>
      </w:r>
      <w:r w:rsidR="00B269D7">
        <w:t xml:space="preserve"> de </w:t>
      </w:r>
      <w:r w:rsidR="00603648">
        <w:t xml:space="preserve">absorción </w:t>
      </w:r>
      <w:r w:rsidR="00DC6675">
        <w:t>de la ecuación de Kubelka Munk</w:t>
      </w:r>
      <w:r w:rsidR="00320EA7">
        <w:t>.</w:t>
      </w:r>
    </w:p>
    <w:p w:rsidR="00C44F13" w:rsidRDefault="003C5C5F" w:rsidP="00320EA7">
      <w:pPr>
        <w:pStyle w:val="Prrafodelista"/>
        <w:numPr>
          <w:ilvl w:val="0"/>
          <w:numId w:val="2"/>
        </w:numPr>
        <w:jc w:val="both"/>
      </w:pPr>
      <w:r w:rsidRPr="003C5C5F">
        <w:t>Aplicar</w:t>
      </w:r>
      <w:r>
        <w:t xml:space="preserve"> la corrección de</w:t>
      </w:r>
      <w:r w:rsidR="00C44F13">
        <w:t xml:space="preserve"> Saunderson </w:t>
      </w:r>
      <w:r>
        <w:t xml:space="preserve"> en la reflectancia obtenida del espectrofotómetro para tomar en cuenta</w:t>
      </w:r>
      <w:r w:rsidR="00346BE1">
        <w:t xml:space="preserve"> la discontinuidad</w:t>
      </w:r>
      <w:r>
        <w:t xml:space="preserve"> de</w:t>
      </w:r>
      <w:r w:rsidR="00346BE1">
        <w:t>l</w:t>
      </w:r>
      <w:r>
        <w:t xml:space="preserve"> índice refractivo que n</w:t>
      </w:r>
      <w:r w:rsidR="00346BE1">
        <w:t>o</w:t>
      </w:r>
      <w:r>
        <w:t xml:space="preserve"> es tomado en la ecuación de Kubelka Munk</w:t>
      </w:r>
      <w:r w:rsidR="00C44F13">
        <w:t>.</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D79A5" w:rsidRDefault="003D79A5" w:rsidP="003D79A5">
      <w:pPr>
        <w:pStyle w:val="Prrafodelista"/>
        <w:ind w:left="1080"/>
        <w:jc w:val="both"/>
      </w:pPr>
    </w:p>
    <w:p w:rsidR="001163A3" w:rsidRDefault="001163A3" w:rsidP="001163A3">
      <w:pPr>
        <w:pStyle w:val="Prrafodelista"/>
        <w:ind w:left="1080"/>
        <w:jc w:val="both"/>
      </w:pPr>
    </w:p>
    <w:p w:rsidR="00320EA7" w:rsidRDefault="00320EA7" w:rsidP="00320EA7">
      <w:pPr>
        <w:pStyle w:val="Prrafodelista"/>
        <w:numPr>
          <w:ilvl w:val="0"/>
          <w:numId w:val="1"/>
        </w:numPr>
        <w:jc w:val="both"/>
      </w:pPr>
      <w:r>
        <w:t>METODOLOGIA</w:t>
      </w:r>
    </w:p>
    <w:p w:rsidR="00320EA7" w:rsidRDefault="00320EA7" w:rsidP="00320EA7">
      <w:pPr>
        <w:ind w:left="360"/>
        <w:jc w:val="both"/>
      </w:pPr>
      <w:r>
        <w:t xml:space="preserve">El concepto de metodología de investigación aplicado en el trabajo es el propuesto por los autores </w:t>
      </w:r>
      <w:proofErr w:type="spellStart"/>
      <w:r>
        <w:t>Sampieri</w:t>
      </w:r>
      <w:proofErr w:type="spellEnd"/>
      <w:r>
        <w:t xml:space="preserve">, </w:t>
      </w:r>
      <w:proofErr w:type="spellStart"/>
      <w:r>
        <w:t>Fernandez</w:t>
      </w:r>
      <w:proofErr w:type="spellEnd"/>
      <w:r>
        <w:t xml:space="preserve">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w:t>
      </w:r>
      <w:r>
        <w:lastRenderedPageBreak/>
        <w:t>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End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320EA7"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966AF6" w:rsidRDefault="00966AF6"/>
    <w:p w:rsidR="00FB77E0" w:rsidRPr="00966AF6" w:rsidRDefault="00966AF6" w:rsidP="00966AF6">
      <w:pPr>
        <w:tabs>
          <w:tab w:val="left" w:pos="3345"/>
        </w:tabs>
      </w:pPr>
      <w:r>
        <w:tab/>
      </w:r>
    </w:p>
    <w:sectPr w:rsidR="00FB77E0" w:rsidRPr="00966A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2072"/>
    <w:rsid w:val="00037727"/>
    <w:rsid w:val="00075C58"/>
    <w:rsid w:val="000D30E8"/>
    <w:rsid w:val="000F5C34"/>
    <w:rsid w:val="00105734"/>
    <w:rsid w:val="001163A3"/>
    <w:rsid w:val="001342EC"/>
    <w:rsid w:val="0016787E"/>
    <w:rsid w:val="001B09DC"/>
    <w:rsid w:val="001E053D"/>
    <w:rsid w:val="002256D0"/>
    <w:rsid w:val="00236049"/>
    <w:rsid w:val="002B4A70"/>
    <w:rsid w:val="002E38AB"/>
    <w:rsid w:val="002F545A"/>
    <w:rsid w:val="00320EA7"/>
    <w:rsid w:val="00346BE1"/>
    <w:rsid w:val="003C5C5F"/>
    <w:rsid w:val="003D79A5"/>
    <w:rsid w:val="00412E17"/>
    <w:rsid w:val="00453DA0"/>
    <w:rsid w:val="004964A3"/>
    <w:rsid w:val="00560450"/>
    <w:rsid w:val="005E73D9"/>
    <w:rsid w:val="005F7D53"/>
    <w:rsid w:val="00603648"/>
    <w:rsid w:val="00667D34"/>
    <w:rsid w:val="006807E6"/>
    <w:rsid w:val="0069148B"/>
    <w:rsid w:val="007046AA"/>
    <w:rsid w:val="0070654C"/>
    <w:rsid w:val="00724603"/>
    <w:rsid w:val="00783030"/>
    <w:rsid w:val="00783634"/>
    <w:rsid w:val="007D6FAD"/>
    <w:rsid w:val="008A6D32"/>
    <w:rsid w:val="008C4FC3"/>
    <w:rsid w:val="008D12D7"/>
    <w:rsid w:val="009002C8"/>
    <w:rsid w:val="009552CB"/>
    <w:rsid w:val="00966AF6"/>
    <w:rsid w:val="009974F2"/>
    <w:rsid w:val="009C3E4C"/>
    <w:rsid w:val="00A36CA0"/>
    <w:rsid w:val="00AD35CA"/>
    <w:rsid w:val="00AE0DB4"/>
    <w:rsid w:val="00B269D7"/>
    <w:rsid w:val="00B97472"/>
    <w:rsid w:val="00BA24C8"/>
    <w:rsid w:val="00C0666D"/>
    <w:rsid w:val="00C43841"/>
    <w:rsid w:val="00C44F13"/>
    <w:rsid w:val="00C64A16"/>
    <w:rsid w:val="00C74DCD"/>
    <w:rsid w:val="00C82A33"/>
    <w:rsid w:val="00CA2B8C"/>
    <w:rsid w:val="00CB7807"/>
    <w:rsid w:val="00CE1805"/>
    <w:rsid w:val="00CE3BAD"/>
    <w:rsid w:val="00CE3F90"/>
    <w:rsid w:val="00D02E83"/>
    <w:rsid w:val="00D65B87"/>
    <w:rsid w:val="00D82EBF"/>
    <w:rsid w:val="00DB2EF7"/>
    <w:rsid w:val="00DC6675"/>
    <w:rsid w:val="00E13364"/>
    <w:rsid w:val="00E36032"/>
    <w:rsid w:val="00E528AF"/>
    <w:rsid w:val="00E754E0"/>
    <w:rsid w:val="00EC2D92"/>
    <w:rsid w:val="00F01E93"/>
    <w:rsid w:val="00F61F36"/>
    <w:rsid w:val="00FB77E0"/>
    <w:rsid w:val="00FD15CA"/>
    <w:rsid w:val="00FE33F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1</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2</b:RefOrder>
  </b:Source>
  <b:Source>
    <b:Tag>Ark</b:Tag>
    <b:SourceType>InternetSite</b:SourceType>
    <b:Guid>{1CB22271-56AF-474B-847B-C5167FB67A48}</b:Guid>
    <b:Author>
      <b:Author>
        <b:NameList>
          <b:Person>
            <b:Last>Arkiplus</b:Last>
          </b:Person>
        </b:NameList>
      </b:Author>
    </b:Author>
    <b:Title>Arkiplus</b:Title>
    <b:URL>https://www.arkiplus.com/historia-del-color/</b:URL>
    <b:RefOrder>3</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4</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5</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6</b:RefOrder>
  </b:Source>
  <b:Source>
    <b:Tag>3nh</b:Tag>
    <b:SourceType>Report</b:SourceType>
    <b:Guid>{4EC9346C-032F-4C8B-AAB4-4B0DA81A2010}</b:Guid>
    <b:Author>
      <b:Author>
        <b:NameList>
          <b:Person>
            <b:Last>3nh</b:Last>
          </b:Person>
        </b:NameList>
      </b:Author>
    </b:Author>
    <b:Title>SPECTROPHOTOMETER OPERATING MANUAL</b:Title>
    <b:RefOrder>7</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8</b:RefOrder>
  </b:Source>
  <b:Source>
    <b:Tag>Ant</b:Tag>
    <b:SourceType>Report</b:SourceType>
    <b:Guid>{78D23590-B3BE-45D1-B65D-180F3266A831}</b:Guid>
    <b:Title>Concepto de tintura</b:Title>
    <b:Author>
      <b:Author>
        <b:NameList>
          <b:Person>
            <b:Last>Cabanes</b:Last>
            <b:First>Antonio</b:First>
            <b:Middle>Sole</b:Middle>
          </b:Person>
        </b:NameList>
      </b:Author>
    </b:Author>
    <b:RefOrder>9</b:RefOrder>
  </b:Source>
</b:Sources>
</file>

<file path=customXml/itemProps1.xml><?xml version="1.0" encoding="utf-8"?>
<ds:datastoreItem xmlns:ds="http://schemas.openxmlformats.org/officeDocument/2006/customXml" ds:itemID="{E1007302-98AA-4574-BF0E-E501858E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2346</Words>
  <Characters>12908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4</cp:revision>
  <cp:lastPrinted>2021-10-07T21:14:00Z</cp:lastPrinted>
  <dcterms:created xsi:type="dcterms:W3CDTF">2021-10-07T21:08:00Z</dcterms:created>
  <dcterms:modified xsi:type="dcterms:W3CDTF">2021-10-07T23:08:00Z</dcterms:modified>
</cp:coreProperties>
</file>