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rFonts w:ascii="Arial" w:cs="Arial" w:eastAsia="Arial" w:hAnsi="Arial"/>
          <w:sz w:val="22"/>
          <w:szCs w:val="22"/>
        </w:rPr>
      </w:pPr>
      <w:r w:rsidDel="00000000" w:rsidR="00000000" w:rsidRPr="00000000">
        <w:rPr>
          <w:rFonts w:ascii="Arial" w:cs="Arial" w:eastAsia="Arial" w:hAnsi="Arial"/>
          <w:b w:val="1"/>
          <w:bCs w:val="1"/>
          <w:i w:val="0"/>
          <w:iCs w:val="0"/>
          <w:sz w:val="22"/>
          <w:szCs w:val="22"/>
          <w:rtl w:val="0"/>
        </w:rPr>
        <w:t xml:space="preserve">Research Protocol Outline v0.1</w:t>
      </w:r>
      <w:r w:rsidDel="00000000" w:rsidR="00000000" w:rsidRPr="00000000">
        <w:rPr>
          <w:rtl w:val="0"/>
        </w:rPr>
      </w:r>
    </w:p>
    <w:p w:rsidR="00000000" w:rsidDel="00000000" w:rsidP="00000000" w:rsidRDefault="00000000" w:rsidRPr="00000000" w14:paraId="00000002">
      <w:pPr>
        <w:spacing w:after="180" w:line="276" w:lineRule="auto"/>
        <w:jc w:val="left"/>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3">
      <w:pPr>
        <w:spacing w:after="180" w:line="276" w:lineRule="auto"/>
        <w:jc w:val="left"/>
        <w:rPr>
          <w:rFonts w:ascii="Arial" w:cs="Arial" w:eastAsia="Arial" w:hAnsi="Arial"/>
          <w:i w:val="0"/>
          <w:iCs w:val="0"/>
          <w:sz w:val="22"/>
          <w:szCs w:val="22"/>
        </w:rPr>
      </w:pPr>
      <w:r w:rsidDel="00000000" w:rsidR="00000000" w:rsidRPr="00000000">
        <w:rPr>
          <w:rFonts w:ascii="Arial" w:cs="Arial" w:eastAsia="Arial" w:hAnsi="Arial"/>
          <w:i w:val="0"/>
          <w:iCs w:val="0"/>
          <w:sz w:val="22"/>
          <w:szCs w:val="22"/>
          <w:rtl w:val="0"/>
        </w:rPr>
        <w:t xml:space="preserve">Mayté Ciriaco Ruiz · Doctorado en Deep Tech · UNMSM FISI</w:t>
      </w:r>
    </w:p>
    <w:p w:rsidR="00000000" w:rsidDel="00000000" w:rsidP="00000000" w:rsidRDefault="00000000" w:rsidRPr="00000000" w14:paraId="00000004">
      <w:pPr>
        <w:spacing w:after="18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Title</w:t>
      </w:r>
      <w:r w:rsidDel="00000000" w:rsidR="00000000" w:rsidRPr="00000000">
        <w:rPr>
          <w:rtl w:val="0"/>
        </w:rPr>
      </w:r>
    </w:p>
    <w:p w:rsidR="00000000" w:rsidDel="00000000" w:rsidP="00000000" w:rsidRDefault="00000000" w:rsidRPr="00000000" w14:paraId="00000006">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Multi-Agent Language Model Systems for the Extraction, Classification, and Verification of Public Documents in Low-Structure Contexts: A Design Science Approach to Transparency and Oversight in Latin America.</w:t>
      </w:r>
      <w:r w:rsidDel="00000000" w:rsidR="00000000" w:rsidRPr="00000000">
        <w:rPr>
          <w:rtl w:val="0"/>
        </w:rPr>
      </w:r>
    </w:p>
    <w:p w:rsidR="00000000" w:rsidDel="00000000" w:rsidP="00000000" w:rsidRDefault="00000000" w:rsidRPr="00000000" w14:paraId="00000007">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Abstract</w:t>
      </w:r>
      <w:r w:rsidDel="00000000" w:rsidR="00000000" w:rsidRPr="00000000">
        <w:rPr>
          <w:rtl w:val="0"/>
        </w:rPr>
      </w:r>
    </w:p>
    <w:p w:rsidR="00000000" w:rsidDel="00000000" w:rsidP="00000000" w:rsidRDefault="00000000" w:rsidRPr="00000000" w14:paraId="00000008">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This design science research develops and evaluates a multi-agent architecture based on large language models to extract, classify, and verify unstructured public documents in Spanish, with traceability and governance safeguards suited to civic and journalistic oversight in Peru. The system will be built iteratively (Peffers et al., 2007), evaluated against single-agent and non-agentic baselines, and assessed for bias across issuing institutions, regions, and document types, producing a functional artifact and a reproducible governance framework as its core contribution.</w:t>
      </w:r>
      <w:r w:rsidDel="00000000" w:rsidR="00000000" w:rsidRPr="00000000">
        <w:rPr>
          <w:rtl w:val="0"/>
        </w:rPr>
      </w:r>
    </w:p>
    <w:p w:rsidR="00000000" w:rsidDel="00000000" w:rsidP="00000000" w:rsidRDefault="00000000" w:rsidRPr="00000000" w14:paraId="00000009">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Introduction &amp; Problem Statement</w:t>
      </w:r>
      <w:r w:rsidDel="00000000" w:rsidR="00000000" w:rsidRPr="00000000">
        <w:rPr>
          <w:rtl w:val="0"/>
        </w:rPr>
      </w:r>
    </w:p>
    <w:p w:rsidR="00000000" w:rsidDel="00000000" w:rsidP="00000000" w:rsidRDefault="00000000" w:rsidRPr="00000000" w14:paraId="0000000A">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Public accountability in Latin America depends on documents that are dispersed and poorly structured — resolutions, case files, and access-to-information responses. Large language models could process this material at scale, but in Latin American bureaucratic Spanish they hallucinate, lack traceability, and show undiagnosed bias, and no reproducible multi-agent architecture has been designed or evaluated for this specific combination of language, document type, and civic use case. This gap matters because journalists and auditors currently have no trustworthy automated way to verify large volumes of public documents, leaving omissions and irregularities undetected.</w:t>
      </w:r>
      <w:r w:rsidDel="00000000" w:rsidR="00000000" w:rsidRPr="00000000">
        <w:rPr>
          <w:rtl w:val="0"/>
        </w:rPr>
      </w:r>
    </w:p>
    <w:p w:rsidR="00000000" w:rsidDel="00000000" w:rsidP="00000000" w:rsidRDefault="00000000" w:rsidRPr="00000000" w14:paraId="0000000B">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Literature Review</w:t>
      </w:r>
      <w:r w:rsidDel="00000000" w:rsidR="00000000" w:rsidRPr="00000000">
        <w:rPr>
          <w:rtl w:val="0"/>
        </w:rPr>
      </w:r>
    </w:p>
    <w:p w:rsidR="00000000" w:rsidDel="00000000" w:rsidP="00000000" w:rsidRDefault="00000000" w:rsidRPr="00000000" w14:paraId="0000000C">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The review will draw on three streams: (1) design science research methodology and contribution typing (Hevner et al., 2004; Peffers et al., 2007; Gregor &amp; Hevner, 2013); (2) legal and bureaucratic NLP, presently concentrated in English and well-structured data; and (3) methodological rigor in applied AI, including construct validity and reproducibility failures documented across ML benchmarks (Kapoor &amp; Narayanan, 2023; Bean et al., 2025). A systematic PRISMA-guided review will be conducted in Session 4 to formalize this section.</w:t>
      </w:r>
      <w:r w:rsidDel="00000000" w:rsidR="00000000" w:rsidRPr="00000000">
        <w:rPr>
          <w:rtl w:val="0"/>
        </w:rPr>
      </w:r>
    </w:p>
    <w:p w:rsidR="00000000" w:rsidDel="00000000" w:rsidP="00000000" w:rsidRDefault="00000000" w:rsidRPr="00000000" w14:paraId="0000000D">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 Research Questions, Hypotheses &amp; Objectives</w:t>
      </w:r>
      <w:r w:rsidDel="00000000" w:rsidR="00000000" w:rsidRPr="00000000">
        <w:rPr>
          <w:rtl w:val="0"/>
        </w:rPr>
      </w:r>
    </w:p>
    <w:p w:rsidR="00000000" w:rsidDel="00000000" w:rsidP="00000000" w:rsidRDefault="00000000" w:rsidRPr="00000000" w14:paraId="0000000E">
      <w:pPr>
        <w:spacing w:after="8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Consistent with a design science paradigm, this study poses research questions rather than hypotheses: RQ1 — Under what design and evaluation conditions can a multi-agent LLM system extract, classify, and verify unstructured Peruvian public documents while maintaining traceability? RQ2 — How does a multi-agent architecture compare against single-agent and non-agentic baselines on accuracy, cost, and latency?</w:t>
      </w:r>
      <w:r w:rsidDel="00000000" w:rsidR="00000000" w:rsidRPr="00000000">
        <w:rPr>
          <w:rtl w:val="0"/>
        </w:rPr>
      </w:r>
    </w:p>
    <w:p w:rsidR="00000000" w:rsidDel="00000000" w:rsidP="00000000" w:rsidRDefault="00000000" w:rsidRPr="00000000" w14:paraId="0000000F">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SMART objective (owner: Mayté Ciriaco Ruiz, PI): By June 2028, build and evaluate a multi-agent extraction-verification system against a gold-standard annotated corpus of at least 500 Peruvian public documents, measuring precision and recall separately by error type, disaggregated by issuing institution and region. Specific (named corpus, named metrics); Measurable (precision/recall thresholds to be set after pilot); Assignable (PI, with named annotators); Realistic (corpus already partly collected via PideClaro); Time-bound (June 2028).</w:t>
      </w:r>
      <w:r w:rsidDel="00000000" w:rsidR="00000000" w:rsidRPr="00000000">
        <w:rPr>
          <w:rtl w:val="0"/>
        </w:rPr>
      </w:r>
    </w:p>
    <w:p w:rsidR="00000000" w:rsidDel="00000000" w:rsidP="00000000" w:rsidRDefault="00000000" w:rsidRPr="00000000" w14:paraId="00000010">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 Methodology</w:t>
      </w:r>
      <w:r w:rsidDel="00000000" w:rsidR="00000000" w:rsidRPr="00000000">
        <w:rPr>
          <w:rtl w:val="0"/>
        </w:rPr>
      </w:r>
    </w:p>
    <w:p w:rsidR="00000000" w:rsidDel="00000000" w:rsidP="00000000" w:rsidRDefault="00000000" w:rsidRPr="00000000" w14:paraId="00000011">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Design science research (Hevner et al., 2004; Peffers et al., 2007): iterative construction of extraction, retrieval-augmented, verification, and traceability agents; evaluation against a gold-standard annotated corpus (multiple trained annotators, inter-annotator agreement) with precision and recall reported separately by error type; bias evaluation disaggregated by institution, region, and document type; comparison against single-agent RAG and non-agentic baselines on accuracy, cost, and latency. To avoid the construct-validity failures documented across 445 LLM benchmarks by Bean et al. (2025) — where only 16.0% used any statistical test — evaluation will explicitly define the phenomenon measured, use representative (not convenience) sampling for the annotated corpus, report uncertainty estimates, and conduct a qualitative error analysis, following their eight-point checklist.</w:t>
      </w:r>
      <w:r w:rsidDel="00000000" w:rsidR="00000000" w:rsidRPr="00000000">
        <w:rPr>
          <w:rtl w:val="0"/>
        </w:rPr>
      </w:r>
    </w:p>
    <w:p w:rsidR="00000000" w:rsidDel="00000000" w:rsidP="00000000" w:rsidRDefault="00000000" w:rsidRPr="00000000" w14:paraId="00000012">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7. Ethical Considerations</w:t>
      </w:r>
      <w:r w:rsidDel="00000000" w:rsidR="00000000" w:rsidRPr="00000000">
        <w:rPr>
          <w:rtl w:val="0"/>
        </w:rPr>
      </w:r>
    </w:p>
    <w:p w:rsidR="00000000" w:rsidDel="00000000" w:rsidP="00000000" w:rsidRDefault="00000000" w:rsidRPr="00000000" w14:paraId="00000013">
      <w:pPr>
        <w:spacing w:after="8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Participants and consent: no live human subjects; documents are secondary public data obtained under Law 27806, so no individual consent applies, but any document containing personal data of named individuals is treated as requiring protection regardless of its public origin.</w:t>
      </w:r>
      <w:r w:rsidDel="00000000" w:rsidR="00000000" w:rsidRPr="00000000">
        <w:rPr>
          <w:rtl w:val="0"/>
        </w:rPr>
      </w:r>
    </w:p>
    <w:p w:rsidR="00000000" w:rsidDel="00000000" w:rsidP="00000000" w:rsidRDefault="00000000" w:rsidRPr="00000000" w14:paraId="00000014">
      <w:pPr>
        <w:spacing w:after="8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Data collection &amp; consent process: acquisition via Law 27806 requests, transparency portals, and institutional scraping; no new data is collected from people directly.</w:t>
      </w:r>
      <w:r w:rsidDel="00000000" w:rsidR="00000000" w:rsidRPr="00000000">
        <w:rPr>
          <w:rtl w:val="0"/>
        </w:rPr>
      </w:r>
    </w:p>
    <w:p w:rsidR="00000000" w:rsidDel="00000000" w:rsidP="00000000" w:rsidRDefault="00000000" w:rsidRPr="00000000" w14:paraId="00000015">
      <w:pPr>
        <w:spacing w:after="80" w:line="276" w:lineRule="auto"/>
        <w:jc w:val="both"/>
        <w:rPr>
          <w:rFonts w:ascii="Arial" w:cs="Arial" w:eastAsia="Arial" w:hAnsi="Arial"/>
          <w:sz w:val="22"/>
          <w:szCs w:val="22"/>
        </w:rPr>
      </w:pPr>
      <w:sdt>
        <w:sdtPr>
          <w:id w:val="714317337"/>
          <w:tag w:val="goog_rdk_0"/>
        </w:sdtPr>
        <w:sdtContent>
          <w:r w:rsidDel="00000000" w:rsidR="00000000" w:rsidRPr="00000000">
            <w:rPr>
              <w:rFonts w:ascii="Arial Unicode MS" w:cs="Arial Unicode MS" w:eastAsia="Arial Unicode MS" w:hAnsi="Arial Unicode MS"/>
              <w:i w:val="0"/>
              <w:iCs w:val="0"/>
              <w:sz w:val="22"/>
              <w:szCs w:val="22"/>
              <w:rtl w:val="0"/>
            </w:rPr>
            <w:t xml:space="preserve">Named risks &amp; mitigation: (1) re-identification of private individuals named in documents → mandatory de-identification pipeline before any model use; (2) biased or harmful automated verdicts reaching real institutions → human-in-the-loop review before any output is used publicly; (3) model vendor data exposure → de-identify before sending to any commercial API.</w:t>
          </w:r>
        </w:sdtContent>
      </w:sdt>
      <w:r w:rsidDel="00000000" w:rsidR="00000000" w:rsidRPr="00000000">
        <w:rPr>
          <w:rtl w:val="0"/>
        </w:rPr>
      </w:r>
    </w:p>
    <w:p w:rsidR="00000000" w:rsidDel="00000000" w:rsidP="00000000" w:rsidRDefault="00000000" w:rsidRPr="00000000" w14:paraId="00000016">
      <w:pPr>
        <w:spacing w:after="8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Confidentiality, storage &amp; access: de-identified corpus stored on access-controlled institutional infrastructure; raw (pre-de-identification) documents never leave a restricted environment.</w:t>
      </w:r>
      <w:r w:rsidDel="00000000" w:rsidR="00000000" w:rsidRPr="00000000">
        <w:rPr>
          <w:rtl w:val="0"/>
        </w:rPr>
      </w:r>
    </w:p>
    <w:p w:rsidR="00000000" w:rsidDel="00000000" w:rsidP="00000000" w:rsidRDefault="00000000" w:rsidRPr="00000000" w14:paraId="00000017">
      <w:pPr>
        <w:spacing w:after="8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Conflict of interest: the researcher previously built PideClaro, a related civic tool; this dual role is disclosed and mitigated via independent evaluators and pre-registered evaluation criteria (see Session 1 statement).</w:t>
      </w:r>
      <w:r w:rsidDel="00000000" w:rsidR="00000000" w:rsidRPr="00000000">
        <w:rPr>
          <w:rtl w:val="0"/>
        </w:rPr>
      </w:r>
    </w:p>
    <w:p w:rsidR="00000000" w:rsidDel="00000000" w:rsidP="00000000" w:rsidRDefault="00000000" w:rsidRPr="00000000" w14:paraId="00000018">
      <w:pPr>
        <w:spacing w:after="8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AI-use declaration: LLMs are both the object of study and, where used for screening or drafting during the research process itself (e.g., pilot literature screening for Session 4), their use will be reported following RAISE's template (Flemyng et al., 2025): name and version of the system, purpose and stage of use, justification of methodological soundness, and disclosure of limitations — with human verification of every output.</w:t>
      </w:r>
      <w:r w:rsidDel="00000000" w:rsidR="00000000" w:rsidRPr="00000000">
        <w:rPr>
          <w:rtl w:val="0"/>
        </w:rPr>
      </w:r>
    </w:p>
    <w:p w:rsidR="00000000" w:rsidDel="00000000" w:rsidP="00000000" w:rsidRDefault="00000000" w:rsidRPr="00000000" w14:paraId="00000019">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Regulatory alignment: CONCYTEC Código Nacional de Integridad Científica (Res. 028-2024-CONCYTEC-P, in force since June 24, 2024); Ley 29733 and its Regulation (DS 016-2024-JUS, in force March 31, 2025) for personal data; Regulation of Ley 31814 (DS 115-2025-PCM). Per Article 30, if this research receives state co-funding (e.g., PROCIENCIA), algorithms, models, and processed data must be published on the Plataforma Nacional de Datos Abiertos and Plataforma Nacional de Software Público, reinforcing the open-source commitment in Section 8. Because Article 14.2(i) classifies as high-risk any system analyzing large document volumes to detect patterns attributable to natural persons in the context of investigating offenses, this system's institutional-oversight framing (not individual criminal risk scoring) will be explicitly documented to clarify its risk classification. UNMSM Research Ethics Committee (CEI) approval will be sought before any document collection begins.</w:t>
      </w:r>
      <w:r w:rsidDel="00000000" w:rsidR="00000000" w:rsidRPr="00000000">
        <w:rPr>
          <w:rtl w:val="0"/>
        </w:rPr>
      </w:r>
    </w:p>
    <w:p w:rsidR="00000000" w:rsidDel="00000000" w:rsidP="00000000" w:rsidRDefault="00000000" w:rsidRPr="00000000" w14:paraId="0000001A">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 Expected Results</w:t>
      </w:r>
      <w:r w:rsidDel="00000000" w:rsidR="00000000" w:rsidRPr="00000000">
        <w:rPr>
          <w:rtl w:val="0"/>
        </w:rPr>
      </w:r>
    </w:p>
    <w:p w:rsidR="00000000" w:rsidDel="00000000" w:rsidP="00000000" w:rsidRDefault="00000000" w:rsidRPr="00000000" w14:paraId="0000001B">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(1) A functional multi-agent architecture for Spanish-language public document processing; (2) a de-identified, annotated Spanish corpus of Peruvian public documents suitable for release; (3) precision/recall and traceability metrics disaggregated by institution, region, and document type; (4) a reproducible governance framework for civic AI verification tools.</w:t>
      </w:r>
      <w:r w:rsidDel="00000000" w:rsidR="00000000" w:rsidRPr="00000000">
        <w:rPr>
          <w:rtl w:val="0"/>
        </w:rPr>
      </w:r>
    </w:p>
    <w:p w:rsidR="00000000" w:rsidDel="00000000" w:rsidP="00000000" w:rsidRDefault="00000000" w:rsidRPr="00000000" w14:paraId="0000001C">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9. Timeline &amp; Budget</w:t>
      </w:r>
      <w:r w:rsidDel="00000000" w:rsidR="00000000" w:rsidRPr="00000000">
        <w:rPr>
          <w:rtl w:val="0"/>
        </w:rPr>
      </w:r>
    </w:p>
    <w:p w:rsidR="00000000" w:rsidDel="00000000" w:rsidP="00000000" w:rsidRDefault="00000000" w:rsidRPr="00000000" w14:paraId="0000001D">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Year 1: corpus construction, de-identification protocol, CEI ethics approval (2–6 months turnaround assumed, confirmed with the committee before data collection). Year 2: iterative system development and baseline comparisons. Year 3: bias evaluation, expert utility assessment, governance framework write-up, and defense. Buffer: 25–30% of the total timeline, shown as its own row, for rework and the unexpected. Benchmark reference: the PROCIENCIA-funded ENARES school-violence ML project (Universidad Continental, 2025) ran 20 months on S/ 99,800 — a useful order-of-magnitude anchor for a comparable Peruvian AI research budget.</w:t>
      </w:r>
      <w:r w:rsidDel="00000000" w:rsidR="00000000" w:rsidRPr="00000000">
        <w:rPr>
          <w:rtl w:val="0"/>
        </w:rPr>
      </w:r>
    </w:p>
    <w:p w:rsidR="00000000" w:rsidDel="00000000" w:rsidP="00000000" w:rsidRDefault="00000000" w:rsidRPr="00000000" w14:paraId="0000001E">
      <w:pPr>
        <w:spacing w:after="50" w:before="12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10. Bibliography (anchor references)</w:t>
      </w:r>
      <w:r w:rsidDel="00000000" w:rsidR="00000000" w:rsidRPr="00000000">
        <w:rPr>
          <w:rtl w:val="0"/>
        </w:rPr>
      </w:r>
    </w:p>
    <w:p w:rsidR="00000000" w:rsidDel="00000000" w:rsidP="00000000" w:rsidRDefault="00000000" w:rsidRPr="00000000" w14:paraId="0000001F">
      <w:pPr>
        <w:spacing w:after="130" w:line="276" w:lineRule="auto"/>
        <w:jc w:val="both"/>
        <w:rPr>
          <w:rFonts w:ascii="Arial" w:cs="Arial" w:eastAsia="Arial" w:hAnsi="Arial"/>
          <w:sz w:val="22"/>
          <w:szCs w:val="22"/>
        </w:rPr>
      </w:pPr>
      <w:r w:rsidDel="00000000" w:rsidR="00000000" w:rsidRPr="00000000">
        <w:rPr>
          <w:rFonts w:ascii="Arial" w:cs="Arial" w:eastAsia="Arial" w:hAnsi="Arial"/>
          <w:i w:val="0"/>
          <w:iCs w:val="0"/>
          <w:sz w:val="22"/>
          <w:szCs w:val="22"/>
          <w:rtl w:val="0"/>
        </w:rPr>
        <w:t xml:space="preserve">Bean, A. M., et al. (2025). Measuring What Matters: Construct Validity in Large Language Model Benchmarks. NeurIPS 2025 Datasets and Benchmarks Track. arXiv:2511.04703. · Hevner, A. R., March, S. T., Park, J., &amp; Ram, S. (2004). MIS Quarterly, 28(1), 75–105. · Peffers, K., Tuunanen, T., Rothenberger, M. A., &amp; Chatterjee, S. (2007). JMIS, 24(3), 45–77. · Gregor, S., &amp; Hevner, A. R. (2013). MIS Quarterly, 37(2), 337–355. · Goldkuhl, G. (2012). EJIS, 21(2), 135–146. · Kapoor, S., &amp; Narayanan, A. (2023). Patterns, 4(9), 100804. · Doran, G. T. (1981). Management Review, 70(11), 35–36. · Flemyng, E., et al. (2025). Environmental Evidence, 14, 20. · Ley N.° 29733 (2011) y su Reglamento, DS 016-2024-JUS. · Reglamento de la Ley N.° 31814, DS 115-2025-PCM. · Resolución de Presidencia N.° 028-2024-CONCYTEC-P.</w:t>
      </w:r>
      <w:r w:rsidDel="00000000" w:rsidR="00000000" w:rsidRPr="00000000">
        <w:rPr>
          <w:rtl w:val="0"/>
        </w:rPr>
      </w:r>
    </w:p>
    <w:sectPr>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mp2zuOe213hNEdQmcdYCUR1gsg==">CgMxLjAaJAoBMBIfCh0IB0IZCgVBcmlhbBIQQXJpYWwgVW5pY29kZSBNUzgAciExMG5tdkJzeDNRMWI3Y0gweUdfVzR4cjhfTjdFV3NHRE0=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2026-09-26T04:38:10.249Z</dcterms:created>
  <dc:creator>Un-named</dc:creator>
</cp:coreProperties>
</file>

<file path=docProps/custom.xml><?xml version="1.0" encoding="utf-8"?>
<Properties xmlns="http://schemas.openxmlformats.org/officeDocument/2006/custom-properties" xmlns:vt="http://schemas.openxmlformats.org/officeDocument/2006/docPropsVTypes"/>
</file>