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Method-Fit Matrix (Deliverable 2)</w:t>
      </w:r>
    </w:p>
    <w:p w:rsidR="00000000" w:rsidDel="00000000" w:rsidP="00000000" w:rsidRDefault="00000000" w:rsidRPr="00000000" w14:paraId="00000002">
      <w:pPr>
        <w:spacing w:after="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spacing w:after="2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Mayté Ciriaco Ruiz · Doctorado en Deep Tech · UNMSM FISI</w:t>
      </w:r>
    </w:p>
    <w:p w:rsidR="00000000" w:rsidDel="00000000" w:rsidP="00000000" w:rsidRDefault="00000000" w:rsidRPr="00000000" w14:paraId="00000004">
      <w:pPr>
        <w:spacing w:after="160" w:line="276"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Research question: Under what design and evaluation conditions can a multi-agent system based on large language models extract, classify, and verify information contained in unstructured public documents in Spanish, while maintaining traceability and ethical governance criteria applicable to civic and journalistic contexts in Latin America?</w:t>
      </w:r>
    </w:p>
    <w:tbl>
      <w:tblPr>
        <w:tblStyle w:val="Table1"/>
        <w:tblW w:w="10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1275"/>
        <w:gridCol w:w="1500"/>
        <w:gridCol w:w="1500"/>
        <w:gridCol w:w="1500"/>
        <w:gridCol w:w="1500"/>
        <w:gridCol w:w="1500"/>
        <w:tblGridChange w:id="0">
          <w:tblGrid>
            <w:gridCol w:w="1725"/>
            <w:gridCol w:w="1275"/>
            <w:gridCol w:w="1500"/>
            <w:gridCol w:w="150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05">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Paradigm</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06">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E (30%)</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07">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D (20%)</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08">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F (15%)</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09">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C (20%)</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0A">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V (15%)</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0B">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Total /5</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Pure Positivist / Experimental</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2.70</w:t>
            </w:r>
            <w:r w:rsidDel="00000000" w:rsidR="00000000" w:rsidRPr="00000000">
              <w:rPr>
                <w:rtl w:val="0"/>
              </w:rPr>
            </w:r>
          </w:p>
        </w:tc>
      </w:tr>
      <w:tr>
        <w:trPr>
          <w:cantSplit w:val="0"/>
          <w:trHeight w:val="5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Pure Interpretivist</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2.55</w:t>
            </w:r>
            <w:r w:rsidDel="00000000" w:rsidR="00000000" w:rsidRPr="00000000">
              <w:rPr>
                <w:rtl w:val="0"/>
              </w:rPr>
            </w:r>
          </w:p>
        </w:tc>
      </w:tr>
      <w:tr>
        <w:trPr>
          <w:cantSplit w:val="0"/>
          <w:trHeight w:val="5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Mixed Methods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3.55</w:t>
            </w:r>
            <w:r w:rsidDel="00000000" w:rsidR="00000000" w:rsidRPr="00000000">
              <w:rPr>
                <w:rtl w:val="0"/>
              </w:rPr>
            </w:r>
          </w:p>
        </w:tc>
      </w:tr>
      <w:tr>
        <w:trPr>
          <w:cantSplit w:val="0"/>
          <w:trHeight w:val="555" w:hRule="atLeast"/>
          <w:tblHeader w:val="0"/>
        </w:trPr>
        <w:tc>
          <w:tcPr>
            <w:tcBorders>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1">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Design Science</w:t>
            </w:r>
            <w:r w:rsidDel="00000000" w:rsidR="00000000" w:rsidRPr="00000000">
              <w:rPr>
                <w:rtl w:val="0"/>
              </w:rPr>
            </w:r>
          </w:p>
        </w:tc>
        <w:tc>
          <w:tcPr>
            <w:tcBorders>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2">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3">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4">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5">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jc w:val="center"/>
              <w:rPr>
                <w:rFonts w:ascii="Arial" w:cs="Arial" w:eastAsia="Arial" w:hAnsi="Arial"/>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5.00</w:t>
            </w:r>
            <w:r w:rsidDel="00000000" w:rsidR="00000000" w:rsidRPr="00000000">
              <w:rPr>
                <w:rtl w:val="0"/>
              </w:rPr>
            </w:r>
          </w:p>
        </w:tc>
      </w:tr>
    </w:tbl>
    <w:p w:rsidR="00000000" w:rsidDel="00000000" w:rsidP="00000000" w:rsidRDefault="00000000" w:rsidRPr="00000000" w14:paraId="00000028">
      <w:pPr>
        <w:spacing w:after="160" w:line="276"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9">
      <w:pPr>
        <w:spacing w:after="40" w:before="20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Formula: Total = E×0.30 + D×0.20 + F×0.15 + C×0.20 + V×0.15  (each criterion scored 1–5)</w:t>
      </w:r>
    </w:p>
    <w:p w:rsidR="00000000" w:rsidDel="00000000" w:rsidP="00000000" w:rsidRDefault="00000000" w:rsidRPr="00000000" w14:paraId="0000002A">
      <w:pPr>
        <w:spacing w:after="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Gate: any criterion scored below 2 eliminates that paradigm. No paradigm scored below 2 here, so all four remain in contention on paper — but Design Science is the clear winner.</w:t>
      </w:r>
    </w:p>
    <w:p w:rsidR="00000000" w:rsidDel="00000000" w:rsidP="00000000" w:rsidRDefault="00000000" w:rsidRPr="00000000" w14:paraId="0000002B">
      <w:pPr>
        <w:spacing w:after="16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Winner: Design Science (5.00/5) — matches Session 1's chosen paradigm and Dr. Gaur's feedback on the Deliverable 1 statement.</w:t>
      </w:r>
    </w:p>
    <w:p w:rsidR="00000000" w:rsidDel="00000000" w:rsidP="00000000" w:rsidRDefault="00000000" w:rsidRPr="00000000" w14:paraId="0000002C">
      <w:pPr>
        <w:spacing w:after="4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One-line justification per criterion (Design Science)</w:t>
      </w:r>
    </w:p>
    <w:p w:rsidR="00000000" w:rsidDel="00000000" w:rsidP="00000000" w:rsidRDefault="00000000" w:rsidRPr="00000000" w14:paraId="0000002D">
      <w:pPr>
        <w:spacing w:after="2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 — My contribution is a built and evaluated artifact (the multi-agent architecture), which is exactly what design science claims as knowledge.</w:t>
      </w:r>
    </w:p>
    <w:p w:rsidR="00000000" w:rsidDel="00000000" w:rsidP="00000000" w:rsidRDefault="00000000" w:rsidRPr="00000000" w14:paraId="0000002E">
      <w:pPr>
        <w:spacing w:after="2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 — Corpus already partly collected via PideClaro (Law 27806 requests, transparency portals, institutional scraping).</w:t>
      </w:r>
    </w:p>
    <w:p w:rsidR="00000000" w:rsidDel="00000000" w:rsidP="00000000" w:rsidRDefault="00000000" w:rsidRPr="00000000" w14:paraId="0000002F">
      <w:pPr>
        <w:spacing w:after="2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 — I already have working infrastructure and experience building agentic pipelines (PideClaro, n8n), which lowers build risk.</w:t>
      </w:r>
    </w:p>
    <w:p w:rsidR="00000000" w:rsidDel="00000000" w:rsidP="00000000" w:rsidRDefault="00000000" w:rsidRPr="00000000" w14:paraId="00000030">
      <w:pPr>
        <w:spacing w:after="2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 — Produces a functional architecture plus a reproducible governance framework, not an isolated statistical finding.</w:t>
      </w:r>
    </w:p>
    <w:p w:rsidR="00000000" w:rsidDel="00000000" w:rsidP="00000000" w:rsidRDefault="00000000" w:rsidRPr="00000000" w14:paraId="00000031">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 — FAccT, DESRIST and Digital Government journals explicitly favor built-and-evaluated-artifact contributions (confirmed in Dr. Gaur's feedback on Deliverable 1).</w:t>
      </w:r>
    </w:p>
    <w:p w:rsidR="00000000" w:rsidDel="00000000" w:rsidP="00000000" w:rsidRDefault="00000000" w:rsidRPr="00000000" w14:paraId="00000032">
      <w:pPr>
        <w:spacing w:after="0" w:line="276" w:lineRule="auto"/>
        <w:jc w:val="both"/>
        <w:rPr/>
      </w:pPr>
      <w:r w:rsidDel="00000000" w:rsidR="00000000" w:rsidRPr="00000000">
        <w:rPr>
          <w:rtl w:val="0"/>
        </w:rPr>
      </w:r>
    </w:p>
    <w:sectPr>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N08eqB/EJDcVLMzT1td76LyhsQ==">CgMxLjA4AHIhMUJUMDQ1aUV2Y0NGWUZ6QUhTNHFNSzFSR1h5Z3VxbVhJ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2026-09-19T02:21:05.970Z</dcterms:created>
  <dc:creator>Un-named</dc:creator>
</cp:coreProperties>
</file>

<file path=docProps/custom.xml><?xml version="1.0" encoding="utf-8"?>
<Properties xmlns="http://schemas.openxmlformats.org/officeDocument/2006/custom-properties" xmlns:vt="http://schemas.openxmlformats.org/officeDocument/2006/docPropsVTypes"/>
</file>