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-manuscript-submission"/>
    <w:p>
      <w:pPr>
        <w:pStyle w:val="Heading1"/>
      </w:pPr>
      <w:r>
        <w:t xml:space="preserve">Cover letter — manuscript submission</w:t>
      </w:r>
    </w:p>
    <w:p>
      <w:pPr>
        <w:pStyle w:val="FirstParagraph"/>
      </w:pPr>
      <w:r>
        <w:rPr>
          <w:b/>
          <w:bCs/>
        </w:rPr>
        <w:t xml:space="preserve">Maytham Muthanna Muneam, FIBMS Clinical Pharmacy</w:t>
      </w:r>
      <w:r>
        <w:t xml:space="preserve"> </w:t>
      </w:r>
      <w:r>
        <w:t xml:space="preserve">Department of Clinical Pharmacy</w:t>
      </w:r>
      <w:r>
        <w:t xml:space="preserve"> </w:t>
      </w:r>
      <w:r>
        <w:t xml:space="preserve">Medical City / Baghdad Teaching Hospital</w:t>
      </w:r>
      <w:r>
        <w:t xml:space="preserve"> </w:t>
      </w:r>
      <w:r>
        <w:t xml:space="preserve">Baghdad, Iraq</w:t>
      </w:r>
      <w:r>
        <w:t xml:space="preserve"> </w:t>
      </w:r>
      <w:r>
        <w:t xml:space="preserve">Maytham.m.aljubori@gmail.com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[Editor-in-Chief Name]</w:t>
      </w:r>
      <w:r>
        <w:t xml:space="preserve"> </w:t>
      </w:r>
      <w:r>
        <w:t xml:space="preserve">[Journal Name]</w:t>
      </w:r>
      <w:r>
        <w:t xml:space="preserve"> </w:t>
      </w:r>
      <w:r>
        <w:t xml:space="preserve">[Journal Address]</w:t>
      </w:r>
    </w:p>
    <w:p>
      <w:pPr>
        <w:pStyle w:val="BodyText"/>
      </w:pPr>
      <w:r>
        <w:rPr>
          <w:b/>
          <w:bCs/>
        </w:rPr>
        <w:t xml:space="preserve">RE: Manuscript submission —</w:t>
      </w:r>
      <w:r>
        <w:rPr>
          <w:b/>
          <w:bCs/>
        </w:rPr>
        <w:t xml:space="preserve"> </w:t>
      </w:r>
      <w:r>
        <w:rPr>
          <w:b/>
          <w:bCs/>
        </w:rPr>
        <w:t xml:space="preserve">“Iterative LLM-driven de novo drug design with multi-method consensus scoring: a case study on EGFR T790M/L858R”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pleased to submit the enclosed manuscript for consideration. The work describes a complete closed-loop pipeline for de novo small-molecule design in which a frontier large language model (Claude Opus 4.7) serves as the reasoning generator inside an iterative loop with classical physics-based scoring (AutoDock Vina, MM-GBSA via OpenMM + OpenFF SMIRNOFF, implicit-solvent molecular dynamics). The pipeline is applied to EGFR T790M/L858R, the clinically important gatekeeper mutant responsible for first-line resistance to gefitinib and erlotinib in non-small-cell lung cancer.</w:t>
      </w:r>
    </w:p>
    <w:p>
      <w:pPr>
        <w:pStyle w:val="BodyText"/>
      </w:pPr>
      <w:r>
        <w:rPr>
          <w:b/>
          <w:bCs/>
        </w:rPr>
        <w:t xml:space="preserve">Novelty and significance.</w:t>
      </w:r>
      <w:r>
        <w:t xml:space="preserve"> </w:t>
      </w:r>
      <w:r>
        <w:t xml:space="preserve">Most published AI-driven design approaches use opaque neural-network generators that produce SMILES strings without articulating</w:t>
      </w:r>
      <w:r>
        <w:t xml:space="preserve"> </w:t>
      </w:r>
      <w:r>
        <w:rPr>
          <w:i/>
          <w:iCs/>
        </w:rPr>
        <w:t xml:space="preserve">why</w:t>
      </w:r>
      <w:r>
        <w:t xml:space="preserve">. The present work demonstrates that a large language model can perform the design step while emitting an explicit medicinal-chemistry rationale for every proposed molecule, making the chemistry behind each design auditable by the medicinal chemist. Combined with multi-method consensus scoring, the pipeline identifies a single triple-confirmed lead (EGFRm-009, a pyridopyrimidinone bearing a 2-trifluoromethyl-4-fluorobenzyl substituent) from 27 unique designed molecules across three feedback rounds.</w:t>
      </w:r>
    </w:p>
    <w:p>
      <w:pPr>
        <w:pStyle w:val="BodyText"/>
      </w:pPr>
      <w:r>
        <w:rPr>
          <w:b/>
          <w:bCs/>
        </w:rPr>
        <w:t xml:space="preserve">Reproducibility on commodity hardware.</w:t>
      </w:r>
      <w:r>
        <w:t xml:space="preserve"> </w:t>
      </w:r>
      <w:r>
        <w:t xml:space="preserve">The entire campaign was performed on a single Apple Silicon laptop without commercial software (no Schrödinger Suite, no GPU cluster), in approximately three hours of wall-clock time and at an LLM API cost of approximately $3. The complete pipeline is open-sourced as</w:t>
      </w:r>
      <w:r>
        <w:t xml:space="preserve"> </w:t>
      </w:r>
      <w:r>
        <w:rPr>
          <w:rStyle w:val="VerbatimChar"/>
        </w:rPr>
        <w:t xml:space="preserve">SchrodingerLite</w:t>
      </w:r>
      <w:r>
        <w:t xml:space="preserve"> </w:t>
      </w:r>
      <w:r>
        <w:t xml:space="preserve">with the EGFR T790M demo as the canonical reproducible example. This places sophisticated computational drug-design workflows within reach of academic groups in resource-limited settings, an issue of particular relevance to clinical pharmacy and pharmaceutical sciences research in low- and middle-income countries.</w:t>
      </w:r>
    </w:p>
    <w:p>
      <w:pPr>
        <w:pStyle w:val="BodyText"/>
      </w:pPr>
      <w:r>
        <w:rPr>
          <w:b/>
          <w:bCs/>
        </w:rPr>
        <w:t xml:space="preserve">Relevance to your journal.</w:t>
      </w:r>
      <w:r>
        <w:t xml:space="preserve"> </w:t>
      </w:r>
      <w:r>
        <w:t xml:space="preserve">This work fits your journal’s scope by combining methodology innovation (interpretable LLM-driven design, single-trajectory MM-GBSA with SMIRNOFF parameterization) with a concrete therapeutic case study on a clinically important kinase target. The honest treatment of limitations — particularly the absence of wet-lab validation and the noise floor of implicit-solvent MM-GBSA — is intended to give readers a clear picture of what the pipeline can and cannot demonstrate in silico.</w:t>
      </w:r>
    </w:p>
    <w:p>
      <w:pPr>
        <w:pStyle w:val="BodyText"/>
      </w:pPr>
      <w:r>
        <w:rPr>
          <w:b/>
          <w:bCs/>
        </w:rPr>
        <w:t xml:space="preserve">Author and competing interests.</w:t>
      </w:r>
      <w:r>
        <w:t xml:space="preserve"> </w:t>
      </w:r>
      <w:r>
        <w:t xml:space="preserve">This is a single-author submission. I declare no competing financial or personal interests. The work received no external funding and was performed independently. I confirm the manuscript has not been published elsewhere and is not under consideration by any other journal.</w:t>
      </w:r>
    </w:p>
    <w:p>
      <w:pPr>
        <w:pStyle w:val="BodyText"/>
      </w:pPr>
      <w:r>
        <w:rPr>
          <w:b/>
          <w:bCs/>
        </w:rPr>
        <w:t xml:space="preserve">Suggested reviewers</w:t>
      </w:r>
      <w:r>
        <w:t xml:space="preserve"> </w:t>
      </w:r>
      <w:r>
        <w:t xml:space="preserve">(the author has no professional relationship with any of these, listed alphabetically):</w:t>
      </w:r>
      <w:r>
        <w:t xml:space="preserve"> </w:t>
      </w:r>
      <w:r>
        <w:t xml:space="preserve">- [Name 1], [Affiliation], [email] — expertise in computational drug discovery, kinase inhibitors</w:t>
      </w:r>
      <w:r>
        <w:t xml:space="preserve"> </w:t>
      </w:r>
      <w:r>
        <w:t xml:space="preserve">- [Name 2], [Affiliation], [email] — expertise in MM-GBSA / free-energy methods</w:t>
      </w:r>
      <w:r>
        <w:t xml:space="preserve"> </w:t>
      </w:r>
      <w:r>
        <w:t xml:space="preserve">- [Name 3], [Affiliation], [email] — expertise in AI for drug design</w:t>
      </w:r>
    </w:p>
    <w:p>
      <w:pPr>
        <w:pStyle w:val="BodyText"/>
      </w:pPr>
      <w:r>
        <w:t xml:space="preserve">Thank you for your consideration. I look forward to your editorial decision.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Maytham Muthanna Muneam, FIBMS Clinical Pharmacy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2026-05-19T11:37:39Z</dcterms:created>
  <dcterms:modified xsi:type="dcterms:W3CDTF">2026-05-19T11:37:39Z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