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package/2006/relationships/metadata/core-properties" Target="docProps/core.xml" />
  <Relationship Id="rId4" Type="http://schemas.openxmlformats.org/officeDocument/2006/relationships/extended-properties" Target="docProps/app.xml" />
  <Relationship Id="rId1" Type="http://schemas.openxmlformats.org/officeDocument/2006/relationships/officeDocument" Target="word/document.xml" />
  <Relationship Id="rId2" Type="http://schemas.openxmlformats.org/package/2006/relationships/metadata/thumbnail" Target="docProps/thumbnail.jpeg" />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Singapore Ministerial Salaries — Research Pack</w:t>
      </w:r>
    </w:p>
    <w:p>
      <w:pPr>
        <w:jc w:val="center"/>
      </w:pPr>
      <w:r>
        <w:t>Prepared: 23 October 2026 | Focus: official sources and downloadable research references</w:t>
      </w:r>
    </w:p>
    <w:p>
      <w:pPr>
        <w:pStyle w:val="Heading1"/>
      </w:pPr>
      <w:r>
        <w:t>1. Important summary</w:t>
      </w:r>
    </w:p>
    <w:p>
      <w:r>
        <w:t>Singapore’s political salary framework uses a reference salary and a mix of fixed and variable remuneration. The $1.1 million MR4 reference annual salary is the historical benchmark under the framework used from 2011/2012; the Government accepted a 2026 recommendation to update the MR4 reference benchmark to $1.8 million. These are reference figures, not a statement that every Minister receives that amount.</w:t>
      </w:r>
    </w:p>
    <w:p>
      <w:r>
        <w:t>The Government said existing political appointment holders would not immediately be moved to the new benchmark. Instead, a one-off adjustment of up to 9% would take effect from 15 October 2026, depending on individual circumstances, including performance. Subsequent adjustments remain linked to performance and responsibilities.</w:t>
      </w:r>
    </w:p>
    <w:p>
      <w:r>
        <w:t>As of the date of this pack, the revised framework takes effect from 15 October 2026. The National Bonus target updates take effect from 1 January 2027. Always cite the dated official source and distinguish the reference benchmark from actual pay.</w:t>
      </w:r>
    </w:p>
    <w:p>
      <w:pPr>
        <w:pStyle w:val="Heading1"/>
      </w:pPr>
      <w:r>
        <w:t>2. How the salary package is structured</w:t>
      </w:r>
    </w:p>
    <w:p>
      <w:pPr>
        <w:pStyle w:val="ListBullet"/>
      </w:pPr>
      <w:r>
        <w:t>Fixed pay (about 65% of the reference package): monthly salary and 13th-month Non-Pensionable Annual Allowance.</w:t>
      </w:r>
    </w:p>
    <w:p>
      <w:pPr>
        <w:pStyle w:val="ListBullet"/>
      </w:pPr>
      <w:r>
        <w:t>Variable pay (about 35% of the reference package): Annual Variable Component (AVC), individual Performance Bonus (PB), and National Bonus (NB).</w:t>
      </w:r>
    </w:p>
    <w:p>
      <w:pPr>
        <w:pStyle w:val="ListBullet"/>
      </w:pPr>
      <w:r>
        <w:t>The Annual Variable Component is linked to the civil service AVC; the individual Performance Bonus is assessed by the Prime Minister.</w:t>
      </w:r>
    </w:p>
    <w:p>
      <w:pPr>
        <w:pStyle w:val="ListBullet"/>
      </w:pPr>
      <w:r>
        <w:t>The National Bonus is linked to socioeconomic indicators. Under the prior framework, the four indicators were Singapore Citizen unemployment, real median income growth, real income growth for the lowest 20th percentile, and real GDP growth.</w:t>
      </w:r>
    </w:p>
    <w:p>
      <w:pPr>
        <w:pStyle w:val="ListBullet"/>
      </w:pPr>
      <w:r>
        <w:t>Actual annual remuneration varies by salary point, grade, individual performance and variable payouts. A reference annual salary is not a guaranteed individual payout.</w:t>
      </w:r>
    </w:p>
    <w:p>
      <w:pPr>
        <w:pStyle w:val="Heading1"/>
      </w:pPr>
      <w:r>
        <w:t>3. Key 2026 changes to record</w:t>
      </w:r>
    </w:p>
    <w:tbl>
      <w:tblPr>
        <w:tblStyle w:val="LightShading-Accent1"/>
        <w:tblW w:type="auto" w:w="0"/>
        <w:tblLook w:firstColumn="1" w:firstRow="1" w:lastColumn="0" w:lastRow="0" w:noHBand="0" w:noVBand="1" w:val="04A0"/>
      </w:tblPr>
      <w:tblGrid>
        <w:gridCol w:w="4320"/>
        <w:gridCol w:w="4320"/>
      </w:tblGrid>
      <w:tr>
        <w:tc>
          <w:tcPr>
            <w:tcW w:type="dxa" w:w="4320"/>
          </w:tcPr>
          <w:p>
            <w:r>
              <w:t>Topic</w:t>
            </w:r>
          </w:p>
        </w:tc>
        <w:tc>
          <w:tcPr>
            <w:tcW w:type="dxa" w:w="4320"/>
          </w:tcPr>
          <w:p>
            <w:r>
              <w:t>Detail</w:t>
            </w:r>
          </w:p>
        </w:tc>
      </w:tr>
      <w:tr>
        <w:tc>
          <w:tcPr>
            <w:tcW w:type="dxa" w:w="4320"/>
          </w:tcPr>
          <w:p>
            <w:r>
              <w:t>MR4 reference annual salary</w:t>
            </w:r>
          </w:p>
        </w:tc>
        <w:tc>
          <w:tcPr>
            <w:tcW w:type="dxa" w:w="4320"/>
          </w:tcPr>
          <w:p>
            <w:r>
              <w:t>Updated from $1.1 million to $1.8 million as the benchmark reference; this is not automatically the salary paid to every MR4 Minister.</w:t>
            </w:r>
          </w:p>
        </w:tc>
      </w:tr>
      <w:tr>
        <w:tc>
          <w:tcPr>
            <w:tcW w:type="dxa" w:w="4320"/>
          </w:tcPr>
          <w:p>
            <w:r>
              <w:t>Existing office holders</w:t>
            </w:r>
          </w:p>
        </w:tc>
        <w:tc>
          <w:tcPr>
            <w:tcW w:type="dxa" w:w="4320"/>
          </w:tcPr>
          <w:p>
            <w:r>
              <w:t>One-off adjustment of up to 9% from 15 October 2026, based on individual circumstances, including performance; not an immediate move to the $1.8m benchmark.</w:t>
            </w:r>
          </w:p>
        </w:tc>
      </w:tr>
      <w:tr>
        <w:tc>
          <w:tcPr>
            <w:tcW w:type="dxa" w:w="4320"/>
          </w:tcPr>
          <w:p>
            <w:r>
              <w:t>Salary ranges</w:t>
            </w:r>
          </w:p>
        </w:tc>
        <w:tc>
          <w:tcPr>
            <w:tcW w:type="dxa" w:w="4320"/>
          </w:tcPr>
          <w:p>
            <w:r>
              <w:t>Ministerial salary ranges widened to 75%–125% of the reference salary for each grade.</w:t>
            </w:r>
          </w:p>
        </w:tc>
      </w:tr>
      <w:tr>
        <w:tc>
          <w:tcPr>
            <w:tcW w:type="dxa" w:w="4320"/>
          </w:tcPr>
          <w:p>
            <w:r>
              <w:t>Grade structure</w:t>
            </w:r>
          </w:p>
        </w:tc>
        <w:tc>
          <w:tcPr>
            <w:tcW w:type="dxa" w:w="4320"/>
          </w:tcPr>
          <w:p>
            <w:r>
              <w:t>MR2 and MR3 grades are to be merged, reducing the number of Ministerial grades from four to three.</w:t>
            </w:r>
          </w:p>
        </w:tc>
      </w:tr>
      <w:tr>
        <w:tc>
          <w:tcPr>
            <w:tcW w:type="dxa" w:w="4320"/>
          </w:tcPr>
          <w:p>
            <w:r>
              <w:t>MP allowance</w:t>
            </w:r>
          </w:p>
        </w:tc>
        <w:tc>
          <w:tcPr>
            <w:tcW w:type="dxa" w:w="4320"/>
          </w:tcPr>
          <w:p>
            <w:r>
              <w:t>Monthly MP allowance increased from $13,750 to $18,500 from 15 October 2026.</w:t>
            </w:r>
          </w:p>
        </w:tc>
      </w:tr>
      <w:tr>
        <w:tc>
          <w:tcPr>
            <w:tcW w:type="dxa" w:w="4320"/>
          </w:tcPr>
          <w:p>
            <w:r>
              <w:t>National Bonus targets</w:t>
            </w:r>
          </w:p>
        </w:tc>
        <w:tc>
          <w:tcPr>
            <w:tcW w:type="dxa" w:w="4320"/>
          </w:tcPr>
          <w:p>
            <w:r>
              <w:t>Updated targets take effect from 1 January 2027.</w:t>
            </w:r>
          </w:p>
        </w:tc>
      </w:tr>
      <w:tr>
        <w:tc>
          <w:tcPr>
            <w:tcW w:type="dxa" w:w="4320"/>
          </w:tcPr>
          <w:p>
            <w:r>
              <w:t>Prime Minister</w:t>
            </w:r>
          </w:p>
        </w:tc>
        <w:tc>
          <w:tcPr>
            <w:tcW w:type="dxa" w:w="4320"/>
          </w:tcPr>
          <w:p>
            <w:r>
              <w:t>The framework sets the PM’s total annual salary at twice the MR4 reference annual salary; the PM’s variable-pay arrangement differs from that of other Ministers.</w:t>
            </w:r>
          </w:p>
        </w:tc>
      </w:tr>
    </w:tbl>
    <w:p>
      <w:pPr>
        <w:pStyle w:val="Heading1"/>
      </w:pPr>
      <w:r>
        <w:t>4. Historical 2012 reference salary table — not current 2026 pay</w:t>
      </w:r>
    </w:p>
    <w:p>
      <w:r>
        <w:t>The following figures are from the original 2012 framework handout. They are included for historical comparison only. Do not present them as the revised 2026 salary table or as each office holder’s actual annual remuneration.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Office / grade</w:t>
            </w:r>
          </w:p>
        </w:tc>
        <w:tc>
          <w:tcPr>
            <w:tcW w:type="dxa" w:w="2880"/>
          </w:tcPr>
          <w:p>
            <w:r>
              <w:t>2012 monthly salary midpoint</w:t>
            </w:r>
          </w:p>
        </w:tc>
        <w:tc>
          <w:tcPr>
            <w:tcW w:type="dxa" w:w="2880"/>
          </w:tcPr>
          <w:p>
            <w:r>
              <w:t>2012 typical total annual salary</w:t>
            </w:r>
          </w:p>
        </w:tc>
      </w:tr>
      <w:tr>
        <w:tc>
          <w:tcPr>
            <w:tcW w:type="dxa" w:w="2880"/>
          </w:tcPr>
          <w:p>
            <w:r>
              <w:t>Prime Minister (PM)</w:t>
            </w:r>
          </w:p>
        </w:tc>
        <w:tc>
          <w:tcPr>
            <w:tcW w:type="dxa" w:w="2880"/>
          </w:tcPr>
          <w:p>
            <w:r>
              <w:t>$110,000</w:t>
            </w:r>
          </w:p>
        </w:tc>
        <w:tc>
          <w:tcPr>
            <w:tcW w:type="dxa" w:w="2880"/>
          </w:tcPr>
          <w:p>
            <w:r>
              <w:t>$2,200,000</w:t>
            </w:r>
          </w:p>
        </w:tc>
      </w:tr>
      <w:tr>
        <w:tc>
          <w:tcPr>
            <w:tcW w:type="dxa" w:w="2880"/>
          </w:tcPr>
          <w:p>
            <w:r>
              <w:t>Deputy Prime Minister (DPM)</w:t>
            </w:r>
          </w:p>
        </w:tc>
        <w:tc>
          <w:tcPr>
            <w:tcW w:type="dxa" w:w="2880"/>
          </w:tcPr>
          <w:p>
            <w:r>
              <w:t>$93,500</w:t>
            </w:r>
          </w:p>
        </w:tc>
        <w:tc>
          <w:tcPr>
            <w:tcW w:type="dxa" w:w="2880"/>
          </w:tcPr>
          <w:p>
            <w:r>
              <w:t>$1,870,000</w:t>
            </w:r>
          </w:p>
        </w:tc>
      </w:tr>
      <w:tr>
        <w:tc>
          <w:tcPr>
            <w:tcW w:type="dxa" w:w="2880"/>
          </w:tcPr>
          <w:p>
            <w:r>
              <w:t>MR1</w:t>
            </w:r>
          </w:p>
        </w:tc>
        <w:tc>
          <w:tcPr>
            <w:tcW w:type="dxa" w:w="2880"/>
          </w:tcPr>
          <w:p>
            <w:r>
              <w:t>$88,000</w:t>
            </w:r>
          </w:p>
        </w:tc>
        <w:tc>
          <w:tcPr>
            <w:tcW w:type="dxa" w:w="2880"/>
          </w:tcPr>
          <w:p>
            <w:r>
              <w:t>$1,760,000</w:t>
            </w:r>
          </w:p>
        </w:tc>
      </w:tr>
      <w:tr>
        <w:tc>
          <w:tcPr>
            <w:tcW w:type="dxa" w:w="2880"/>
          </w:tcPr>
          <w:p>
            <w:r>
              <w:t>MR2</w:t>
            </w:r>
          </w:p>
        </w:tc>
        <w:tc>
          <w:tcPr>
            <w:tcW w:type="dxa" w:w="2880"/>
          </w:tcPr>
          <w:p>
            <w:r>
              <w:t>$77,000</w:t>
            </w:r>
          </w:p>
        </w:tc>
        <w:tc>
          <w:tcPr>
            <w:tcW w:type="dxa" w:w="2880"/>
          </w:tcPr>
          <w:p>
            <w:r>
              <w:t>$1,540,000</w:t>
            </w:r>
          </w:p>
        </w:tc>
      </w:tr>
      <w:tr>
        <w:tc>
          <w:tcPr>
            <w:tcW w:type="dxa" w:w="2880"/>
          </w:tcPr>
          <w:p>
            <w:r>
              <w:t>MR3</w:t>
            </w:r>
          </w:p>
        </w:tc>
        <w:tc>
          <w:tcPr>
            <w:tcW w:type="dxa" w:w="2880"/>
          </w:tcPr>
          <w:p>
            <w:r>
              <w:t>$66,000</w:t>
            </w:r>
          </w:p>
        </w:tc>
        <w:tc>
          <w:tcPr>
            <w:tcW w:type="dxa" w:w="2880"/>
          </w:tcPr>
          <w:p>
            <w:r>
              <w:t>$1,320,000</w:t>
            </w:r>
          </w:p>
        </w:tc>
      </w:tr>
      <w:tr>
        <w:tc>
          <w:tcPr>
            <w:tcW w:type="dxa" w:w="2880"/>
          </w:tcPr>
          <w:p>
            <w:r>
              <w:t>MR4 benchmark point</w:t>
            </w:r>
          </w:p>
        </w:tc>
        <w:tc>
          <w:tcPr>
            <w:tcW w:type="dxa" w:w="2880"/>
          </w:tcPr>
          <w:p>
            <w:r>
              <w:t>$55,000</w:t>
            </w:r>
          </w:p>
        </w:tc>
        <w:tc>
          <w:tcPr>
            <w:tcW w:type="dxa" w:w="2880"/>
          </w:tcPr>
          <w:p>
            <w:r>
              <w:t>$1,100,000</w:t>
            </w:r>
          </w:p>
        </w:tc>
      </w:tr>
      <w:tr>
        <w:tc>
          <w:tcPr>
            <w:tcW w:type="dxa" w:w="2880"/>
          </w:tcPr>
          <w:p>
            <w:r>
              <w:t>MR4 starting salary point</w:t>
            </w:r>
          </w:p>
        </w:tc>
        <w:tc>
          <w:tcPr>
            <w:tcW w:type="dxa" w:w="2880"/>
          </w:tcPr>
          <w:p>
            <w:r>
              <w:t>$46,750</w:t>
            </w:r>
          </w:p>
        </w:tc>
        <w:tc>
          <w:tcPr>
            <w:tcW w:type="dxa" w:w="2880"/>
          </w:tcPr>
          <w:p>
            <w:r>
              <w:t>$935,000</w:t>
            </w:r>
          </w:p>
        </w:tc>
      </w:tr>
      <w:tr>
        <w:tc>
          <w:tcPr>
            <w:tcW w:type="dxa" w:w="2880"/>
          </w:tcPr>
          <w:p>
            <w:r>
              <w:t>Senior Minister of State (SMS)</w:t>
            </w:r>
          </w:p>
        </w:tc>
        <w:tc>
          <w:tcPr>
            <w:tcW w:type="dxa" w:w="2880"/>
          </w:tcPr>
          <w:p>
            <w:r>
              <w:t>$46,750</w:t>
            </w:r>
          </w:p>
        </w:tc>
        <w:tc>
          <w:tcPr>
            <w:tcW w:type="dxa" w:w="2880"/>
          </w:tcPr>
          <w:p>
            <w:r>
              <w:t>$935,000</w:t>
            </w:r>
          </w:p>
        </w:tc>
      </w:tr>
      <w:tr>
        <w:tc>
          <w:tcPr>
            <w:tcW w:type="dxa" w:w="2880"/>
          </w:tcPr>
          <w:p>
            <w:r>
              <w:t>Minister of State (MOS)</w:t>
            </w:r>
          </w:p>
        </w:tc>
        <w:tc>
          <w:tcPr>
            <w:tcW w:type="dxa" w:w="2880"/>
          </w:tcPr>
          <w:p>
            <w:r>
              <w:t>$38,500</w:t>
            </w:r>
          </w:p>
        </w:tc>
        <w:tc>
          <w:tcPr>
            <w:tcW w:type="dxa" w:w="2880"/>
          </w:tcPr>
          <w:p>
            <w:r>
              <w:t>$770,000</w:t>
            </w:r>
          </w:p>
        </w:tc>
      </w:tr>
      <w:tr>
        <w:tc>
          <w:tcPr>
            <w:tcW w:type="dxa" w:w="2880"/>
          </w:tcPr>
          <w:p>
            <w:r>
              <w:t>Mayor</w:t>
            </w:r>
          </w:p>
        </w:tc>
        <w:tc>
          <w:tcPr>
            <w:tcW w:type="dxa" w:w="2880"/>
          </w:tcPr>
          <w:p>
            <w:r>
              <w:t>$33,000</w:t>
            </w:r>
          </w:p>
        </w:tc>
        <w:tc>
          <w:tcPr>
            <w:tcW w:type="dxa" w:w="2880"/>
          </w:tcPr>
          <w:p>
            <w:r>
              <w:t>$660,000</w:t>
            </w:r>
          </w:p>
        </w:tc>
      </w:tr>
      <w:tr>
        <w:tc>
          <w:tcPr>
            <w:tcW w:type="dxa" w:w="2880"/>
          </w:tcPr>
          <w:p>
            <w:r>
              <w:t>Senior Parliamentary Secretary (SPS)</w:t>
            </w:r>
          </w:p>
        </w:tc>
        <w:tc>
          <w:tcPr>
            <w:tcW w:type="dxa" w:w="2880"/>
          </w:tcPr>
          <w:p>
            <w:r>
              <w:t>$28,600</w:t>
            </w:r>
          </w:p>
        </w:tc>
        <w:tc>
          <w:tcPr>
            <w:tcW w:type="dxa" w:w="2880"/>
          </w:tcPr>
          <w:p>
            <w:r>
              <w:t>$572,000</w:t>
            </w:r>
          </w:p>
        </w:tc>
      </w:tr>
      <w:tr>
        <w:tc>
          <w:tcPr>
            <w:tcW w:type="dxa" w:w="2880"/>
          </w:tcPr>
          <w:p>
            <w:r>
              <w:t>Parliamentary Secretary</w:t>
            </w:r>
          </w:p>
        </w:tc>
        <w:tc>
          <w:tcPr>
            <w:tcW w:type="dxa" w:w="2880"/>
          </w:tcPr>
          <w:p>
            <w:r>
              <w:t>$20,900</w:t>
            </w:r>
          </w:p>
        </w:tc>
        <w:tc>
          <w:tcPr>
            <w:tcW w:type="dxa" w:w="2880"/>
          </w:tcPr>
          <w:p>
            <w:r>
              <w:t>$418,000</w:t>
            </w:r>
          </w:p>
        </w:tc>
      </w:tr>
    </w:tbl>
    <w:p>
      <w:pPr>
        <w:pStyle w:val="Heading1"/>
      </w:pPr>
      <w:r>
        <w:t>5. Suggested research questions</w:t>
      </w:r>
    </w:p>
    <w:p>
      <w:pPr>
        <w:pStyle w:val="ListBullet"/>
      </w:pPr>
      <w:r>
        <w:t>How is the MR4 benchmark calculated, and why is a 40% discount applied?</w:t>
      </w:r>
    </w:p>
    <w:p>
      <w:pPr>
        <w:pStyle w:val="ListBullet"/>
      </w:pPr>
      <w:r>
        <w:t>What proportion of the salary package is fixed versus variable?</w:t>
      </w:r>
    </w:p>
    <w:p>
      <w:pPr>
        <w:pStyle w:val="ListBullet"/>
      </w:pPr>
      <w:r>
        <w:t>How do the Performance Bonus and National Bonus work?</w:t>
      </w:r>
    </w:p>
    <w:p>
      <w:pPr>
        <w:pStyle w:val="ListBullet"/>
      </w:pPr>
      <w:r>
        <w:t>What changed between the 2012, 2017 and 2026 reviews?</w:t>
      </w:r>
    </w:p>
    <w:p>
      <w:pPr>
        <w:pStyle w:val="ListBullet"/>
      </w:pPr>
      <w:r>
        <w:t>What information is published about actual annual remuneration, and what remains unavailable for individual office holders?</w:t>
      </w:r>
    </w:p>
    <w:p>
      <w:pPr>
        <w:pStyle w:val="ListBullet"/>
      </w:pPr>
      <w:r>
        <w:t>How do political salaries compare over time with individual income measures? Use comparable individual-income statistics and clearly state the period and data source.</w:t>
      </w:r>
    </w:p>
    <w:p>
      <w:pPr>
        <w:pStyle w:val="Heading1"/>
      </w:pPr>
      <w:r>
        <w:t>6. Official sources to open and download</w:t>
      </w:r>
    </w:p>
    <w:p>
      <w:pPr>
        <w:pStyle w:val="ListNumber"/>
      </w:pPr>
      <w:r>
        <w:rPr>
          <w:b/>
        </w:rPr>
        <w:t>2026 Government response / implementation</w:t>
        <w:br/>
      </w:r>
      <w:r>
        <w:t>https://www.pmo.gov.sg/newsroom/media-release-on-building-a-strong-team-for-singapore/</w:t>
        <w:br/>
      </w:r>
      <w:r>
        <w:t>Official PMO media release, 8 Sep 2026. Explains accepted recommendations, $1.8m updated MR4 reference, up-to-9% one-off adjustment for existing office holders from 15 Oct 2026, revised ranges and MP allowance changes.</w:t>
      </w:r>
    </w:p>
    <w:p>
      <w:pPr>
        <w:pStyle w:val="ListNumber"/>
      </w:pPr>
      <w:r>
        <w:rPr>
          <w:b/>
        </w:rPr>
        <w:t>2026 Ministerial Statement</w:t>
        <w:br/>
      </w:r>
      <w:r>
        <w:t>https://www.psd.gov.sg/newsroom/ministerial-statement-by-prime-minister-and-minister-for-finance-lawrence-wong-on-government-s-response-to-the--2026-review-of-salaries-for-political-appointment-holders-and-members-of-parliament-/</w:t>
        <w:br/>
      </w:r>
      <w:r>
        <w:t>Official statement with implementation details, current grades, performance-linked pay and illustrative MR4 salary progression.</w:t>
      </w:r>
    </w:p>
    <w:p>
      <w:pPr>
        <w:pStyle w:val="ListNumber"/>
      </w:pPr>
      <w:r>
        <w:rPr>
          <w:b/>
        </w:rPr>
        <w:t>2026 salary framework explainer</w:t>
        <w:br/>
      </w:r>
      <w:r>
        <w:t>https://www.factually.gov.sg/corrections-and-clarifications/understanding-singapore-political-salary-framework/</w:t>
        <w:br/>
      </w:r>
      <w:r>
        <w:t>Official explainer of salary principles, fixed/variable pay, National Bonus and 2026 changes.</w:t>
      </w:r>
    </w:p>
    <w:p>
      <w:pPr>
        <w:pStyle w:val="ListNumber"/>
      </w:pPr>
      <w:r>
        <w:rPr>
          <w:b/>
        </w:rPr>
        <w:t>2012 White Paper (PDF)</w:t>
        <w:br/>
      </w:r>
      <w:r>
        <w:t>https://www.psd.gov.sg/files/white-paper---salaries-for-a-capable-and-committed-government.pdf</w:t>
        <w:br/>
      </w:r>
      <w:r>
        <w:t>Primary source describing the original framework, benchmark, rationale, salary components and allowances.</w:t>
      </w:r>
    </w:p>
    <w:p>
      <w:pPr>
        <w:pStyle w:val="ListNumber"/>
      </w:pPr>
      <w:r>
        <w:rPr>
          <w:b/>
        </w:rPr>
        <w:t>2012 salary table handout (PDF)</w:t>
        <w:br/>
      </w:r>
      <w:r>
        <w:t>https://www.psd.gov.sg/files/handout-3---composition-of-revised-salaries-for-politcal-appointment-holders-under-the-new-framework.pdf</w:t>
        <w:br/>
      </w:r>
      <w:r>
        <w:t>Historical salary table under the 2012 framework. Do not label this as the current post-2026 salary table.</w:t>
      </w:r>
    </w:p>
    <w:p>
      <w:pPr>
        <w:pStyle w:val="ListNumber"/>
      </w:pPr>
      <w:r>
        <w:rPr>
          <w:b/>
        </w:rPr>
        <w:t>2017 Review Committee report (PDF)</w:t>
        <w:br/>
      </w:r>
      <w:r>
        <w:t>https://www.nas.gov.sg/archivesonline/data/pdfdoc/20180301004/Annex%20B%202017%20Review%20Committee%20Report.pdf</w:t>
        <w:br/>
      </w:r>
      <w:r>
        <w:t>Independent review report; useful for review history and recommendations.</w:t>
      </w:r>
    </w:p>
    <w:p>
      <w:pPr>
        <w:pStyle w:val="ListNumber"/>
      </w:pPr>
      <w:r>
        <w:rPr>
          <w:b/>
        </w:rPr>
        <w:t>Historical components / parliamentary explanation</w:t>
        <w:br/>
      </w:r>
      <w:r>
        <w:t>https://www.psd.gov.sg/newsroom/salary-components-of-ministers-and-prime-minister/</w:t>
        <w:br/>
      </w:r>
      <w:r>
        <w:t>Official explanation of salary components and historical bonus ranges.</w:t>
      </w:r>
    </w:p>
    <w:p>
      <w:pPr>
        <w:pStyle w:val="ListNumber"/>
      </w:pPr>
      <w:r>
        <w:rPr>
          <w:b/>
        </w:rPr>
        <w:t>Historical compensation ranges, 2018–2024</w:t>
        <w:br/>
      </w:r>
      <w:r>
        <w:t>https://www.psd.gov.sg/newsroom/parliamentary-replies-3feb26/</w:t>
        <w:br/>
      </w:r>
      <w:r>
        <w:t>Parliamentary reply dated 3 Feb 2026 about compensation framework and bonus ranges.</w:t>
      </w:r>
    </w:p>
    <w:p>
      <w:pPr>
        <w:pStyle w:val="ListNumber"/>
      </w:pPr>
      <w:r>
        <w:rPr>
          <w:b/>
        </w:rPr>
        <w:t>Highest/lowest annual remuneration, 2016–2025</w:t>
        <w:br/>
      </w:r>
      <w:r>
        <w:t>https://www.psd.gov.sg/newsroom/highest-and-lowest-total-dollar-remuneration-of-political-appointment-holders/</w:t>
        <w:br/>
      </w:r>
      <w:r>
        <w:t>Parliamentary reply dated 6 Oct 2026; useful for actual annual remuneration ranges where published.</w:t>
      </w:r>
    </w:p>
    <w:p>
      <w:pPr>
        <w:pStyle w:val="Heading1"/>
      </w:pPr>
      <w:r>
        <w:t>7. Citation and accuracy notes</w:t>
      </w:r>
    </w:p>
    <w:p>
      <w:pPr>
        <w:pStyle w:val="ListBullet"/>
      </w:pPr>
      <w:r>
        <w:t>Prefer the PMO, PSD, Parliament and National Archives sources listed above over social media or unsourced salary charts.</w:t>
      </w:r>
    </w:p>
    <w:p>
      <w:pPr>
        <w:pStyle w:val="ListBullet"/>
      </w:pPr>
      <w:r>
        <w:t>State the date of the policy or salary figure every time. The 2012 salary table is historical.</w:t>
      </w:r>
    </w:p>
    <w:p>
      <w:pPr>
        <w:pStyle w:val="ListBullet"/>
      </w:pPr>
      <w:r>
        <w:t>Do not add bonuses on top of an all-in reference salary; the reference salary already assumes specified variable components.</w:t>
      </w:r>
    </w:p>
    <w:p>
      <w:pPr>
        <w:pStyle w:val="ListBullet"/>
      </w:pPr>
      <w:r>
        <w:t>A public salary framework does not necessarily disclose the exact pay received by every named office holder in every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3" Type="http://schemas.openxmlformats.org/officeDocument/2006/relationships/styles" Target="styles.xml" />
  <Relationship Id="rId4" Type="http://schemas.microsoft.com/office/2007/relationships/stylesWithEffects" Target="stylesWithEffects.xml" />
  <Relationship Id="rId5" Type="http://schemas.openxmlformats.org/officeDocument/2006/relationships/settings" Target="settings.xml" />
  <Relationship Id="rId6" Type="http://schemas.openxmlformats.org/officeDocument/2006/relationships/webSettings" Target="webSettings.xml" />
  <Relationship Id="rId7" Type="http://schemas.openxmlformats.org/officeDocument/2006/relationships/fontTable" Target="fontTable.xml" />
  <Relationship Id="rId8" Type="http://schemas.openxmlformats.org/officeDocument/2006/relationships/theme" Target="theme/theme1.xml" />
  <Relationship Id="rId1" Type="http://schemas.openxmlformats.org/officeDocument/2006/relationships/customXml" Target="../customXml/item1.xml" />
  <Relationship Id="rId2" Type="http://schemas.openxmlformats.org/officeDocument/2006/relationships/numbering" Target="numbering.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